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8648C" w:rsidRDefault="00F8648C" w:rsidP="00F8648C">
      <w:pPr>
        <w:pStyle w:val="Heading1"/>
      </w:pPr>
      <w:r>
        <w:t xml:space="preserve">IDEA </w:t>
      </w:r>
      <w:proofErr w:type="spellStart"/>
      <w:r>
        <w:t>Aff</w:t>
      </w:r>
      <w:proofErr w:type="spellEnd"/>
      <w:r>
        <w:t xml:space="preserve"> – FFRSV – Wave 1</w:t>
      </w:r>
    </w:p>
    <w:p w:rsidR="00833446" w:rsidRDefault="00833446" w:rsidP="00833446">
      <w:pPr>
        <w:pStyle w:val="Heading2"/>
      </w:pPr>
      <w:r>
        <w:t xml:space="preserve">Advantage – Segregation </w:t>
      </w:r>
    </w:p>
    <w:p w:rsidR="00833446" w:rsidRPr="00833446" w:rsidRDefault="00833446" w:rsidP="00833446">
      <w:r>
        <w:t xml:space="preserve">*If you decide to read the treaties </w:t>
      </w:r>
      <w:r w:rsidR="00694ED7">
        <w:t xml:space="preserve">advantage, you can nix the Hehir </w:t>
      </w:r>
      <w:r>
        <w:t xml:space="preserve">2012 impact framing card and the Hyland 1987 </w:t>
      </w:r>
      <w:proofErr w:type="spellStart"/>
      <w:r>
        <w:t>util</w:t>
      </w:r>
      <w:proofErr w:type="spellEnd"/>
      <w:r>
        <w:t xml:space="preserve"> preempt </w:t>
      </w:r>
    </w:p>
    <w:p w:rsidR="000C6B95" w:rsidRDefault="000C6B95" w:rsidP="00833446">
      <w:pPr>
        <w:pStyle w:val="Heading3"/>
      </w:pPr>
      <w:r>
        <w:t>1AC</w:t>
      </w:r>
    </w:p>
    <w:p w:rsidR="00BE7197" w:rsidRDefault="00BE7197" w:rsidP="00BE7197">
      <w:pPr>
        <w:pStyle w:val="Heading4"/>
      </w:pPr>
      <w:r>
        <w:t>Current interpretations by the courts of the Individuals with Disabilities in Education Act, or IDEA, is failing those with mental disabilities, causing millions to spend life in prisons, homeless, or incapable of struggling with their disability</w:t>
      </w:r>
    </w:p>
    <w:p w:rsidR="00BE7197" w:rsidRPr="009B348A" w:rsidRDefault="00BE7197" w:rsidP="00BE7197">
      <w:proofErr w:type="spellStart"/>
      <w:r w:rsidRPr="009B348A">
        <w:rPr>
          <w:rStyle w:val="Style13ptBold"/>
        </w:rPr>
        <w:t>Golembiewski</w:t>
      </w:r>
      <w:proofErr w:type="spellEnd"/>
      <w:r w:rsidRPr="009B348A">
        <w:rPr>
          <w:rStyle w:val="Style13ptBold"/>
        </w:rPr>
        <w:t xml:space="preserve"> 2016</w:t>
      </w:r>
      <w:r w:rsidRPr="009B348A">
        <w:t xml:space="preserve"> - Law Clerk to the Honorable Charles R. Wilson, U.S. Court of Appeals for the Eleventh Circuit </w:t>
      </w:r>
      <w:r>
        <w:br/>
      </w:r>
      <w:r w:rsidRPr="009B348A">
        <w:t>Kevin, “DISPARATE TREATMENT AND LOST OPPORTUNITY: COURTS' APPROACH TO STUDENTS WITH MENTAL HEALTH DISABILITIES UNDER THE IDEA," 88 Temp. L. Rev. 473</w:t>
      </w:r>
    </w:p>
    <w:p w:rsidR="00BE7197" w:rsidRDefault="00BE7197" w:rsidP="00BE7197">
      <w:r>
        <w:t xml:space="preserve">The United States is experiencing a mental health epidemic. </w:t>
      </w:r>
      <w:r w:rsidRPr="00704401">
        <w:rPr>
          <w:rStyle w:val="StyleUnderline"/>
        </w:rPr>
        <w:t>Millions of Americans suffer from untreated mental health disabilities, and as a consequence, prisons and homeless shelters are packed with individuals struggling with such disabilities</w:t>
      </w:r>
      <w:r>
        <w:t xml:space="preserve">. Sadly, </w:t>
      </w:r>
      <w:r w:rsidRPr="00704401">
        <w:rPr>
          <w:rStyle w:val="StyleUnderline"/>
        </w:rPr>
        <w:t>these outcomes are unsurprising given our nation's approach to mental health</w:t>
      </w:r>
      <w:r>
        <w:t>.</w:t>
      </w:r>
    </w:p>
    <w:p w:rsidR="00BE7197" w:rsidRDefault="00BE7197" w:rsidP="00BE7197">
      <w:r>
        <w:t>Mental health disabilities occupy a unique position relative to other types of disabilities. Mental health issues are routinely discounted and individuals confronted with these issues are often denied the same level of supports and accommodations provided to those with other types of disabilities.</w:t>
      </w:r>
    </w:p>
    <w:p w:rsidR="00BE7197" w:rsidRDefault="00BE7197" w:rsidP="00BE7197">
      <w:r>
        <w:t xml:space="preserve">An extremely troubling context in which this bias manifests is special education. </w:t>
      </w:r>
      <w:r w:rsidRPr="009B348A">
        <w:rPr>
          <w:rStyle w:val="StyleUnderline"/>
        </w:rPr>
        <w:t>A large number of courts interpreting</w:t>
      </w:r>
      <w:r>
        <w:t xml:space="preserve"> the Individuals with Disabilities Education Act </w:t>
      </w:r>
      <w:r w:rsidRPr="009B348A">
        <w:rPr>
          <w:rStyle w:val="StyleUnderline"/>
        </w:rPr>
        <w:t>(IDEA),</w:t>
      </w:r>
      <w:r>
        <w:t xml:space="preserve"> n1 the flagship civil rights legislation for students with disabilities, </w:t>
      </w:r>
      <w:r w:rsidRPr="009B348A">
        <w:rPr>
          <w:rStyle w:val="StyleUnderline"/>
        </w:rPr>
        <w:t>approach students with mental health disabilities as less deserving of the services and supports offered by the IDEA than students with other disabilities</w:t>
      </w:r>
      <w:r>
        <w:t xml:space="preserve">. n2 </w:t>
      </w:r>
      <w:r w:rsidRPr="009B348A">
        <w:rPr>
          <w:rStyle w:val="StyleUnderline"/>
        </w:rPr>
        <w:t>This differential treatment is undoubtedly a contributing factor as to why students with mental health disabilities have the worst outcomes of all groups of students receiving special education services</w:t>
      </w:r>
      <w:r>
        <w:t xml:space="preserve">. </w:t>
      </w:r>
      <w:r w:rsidRPr="009B348A">
        <w:rPr>
          <w:rStyle w:val="StyleUnderline"/>
        </w:rPr>
        <w:t>Students with mental health disabilities have the highest dropout rates,</w:t>
      </w:r>
      <w:r>
        <w:t xml:space="preserve"> n3 </w:t>
      </w:r>
      <w:r w:rsidRPr="009B348A">
        <w:rPr>
          <w:rStyle w:val="StyleUnderline"/>
        </w:rPr>
        <w:t>and they receive the lowest grades of any group of special education students</w:t>
      </w:r>
      <w:r>
        <w:t>. n4</w:t>
      </w:r>
    </w:p>
    <w:p w:rsidR="00BE7197" w:rsidRDefault="00BE7197" w:rsidP="00BE7197">
      <w:r>
        <w:t xml:space="preserve">Anecdotally, the recent tragedy </w:t>
      </w:r>
      <w:r w:rsidRPr="009B348A">
        <w:rPr>
          <w:rStyle w:val="StyleUnderline"/>
        </w:rPr>
        <w:t xml:space="preserve">at Sandy Hook </w:t>
      </w:r>
      <w:r>
        <w:t xml:space="preserve">Elementary School in Newtown, Connecticut powerfully </w:t>
      </w:r>
      <w:r w:rsidRPr="009B348A">
        <w:rPr>
          <w:rStyle w:val="StyleUnderline"/>
        </w:rPr>
        <w:t>demonstrates how the IDEA has failed students with mental health disabilities</w:t>
      </w:r>
      <w:r>
        <w:t xml:space="preserve">. Adam </w:t>
      </w:r>
      <w:r w:rsidRPr="009B348A">
        <w:rPr>
          <w:rStyle w:val="StyleUnderline"/>
        </w:rPr>
        <w:t>Lanza, who was responsible for the deaths of twenty-eight individuals, including himself, suffered from severe mental health issues throughout his educational career</w:t>
      </w:r>
      <w:r>
        <w:t xml:space="preserve">. n5 But, </w:t>
      </w:r>
      <w:r w:rsidRPr="009B348A">
        <w:rPr>
          <w:rStyle w:val="StyleUnderline"/>
        </w:rPr>
        <w:t>Adam received "minimal" special education supports for these issues from his various schools</w:t>
      </w:r>
      <w:r>
        <w:t xml:space="preserve">. n6  [*475]  For example, in elementary school Adam demonstrated signs of anxiety and depression and created a book for a school project that included references to "child murder, cannibalism, and taxidermy." n7 Yet, </w:t>
      </w:r>
      <w:r w:rsidRPr="009B348A">
        <w:rPr>
          <w:rStyle w:val="StyleUnderline"/>
        </w:rPr>
        <w:t>Adam did not receive any mental health-related special education services, such as counseling or behavior therapy, during elementary school</w:t>
      </w:r>
      <w:r>
        <w:t>. n8 According to a report developed by Connecticut's Office of the Child Advocate, this failure amounted to a "lapse[]" in the education system's response to Adam's needs. n9</w:t>
      </w:r>
    </w:p>
    <w:p w:rsidR="00BE7197" w:rsidRDefault="00BE7197" w:rsidP="00BE7197">
      <w:r w:rsidRPr="009B348A">
        <w:rPr>
          <w:rStyle w:val="StyleUnderline"/>
        </w:rPr>
        <w:t>It is critical that we address the differential treatment of students with mental health disabilities under the IDEA. The legal protections and resources offered by the IDEA</w:t>
      </w:r>
      <w:r>
        <w:t>,</w:t>
      </w:r>
      <w:r w:rsidRPr="009B348A">
        <w:rPr>
          <w:rStyle w:val="StyleUnderline"/>
        </w:rPr>
        <w:t xml:space="preserve"> combined with the unique position of schools in children's lives, present an opportunity to identify mental health disabilities earlier and address them more effectively</w:t>
      </w:r>
      <w:r>
        <w:t>.</w:t>
      </w:r>
    </w:p>
    <w:p w:rsidR="00BE7197" w:rsidRDefault="00BE7197" w:rsidP="00BE7197">
      <w:r>
        <w:t xml:space="preserve">This Article argues that </w:t>
      </w:r>
      <w:r w:rsidRPr="009B348A">
        <w:rPr>
          <w:rStyle w:val="StyleUnderline"/>
        </w:rPr>
        <w:t>the differential treatment experienced by students with mental health disabilities results from the judiciary's narrow interpretation of the term "educational" within the context of the IDEA.</w:t>
      </w:r>
      <w:r>
        <w:t xml:space="preserve"> Specifically, </w:t>
      </w:r>
      <w:r w:rsidRPr="009B348A">
        <w:rPr>
          <w:rStyle w:val="StyleUnderline"/>
        </w:rPr>
        <w:t xml:space="preserve">a large number of courts interpret "educational" to encompass purely academic domains. Given the structure of the IDEA, this interpretation has a disparate impact on students with mental health disabilities. </w:t>
      </w:r>
      <w:r>
        <w:t>In addition, it is inconsistent with the text and purpose of the IDEA and appears to be driven, in part, by misperceptions that are explained by well-known social science theories.</w:t>
      </w:r>
    </w:p>
    <w:p w:rsidR="00BE7197" w:rsidRDefault="00BE7197" w:rsidP="00BE7197">
      <w:r>
        <w:t xml:space="preserve">Legal scholars have highlighted the tendency of many courts to deny students with social and emotional needs access to services by narrowly interpreting the IDEA. n10 Much of the scholarship argues that ambiguities in the text of the IDEA have led to this outcome. n11 As a result, a number of scholars have suggested that </w:t>
      </w:r>
      <w:r w:rsidRPr="009B348A">
        <w:rPr>
          <w:rStyle w:val="StyleUnderline"/>
        </w:rPr>
        <w:t>changes to the text of the IDEA are needed</w:t>
      </w:r>
      <w:r>
        <w:t xml:space="preserve">. n12 This Article  [*476]  differs from the existing literature as it asserts that courts are failing to properly interpret the Act. </w:t>
      </w:r>
      <w:r w:rsidRPr="009B348A">
        <w:rPr>
          <w:rStyle w:val="StyleUnderline"/>
        </w:rPr>
        <w:t xml:space="preserve">Amendments to the IDEA are therefore unnecessary; instead, in order to realize the IDEA's potential to address the needs of students with mental health disabilities, </w:t>
      </w:r>
      <w:r w:rsidRPr="009B348A">
        <w:rPr>
          <w:rStyle w:val="Emphasis"/>
        </w:rPr>
        <w:t>it is courts that must correct their flawed approach</w:t>
      </w:r>
      <w:r>
        <w:t>.</w:t>
      </w:r>
    </w:p>
    <w:p w:rsidR="00BE7197" w:rsidRDefault="00BE7197" w:rsidP="00BE7197">
      <w:r>
        <w:t>This Article also adds to the literature by using social science theory to explain the underlying reasons for courts' narrow approach to the IDEA. In her 1993 article, "Disabling Ambiguities: Confronting Barriers to the Education of Students with Emotional Disabilities," Professor Theresa Glennon puts forth an insightful analytical framework for understanding the perceptions influencing decisions in IDEA cases involving students with mental health issues. n13 This Article builds upon Glennon's work by contextualizing courts' decision-making processes within social science literature. Furthermore, through an analysis of recent case law, this Article illustrates that, despite the passage of over twenty years since Glennon's article, the same biases still influence courts today.</w:t>
      </w:r>
    </w:p>
    <w:p w:rsidR="000C6B95" w:rsidRPr="0052380B" w:rsidRDefault="00BE7197" w:rsidP="000C6B95">
      <w:pPr>
        <w:pStyle w:val="Heading4"/>
      </w:pPr>
      <w:r>
        <w:t>These applications of IDEA allow for the segregation of students because it is easier to remove students from the classroom than address their needs</w:t>
      </w:r>
    </w:p>
    <w:p w:rsidR="000C6B95" w:rsidRDefault="000C6B95" w:rsidP="000C6B95">
      <w:proofErr w:type="spellStart"/>
      <w:r w:rsidRPr="0052380B">
        <w:rPr>
          <w:rStyle w:val="Style13ptBold"/>
        </w:rPr>
        <w:t>Krewson</w:t>
      </w:r>
      <w:proofErr w:type="spellEnd"/>
      <w:r w:rsidRPr="0052380B">
        <w:rPr>
          <w:rStyle w:val="Style13ptBold"/>
        </w:rPr>
        <w:t xml:space="preserve"> 2016</w:t>
      </w:r>
      <w:r w:rsidRPr="0052380B">
        <w:t xml:space="preserve"> - JD Candidate 2016, U of Toledo College of Law </w:t>
      </w:r>
      <w:r>
        <w:br/>
      </w:r>
      <w:r w:rsidRPr="0052380B">
        <w:t xml:space="preserve">Trisha, "COMMENTS THE CONFLICT BETWEEN PRESERVING THE RIGHTS OF STUDENTS WITH DISABILITIES AND PROMOTING SAFE SCHOOLS - WILL THE PROCEDURAL SAFEGUARDS OF THE INDIVIDUALS WITH DISABILITIES EDUCATION ACT SURVIVE THE ERA OF SCHOOL VIOLENCE?," 47 U. </w:t>
      </w:r>
      <w:proofErr w:type="spellStart"/>
      <w:r w:rsidRPr="0052380B">
        <w:t>Tol</w:t>
      </w:r>
      <w:proofErr w:type="spellEnd"/>
      <w:r w:rsidRPr="0052380B">
        <w:t>. L. Rev. 515</w:t>
      </w:r>
    </w:p>
    <w:p w:rsidR="000C6B95" w:rsidRDefault="000C6B95" w:rsidP="000C6B95">
      <w:r>
        <w:t xml:space="preserve">The </w:t>
      </w:r>
      <w:r w:rsidRPr="00E144DC">
        <w:rPr>
          <w:rStyle w:val="StyleUnderline"/>
        </w:rPr>
        <w:t>I</w:t>
      </w:r>
      <w:r>
        <w:t xml:space="preserve">ndividuals with </w:t>
      </w:r>
      <w:r w:rsidRPr="00E144DC">
        <w:rPr>
          <w:rStyle w:val="StyleUnderline"/>
        </w:rPr>
        <w:t>D</w:t>
      </w:r>
      <w:r>
        <w:t xml:space="preserve">isabilities </w:t>
      </w:r>
      <w:r w:rsidRPr="00E144DC">
        <w:rPr>
          <w:rStyle w:val="StyleUnderline"/>
        </w:rPr>
        <w:t>E</w:t>
      </w:r>
      <w:r>
        <w:t xml:space="preserve">ducation </w:t>
      </w:r>
      <w:r w:rsidRPr="00E144DC">
        <w:rPr>
          <w:rStyle w:val="StyleUnderline"/>
        </w:rPr>
        <w:t>Act allows for very inconsistent application of the statute to everyday student life. Local administrators have great latitude</w:t>
      </w:r>
      <w:r>
        <w:t xml:space="preserve"> and/or discretion </w:t>
      </w:r>
      <w:r w:rsidRPr="00E144DC">
        <w:rPr>
          <w:rStyle w:val="StyleUnderline"/>
        </w:rPr>
        <w:t>in providing or denying needed services</w:t>
      </w:r>
      <w:r>
        <w:t>. n1</w:t>
      </w:r>
    </w:p>
    <w:p w:rsidR="000C6B95" w:rsidRDefault="000C6B95" w:rsidP="000C6B95">
      <w:r>
        <w:t xml:space="preserve"> PRIOR to the promulgation of the Education for All Handicapped Children Act of 1975, later renamed the Individuals with Disabilities Education Act n2 ("IDEA"), students with disabilities n3 faced significant hurdles that hindered their ability to enter the classroom environment due largely in part to the discretion exercised by school administrators. n4 In response to this common practice of underserving and excluding students with disabilities, n5 Congress enacted the IDEA in an effort to guarantee every student with a disability  [*516]  receives a free appropriate public education. n6 An inherent feature of the IDEA requires, "to the maximum extent appropriate," placement of students with disabilities in the "least restrictive environment." n7 Under some circumstances, this requirement compels placement of children with disabilities into the regular classroom with their non-disabled peers, a move commonly classified as mainstreaming. n8</w:t>
      </w:r>
    </w:p>
    <w:p w:rsidR="000C6B95" w:rsidRDefault="000C6B95" w:rsidP="000C6B95">
      <w:r>
        <w:t>Consistent with congressional concern regarding the complete exclusion of students with disabilities and the preference for mainstreaming</w:t>
      </w:r>
      <w:r w:rsidRPr="00E144DC">
        <w:rPr>
          <w:rStyle w:val="StyleUnderline"/>
        </w:rPr>
        <w:t>, the IDEA implements specific procedures for disciplining students with disabilities when such discipline involves removal from the student's current educational placement.</w:t>
      </w:r>
      <w:r>
        <w:t xml:space="preserve"> n9 </w:t>
      </w:r>
      <w:r w:rsidRPr="00E144DC">
        <w:rPr>
          <w:rStyle w:val="StyleUnderline"/>
        </w:rPr>
        <w:t>Many students with disabilities experience behavioral challenges,</w:t>
      </w:r>
      <w:r>
        <w:t xml:space="preserve"> which often surface in school. n10 Even the comments to the regulations interpreting the IDEA recognize the intricate relationship between a child's disability and discipline, indicating "the Act recognizes that a child with a disability may display disruptive behaviors characteristic of the child's disability and the child should not be punished for behaviors that are a result of the child's disability." n11 To address this concern, Congress included various procedural protections in the IDEA that supplement the overall goal of providing students with disabilities a free appropriate public education in a mainstreamed  [*517]  classroom. n12 The IDEA's stay-put provision creates an additional protection, requiring that a child with a disability "remain in the then-current educational placement" pending completion of any review proceedings, unless the child's parents and the relevant educational agency reach an alternative agreement. n13 In addition to the stay-put provision, another fundamental procedural safeguard afforded to students with disabilities involves the manifestation determination, which functions as an extension of due process protections to students with disabilities. n14 </w:t>
      </w:r>
      <w:r w:rsidRPr="00E144DC">
        <w:rPr>
          <w:rStyle w:val="StyleUnderline"/>
        </w:rPr>
        <w:t>Because expulsion served as a driving force behind pushing children with disabilities out of the classroom before the IDEA</w:t>
      </w:r>
      <w:r>
        <w:t xml:space="preserve">, n15 </w:t>
      </w:r>
      <w:r w:rsidRPr="00E144DC">
        <w:rPr>
          <w:rStyle w:val="StyleUnderline"/>
        </w:rPr>
        <w:t xml:space="preserve">whenever discipline results in removal of more than 10 school days, a manifestation determination is required to assess whether the student's behavior was a manifestation of the student's disability. </w:t>
      </w:r>
      <w:r>
        <w:t>n16</w:t>
      </w:r>
    </w:p>
    <w:p w:rsidR="000C6B95" w:rsidRDefault="000C6B95" w:rsidP="000C6B95">
      <w:r w:rsidRPr="00E144DC">
        <w:rPr>
          <w:rStyle w:val="StyleUnderline"/>
        </w:rPr>
        <w:t>While the IDEA was a necessary response to the challenges facing students with disabilities</w:t>
      </w:r>
      <w:r>
        <w:t xml:space="preserve"> and has resulted in significant progress in this area of education law, n17 </w:t>
      </w:r>
      <w:r w:rsidRPr="00E144DC">
        <w:rPr>
          <w:rStyle w:val="StyleUnderline"/>
        </w:rPr>
        <w:t>there remains room for improvement. n</w:t>
      </w:r>
      <w:r>
        <w:t xml:space="preserve">18 Specifically, </w:t>
      </w:r>
      <w:r w:rsidRPr="00E144DC">
        <w:rPr>
          <w:rStyle w:val="StyleUnderline"/>
        </w:rPr>
        <w:t>the disciplinary procedures in Section 1415 of the IDEA illustrate a controversy between protecting the rights of students with disabilities and maintaining safe schools for all students.</w:t>
      </w:r>
      <w:r>
        <w:t xml:space="preserve"> n19 </w:t>
      </w:r>
      <w:r w:rsidRPr="00E144DC">
        <w:rPr>
          <w:rStyle w:val="StyleUnderline"/>
        </w:rPr>
        <w:t>By creating exceptions to the procedural protections and allowing</w:t>
      </w:r>
      <w:r>
        <w:t xml:space="preserve">  [*51</w:t>
      </w:r>
      <w:r w:rsidRPr="00E144DC">
        <w:rPr>
          <w:rStyle w:val="StyleUnderline"/>
        </w:rPr>
        <w:t xml:space="preserve">8]  for immediate removal of students with disabilities </w:t>
      </w:r>
      <w:r>
        <w:t xml:space="preserve">under limited circumstances involving drugs, weapons, or behavior resulting in serious bodily injury, </w:t>
      </w:r>
      <w:r w:rsidRPr="00E144DC">
        <w:rPr>
          <w:rStyle w:val="StyleUnderline"/>
        </w:rPr>
        <w:t>the current version of Section 1415 arguably diminishes the value these protections generally provide for these students</w:t>
      </w:r>
      <w:r>
        <w:t xml:space="preserve">. n20 Although the stay-put provision and the manifestation determination represent essential protections for students with disabilities, the growing concern regarding school violence appears to have overshadowed one of the IDEA's original purposes - maintaining a disabled student's placement in the classroom. n21 Because </w:t>
      </w:r>
      <w:r w:rsidRPr="00E144DC">
        <w:rPr>
          <w:rStyle w:val="StyleUnderline"/>
        </w:rPr>
        <w:t>these exceptions essentially take away the rights of students with disabilities, it is imperative to limit the discretion afforded to school districts in implementing the IDEA</w:t>
      </w:r>
      <w:r>
        <w:t>. n22 However</w:t>
      </w:r>
      <w:r w:rsidRPr="00E144DC">
        <w:rPr>
          <w:rStyle w:val="StyleUnderline"/>
        </w:rPr>
        <w:t>, the current version of the IDEA grants wide latitude to school districts and lacks a clear standard for particular disciplinary procedures that allow for immediate removal from the classroom</w:t>
      </w:r>
      <w:r>
        <w:t>.</w:t>
      </w:r>
    </w:p>
    <w:p w:rsidR="00BE7197" w:rsidRDefault="00BE7197" w:rsidP="00BE7197">
      <w:pPr>
        <w:pStyle w:val="Heading4"/>
      </w:pPr>
      <w:r>
        <w:t xml:space="preserve">Upwards of 20 percent of students are missing out on the education they deserve because of these interpretations of IDEA, making it necessary for courts to change how they approach IDEA </w:t>
      </w:r>
    </w:p>
    <w:p w:rsidR="00BE7197" w:rsidRPr="009B348A" w:rsidRDefault="00BE7197" w:rsidP="00BE7197">
      <w:proofErr w:type="spellStart"/>
      <w:r w:rsidRPr="009B348A">
        <w:rPr>
          <w:rStyle w:val="Style13ptBold"/>
        </w:rPr>
        <w:t>Golembiewski</w:t>
      </w:r>
      <w:proofErr w:type="spellEnd"/>
      <w:r w:rsidRPr="009B348A">
        <w:rPr>
          <w:rStyle w:val="Style13ptBold"/>
        </w:rPr>
        <w:t xml:space="preserve"> 2016</w:t>
      </w:r>
      <w:r w:rsidRPr="009B348A">
        <w:t xml:space="preserve"> - Law Clerk to the Honorable Charles R. Wilson, U.S. Court of Appeals for the Eleventh Circuit </w:t>
      </w:r>
      <w:r>
        <w:br/>
      </w:r>
      <w:r w:rsidRPr="009B348A">
        <w:t>Kevin, “DISPARATE TREATMENT AND LOST OPPORTUNITY: COURTS' APPROACH TO STUDENTS WITH MENTAL HEALTH DISABILITIES UNDER THE IDEA," 88 Temp. L. Rev. 473</w:t>
      </w:r>
    </w:p>
    <w:p w:rsidR="00BE7197" w:rsidRDefault="00BE7197" w:rsidP="00BE7197">
      <w:r>
        <w:t xml:space="preserve">While </w:t>
      </w:r>
      <w:r w:rsidRPr="005005AD">
        <w:rPr>
          <w:rStyle w:val="StyleUnderline"/>
        </w:rPr>
        <w:t>the IDEA's impact on students with disabilities as a whole cannot be denied, the benefits of the Act have been unevenly distributed</w:t>
      </w:r>
      <w:r>
        <w:t xml:space="preserve">. In particular, </w:t>
      </w:r>
      <w:r w:rsidRPr="005005AD">
        <w:rPr>
          <w:rStyle w:val="StyleUnderline"/>
        </w:rPr>
        <w:t>students with mental health disabilities have fared worse under the Act than students with other types of disabilities</w:t>
      </w:r>
      <w:r>
        <w:t xml:space="preserve">. According to a congressional finding, </w:t>
      </w:r>
      <w:r w:rsidRPr="005005AD">
        <w:rPr>
          <w:rStyle w:val="StyleUnderline"/>
        </w:rPr>
        <w:t>"children with serious emotional disturbance remain the most underserved population of students with disabilities</w:t>
      </w:r>
      <w:r>
        <w:t xml:space="preserve">." n72 Students suffering from mental health issues are underserved in two respects. First, </w:t>
      </w:r>
      <w:r w:rsidRPr="005005AD">
        <w:rPr>
          <w:rStyle w:val="StyleUnderline"/>
        </w:rPr>
        <w:t>they are frequently denied the protections of the IDEA. Although nearly twenty percent of students ages thirteen to eighteen experienced serious mental health emergencies in a given year</w:t>
      </w:r>
      <w:r>
        <w:t xml:space="preserve">, n73 </w:t>
      </w:r>
      <w:r w:rsidRPr="005005AD">
        <w:rPr>
          <w:rStyle w:val="StyleUnderline"/>
        </w:rPr>
        <w:t>only 0.7% of all students</w:t>
      </w:r>
      <w:r>
        <w:t xml:space="preserve"> from 1995 to 2004 </w:t>
      </w:r>
      <w:r w:rsidRPr="005005AD">
        <w:rPr>
          <w:rStyle w:val="StyleUnderline"/>
        </w:rPr>
        <w:t>were found eligible for special education as a result of an emotional disturbance</w:t>
      </w:r>
      <w:r>
        <w:t xml:space="preserve">. n74 Second, </w:t>
      </w:r>
      <w:r w:rsidRPr="005005AD">
        <w:rPr>
          <w:rStyle w:val="StyleUnderline"/>
        </w:rPr>
        <w:t>students with mental health disabilities who are found eligible under the IDEA do not receive adequate services</w:t>
      </w:r>
      <w:r>
        <w:t>. This is evidenced by the fact that ove</w:t>
      </w:r>
      <w:r w:rsidRPr="005005AD">
        <w:rPr>
          <w:rStyle w:val="StyleUnderline"/>
        </w:rPr>
        <w:t>r fifty percent of special education students ages fourteen and older who have mental health conditions drop out of school - the highest dropout rate of any disability group.</w:t>
      </w:r>
      <w:r>
        <w:t xml:space="preserve"> n75 Moreover, these students receive lower grades than any other group of students with disabilities. n76 Finally, </w:t>
      </w:r>
      <w:r w:rsidRPr="005005AD">
        <w:rPr>
          <w:rStyle w:val="StyleUnderline"/>
        </w:rPr>
        <w:t>fifty-eight percent of youth with serious emotional disturbance are arrested within five years of leaving school, as opposed to thirty percent of all students with disabilities</w:t>
      </w:r>
      <w:r>
        <w:t>. n77</w:t>
      </w:r>
    </w:p>
    <w:p w:rsidR="00BE7197" w:rsidRDefault="00BE7197" w:rsidP="00BE7197">
      <w:r w:rsidRPr="005005AD">
        <w:rPr>
          <w:rStyle w:val="StyleUnderline"/>
        </w:rPr>
        <w:t>Considering the approach that a large number of courts, and in turn school districts, take to the IDEA, these disparate outcomes are unsurprising. Courts have limited the IDEA rights of students with mental health disabilities by framing their deficits as noneducational</w:t>
      </w:r>
      <w:r>
        <w:t>. As a result, these students are frequently denied the services they require to achieve equal educational opportunity and the chance to become self-sufficient, independent adults.</w:t>
      </w:r>
    </w:p>
    <w:p w:rsidR="00BE7197" w:rsidRDefault="00BE7197" w:rsidP="00BE7197">
      <w:pPr>
        <w:pStyle w:val="Heading4"/>
      </w:pPr>
      <w:r>
        <w:t>These flawed applications of IDEA are uniquely racist and enforces inferiority complexes that degrade life chances</w:t>
      </w:r>
    </w:p>
    <w:p w:rsidR="00BE7197" w:rsidRPr="00400BF2" w:rsidRDefault="00BE7197" w:rsidP="00BE7197">
      <w:r w:rsidRPr="00400BF2">
        <w:rPr>
          <w:rStyle w:val="Style13ptBold"/>
        </w:rPr>
        <w:t>Miles 2016</w:t>
      </w:r>
      <w:r>
        <w:t xml:space="preserve"> - JD Candidate @ Rutgers Law </w:t>
      </w:r>
      <w:r>
        <w:br/>
        <w:t>Alana, "Overrepresentation in Special Education: Does the IDEA Violate the Equal Protection Clause?," 17 Rutgers Race &amp; L. Rev. 245</w:t>
      </w:r>
    </w:p>
    <w:p w:rsidR="00BE7197" w:rsidRDefault="00BE7197" w:rsidP="00BE7197">
      <w:r>
        <w:t xml:space="preserve">"Despite special education policy's original intent as a legacy of Brown and a lever to give disabled students greater educational opportunity, it too has played a role in the insidious process of racial segregation." </w:t>
      </w:r>
      <w:r w:rsidRPr="00BB57F8">
        <w:rPr>
          <w:rStyle w:val="StyleUnderline"/>
        </w:rPr>
        <w:t>n80 The U.S. is faced with a persistent problem of overrepresentation of minorities in special education</w:t>
      </w:r>
      <w:r>
        <w:t xml:space="preserve">. n81 </w:t>
      </w:r>
      <w:r w:rsidRPr="00BB57F8">
        <w:rPr>
          <w:rStyle w:val="StyleUnderline"/>
        </w:rPr>
        <w:t>Overrepresentation occurs when "the percentage of minority students in special education exceeds the percentage of these students in the total population</w:t>
      </w:r>
      <w:r>
        <w:t>." n82 The underlying assumption is that when represented accurately, the proportion of  [*253]  any given minority group should reflect the general population. n83</w:t>
      </w:r>
    </w:p>
    <w:p w:rsidR="00BE7197" w:rsidRDefault="00BE7197" w:rsidP="00BE7197">
      <w:r>
        <w:t xml:space="preserve">Table 1 illustrates this overrepresentation. While Blacks only represent 14.8% of students in general education, they represent more than 20% of students in special education. </w:t>
      </w:r>
    </w:p>
    <w:p w:rsidR="00BE7197" w:rsidRDefault="00BE7197" w:rsidP="00BE7197">
      <w:r w:rsidRPr="00BB57F8">
        <w:rPr>
          <w:rStyle w:val="StyleUnderline"/>
        </w:rPr>
        <w:t>There are many contributors to the overrepresentation of minorities in special education</w:t>
      </w:r>
      <w:r>
        <w:t xml:space="preserve">. </w:t>
      </w:r>
      <w:r w:rsidRPr="00BB57F8">
        <w:rPr>
          <w:rStyle w:val="StyleUnderline"/>
        </w:rPr>
        <w:t>n85 One contributor is poverty</w:t>
      </w:r>
      <w:r>
        <w:t xml:space="preserve">. n86 </w:t>
      </w:r>
      <w:r w:rsidRPr="00BB57F8">
        <w:rPr>
          <w:rStyle w:val="StyleUnderline"/>
        </w:rPr>
        <w:t>Students in poverty are more likely to be subject to the biological, environmental, and social risk factors that threaten "early childhood cognitive and emotional development</w:t>
      </w:r>
      <w:r>
        <w:t xml:space="preserve">, such as low birth weight, poor nutrition, and poor or no healthcare, less stimulating and less stable home environments". n87 </w:t>
      </w:r>
      <w:r w:rsidRPr="00BB57F8">
        <w:rPr>
          <w:rStyle w:val="StyleUnderline"/>
        </w:rPr>
        <w:t>This also includes insufficiently funded schools, and other inferior educational opportunities</w:t>
      </w:r>
      <w:r>
        <w:t>. n88</w:t>
      </w:r>
    </w:p>
    <w:p w:rsidR="00BE7197" w:rsidRDefault="00BE7197" w:rsidP="00BE7197">
      <w:r w:rsidRPr="00BB57F8">
        <w:rPr>
          <w:rStyle w:val="StyleUnderline"/>
        </w:rPr>
        <w:t>Another contributor to the overrepresentation of Black students in special education stems from pedagogy and the impact that it can have on minority students</w:t>
      </w:r>
      <w:r>
        <w:t xml:space="preserve">. n89 For example, most </w:t>
      </w:r>
      <w:r w:rsidRPr="00CE5004">
        <w:rPr>
          <w:rStyle w:val="StyleUnderline"/>
        </w:rPr>
        <w:t>teachers and professionals, who are responsible for</w:t>
      </w:r>
      <w:r>
        <w:t xml:space="preserve"> the special education curriculum, and general </w:t>
      </w:r>
      <w:r w:rsidRPr="00CE5004">
        <w:rPr>
          <w:rStyle w:val="StyleUnderline"/>
        </w:rPr>
        <w:t>education</w:t>
      </w:r>
      <w:r>
        <w:t xml:space="preserve"> as well, </w:t>
      </w:r>
      <w:r w:rsidRPr="00CE5004">
        <w:rPr>
          <w:rStyle w:val="StyleUnderline"/>
        </w:rPr>
        <w:t>are not Black</w:t>
      </w:r>
      <w:r>
        <w:t>. n90 Patton (1998) states, "</w:t>
      </w:r>
      <w:r w:rsidRPr="00CE5004">
        <w:rPr>
          <w:rStyle w:val="StyleUnderline"/>
        </w:rPr>
        <w:t>there exists in special education, a mismatch of chasm proportion between the social, political and cultural</w:t>
      </w:r>
      <w:r>
        <w:t xml:space="preserve">  [*254]  </w:t>
      </w:r>
      <w:r w:rsidRPr="00CE5004">
        <w:rPr>
          <w:rStyle w:val="StyleUnderline"/>
        </w:rPr>
        <w:t>backgrounds and experiences of its knowledge producers and those African-American learners studies, placed and overrepresented in special education classes</w:t>
      </w:r>
      <w:r>
        <w:t xml:space="preserve">". n91 The production of knowledge is far from culture free and when these </w:t>
      </w:r>
      <w:r w:rsidRPr="00CE5004">
        <w:rPr>
          <w:rStyle w:val="StyleUnderline"/>
        </w:rPr>
        <w:t xml:space="preserve">professionals teach and produce curriculum that is shaped by their own understandings </w:t>
      </w:r>
      <w:r>
        <w:t>of what knowledge is, it may clash with the cultural identities and understandings of some students. n92</w:t>
      </w:r>
    </w:p>
    <w:p w:rsidR="00BE7197" w:rsidRDefault="00BE7197" w:rsidP="00BE7197">
      <w:r>
        <w:t xml:space="preserve">In addition, in light of No Child Left Behind n93 and the standardized testing era, </w:t>
      </w:r>
      <w:r w:rsidRPr="00CE5004">
        <w:rPr>
          <w:rStyle w:val="StyleUnderline"/>
        </w:rPr>
        <w:t>many teachers are pressured by their schools to meet these standards in which they actually "leave students behind".</w:t>
      </w:r>
      <w:r>
        <w:t xml:space="preserve"> </w:t>
      </w:r>
      <w:r w:rsidRPr="00CE5004">
        <w:rPr>
          <w:rStyle w:val="StyleUnderline"/>
        </w:rPr>
        <w:t>n94 Educators rely on high stakes testing</w:t>
      </w:r>
      <w:r>
        <w:t>, which are not culturally responsive to Blacks</w:t>
      </w:r>
      <w:r w:rsidRPr="00CE5004">
        <w:rPr>
          <w:rStyle w:val="StyleUnderline"/>
        </w:rPr>
        <w:t>, as a vehicle for accountability</w:t>
      </w:r>
      <w:r>
        <w:t xml:space="preserve">. n95 </w:t>
      </w:r>
      <w:r w:rsidRPr="00CE5004">
        <w:rPr>
          <w:rStyle w:val="StyleUnderline"/>
        </w:rPr>
        <w:t>This contributes to overrepresentation because it influences teachers to steer students into special education who are not meeting these standards in an effort to escape the pressures of these rigors</w:t>
      </w:r>
      <w:r>
        <w:t xml:space="preserve">. n96 Teacher perception and expectation of their students' abilities also contributes to this overrepresentation. </w:t>
      </w:r>
      <w:r w:rsidRPr="00CE5004">
        <w:rPr>
          <w:rStyle w:val="StyleUnderline"/>
        </w:rPr>
        <w:t>n97 The fact that minority students are underperforming on standardized tests can foster the belief that they are incapable</w:t>
      </w:r>
      <w:r>
        <w:t>. n98 In psychologist Kenneth Clark's 1963 "doll test" experiment n99 he explained, "</w:t>
      </w:r>
      <w:r w:rsidRPr="00CE5004">
        <w:rPr>
          <w:rStyle w:val="StyleUnderline"/>
        </w:rPr>
        <w:t>as minority-group children learn the inferior status to which they are assigned and observe that they are usually segregated and isolated from the more privileged members of their society, they react with deep feelings of</w:t>
      </w:r>
      <w:r>
        <w:t xml:space="preserve">  [*255]  </w:t>
      </w:r>
      <w:r w:rsidRPr="00CE5004">
        <w:rPr>
          <w:rStyle w:val="StyleUnderline"/>
        </w:rPr>
        <w:t>inferiority and with a sense of personal humiliation."</w:t>
      </w:r>
      <w:r>
        <w:t xml:space="preserve"> n100 This experiment became the social science basis for Brown v. Board (1954). n101</w:t>
      </w:r>
    </w:p>
    <w:p w:rsidR="00BE7197" w:rsidRDefault="00BE7197" w:rsidP="00BE7197">
      <w:r w:rsidRPr="00CE5004">
        <w:rPr>
          <w:rStyle w:val="StyleUnderline"/>
        </w:rPr>
        <w:t xml:space="preserve">These </w:t>
      </w:r>
      <w:r>
        <w:t xml:space="preserve">alarming </w:t>
      </w:r>
      <w:r w:rsidRPr="00CE5004">
        <w:rPr>
          <w:rStyle w:val="StyleUnderline"/>
        </w:rPr>
        <w:t>statistics</w:t>
      </w:r>
      <w:r>
        <w:t xml:space="preserve"> and findings, depicting significant overrepresentation of minorities identified for special education</w:t>
      </w:r>
      <w:r w:rsidRPr="00CE5004">
        <w:rPr>
          <w:rStyle w:val="StyleUnderline"/>
        </w:rPr>
        <w:t>, suggest that minority students are often misdiagnosed and inappropriately labeled, resulting in a denial of educational opportunities</w:t>
      </w:r>
      <w:r>
        <w:t xml:space="preserve">. n102 </w:t>
      </w:r>
      <w:r w:rsidRPr="00CE5004">
        <w:rPr>
          <w:rStyle w:val="StyleUnderline"/>
        </w:rPr>
        <w:t>The segregation of Blacks in special education in separate classrooms is tantamount to the experience of Black students in Brown.</w:t>
      </w:r>
      <w:r>
        <w:t xml:space="preserve"> In Brown, Justice Warren expressed that this segregation creates "a feeling of inferiority as to their status in the community that may affect their hearts and minds in a way very unlikely ever to be undone." n103 This sense of inferiority "affects the motivation of a child to learn". n104 </w:t>
      </w:r>
      <w:r w:rsidRPr="00CE5004">
        <w:rPr>
          <w:rStyle w:val="StyleUnderline"/>
        </w:rPr>
        <w:t>When a child's desire to learn is tarnished we have subverted the promise of Brown</w:t>
      </w:r>
      <w:r>
        <w:t>.</w:t>
      </w:r>
    </w:p>
    <w:p w:rsidR="00BE7197" w:rsidRDefault="00BE7197" w:rsidP="00BE7197">
      <w:pPr>
        <w:pStyle w:val="Heading4"/>
      </w:pPr>
      <w:r>
        <w:t>This is especially true in the instance of charter schools which are designed to exclude students with disabilities despite being the place of last resort for many families</w:t>
      </w:r>
      <w:r w:rsidR="00D4223A">
        <w:t>, instead they are treated in embarrassing fashion or not admitted out of principle</w:t>
      </w:r>
    </w:p>
    <w:p w:rsidR="00BE7197" w:rsidRDefault="00BE7197" w:rsidP="00BE7197">
      <w:proofErr w:type="spellStart"/>
      <w:r w:rsidRPr="000D20B3">
        <w:rPr>
          <w:rStyle w:val="Style13ptBold"/>
        </w:rPr>
        <w:t>Wieselthier</w:t>
      </w:r>
      <w:proofErr w:type="spellEnd"/>
      <w:r w:rsidRPr="000D20B3">
        <w:rPr>
          <w:rStyle w:val="Style13ptBold"/>
        </w:rPr>
        <w:t xml:space="preserve"> 2013</w:t>
      </w:r>
      <w:r>
        <w:t xml:space="preserve"> - 2012 magna cum laude grad of Ho</w:t>
      </w:r>
      <w:r w:rsidR="00D4223A">
        <w:t>f</w:t>
      </w:r>
      <w:r>
        <w:t xml:space="preserve">stra Law </w:t>
      </w:r>
      <w:r>
        <w:br/>
        <w:t>Sarah, "Judicial Clarity: Giving Teeth to the Application of Federal Disability Laws in Charter Schools," 2013 BYU Educ. &amp; L. J. 67</w:t>
      </w:r>
    </w:p>
    <w:p w:rsidR="00BE7197" w:rsidRDefault="00BE7197" w:rsidP="00BE7197">
      <w:r w:rsidRPr="00DF3B44">
        <w:rPr>
          <w:rStyle w:val="StyleUnderline"/>
        </w:rPr>
        <w:t xml:space="preserve">Despite federal mandates to provide educational opportunities to students with disabilities, charter schools have struggled with compliance. </w:t>
      </w:r>
      <w:r>
        <w:t xml:space="preserve">n67 The underlying foundation of the IDEA was to provide students with disabilities access to a public education - something that they were routinely denied before federal legislation was enacted. n68 However, </w:t>
      </w:r>
      <w:r w:rsidRPr="00DF3B44">
        <w:rPr>
          <w:rStyle w:val="StyleUnderline"/>
        </w:rPr>
        <w:t>many charter schools have succumbed to the discriminatory practices of denying enrollment to students with disabilities</w:t>
      </w:r>
      <w:r>
        <w:t xml:space="preserve">, counseling students with disabilities to leave the school, and failing to provide students with special education and related services. n69 </w:t>
      </w:r>
      <w:r w:rsidRPr="00DF3B44">
        <w:rPr>
          <w:rStyle w:val="StyleUnderline"/>
        </w:rPr>
        <w:t>This is particularly frustrating because approximately 50% of parents of students with disabilities specifically enroll their children in charter schools because of dissatisfaction with special education  [</w:t>
      </w:r>
      <w:r>
        <w:t xml:space="preserve">*78]  </w:t>
      </w:r>
      <w:r w:rsidRPr="00DF3B44">
        <w:rPr>
          <w:rStyle w:val="StyleUnderline"/>
        </w:rPr>
        <w:t>services in the traditional public school setting</w:t>
      </w:r>
      <w:r>
        <w:t>. n70 Most of the noncompliant charter schools have not sought to violate the federal laws protecting students with disabilities or to discriminate against them; they simply do not have the resources to adequately perform their obligations under the laws and provide the special education and related services required. n71</w:t>
      </w:r>
    </w:p>
    <w:p w:rsidR="00BE7197" w:rsidRDefault="00BE7197" w:rsidP="00BE7197">
      <w:r>
        <w:t>A. Tension Between Charter School Philosophy and Federal Mandates</w:t>
      </w:r>
    </w:p>
    <w:p w:rsidR="00BE7197" w:rsidRDefault="00BE7197" w:rsidP="00BE7197">
      <w:r>
        <w:t xml:space="preserve"> Charter schools operate with flexibility and a lack of regulation in order to foster an innovative and successful learning environment. n72 In stark contrast, charter schools are bound by the rigid requirements of the IDEA, Section 504, and the ADA. n73 This tension is apparent in many areas, including student discipline, placement, and enrollment.</w:t>
      </w:r>
    </w:p>
    <w:p w:rsidR="00BE7197" w:rsidRDefault="00BE7197" w:rsidP="00BE7197">
      <w:r>
        <w:t>The IDEA sets forth specific guidelines for disciplining students with disabilities</w:t>
      </w:r>
      <w:r w:rsidRPr="00DF3B44">
        <w:rPr>
          <w:rStyle w:val="StyleUnderline"/>
        </w:rPr>
        <w:t>. A student classified under the IDEA cannot be removed from his or her placement for more than ten school days per school year, and any long-term suspension must first be reviewed in a manifestation determination hearing because students cannot be punished for manifestations of their disability.</w:t>
      </w:r>
      <w:r>
        <w:t xml:space="preserve"> n74 </w:t>
      </w:r>
      <w:r w:rsidRPr="00DF3B44">
        <w:rPr>
          <w:rStyle w:val="StyleUnderline"/>
        </w:rPr>
        <w:t>These requirements often conflict with a charter school's philosophy on discipline</w:t>
      </w:r>
      <w:r>
        <w:t xml:space="preserve">. For example, </w:t>
      </w:r>
      <w:r w:rsidRPr="00DF3B44">
        <w:rPr>
          <w:rStyle w:val="StyleUnderline"/>
        </w:rPr>
        <w:t>at KIPP Academy Houston, students who misbehave are required to stand on the "Porch," are prohibited from socially interacting with anyone except adults, and must wear their uniforms inside out.</w:t>
      </w:r>
      <w:r>
        <w:t xml:space="preserve"> n75 In order to work their way off the Porch, students must exhibit good behavior, perform community service, apologize, and set personal goals. n76 At Roxbury Preparatory Charter School, students will receive demerits for conduct violations such as misbehaving on the school bus, failing to remain silent and walk in lines in the hallway, disrupting class, or being disrespectful. n77 </w:t>
      </w:r>
      <w:r w:rsidRPr="00DF3B44">
        <w:rPr>
          <w:rStyle w:val="StyleUnderline"/>
        </w:rPr>
        <w:t>For</w:t>
      </w:r>
      <w:r>
        <w:t xml:space="preserve">  [*79]  </w:t>
      </w:r>
      <w:r w:rsidRPr="00DF3B44">
        <w:rPr>
          <w:rStyle w:val="StyleUnderline"/>
        </w:rPr>
        <w:t xml:space="preserve">students with certain disabilities, especially those with behavioral issues, complying with the school's strict code of conduct without support can be a challenge, and </w:t>
      </w:r>
      <w:r w:rsidRPr="00DF3B44">
        <w:rPr>
          <w:rStyle w:val="Emphasis"/>
        </w:rPr>
        <w:t>the punishment may violate the IDEA if there is no review process in place to determine whether the conduct was a manifestation of the student's disability</w:t>
      </w:r>
      <w:r>
        <w:t>. n78</w:t>
      </w:r>
    </w:p>
    <w:p w:rsidR="00BE7197" w:rsidRDefault="00BE7197" w:rsidP="00BE7197">
      <w:r>
        <w:t xml:space="preserve">Another tension lies in the environment in which students with special needs are educated. </w:t>
      </w:r>
      <w:r w:rsidRPr="00DF3B44">
        <w:rPr>
          <w:rStyle w:val="StyleUnderline"/>
        </w:rPr>
        <w:t>The IDEA requires students with disabilities be educated in the least restrictive environment ("LRE").</w:t>
      </w:r>
      <w:r>
        <w:t xml:space="preserve"> n79 This means that, </w:t>
      </w:r>
      <w:r w:rsidRPr="00DF3B44">
        <w:rPr>
          <w:rStyle w:val="StyleUnderline"/>
        </w:rPr>
        <w:t>"to the maximum extent appropriate, children with disabilities ... are educated with children who are not disabled</w:t>
      </w:r>
      <w:r>
        <w:t xml:space="preserve"> ... ." n80 Many charter schools have the goal of serving students with disabilities in inclusive environments - in a general education classroom rather than in a separate special education classroom, for example. n81 Research has shown that charter schools serve a significantly higher percentage of students exclusively in the general education classroom than traditional public schools, suggesting that charter schools heavily rely on mainstreaming their special education students. n82 However, </w:t>
      </w:r>
      <w:r w:rsidRPr="00DF3B44">
        <w:rPr>
          <w:rStyle w:val="StyleUnderline"/>
        </w:rPr>
        <w:t xml:space="preserve">because "the goal is to serve special needs students in the [LRE] that best promotes their learning," mainstreaming may only be appropriate for certain students to receive a FAPE. </w:t>
      </w:r>
      <w:r>
        <w:t>n83 Additionally, in order to determine the LRE for an individual student with a disability, schools are required to provide a continuum of alternate placements, such as general inclusion, partial inclusion, or placement in a separate special education class. n84 Providing the continuum can be challenging for charter schools that operate with low budgets, limited staff, nominal  [*80]  building space, and a small student population.</w:t>
      </w:r>
    </w:p>
    <w:p w:rsidR="00BE7197" w:rsidRDefault="00BE7197" w:rsidP="00BE7197">
      <w:r>
        <w:t>In terms of enrollment, charter schools are required to admit all students who apply; if supply exceeds demand, a lottery is used to determine admission. n85 Legally, a student's disability cannot be a factor in the selection process. n86 However, charter schools do consider a student's disability - they do not want to enroll a student that will be expensive or difficult to educate or perhaps they do not have the appropriate personnel or resources available to support the student's needs. n87 This is supported by the questions on charter school applications seeking information that would reveal the applicant's disabilities. Additionally, statistics show that charter schools educate significantly fewer students with disabilities than traditional public schools, especially when it comes to students with severe disabilities. n88 Thus, another tension lies in a charter school's compliance with Section 504 and the ADA's equal access requirements and its desire to exclude those students for whom it believes it cannot provide an appropriate education.</w:t>
      </w:r>
    </w:p>
    <w:p w:rsidR="00BE7197" w:rsidRDefault="00BE7197" w:rsidP="00BE7197">
      <w:r>
        <w:t>To further complicate matters, "</w:t>
      </w:r>
      <w:r w:rsidRPr="00D4223A">
        <w:rPr>
          <w:rStyle w:val="StyleUnderline"/>
        </w:rPr>
        <w:t>the very population that tends to be most in conflict with the ideals on which charter schools are based is one of the very populations that could most benefit from the  [*81]  choice of a charter school</w:t>
      </w:r>
      <w:r>
        <w:t xml:space="preserve">." </w:t>
      </w:r>
      <w:r w:rsidRPr="00D4223A">
        <w:rPr>
          <w:rStyle w:val="StyleUnderline"/>
        </w:rPr>
        <w:t>n89 The ability for charter schools to be creative and experiment with innovative methods to educate students with disabilities can be invaluable for those students who have been unable to progress academically and receive a meaningful benefit from their education in traditional public schoo</w:t>
      </w:r>
      <w:r>
        <w:t>ls. n90 Additionally, students with disabilities cannot be denied access to a type of public education that is available to their peers. n91</w:t>
      </w:r>
    </w:p>
    <w:p w:rsidR="00BE7197" w:rsidRDefault="00BE7197" w:rsidP="00BE7197">
      <w:r>
        <w:t>Some have postulated "that ensuring that charter schools grant access and provide adequate services to all students, including students with disabilities, is a critical component of fulfilling the overall goal of the charter concept." n92 In the process of fulfilling this goal, charter schools cannot ignore their obligations under federal law. n93</w:t>
      </w:r>
    </w:p>
    <w:p w:rsidR="008C37F9" w:rsidRDefault="008C37F9" w:rsidP="008C37F9">
      <w:pPr>
        <w:pStyle w:val="Heading4"/>
      </w:pPr>
      <w:r>
        <w:t xml:space="preserve">Courts evaluate the “educational needs” of students through a medical model—only once the courts force schools to recognize their responsibility in aiding students with needs can this practice end </w:t>
      </w:r>
    </w:p>
    <w:p w:rsidR="008C37F9" w:rsidRPr="009B348A" w:rsidRDefault="008C37F9" w:rsidP="008C37F9">
      <w:proofErr w:type="spellStart"/>
      <w:r w:rsidRPr="009B348A">
        <w:rPr>
          <w:rStyle w:val="Style13ptBold"/>
        </w:rPr>
        <w:t>Golembiewski</w:t>
      </w:r>
      <w:proofErr w:type="spellEnd"/>
      <w:r w:rsidRPr="009B348A">
        <w:rPr>
          <w:rStyle w:val="Style13ptBold"/>
        </w:rPr>
        <w:t xml:space="preserve"> 2016</w:t>
      </w:r>
      <w:r w:rsidRPr="009B348A">
        <w:t xml:space="preserve"> - Law Clerk to the Honorable Charles R. Wilson, U.S. Court of Appeals for the Eleventh Circuit </w:t>
      </w:r>
      <w:r>
        <w:br/>
      </w:r>
      <w:r w:rsidRPr="009B348A">
        <w:t>Kevin, “DISPARATE TREATMENT AND LOST OPPORTUNITY: COURTS' APPROACH TO STUDENTS WITH MENTAL HEALTH DISABILITIES UNDER THE IDEA," 88 Temp. L. Rev. 473</w:t>
      </w:r>
    </w:p>
    <w:p w:rsidR="008C37F9" w:rsidRDefault="008C37F9" w:rsidP="008C37F9">
      <w:r>
        <w:t xml:space="preserve">Given that the IDEA clearly provides for a broad interpretation of "educational," the narrow approach to this term adopted by a large portion of the judiciary does not appear to be driven solely by legal considerations. A review of the relevant case law suggests that this approach can be explained, in part, by the medical model of disability and attribution theory. n171 </w:t>
      </w:r>
      <w:r w:rsidRPr="00A75425">
        <w:rPr>
          <w:rStyle w:val="StyleUnderline"/>
        </w:rPr>
        <w:t>Many courts</w:t>
      </w:r>
      <w:r>
        <w:t xml:space="preserve">  [*499]  </w:t>
      </w:r>
      <w:r w:rsidRPr="00A75425">
        <w:rPr>
          <w:rStyle w:val="StyleUnderline"/>
        </w:rPr>
        <w:t xml:space="preserve">narrowly defining "educational" tend to </w:t>
      </w:r>
      <w:r>
        <w:t xml:space="preserve">(1) </w:t>
      </w:r>
      <w:r w:rsidRPr="00A75425">
        <w:rPr>
          <w:rStyle w:val="StyleUnderline"/>
        </w:rPr>
        <w:t>view mental health issues through the lens of the medical model of disability, or</w:t>
      </w:r>
      <w:r>
        <w:t xml:space="preserve"> (2) </w:t>
      </w:r>
      <w:r w:rsidRPr="00A75425">
        <w:rPr>
          <w:rStyle w:val="StyleUnderline"/>
        </w:rPr>
        <w:t>attribute the effects of mental health issues to character flaws rather than a disability</w:t>
      </w:r>
      <w:r>
        <w:t>. n172</w:t>
      </w:r>
    </w:p>
    <w:p w:rsidR="008C37F9" w:rsidRDefault="008C37F9" w:rsidP="008C37F9">
      <w:r>
        <w:t>A. Courts and the Medical Model of Disability</w:t>
      </w:r>
    </w:p>
    <w:p w:rsidR="008C37F9" w:rsidRDefault="008C37F9" w:rsidP="008C37F9">
      <w:r w:rsidRPr="00A75425">
        <w:rPr>
          <w:rStyle w:val="StyleUnderline"/>
        </w:rPr>
        <w:t>Whereas disabilities are impairments that our laws seek to accommodate and remediate, medical conditions</w:t>
      </w:r>
      <w:r>
        <w:t xml:space="preserve"> (i.e., sicknesses) </w:t>
      </w:r>
      <w:r w:rsidRPr="00A75425">
        <w:rPr>
          <w:rStyle w:val="StyleUnderline"/>
        </w:rPr>
        <w:t>are pathologies that are to be treated. The educational system is an institution that is meant to remediate skills deficits, not provide interventions geared toward healing sicknes</w:t>
      </w:r>
      <w:r>
        <w:t xml:space="preserve">s. Therefore, </w:t>
      </w:r>
      <w:r w:rsidRPr="00A75425">
        <w:rPr>
          <w:rStyle w:val="StyleUnderline"/>
        </w:rPr>
        <w:t>viewing mental health issues through the medical model of disability leads to the conclusion that school districts are not responsible for addressing those issues</w:t>
      </w:r>
      <w:r>
        <w:t>. A number of cases demonstrate the tendency of courts to approach the plight of students with mental health issues through the medical model of disability. n173 This tendency appears to play a significant role in the differential treatment experienced by students with mental health disabilities under the IDEA.</w:t>
      </w:r>
    </w:p>
    <w:p w:rsidR="008C37F9" w:rsidRDefault="008C37F9" w:rsidP="008C37F9">
      <w:r>
        <w:t>In cases addressing tuition reimbursement for mental health-related private placements, courts often explicitly define mental health needs as medical in nature. For example, in Munir, the Third Circuit stated:</w:t>
      </w:r>
    </w:p>
    <w:p w:rsidR="008C37F9" w:rsidRDefault="008C37F9" w:rsidP="008C37F9">
      <w:r>
        <w:t>The relevant question, however, is whether [the student] had to attend a residential facility because of his educational needs - because, for  [*500]  example, he would have been incapable of learning in a less structured environment - or rather, if he required residential placement to treat medical or mental health needs segregable from his educational needs. n174</w:t>
      </w:r>
    </w:p>
    <w:p w:rsidR="008C37F9" w:rsidRDefault="008C37F9" w:rsidP="008C37F9">
      <w:r>
        <w:t xml:space="preserve"> Hence, </w:t>
      </w:r>
      <w:r w:rsidRPr="00A75425">
        <w:rPr>
          <w:rStyle w:val="StyleUnderline"/>
        </w:rPr>
        <w:t>the court differentiated mental health needs from needs related to other types of disabilities by framing mental health issues as medical problems and asserting those issues require treatment as opposed to accommodation</w:t>
      </w:r>
      <w:r>
        <w:t xml:space="preserve">. In contrast, </w:t>
      </w:r>
      <w:r w:rsidRPr="00A75425">
        <w:rPr>
          <w:rStyle w:val="StyleUnderline"/>
        </w:rPr>
        <w:t>the court approached other types of disabilities through the social model of disability, framing them as "educational needs" that require accommodation, such as a more structured learning environment.</w:t>
      </w:r>
      <w:r>
        <w:t xml:space="preserve"> n175 Given the court's conclusion that mental health needs are medical needs, its decision to deny the parents' claim for tuition reimbursement was a fait accompli; n176 </w:t>
      </w:r>
      <w:r w:rsidRPr="00A75425">
        <w:rPr>
          <w:rStyle w:val="StyleUnderline"/>
        </w:rPr>
        <w:t>the medical profession, rather than the education system, is responsible for addressing pathology</w:t>
      </w:r>
      <w:r>
        <w:t>.</w:t>
      </w:r>
    </w:p>
    <w:p w:rsidR="008C37F9" w:rsidRDefault="008C37F9" w:rsidP="008C37F9">
      <w:r>
        <w:t>The court's approach in Munir was influenced by an earlier Third Circuit tuition reimbursement case, Mary T. v. School District of Philadelphia, n177 in which the court likewise found that reimbursement was not warranted for the student's placement at a mental health facility. As in Munir, the court's language and analysis demonstrate that (1) it viewed the student's mental health disabilities through the medical model of disability and (2) this approach significantly affected its decision.</w:t>
      </w:r>
    </w:p>
    <w:p w:rsidR="008C37F9" w:rsidRDefault="008C37F9" w:rsidP="008C37F9">
      <w:r>
        <w:t>The student in Mary T. had learning disabilities, speech and language impairment, attention deficit hyperactivity disorder (ADHD), and "other mental health disorders." n178 Demonstrating a "medical model" perspective, the court repeatedly referred to the student's mental health issues as her "medical condition." n179 It also equated mental health disabilities to spinal cord injuries and other archetypal medical issues. n180</w:t>
      </w:r>
    </w:p>
    <w:p w:rsidR="008C37F9" w:rsidRDefault="008C37F9" w:rsidP="008C37F9">
      <w:r>
        <w:t>The Mary T. court's approach to the services provided by the student's placement illustrate how the court's adoption of the medical model impacted its decision. According to the court:</w:t>
      </w:r>
    </w:p>
    <w:p w:rsidR="008C37F9" w:rsidRDefault="008C37F9" w:rsidP="008C37F9">
      <w:r>
        <w:t xml:space="preserve"> [The student]'s behavioral therapist ... testified that [the student] was enrolled in the "mood disorders group, the psychotic disorders group, medication and psychoeducational group, anxiety disorders group, psychological skills group, life skills training group, and medication  [*501]  group." When asked the purpose of these groups, the therapist responded: "[The student] will learn skills that will help with those specific areas. If [she] is having depressive symptoms it will teach her coping skills to work with her depression and anxiety." For instance, the psychotic disorders group provided group therapy where the members talked about how psychotic thoughts affect their daily lives and the psychological skills group taught techniques for anger control and managing other emotions. n181</w:t>
      </w:r>
    </w:p>
    <w:p w:rsidR="008C37F9" w:rsidRPr="00A75425" w:rsidRDefault="008C37F9" w:rsidP="008C37F9">
      <w:pPr>
        <w:rPr>
          <w:rStyle w:val="StyleUnderline"/>
        </w:rPr>
      </w:pPr>
      <w:r w:rsidRPr="00A75425">
        <w:rPr>
          <w:rStyle w:val="StyleUnderline"/>
        </w:rPr>
        <w:t xml:space="preserve"> Although these various services were designed to teach the student skills needed for self-sufficiency, the court characterized the services as noneducational</w:t>
      </w:r>
      <w:r>
        <w:t xml:space="preserve">. Specifically, </w:t>
      </w:r>
      <w:r w:rsidRPr="00A75425">
        <w:rPr>
          <w:rStyle w:val="StyleUnderline"/>
        </w:rPr>
        <w:t>the court framed the student's instruction in coping skills, anger control, and life skills as medical in nature because such instruction was a response to the student's "medical condition."</w:t>
      </w:r>
      <w:r>
        <w:t xml:space="preserve"> n182 In turn, </w:t>
      </w:r>
      <w:r w:rsidRPr="00A75425">
        <w:rPr>
          <w:rStyle w:val="StyleUnderline"/>
        </w:rPr>
        <w:t>the court concluded that the student's program was not for educational purposes and did not qualify for reimbursement</w:t>
      </w:r>
      <w:r>
        <w:t xml:space="preserve">. Thus, </w:t>
      </w:r>
      <w:r w:rsidRPr="00A75425">
        <w:rPr>
          <w:rStyle w:val="StyleUnderline"/>
        </w:rPr>
        <w:t>the court applied a circular logic driven by its initial labeling of mental health issues as medical conditions;</w:t>
      </w:r>
      <w:r>
        <w:t xml:space="preserve"> according to the court, </w:t>
      </w:r>
      <w:r w:rsidRPr="00A75425">
        <w:rPr>
          <w:rStyle w:val="StyleUnderline"/>
        </w:rPr>
        <w:t>interventions in response to a mental health need are de facto medical services because a mental health need is a medical condition.</w:t>
      </w:r>
    </w:p>
    <w:p w:rsidR="008C37F9" w:rsidRDefault="008C37F9" w:rsidP="008C37F9">
      <w:r w:rsidRPr="00A75425">
        <w:rPr>
          <w:rStyle w:val="StyleUnderline"/>
        </w:rPr>
        <w:t>In the context of the IDEA, this tendency to distinguish mental health issues from other types of disabilities by characterizing mental health as a medical problem is misguided</w:t>
      </w:r>
      <w:r>
        <w:t xml:space="preserve">. Analytically, </w:t>
      </w:r>
      <w:r w:rsidRPr="00A75425">
        <w:rPr>
          <w:rStyle w:val="StyleUnderline"/>
        </w:rPr>
        <w:t>socio-emotional disabilities are no different than a number of disabilities that courts routinely view as "educational" in nature. The effects of ADHD</w:t>
      </w:r>
      <w:r>
        <w:t xml:space="preserve">, for example, </w:t>
      </w:r>
      <w:r w:rsidRPr="00A75425">
        <w:rPr>
          <w:rStyle w:val="StyleUnderline"/>
        </w:rPr>
        <w:t>often must be treated with medication as well as school-based interventions</w:t>
      </w:r>
      <w:r>
        <w:t xml:space="preserve">, n183 such as small class sizes, preferential seating, and repetitive directions. Likewise, the effects of depression often must be remediated with both types of interventions. n184 In addition to antidepressants, students with depression might need specialized instruction to develop coping skills and may also need to be provided opportunities to participate in high-interest activities that help motivate them in the school setting. n185 Nevertheless, </w:t>
      </w:r>
      <w:r w:rsidRPr="00A75425">
        <w:rPr>
          <w:rStyle w:val="StyleUnderline"/>
        </w:rPr>
        <w:t>despite the similarities between ADHD and depression, many courts view the former as a disability that school districts should accommodate and the latter as a sickness or condition that warrants solely medical treatment</w:t>
      </w:r>
      <w:r>
        <w:t xml:space="preserve">. n186 As illustrated by Munir and Mary T., this flawed distinction denies students with mental health issues the same protections afforded to students with other types of disabilities. </w:t>
      </w:r>
    </w:p>
    <w:p w:rsidR="005B4329" w:rsidRPr="00605B60" w:rsidRDefault="00CA5D7A" w:rsidP="005B4329">
      <w:pPr>
        <w:pStyle w:val="Heading4"/>
      </w:pPr>
      <w:r>
        <w:t xml:space="preserve">By requiring schools to address the needs of students with disabilities, the plan provides students with the tools necessary to maximize their school experience </w:t>
      </w:r>
    </w:p>
    <w:p w:rsidR="005B4329" w:rsidRPr="009B348A" w:rsidRDefault="005B4329" w:rsidP="005B4329">
      <w:proofErr w:type="spellStart"/>
      <w:r w:rsidRPr="009B348A">
        <w:rPr>
          <w:rStyle w:val="Style13ptBold"/>
        </w:rPr>
        <w:t>Golembiewski</w:t>
      </w:r>
      <w:proofErr w:type="spellEnd"/>
      <w:r w:rsidRPr="009B348A">
        <w:rPr>
          <w:rStyle w:val="Style13ptBold"/>
        </w:rPr>
        <w:t xml:space="preserve"> 2016</w:t>
      </w:r>
      <w:r w:rsidRPr="009B348A">
        <w:t xml:space="preserve"> - Law Clerk to the Honorable Charles R. Wilson, U.S. Court of Appeals for the Eleventh Circuit </w:t>
      </w:r>
      <w:r>
        <w:br/>
      </w:r>
      <w:r w:rsidRPr="009B348A">
        <w:t>Kevin, “DISPARATE TREATMENT AND LOST OPPORTUNITY: COURTS' APPROACH TO STUDENTS WITH MENTAL HEALTH DISABILITIES UNDER THE IDEA," 88 Temp. L. Rev. 473</w:t>
      </w:r>
    </w:p>
    <w:p w:rsidR="005B4329" w:rsidRDefault="005B4329" w:rsidP="005B4329">
      <w:r w:rsidRPr="005B4329">
        <w:rPr>
          <w:rStyle w:val="StyleUnderline"/>
        </w:rPr>
        <w:t>Courts' approach to students with mental health disabilities under the IDEA is not only legally flawed - it is also extremely troubling from a policy perspective</w:t>
      </w:r>
      <w:r>
        <w:t xml:space="preserve">. n194 The </w:t>
      </w:r>
      <w:r w:rsidRPr="005B4329">
        <w:rPr>
          <w:rStyle w:val="StyleUnderline"/>
        </w:rPr>
        <w:t>IDEA provides a legal framework and resources that can leverage the unique position of schools to greatly bolster our efforts to identify and address mental health issues</w:t>
      </w:r>
      <w:r>
        <w:t xml:space="preserve">. n195 </w:t>
      </w:r>
      <w:r w:rsidRPr="005B4329">
        <w:rPr>
          <w:rStyle w:val="StyleUnderline"/>
        </w:rPr>
        <w:t>As a result of their institutional expertise and daily contact with children, schools are well positioned to identify mental health issues early in a child's life and provide the supports necessary</w:t>
      </w:r>
      <w:r>
        <w:t xml:space="preserve"> to prevent those issues from escalating. n196 </w:t>
      </w:r>
      <w:r w:rsidRPr="005B4329">
        <w:rPr>
          <w:rStyle w:val="StyleUnderline"/>
        </w:rPr>
        <w:t>Schools' capacity for such intervention is particularly valuable given that early identification can sharply improve the individual outcomes</w:t>
      </w:r>
      <w:r>
        <w:t xml:space="preserve"> of those with mental health disabilities. n197 The legal infrastructure and resources offered by the IDEA have the capability to  [*504]  capitalize on these strengths and transform schools into powerful forces for addressing mental health issues. However, </w:t>
      </w:r>
      <w:r w:rsidRPr="005B4329">
        <w:rPr>
          <w:rStyle w:val="StyleUnderline"/>
        </w:rPr>
        <w:t>due to the differential treatment that students with mental health disabilities experience under the IDEA, we have largely failed to realize this opportunity</w:t>
      </w:r>
      <w:r>
        <w:t>.</w:t>
      </w:r>
    </w:p>
    <w:p w:rsidR="005B4329" w:rsidRPr="005B4329" w:rsidRDefault="005B4329" w:rsidP="005B4329">
      <w:pPr>
        <w:rPr>
          <w:rStyle w:val="StyleUnderline"/>
        </w:rPr>
      </w:pPr>
      <w:r>
        <w:t xml:space="preserve">The steps required to successfully address a child's mental health issues include detection of the issues, "comprehensive assessment and evaluation," identification, "recommendation for target interventions," and providing recommended interventions. n198 Significantly, </w:t>
      </w:r>
      <w:r w:rsidRPr="005B4329">
        <w:rPr>
          <w:rStyle w:val="StyleUnderline"/>
        </w:rPr>
        <w:t>the IDEA has already established a legal framework that schools can rely on to carry out each of these steps.</w:t>
      </w:r>
    </w:p>
    <w:p w:rsidR="005B4329" w:rsidRDefault="005B4329" w:rsidP="005B4329">
      <w:r>
        <w:t xml:space="preserve">First, the </w:t>
      </w:r>
      <w:r w:rsidRPr="005B4329">
        <w:rPr>
          <w:rStyle w:val="StyleUnderline"/>
        </w:rPr>
        <w:t>IDEA places an obligation on school districts to engage in "child find" efforts</w:t>
      </w:r>
      <w:r>
        <w:t xml:space="preserve">. n199 In order to receive federal funding under the IDEA, states must have in place a plan to "identify, locate[], and evaluate[]" all children who have a disability. n200 </w:t>
      </w:r>
      <w:r w:rsidRPr="005B4329">
        <w:rPr>
          <w:rStyle w:val="StyleUnderline"/>
        </w:rPr>
        <w:t>As a result of this mandate, states have developed broad networks, which include healthcare providers, childcare providers, and school officials</w:t>
      </w:r>
      <w:r>
        <w:t xml:space="preserve"> - including school psychologists and guidance counselors - </w:t>
      </w:r>
      <w:r w:rsidRPr="005B4329">
        <w:rPr>
          <w:rStyle w:val="StyleUnderline"/>
        </w:rPr>
        <w:t>to assist in identifying students with disabilities</w:t>
      </w:r>
      <w:r>
        <w:t>. n201</w:t>
      </w:r>
    </w:p>
    <w:p w:rsidR="005B4329" w:rsidRDefault="005B4329" w:rsidP="005B4329">
      <w:r>
        <w:t xml:space="preserve">Second, once a student is identified as potentially disabled, the state or school district must evaluate her in "all areas related to the suspected disability, including ... social and emotional status." n202 Hence, </w:t>
      </w:r>
      <w:r w:rsidRPr="005B4329">
        <w:rPr>
          <w:rStyle w:val="StyleUnderline"/>
        </w:rPr>
        <w:t>states and school districts must ensure school personnel, such as school psychologists, are trained in and have access to various assessments used to determine whether a student has a mental health disability</w:t>
      </w:r>
      <w:r>
        <w:t>.</w:t>
      </w:r>
    </w:p>
    <w:p w:rsidR="005B4329" w:rsidRDefault="005B4329" w:rsidP="005B4329">
      <w:r>
        <w:t xml:space="preserve">Third, as part of the evaluation process, </w:t>
      </w:r>
      <w:r w:rsidRPr="005B4329">
        <w:rPr>
          <w:rStyle w:val="StyleUnderline"/>
        </w:rPr>
        <w:t>the student's "evaluation team" must determine the special education services that the student needs to make educational progress</w:t>
      </w:r>
      <w:r>
        <w:t>. n203 As discussed above, these services may include psychological and counseling services, as well as behavioral interventions. n204</w:t>
      </w:r>
    </w:p>
    <w:p w:rsidR="005B4329" w:rsidRDefault="005B4329" w:rsidP="005B4329">
      <w:r>
        <w:t xml:space="preserve">Because this three-part framework closely tracks the steps required to effectively address mental health issues, </w:t>
      </w:r>
      <w:r w:rsidRPr="005B4329">
        <w:rPr>
          <w:rStyle w:val="StyleUnderline"/>
        </w:rPr>
        <w:t>schools - through the IDEA - have the legal infrastructure and guidance needed to transform their unique position in the lives of children into a potent force for improving the outcomes of students with mental health disabilities</w:t>
      </w:r>
      <w:r>
        <w:t>.</w:t>
      </w:r>
    </w:p>
    <w:p w:rsidR="005B4329" w:rsidRDefault="005B4329" w:rsidP="005B4329">
      <w:r>
        <w:t xml:space="preserve">But, perhaps </w:t>
      </w:r>
      <w:r w:rsidRPr="005B4329">
        <w:rPr>
          <w:rStyle w:val="StyleUnderline"/>
        </w:rPr>
        <w:t>even more important than its legal framework, the IDEA offers schools critical resources that they can use to realize their potential to</w:t>
      </w:r>
      <w:r>
        <w:t xml:space="preserve">  [*505]  </w:t>
      </w:r>
      <w:r w:rsidRPr="005B4329">
        <w:rPr>
          <w:rStyle w:val="StyleUnderline"/>
        </w:rPr>
        <w:t>address mental health disabilities.</w:t>
      </w:r>
      <w:r>
        <w:t xml:space="preserve"> n205 </w:t>
      </w:r>
      <w:r w:rsidRPr="005B4329">
        <w:rPr>
          <w:rStyle w:val="StyleUnderline"/>
        </w:rPr>
        <w:t xml:space="preserve">The </w:t>
      </w:r>
      <w:r>
        <w:t xml:space="preserve">U.S. </w:t>
      </w:r>
      <w:r w:rsidRPr="005B4329">
        <w:rPr>
          <w:rStyle w:val="StyleUnderline"/>
        </w:rPr>
        <w:t>Department of Education provides states around eleven billion dollars each year in general grants to assist them in fulfilling the IDEA's requirements</w:t>
      </w:r>
      <w:r>
        <w:t xml:space="preserve">. </w:t>
      </w:r>
      <w:r w:rsidRPr="005B4329">
        <w:t>n206 The Department of Education</w:t>
      </w:r>
      <w:r>
        <w:t xml:space="preserve"> also (1) offers a number of discretionary grants to assist states and school districts with personnel and technology development, (2) funds projects designed to identify best practices and improve the provision of services to students with disabilities, and (3) provides direct technical assistance to states and school districts. n207 This valuable assistance can be tailored to bolstering schools' capacity to address students' mental health needs. For example, the Department of Education established the Technical Assistance Center on Positive Behavioral Interventions and Supports, which assists states and school districts in addressing students' behavioral needs. n208 These resources, combined with schools' unique level of contact with students and institutional knowledge of child development, provide schools with the capacity to offer comprehensive interventions for mental health disabilities.</w:t>
      </w:r>
    </w:p>
    <w:p w:rsidR="005B4329" w:rsidRDefault="005B4329" w:rsidP="005B4329">
      <w:r w:rsidRPr="005B4329">
        <w:rPr>
          <w:rStyle w:val="StyleUnderline"/>
        </w:rPr>
        <w:t>If courts approach the IDEA in a manner that is more inclusive of mental health disabilities, schools will be incentivized - and empowered - to take a more active role in addressing those disabilities.</w:t>
      </w:r>
      <w:r>
        <w:t xml:space="preserve"> In turn, </w:t>
      </w:r>
      <w:r w:rsidRPr="005B4329">
        <w:rPr>
          <w:rStyle w:val="StyleUnderline"/>
        </w:rPr>
        <w:t>schools will come closer to realizing their potential as powerful forces in the fight against the United States' mental health epidemic</w:t>
      </w:r>
      <w:r>
        <w:t xml:space="preserve">. n209 Considering the scope and impact of the epidemic, </w:t>
      </w:r>
      <w:r w:rsidRPr="005B4329">
        <w:rPr>
          <w:rStyle w:val="StyleUnderline"/>
        </w:rPr>
        <w:t>we can no longer afford to miss this opportunity</w:t>
      </w:r>
      <w:r>
        <w:t>.</w:t>
      </w:r>
    </w:p>
    <w:p w:rsidR="00CA5D7A" w:rsidRDefault="00CA5D7A" w:rsidP="005B4329">
      <w:r>
        <w:t>VIII. Conclusion</w:t>
      </w:r>
    </w:p>
    <w:p w:rsidR="00CA5D7A" w:rsidRDefault="00CA5D7A" w:rsidP="005B4329">
      <w:r>
        <w:t xml:space="preserve"> Beyond a lost opportunity, </w:t>
      </w:r>
      <w:r w:rsidRPr="00CA5D7A">
        <w:rPr>
          <w:rStyle w:val="StyleUnderline"/>
        </w:rPr>
        <w:t xml:space="preserve">the treatment of students with mental health disabilities under the IDEA is an important civil rights issue. These students are being denied an equal opportunity to receive an education and become self-sufficient, independent citizens. </w:t>
      </w:r>
      <w:r>
        <w:t xml:space="preserve">Put simply, </w:t>
      </w:r>
      <w:r w:rsidRPr="00CA5D7A">
        <w:rPr>
          <w:rStyle w:val="StyleUnderline"/>
        </w:rPr>
        <w:t>they are being discriminated against. While this discrimination may not be intentional, it amounts to a critical denial of equal rights and deserves the attention of the broader civil rights community</w:t>
      </w:r>
      <w:r>
        <w:t>. n210 Indeed, a</w:t>
      </w:r>
      <w:r w:rsidRPr="00CA5D7A">
        <w:rPr>
          <w:rStyle w:val="StyleUnderline"/>
        </w:rPr>
        <w:t>s long as individuals with mental health disabilities are  [*506]  denied an equal opportunity to receive an education, they will be unable to achieve the momentum and influence required to eliminate the widespread injustices they have been forced to endure. The first step in addressing this discrimination and its effects is simple: courts and schools must start properly interpreting the IDEA</w:t>
      </w:r>
      <w:r>
        <w:t>.</w:t>
      </w:r>
    </w:p>
    <w:p w:rsidR="00CA5D7A" w:rsidRPr="00605B60" w:rsidRDefault="00CA5D7A" w:rsidP="005B4329"/>
    <w:p w:rsidR="00BE7197" w:rsidRDefault="00BE7197" w:rsidP="00BE7197">
      <w:pPr>
        <w:pStyle w:val="Heading4"/>
      </w:pPr>
      <w:r>
        <w:t xml:space="preserve">We have a </w:t>
      </w:r>
      <w:r w:rsidRPr="00BA3C4B">
        <w:rPr>
          <w:u w:val="single"/>
        </w:rPr>
        <w:t>moral obligation</w:t>
      </w:r>
      <w:r>
        <w:t xml:space="preserve"> to address disability segregation </w:t>
      </w:r>
      <w:r w:rsidRPr="00BA3C4B">
        <w:rPr>
          <w:u w:val="single"/>
        </w:rPr>
        <w:t>first</w:t>
      </w:r>
      <w:r>
        <w:t xml:space="preserve"> – failure to do so only perpetuates the problem</w:t>
      </w:r>
    </w:p>
    <w:p w:rsidR="00BE7197" w:rsidRPr="00BA3C4B" w:rsidRDefault="00BE7197" w:rsidP="00BE7197">
      <w:pPr>
        <w:rPr>
          <w:rStyle w:val="Style13ptBold"/>
        </w:rPr>
      </w:pPr>
      <w:r>
        <w:rPr>
          <w:rStyle w:val="Style13ptBold"/>
        </w:rPr>
        <w:t xml:space="preserve">Snow ’04 </w:t>
      </w:r>
      <w:r w:rsidRPr="00BA3C4B">
        <w:rPr>
          <w:rStyle w:val="Style13ptBold"/>
          <w:b w:val="0"/>
          <w:sz w:val="22"/>
        </w:rPr>
        <w:t>– a</w:t>
      </w:r>
      <w:r>
        <w:rPr>
          <w:rStyle w:val="Style13ptBold"/>
          <w:b w:val="0"/>
          <w:sz w:val="22"/>
        </w:rPr>
        <w:t>uthor, public speaker, trainer, and consultant (Kathie, “The Moral Imperative of Inclusion”, Accessed 6/28/17)//TS</w:t>
      </w:r>
    </w:p>
    <w:p w:rsidR="00BE7197" w:rsidRPr="00BA3C4B" w:rsidRDefault="00BE7197" w:rsidP="00BE7197">
      <w:pPr>
        <w:rPr>
          <w:sz w:val="16"/>
        </w:rPr>
      </w:pPr>
      <w:r w:rsidRPr="00BA3C4B">
        <w:rPr>
          <w:sz w:val="16"/>
        </w:rPr>
        <w:t xml:space="preserve">Despite these successes—and </w:t>
      </w:r>
      <w:r w:rsidRPr="00D42EF9">
        <w:rPr>
          <w:rStyle w:val="StyleUnderline"/>
        </w:rPr>
        <w:t>despite the fact that educators and professionals have access</w:t>
      </w:r>
      <w:r w:rsidRPr="00BA3C4B">
        <w:rPr>
          <w:sz w:val="16"/>
        </w:rPr>
        <w:t xml:space="preserve"> to strategies </w:t>
      </w:r>
      <w:r w:rsidRPr="00D42EF9">
        <w:rPr>
          <w:rStyle w:val="StyleUnderline"/>
        </w:rPr>
        <w:t xml:space="preserve">on how to include children and adults </w:t>
      </w:r>
      <w:r w:rsidRPr="00BA3C4B">
        <w:rPr>
          <w:sz w:val="16"/>
        </w:rPr>
        <w:t>with labels—</w:t>
      </w:r>
      <w:r w:rsidRPr="00BA3C4B">
        <w:rPr>
          <w:rStyle w:val="StyleUnderline"/>
        </w:rPr>
        <w:t>social isolation and physical segregation continue</w:t>
      </w:r>
      <w:r w:rsidRPr="00BA3C4B">
        <w:rPr>
          <w:sz w:val="16"/>
        </w:rPr>
        <w:t xml:space="preserve">. Why? </w:t>
      </w:r>
      <w:r w:rsidRPr="00D42EF9">
        <w:rPr>
          <w:rStyle w:val="StyleUnderline"/>
        </w:rPr>
        <w:t>Excuses, rationalizations, and justifications abound: “they” are not ready, “we” are not ready, we’ve never done that before, we don’t have the resources, we don’t have the money, it won’t work, and more.</w:t>
      </w:r>
      <w:r w:rsidRPr="00BA3C4B">
        <w:rPr>
          <w:sz w:val="16"/>
        </w:rPr>
        <w:t xml:space="preserve"> But the successes described above prove that whatever the reasons are given for the lack of inclusion are, in fact, erroneous assumptions, at best, or means-spirited excuses, at worst.\</w:t>
      </w:r>
    </w:p>
    <w:p w:rsidR="00BE7197" w:rsidRPr="00BA3C4B" w:rsidRDefault="00BE7197" w:rsidP="00BE7197">
      <w:pPr>
        <w:rPr>
          <w:rStyle w:val="StyleUnderline"/>
        </w:rPr>
      </w:pPr>
      <w:r w:rsidRPr="00BA3C4B">
        <w:rPr>
          <w:sz w:val="16"/>
        </w:rPr>
        <w:t xml:space="preserve">It seems that </w:t>
      </w:r>
      <w:r w:rsidRPr="00BA3C4B">
        <w:rPr>
          <w:rStyle w:val="StyleUnderline"/>
          <w:highlight w:val="yellow"/>
        </w:rPr>
        <w:t>social isolations and physical segregation continue</w:t>
      </w:r>
      <w:r w:rsidRPr="00D42EF9">
        <w:rPr>
          <w:rStyle w:val="StyleUnderline"/>
        </w:rPr>
        <w:t xml:space="preserve"> </w:t>
      </w:r>
      <w:r w:rsidRPr="00BA3C4B">
        <w:rPr>
          <w:rStyle w:val="StyleUnderline"/>
          <w:highlight w:val="yellow"/>
        </w:rPr>
        <w:t>because inclusion</w:t>
      </w:r>
      <w:r w:rsidRPr="00D42EF9">
        <w:rPr>
          <w:rStyle w:val="StyleUnderline"/>
        </w:rPr>
        <w:t xml:space="preserve"> within the mainstream of American society </w:t>
      </w:r>
      <w:r w:rsidRPr="00BA3C4B">
        <w:rPr>
          <w:rStyle w:val="StyleUnderline"/>
          <w:highlight w:val="yellow"/>
        </w:rPr>
        <w:t xml:space="preserve">is not a </w:t>
      </w:r>
      <w:r w:rsidRPr="00BA3C4B">
        <w:rPr>
          <w:rStyle w:val="Emphasis"/>
          <w:highlight w:val="yellow"/>
        </w:rPr>
        <w:t>moral imperative</w:t>
      </w:r>
      <w:r w:rsidRPr="00D42EF9">
        <w:rPr>
          <w:rStyle w:val="StyleUnderline"/>
        </w:rPr>
        <w:t xml:space="preserve"> for those who exert control</w:t>
      </w:r>
      <w:r w:rsidRPr="00BA3C4B">
        <w:rPr>
          <w:sz w:val="16"/>
        </w:rPr>
        <w:t xml:space="preserve"> (professionals, parents, educators, employers, and a host of others. Instead, many operate from a legal perspective, going no further than following the “guidelines” of special </w:t>
      </w:r>
      <w:proofErr w:type="spellStart"/>
      <w:r w:rsidRPr="00BA3C4B">
        <w:rPr>
          <w:sz w:val="16"/>
        </w:rPr>
        <w:t>ed</w:t>
      </w:r>
      <w:proofErr w:type="spellEnd"/>
      <w:r w:rsidRPr="00BA3C4B">
        <w:rPr>
          <w:sz w:val="16"/>
        </w:rPr>
        <w:t xml:space="preserve"> law, the ADA, and other laws or policies. Even with legal imperatives, however, segregation and isolation continue. </w:t>
      </w:r>
      <w:r w:rsidRPr="00BA3C4B">
        <w:rPr>
          <w:rStyle w:val="StyleUnderline"/>
        </w:rPr>
        <w:t xml:space="preserve">So it seems that </w:t>
      </w:r>
      <w:r w:rsidRPr="00BA3C4B">
        <w:rPr>
          <w:rStyle w:val="StyleUnderline"/>
          <w:highlight w:val="yellow"/>
        </w:rPr>
        <w:t>until we</w:t>
      </w:r>
      <w:r w:rsidRPr="00BA3C4B">
        <w:rPr>
          <w:sz w:val="16"/>
        </w:rPr>
        <w:t xml:space="preserve"> go beyond the law and</w:t>
      </w:r>
      <w:r w:rsidRPr="00BA3C4B">
        <w:rPr>
          <w:rStyle w:val="StyleUnderline"/>
        </w:rPr>
        <w:t xml:space="preserve"> </w:t>
      </w:r>
      <w:r w:rsidRPr="00BA3C4B">
        <w:rPr>
          <w:rStyle w:val="StyleUnderline"/>
          <w:highlight w:val="yellow"/>
        </w:rPr>
        <w:t>make inclusion a moral imperative, the status quo will continue</w:t>
      </w:r>
      <w:r w:rsidRPr="00BA3C4B">
        <w:rPr>
          <w:rStyle w:val="StyleUnderline"/>
        </w:rPr>
        <w:t>.</w:t>
      </w:r>
    </w:p>
    <w:p w:rsidR="00BE7197" w:rsidRPr="00BA3C4B" w:rsidRDefault="00BE7197" w:rsidP="00BE7197">
      <w:pPr>
        <w:rPr>
          <w:sz w:val="16"/>
        </w:rPr>
      </w:pPr>
      <w:r w:rsidRPr="00BA3C4B">
        <w:rPr>
          <w:sz w:val="16"/>
        </w:rPr>
        <w:t>Going back to Ear Warren’s eloquent and insightful words</w:t>
      </w:r>
      <w:r w:rsidRPr="00BA3C4B">
        <w:rPr>
          <w:rStyle w:val="StyleUnderline"/>
        </w:rPr>
        <w:t xml:space="preserve">, </w:t>
      </w:r>
      <w:r w:rsidRPr="00BA3C4B">
        <w:rPr>
          <w:rStyle w:val="StyleUnderline"/>
          <w:highlight w:val="yellow"/>
        </w:rPr>
        <w:t>is there not a moral imperative to stop</w:t>
      </w:r>
      <w:r w:rsidRPr="00BA3C4B">
        <w:rPr>
          <w:rStyle w:val="StyleUnderline"/>
        </w:rPr>
        <w:t xml:space="preserve"> the harm of </w:t>
      </w:r>
      <w:r w:rsidRPr="00BA3C4B">
        <w:rPr>
          <w:rStyle w:val="StyleUnderline"/>
          <w:highlight w:val="yellow"/>
        </w:rPr>
        <w:t>segregation which</w:t>
      </w:r>
      <w:r w:rsidRPr="00BA3C4B">
        <w:rPr>
          <w:rStyle w:val="StyleUnderline"/>
        </w:rPr>
        <w:t xml:space="preserve"> may </w:t>
      </w:r>
      <w:r w:rsidRPr="00BA3C4B">
        <w:rPr>
          <w:rStyle w:val="StyleUnderline"/>
          <w:highlight w:val="yellow"/>
        </w:rPr>
        <w:t>affect people’s “hearts and minds in a way unlikely</w:t>
      </w:r>
      <w:r w:rsidRPr="00BA3C4B">
        <w:rPr>
          <w:rStyle w:val="StyleUnderline"/>
        </w:rPr>
        <w:t xml:space="preserve"> ever </w:t>
      </w:r>
      <w:r w:rsidRPr="00BA3C4B">
        <w:rPr>
          <w:rStyle w:val="StyleUnderline"/>
          <w:highlight w:val="yellow"/>
        </w:rPr>
        <w:t>to be undone</w:t>
      </w:r>
      <w:r w:rsidRPr="00BA3C4B">
        <w:rPr>
          <w:sz w:val="16"/>
        </w:rPr>
        <w:t>”?</w:t>
      </w:r>
    </w:p>
    <w:p w:rsidR="00BE7197" w:rsidRPr="00BA3C4B" w:rsidRDefault="00BE7197" w:rsidP="00BE7197">
      <w:pPr>
        <w:rPr>
          <w:rStyle w:val="StyleUnderline"/>
        </w:rPr>
      </w:pPr>
      <w:r w:rsidRPr="00BA3C4B">
        <w:rPr>
          <w:sz w:val="16"/>
        </w:rPr>
        <w:t xml:space="preserve">With what authority do we have to inflict second-class citizenship on our fellow citizens who happen to have disability diagnoses? Who empowered us to push others to the margins of society simply because their bodies or minds might be different from our own? What crimes have they committed that result in their incarceration in the segregated settings of special </w:t>
      </w:r>
      <w:proofErr w:type="spellStart"/>
      <w:r w:rsidRPr="00BA3C4B">
        <w:rPr>
          <w:sz w:val="16"/>
        </w:rPr>
        <w:t>ed</w:t>
      </w:r>
      <w:proofErr w:type="spellEnd"/>
      <w:r w:rsidRPr="00BA3C4B">
        <w:rPr>
          <w:sz w:val="16"/>
        </w:rPr>
        <w:t xml:space="preserve"> preschools, “resource rooms” of public schools, adult day programs, or congregate living settings?? Within the framework of the “helpful special services” provided in these settings, men and women and boys and girls are isolated from the fabric of their communities&gt; </w:t>
      </w:r>
      <w:r w:rsidRPr="00BA3C4B">
        <w:rPr>
          <w:rStyle w:val="StyleUnderline"/>
        </w:rPr>
        <w:t xml:space="preserve">Are we so </w:t>
      </w:r>
      <w:r w:rsidRPr="00BA3C4B">
        <w:rPr>
          <w:rStyle w:val="Emphasis"/>
        </w:rPr>
        <w:t>ignorant or arrogant</w:t>
      </w:r>
      <w:r w:rsidRPr="00BA3C4B">
        <w:rPr>
          <w:rStyle w:val="StyleUnderline"/>
        </w:rPr>
        <w:t xml:space="preserve"> to believe that people with disabilities are immune from feeling the devastating </w:t>
      </w:r>
      <w:r w:rsidRPr="00BA3C4B">
        <w:rPr>
          <w:rStyle w:val="Emphasis"/>
        </w:rPr>
        <w:t>pain of exclusion</w:t>
      </w:r>
      <w:r w:rsidRPr="00BA3C4B">
        <w:rPr>
          <w:rStyle w:val="StyleUnderline"/>
        </w:rPr>
        <w:t xml:space="preserve">? And </w:t>
      </w:r>
      <w:r w:rsidRPr="00BA3C4B">
        <w:rPr>
          <w:rStyle w:val="StyleUnderline"/>
          <w:highlight w:val="yellow"/>
        </w:rPr>
        <w:t>shouldn’t we care how they feel</w:t>
      </w:r>
      <w:r w:rsidRPr="00BA3C4B">
        <w:rPr>
          <w:sz w:val="16"/>
        </w:rPr>
        <w:t>? Under God, or</w:t>
      </w:r>
      <w:r w:rsidRPr="00BA3C4B">
        <w:rPr>
          <w:rStyle w:val="StyleUnderline"/>
        </w:rPr>
        <w:t xml:space="preserve"> </w:t>
      </w:r>
      <w:r w:rsidRPr="00BA3C4B">
        <w:rPr>
          <w:rStyle w:val="StyleUnderline"/>
          <w:highlight w:val="yellow"/>
        </w:rPr>
        <w:t xml:space="preserve">whatever </w:t>
      </w:r>
      <w:r w:rsidRPr="00BA3C4B">
        <w:rPr>
          <w:rStyle w:val="Emphasis"/>
          <w:highlight w:val="yellow"/>
        </w:rPr>
        <w:t>moral code</w:t>
      </w:r>
      <w:r w:rsidRPr="00BA3C4B">
        <w:rPr>
          <w:rStyle w:val="StyleUnderline"/>
          <w:highlight w:val="yellow"/>
        </w:rPr>
        <w:t xml:space="preserve"> we embrace</w:t>
      </w:r>
      <w:r w:rsidRPr="00BA3C4B">
        <w:rPr>
          <w:rStyle w:val="StyleUnderline"/>
        </w:rPr>
        <w:t xml:space="preserve">, do </w:t>
      </w:r>
      <w:r w:rsidRPr="00BA3C4B">
        <w:rPr>
          <w:rStyle w:val="StyleUnderline"/>
          <w:highlight w:val="yellow"/>
        </w:rPr>
        <w:t xml:space="preserve">we </w:t>
      </w:r>
      <w:r w:rsidRPr="00BA3C4B">
        <w:rPr>
          <w:rStyle w:val="StyleUnderline"/>
        </w:rPr>
        <w:t xml:space="preserve">not </w:t>
      </w:r>
      <w:r w:rsidRPr="00BA3C4B">
        <w:rPr>
          <w:rStyle w:val="StyleUnderline"/>
          <w:highlight w:val="yellow"/>
        </w:rPr>
        <w:t>have a responsibility</w:t>
      </w:r>
      <w:r w:rsidRPr="00BA3C4B">
        <w:rPr>
          <w:rStyle w:val="StyleUnderline"/>
        </w:rPr>
        <w:t xml:space="preserve"> to treat others the way we want to be treated?</w:t>
      </w:r>
    </w:p>
    <w:p w:rsidR="00BE7197" w:rsidRPr="00BA3C4B" w:rsidRDefault="00BE7197" w:rsidP="00BE7197">
      <w:pPr>
        <w:rPr>
          <w:sz w:val="16"/>
        </w:rPr>
      </w:pPr>
      <w:r w:rsidRPr="00BA3C4B">
        <w:rPr>
          <w:sz w:val="16"/>
        </w:rPr>
        <w:t xml:space="preserve">Laws offer important legal protections. But </w:t>
      </w:r>
      <w:r w:rsidRPr="00BA3C4B">
        <w:rPr>
          <w:rStyle w:val="StyleUnderline"/>
          <w:highlight w:val="yellow"/>
        </w:rPr>
        <w:t>until moral outrage infects our</w:t>
      </w:r>
      <w:r w:rsidRPr="00BA3C4B">
        <w:rPr>
          <w:rStyle w:val="StyleUnderline"/>
        </w:rPr>
        <w:t xml:space="preserve"> hearts and </w:t>
      </w:r>
      <w:r w:rsidRPr="00BA3C4B">
        <w:rPr>
          <w:rStyle w:val="StyleUnderline"/>
          <w:highlight w:val="yellow"/>
        </w:rPr>
        <w:t>minds</w:t>
      </w:r>
      <w:r w:rsidRPr="00BA3C4B">
        <w:rPr>
          <w:rStyle w:val="StyleUnderline"/>
        </w:rPr>
        <w:t xml:space="preserve">, </w:t>
      </w:r>
      <w:r w:rsidRPr="00BA3C4B">
        <w:rPr>
          <w:rStyle w:val="StyleUnderline"/>
          <w:highlight w:val="yellow"/>
        </w:rPr>
        <w:t>we</w:t>
      </w:r>
      <w:r w:rsidRPr="00BA3C4B">
        <w:rPr>
          <w:rStyle w:val="StyleUnderline"/>
        </w:rPr>
        <w:t xml:space="preserve">’re likely to </w:t>
      </w:r>
      <w:r w:rsidRPr="00BA3C4B">
        <w:rPr>
          <w:rStyle w:val="StyleUnderline"/>
          <w:highlight w:val="yellow"/>
        </w:rPr>
        <w:t>continue inflicting harm on</w:t>
      </w:r>
      <w:r w:rsidRPr="00BA3C4B">
        <w:rPr>
          <w:rStyle w:val="StyleUnderline"/>
        </w:rPr>
        <w:t xml:space="preserve"> the hearts and minds of </w:t>
      </w:r>
      <w:r w:rsidRPr="00BA3C4B">
        <w:rPr>
          <w:rStyle w:val="StyleUnderline"/>
          <w:highlight w:val="yellow"/>
        </w:rPr>
        <w:t>others</w:t>
      </w:r>
      <w:r w:rsidRPr="00BA3C4B">
        <w:rPr>
          <w:rStyle w:val="StyleUnderline"/>
        </w:rPr>
        <w:t>.</w:t>
      </w:r>
      <w:r w:rsidRPr="00BA3C4B">
        <w:rPr>
          <w:sz w:val="16"/>
        </w:rPr>
        <w:t xml:space="preserve"> Can’t we do better?</w:t>
      </w:r>
    </w:p>
    <w:p w:rsidR="00BE7197" w:rsidRDefault="00BE7197" w:rsidP="00BE7197">
      <w:pPr>
        <w:pStyle w:val="Heading4"/>
      </w:pPr>
      <w:r>
        <w:t xml:space="preserve">Even if the plan cannot resolve all of the impacts of ableism, it does forefront it’s impact on education – only confronting it at every turn can erode its foundations </w:t>
      </w:r>
    </w:p>
    <w:p w:rsidR="00BE7197" w:rsidRPr="00BE1383" w:rsidRDefault="00BE7197" w:rsidP="00BE7197">
      <w:r w:rsidRPr="00BE1383">
        <w:rPr>
          <w:rStyle w:val="Style13ptBold"/>
        </w:rPr>
        <w:t>Hehir 2012</w:t>
      </w:r>
      <w:r>
        <w:t xml:space="preserve"> -  Silvana and Christopher </w:t>
      </w:r>
      <w:proofErr w:type="spellStart"/>
      <w:r>
        <w:t>Pascucci</w:t>
      </w:r>
      <w:proofErr w:type="spellEnd"/>
      <w:r>
        <w:t xml:space="preserve"> Professor of Practice in Learning Differences at the Harvard Graduate School of Education </w:t>
      </w:r>
      <w:r>
        <w:br/>
        <w:t xml:space="preserve">Thomas and Lauren Katzman, </w:t>
      </w:r>
      <w:r>
        <w:rPr>
          <w:i/>
        </w:rPr>
        <w:t xml:space="preserve">Effective Inclusive Schools: Designing Successful Schoolwide Programs, </w:t>
      </w:r>
      <w:r>
        <w:t>Jossey-Bass Press, p. x-xiii</w:t>
      </w:r>
    </w:p>
    <w:p w:rsidR="00BE7197" w:rsidRDefault="00BE7197" w:rsidP="00BE7197">
      <w:r>
        <w:t>The failure of the education system to provide more widespread options for children and families undoubtedly has many causes. Schools were designed for average students, not for those with complex needs. However, despite nearly forty years of federal law that seeks to provide greater access to education for students with disabilities, we see the lack of effective inclusive options for parents and children as a reflection of broader, deeply held negative attitudes in society toward people with disabilities—a term we call ableism . Thomas Hehir has written extensively on this subject. 2 The existing definitions of ableism share common origins that are rooted in the discrimination</w:t>
      </w:r>
      <w:r w:rsidR="00BC1946">
        <w:t xml:space="preserve"> and oppression that many disab</w:t>
      </w:r>
      <w:r>
        <w:t xml:space="preserve">led people experience in society. 3 Ableism was defined by Laura Rauscher and Mary McClintock as “a pervasive system of discrimination and ex </w:t>
      </w:r>
      <w:proofErr w:type="spellStart"/>
      <w:r>
        <w:t>clusion</w:t>
      </w:r>
      <w:proofErr w:type="spellEnd"/>
      <w:r>
        <w:t xml:space="preserve"> that oppresses people who have mental, emotional and physical disabilities. . . . Deeply rooted beliefs about health, productivity, beauty, and the value of human life, perpetuated by the public and private media, combine to create an environment that is often hostile to those whose physical, mental, cognitive, and sensor</w:t>
      </w:r>
      <w:r w:rsidR="00BC1946">
        <w:t>y abilities . . . fall out of t</w:t>
      </w:r>
      <w:r>
        <w:t xml:space="preserve">he scope of what is currently defined as socially acceptable.” 4 African American disability activist and talk-show host Greg Smith captures the essence of definitions of ableism in his article “The Brother in the Wheelchair”: “I’ve </w:t>
      </w:r>
      <w:r w:rsidRPr="00BC1946">
        <w:rPr>
          <w:rStyle w:val="StyleUnderline"/>
        </w:rPr>
        <w:t>faced unintentional discrimination, and it’s just as damaging as racism. . . . It’s called ableism, the devaluation and disregard of people with disabilities</w:t>
      </w:r>
      <w:r>
        <w:t xml:space="preserve">.” 5 As Tom Hehir wrote in the Harvard Educational Review in Spring 2002: </w:t>
      </w:r>
      <w:r w:rsidRPr="00BC1946">
        <w:rPr>
          <w:rStyle w:val="StyleUnderline"/>
        </w:rPr>
        <w:t xml:space="preserve">“Applied to schooling and child development, </w:t>
      </w:r>
      <w:proofErr w:type="spellStart"/>
      <w:r w:rsidRPr="00BC1946">
        <w:rPr>
          <w:rStyle w:val="StyleUnderline"/>
        </w:rPr>
        <w:t>ableist</w:t>
      </w:r>
      <w:proofErr w:type="spellEnd"/>
      <w:r w:rsidRPr="00BC1946">
        <w:rPr>
          <w:rStyle w:val="StyleUnderline"/>
        </w:rPr>
        <w:t xml:space="preserve"> preferences become particularly apparent. From an </w:t>
      </w:r>
      <w:proofErr w:type="spellStart"/>
      <w:r w:rsidRPr="00BC1946">
        <w:rPr>
          <w:rStyle w:val="StyleUnderline"/>
        </w:rPr>
        <w:t>ableist</w:t>
      </w:r>
      <w:proofErr w:type="spellEnd"/>
      <w:r w:rsidRPr="00BC1946">
        <w:rPr>
          <w:rStyle w:val="StyleUnderline"/>
        </w:rPr>
        <w:t xml:space="preserve"> perspective, the devaluation of disability results in societal attitudes that uncritically assert that it is better for a child to walk than roll, speak than sign, read print than read Braille, spell independently than use a spell-check, and hang out with nondisabled kids as opposed to other disabled kids</w:t>
      </w:r>
      <w:r>
        <w:t>, etc. In short, in the eyes of many educators and society, it is preferable for disabled students to do things in the same manner as nondisabled kids.”</w:t>
      </w:r>
    </w:p>
    <w:p w:rsidR="00BE7197" w:rsidRDefault="00BE7197" w:rsidP="00BE7197">
      <w:r>
        <w:t xml:space="preserve">Certainly, in a world that has not been designed with the disabled in mind, </w:t>
      </w:r>
      <w:r w:rsidRPr="00BC1946">
        <w:t>being able to perform in a manner that is similar to that of nondisabled children gives disabled children distinct advantages</w:t>
      </w:r>
      <w:r>
        <w:t xml:space="preserve">. If efficient ambulation is possible, a child who has received the help he needs to walk is at an advantage in a barrier filled world. Similarly, a child with a mild hearing loss who has been given the amplification and speech </w:t>
      </w:r>
      <w:proofErr w:type="spellStart"/>
      <w:r>
        <w:t>therapys</w:t>
      </w:r>
      <w:proofErr w:type="spellEnd"/>
      <w:r>
        <w:t xml:space="preserve"> he needs may have little difficulty functioning in a regular classroom. However, </w:t>
      </w:r>
      <w:proofErr w:type="spellStart"/>
      <w:r>
        <w:t>ableist</w:t>
      </w:r>
      <w:proofErr w:type="spellEnd"/>
      <w:r>
        <w:t xml:space="preserve"> assumptions cause harm when the educational and developmental services provided to disabled children focus inordinately on the characteristics of their disabilities to the exclusion of all else—when changing disability becomes the overriding focus of service providers and, at times, parents. Narratives of disabled students and their parents or caregivers are replete with examples of how changing disability became the focus of their young lives and how such a focus denied them the opportunities taken for granted by nondisabled people. These narratives speak to the deep cultural prejudices against disability that they had to endure from an early age—an assumption that disability was negative and tragic and that “overcoming” disability was the only desired outcome. 7</w:t>
      </w:r>
    </w:p>
    <w:p w:rsidR="00BE7197" w:rsidRDefault="00BE7197" w:rsidP="00BE7197">
      <w:r w:rsidRPr="00BC1946">
        <w:rPr>
          <w:rStyle w:val="StyleUnderline"/>
        </w:rPr>
        <w:t>Schools can play a major role in reinforcing the status quo by devaluing disability. How often do individualized education plan (IEP) meetings begin with the question, “What’s wrong with this kid?”</w:t>
      </w:r>
      <w:r>
        <w:t xml:space="preserve"> Indeed, </w:t>
      </w:r>
      <w:r w:rsidRPr="00BC1946">
        <w:rPr>
          <w:rStyle w:val="StyleUnderline"/>
        </w:rPr>
        <w:t>some schools</w:t>
      </w:r>
      <w:r>
        <w:t xml:space="preserve"> (particularly many charters) </w:t>
      </w:r>
      <w:r w:rsidRPr="00BC1946">
        <w:rPr>
          <w:rStyle w:val="StyleUnderline"/>
        </w:rPr>
        <w:t>appear to actively minimize enrollment of children with disabilities.</w:t>
      </w:r>
      <w:r>
        <w:t xml:space="preserve"> 8 </w:t>
      </w:r>
      <w:r w:rsidRPr="00BC1946">
        <w:rPr>
          <w:rStyle w:val="StyleUnderline"/>
        </w:rPr>
        <w:t>Some schools inordinately segregate students with disabilities in separate classes or even wings of the building</w:t>
      </w:r>
      <w:r>
        <w:t xml:space="preserve">. </w:t>
      </w:r>
      <w:r w:rsidRPr="00BC1946">
        <w:rPr>
          <w:rStyle w:val="StyleUnderline"/>
        </w:rPr>
        <w:t>Lack of access to extracurricular activities is a common complaint of many parents of kids with disabilities</w:t>
      </w:r>
      <w:r>
        <w:t xml:space="preserve">. Still other schools hold low expectations for students with disabilities by excessively modifying curriculum. Taken together, </w:t>
      </w:r>
      <w:r w:rsidRPr="00BC1946">
        <w:rPr>
          <w:rStyle w:val="StyleUnderline"/>
        </w:rPr>
        <w:t>these practices keep students away from their nondisabled peers while reinforcing the view that students with disabilities are inferior and undeserving of equal rights</w:t>
      </w:r>
      <w:r>
        <w:t xml:space="preserve">. The result is too many students with disabilities leaving school unprepared for employment and full, rewarding adult lives. </w:t>
      </w:r>
      <w:r w:rsidRPr="00BC1946">
        <w:rPr>
          <w:rStyle w:val="StyleUnderline"/>
        </w:rPr>
        <w:t>These practices also do harm to nondisabled peers, who often leave school with negative prejudices about people with disabilities</w:t>
      </w:r>
      <w:r>
        <w:t>.</w:t>
      </w:r>
    </w:p>
    <w:p w:rsidR="00BE7197" w:rsidRDefault="00BE7197" w:rsidP="00BE7197">
      <w:r>
        <w:t xml:space="preserve">There are other, more subtle, examples of ableism in our schools. </w:t>
      </w:r>
      <w:r w:rsidRPr="00BC1946">
        <w:rPr>
          <w:rStyle w:val="StyleUnderline"/>
        </w:rPr>
        <w:t>Children are denied the use of screen readers or taped texts on the grounds that such accommodations are “not reading.”</w:t>
      </w:r>
      <w:r>
        <w:t xml:space="preserve"> </w:t>
      </w:r>
      <w:r w:rsidRPr="00BC1946">
        <w:rPr>
          <w:rStyle w:val="StyleUnderline"/>
        </w:rPr>
        <w:t>This is particularly true for students with dyslexia</w:t>
      </w:r>
      <w:r>
        <w:t xml:space="preserve">, whose disability makes reading print a laborious process because their lack of fluency compromises their ability to comprehend and thus their ability to access education through text. Other examples of ableism involve false impartiality. </w:t>
      </w:r>
      <w:r w:rsidRPr="00BC1946">
        <w:rPr>
          <w:rStyle w:val="StyleUnderline"/>
        </w:rPr>
        <w:t>Schools often require students with behavioral disabilities to “follow the same rules as everyone else” without regard for whether the child needs supports in learning how to behave in school. The high suspension ion rates of many students with disabilities attest to this</w:t>
      </w:r>
      <w:r>
        <w:t>.</w:t>
      </w:r>
    </w:p>
    <w:p w:rsidR="00BE7197" w:rsidRDefault="00BE7197" w:rsidP="00BE7197">
      <w:r>
        <w:t xml:space="preserve">Thankfully, not all schools engage in </w:t>
      </w:r>
      <w:proofErr w:type="spellStart"/>
      <w:r>
        <w:t>ableist</w:t>
      </w:r>
      <w:proofErr w:type="spellEnd"/>
      <w:r>
        <w:t xml:space="preserve"> practices, and overall, educational outcomes for students with disabilities are improving. 10 As far back as the 1950s, some students with disabilities attended schools that provided effective inclusive education.</w:t>
      </w:r>
    </w:p>
    <w:p w:rsidR="00BE7197" w:rsidRDefault="00BE7197" w:rsidP="00BE7197">
      <w:r>
        <w:t>We believe s</w:t>
      </w:r>
      <w:r w:rsidRPr="00BC1946">
        <w:rPr>
          <w:rStyle w:val="StyleUnderline"/>
        </w:rPr>
        <w:t xml:space="preserve">chools should approach ableism in the same way they approach other issues of societal equality in relation to race, religion, gender, or sexual orientation, as a matter of diversity. </w:t>
      </w:r>
      <w:r>
        <w:t xml:space="preserve">Further, </w:t>
      </w:r>
      <w:r w:rsidRPr="00BC1946">
        <w:rPr>
          <w:rStyle w:val="StyleUnderline"/>
        </w:rPr>
        <w:t>schools should actively seek to minimize ableism through educational practices that minimize the negative impact of disability, celebrate the positive impact of disability, and maximize opportunities for their students to live full lives</w:t>
      </w:r>
      <w:r>
        <w:t>.</w:t>
      </w:r>
    </w:p>
    <w:p w:rsidR="00AF5DAD" w:rsidRDefault="00AF5DAD" w:rsidP="00AF5DAD">
      <w:pPr>
        <w:pStyle w:val="Heading4"/>
      </w:pPr>
      <w:r>
        <w:t>The United States federal government should establish a test</w:t>
      </w:r>
      <w:r w:rsidR="00123863">
        <w:t xml:space="preserve"> of the</w:t>
      </w:r>
      <w:r w:rsidR="00B632AE">
        <w:t xml:space="preserve"> Individuals with Disabilities in Education Act’s</w:t>
      </w:r>
      <w:r w:rsidR="00123863">
        <w:t xml:space="preserve"> “least restrictive environment” standard </w:t>
      </w:r>
      <w:r>
        <w:t>to</w:t>
      </w:r>
      <w:r w:rsidR="00E34B1F">
        <w:t xml:space="preserve"> 1)</w:t>
      </w:r>
      <w:r>
        <w:t xml:space="preserve"> determine if </w:t>
      </w:r>
      <w:r w:rsidR="00A370F1">
        <w:t xml:space="preserve">a </w:t>
      </w:r>
      <w:r>
        <w:t>students can be educated in classrooms with supplemental aids</w:t>
      </w:r>
      <w:r w:rsidR="00E34B1F">
        <w:t xml:space="preserve">, </w:t>
      </w:r>
      <w:r w:rsidR="00B6263B">
        <w:t xml:space="preserve">and, </w:t>
      </w:r>
      <w:r w:rsidR="00E34B1F">
        <w:t xml:space="preserve">if not 2) evaluate whether the school district has mainstreamed the student to the maximum extent possible. The United States federal government should provide school districts with the resources </w:t>
      </w:r>
      <w:r w:rsidR="00FD7F97">
        <w:t>required</w:t>
      </w:r>
      <w:r w:rsidR="00E34B1F">
        <w:t xml:space="preserve"> to provide the physical environment deemed necessary for an inclusive learning environment. </w:t>
      </w:r>
    </w:p>
    <w:p w:rsidR="00E34B1F" w:rsidRDefault="00E34B1F" w:rsidP="00E34B1F"/>
    <w:p w:rsidR="00B6263B" w:rsidRPr="00E34B1F" w:rsidRDefault="00B6263B" w:rsidP="00B6263B">
      <w:pPr>
        <w:pStyle w:val="Heading4"/>
      </w:pPr>
      <w:r>
        <w:t>A uniform test established by SCOTUS resolves multiple District Court cases that allow for the segregation of students when it benefits the school district. This precedent is necessary to resolve Circuit decisions that would supersede actions taken by any other actor</w:t>
      </w:r>
    </w:p>
    <w:p w:rsidR="00AF5DAD" w:rsidRDefault="00AF5DAD" w:rsidP="00AF5DAD">
      <w:r w:rsidRPr="008366B8">
        <w:rPr>
          <w:rStyle w:val="Style13ptBold"/>
        </w:rPr>
        <w:t>McGovern 2015</w:t>
      </w:r>
      <w:r>
        <w:t xml:space="preserve"> - JD Widener U School of Law </w:t>
      </w:r>
      <w:r>
        <w:br/>
        <w:t>Megan, "Least Restrictive Environment: Fulfilling the Promises of IDEA," 21 Widener L. Rev. 117</w:t>
      </w:r>
    </w:p>
    <w:p w:rsidR="00AF5DAD" w:rsidRDefault="007C1FBD" w:rsidP="007C1FBD">
      <w:r>
        <w:t>T</w:t>
      </w:r>
      <w:r w:rsidR="00AF5DAD">
        <w:t xml:space="preserve">here has been nationwide progress in providing meaningful education for children with disabilities. n120 </w:t>
      </w:r>
      <w:r w:rsidR="00AF5DAD" w:rsidRPr="008366B8">
        <w:t>IDEA's mandates have expanded both educational and employment opportunities</w:t>
      </w:r>
      <w:r w:rsidR="00AF5DAD">
        <w:t xml:space="preserve"> for those with disabilities in the United States. n121 Despite such progress in this area, challenges remain in successfully protecting the rights of those with disabilities. These challenges can be resolved by innovative action on multiple levels. First, </w:t>
      </w:r>
      <w:r w:rsidR="00AF5DAD" w:rsidRPr="008366B8">
        <w:rPr>
          <w:rStyle w:val="StyleUnderline"/>
        </w:rPr>
        <w:t>the Supreme Court should resolve the existing circuit split by adopting a nationwide standard for determining whether a child has been placed in the appropriate LRE</w:t>
      </w:r>
      <w:r w:rsidR="00AF5DAD">
        <w:t xml:space="preserve">. Second, </w:t>
      </w:r>
      <w:r w:rsidR="00AF5DAD" w:rsidRPr="008366B8">
        <w:rPr>
          <w:rStyle w:val="StyleUnderline"/>
        </w:rPr>
        <w:t>education systems across the country should be reformed to accommodate inclusive education</w:t>
      </w:r>
      <w:r w:rsidR="00AF5DAD">
        <w:t>.</w:t>
      </w:r>
    </w:p>
    <w:p w:rsidR="00AF5DAD" w:rsidRDefault="00AF5DAD" w:rsidP="00AF5DAD">
      <w:r>
        <w:t xml:space="preserve"> [*131]  A. The Supreme Court Should Adopt a Uniform Test</w:t>
      </w:r>
    </w:p>
    <w:p w:rsidR="00AF5DAD" w:rsidRDefault="00AF5DAD" w:rsidP="00AF5DAD">
      <w:r>
        <w:t xml:space="preserve">The LRE provision was intended to create "an educational system whereby all students, regardless of the severity of their disabilities, would be educated in an environment as close as possible to what is considered to be normal." n122 However, </w:t>
      </w:r>
      <w:r w:rsidRPr="008366B8">
        <w:rPr>
          <w:rStyle w:val="StyleUnderline"/>
        </w:rPr>
        <w:t>the existing tests vary widely with different considerations and preferences, resulting in students with disabilities enjoying different levels of benefits state by state</w:t>
      </w:r>
      <w:r>
        <w:t xml:space="preserve">. n123 </w:t>
      </w:r>
      <w:r w:rsidRPr="008366B8">
        <w:t xml:space="preserve">Adopting </w:t>
      </w:r>
      <w:r w:rsidRPr="008366B8">
        <w:rPr>
          <w:rStyle w:val="Emphasis"/>
        </w:rPr>
        <w:t>a uniform test</w:t>
      </w:r>
      <w:r w:rsidRPr="008366B8">
        <w:rPr>
          <w:rStyle w:val="StyleUnderline"/>
        </w:rPr>
        <w:t xml:space="preserve"> would guarantee that children with disabilities receive equal rights regardless of where they live</w:t>
      </w:r>
      <w:r>
        <w:t>.</w:t>
      </w:r>
    </w:p>
    <w:p w:rsidR="00AF5DAD" w:rsidRDefault="00AF5DAD" w:rsidP="00AF5DAD">
      <w:r>
        <w:t>The Supreme Court should not simply adopt one of the existing tests, as none of them fully determine whether a school district has fulfilled the duty imposed by the LRE provision. n124 Each test has been criticized or expanded upon since its creation and "none . . . has proven as comprehensive as first hoped." n125 Furthermore, all of the tests were developed prior to the 1997 amendments to IDEA, which "renewed the importance of the LRE provision by providing that the regular classroom must be the default placement." n126 Therefore</w:t>
      </w:r>
      <w:r w:rsidRPr="008366B8">
        <w:rPr>
          <w:rStyle w:val="StyleUnderline"/>
        </w:rPr>
        <w:t>, the Supreme Court should resolve the existing circuit split by drawing from the strengths of the existing tests to create a new, nationwide rule that adequately serves the goals of IDEA</w:t>
      </w:r>
      <w:r>
        <w:t>.</w:t>
      </w:r>
    </w:p>
    <w:p w:rsidR="00AF5DAD" w:rsidRDefault="00AF5DAD" w:rsidP="00AF5DAD">
      <w:r>
        <w:t xml:space="preserve">In keeping with the spirit of the IDEA, </w:t>
      </w:r>
      <w:r w:rsidRPr="008366B8">
        <w:rPr>
          <w:rStyle w:val="StyleUnderline"/>
        </w:rPr>
        <w:t xml:space="preserve">the </w:t>
      </w:r>
      <w:r>
        <w:t xml:space="preserve">Supreme </w:t>
      </w:r>
      <w:r w:rsidRPr="008366B8">
        <w:rPr>
          <w:rStyle w:val="StyleUnderline"/>
        </w:rPr>
        <w:t>Court should adopt the Daniel R.R. two-prong analysis as a basic framework for a new test. The new test should</w:t>
      </w:r>
      <w:r>
        <w:t xml:space="preserve"> first </w:t>
      </w:r>
      <w:r w:rsidRPr="008366B8">
        <w:rPr>
          <w:rStyle w:val="StyleUnderline"/>
        </w:rPr>
        <w:t>ask whether the student can be satisfactorily educated in the regular classroom with the use of supplemental aids</w:t>
      </w:r>
      <w:r>
        <w:t xml:space="preserve"> and services. </w:t>
      </w:r>
      <w:r w:rsidRPr="008366B8">
        <w:rPr>
          <w:rStyle w:val="StyleUnderline"/>
        </w:rPr>
        <w:t>n127 If the student cannot be satisfactorily educated in the regular classroom and must be placed in a more restrictive setting, the second inquiry should consider whether the student has been mainstreamed to the maximum extent possible</w:t>
      </w:r>
      <w:r>
        <w:t xml:space="preserve">. n128 This approach is superior to both the </w:t>
      </w:r>
      <w:proofErr w:type="spellStart"/>
      <w:r>
        <w:t>Roncker</w:t>
      </w:r>
      <w:proofErr w:type="spellEnd"/>
      <w:r>
        <w:t xml:space="preserve"> and Rachel H. tests. The </w:t>
      </w:r>
      <w:proofErr w:type="spellStart"/>
      <w:r>
        <w:t>Roncker</w:t>
      </w:r>
      <w:proofErr w:type="spellEnd"/>
      <w:r>
        <w:t xml:space="preserve"> test resembles a full inclusion approach to satisfying the LRE requirement by assuming that all students should always be placed in the regular classroom unless such placement would place an unreasonable burden on the school, which strays from the intended goal of the Act. n129 Unlike </w:t>
      </w:r>
      <w:proofErr w:type="spellStart"/>
      <w:r>
        <w:t>Roncker</w:t>
      </w:r>
      <w:proofErr w:type="spellEnd"/>
      <w:r>
        <w:t xml:space="preserve">, </w:t>
      </w:r>
      <w:r w:rsidRPr="008366B8">
        <w:rPr>
          <w:rStyle w:val="StyleUnderline"/>
        </w:rPr>
        <w:t xml:space="preserve">the two-prong approach is derived </w:t>
      </w:r>
      <w:r>
        <w:t xml:space="preserve">directly </w:t>
      </w:r>
      <w:r w:rsidRPr="008366B8">
        <w:rPr>
          <w:rStyle w:val="StyleUnderline"/>
        </w:rPr>
        <w:t>from the language of the Act, embodying the congressional preference of placement in the regular classroom</w:t>
      </w:r>
      <w:r>
        <w:t xml:space="preserve"> n130 </w:t>
      </w:r>
      <w:r w:rsidRPr="008366B8">
        <w:rPr>
          <w:rStyle w:val="StyleUnderline"/>
        </w:rPr>
        <w:t xml:space="preserve">while </w:t>
      </w:r>
      <w:r>
        <w:t xml:space="preserve">still </w:t>
      </w:r>
      <w:r w:rsidRPr="008366B8">
        <w:rPr>
          <w:rStyle w:val="StyleUnderline"/>
        </w:rPr>
        <w:t>recognizing that it may be more appropriate to educate</w:t>
      </w:r>
      <w:r>
        <w:t xml:space="preserve">  [*132</w:t>
      </w:r>
      <w:r w:rsidRPr="008366B8">
        <w:rPr>
          <w:rStyle w:val="StyleUnderline"/>
        </w:rPr>
        <w:t>]  some students in more segregated settings</w:t>
      </w:r>
      <w:r>
        <w:t xml:space="preserve"> n131 </w:t>
      </w:r>
      <w:r w:rsidRPr="008366B8">
        <w:rPr>
          <w:rStyle w:val="StyleUnderline"/>
        </w:rPr>
        <w:t>and providing opportunities for interaction with non-disabled peers during non-academic activities</w:t>
      </w:r>
      <w:r>
        <w:t xml:space="preserve">. n132 Furthermore, </w:t>
      </w:r>
      <w:r w:rsidRPr="008366B8">
        <w:rPr>
          <w:rStyle w:val="StyleUnderline"/>
        </w:rPr>
        <w:t xml:space="preserve">this analysis allows for flexibility in determining which factors are relevant to a child's placement on a case-by-case basis, </w:t>
      </w:r>
      <w:r>
        <w:t>whereas the Rachel H. test requires analysis of certain factors which may not always be applicable. n133</w:t>
      </w:r>
    </w:p>
    <w:p w:rsidR="00AF5DAD" w:rsidRDefault="00AF5DAD" w:rsidP="00AF5DAD">
      <w:r>
        <w:t xml:space="preserve">Although any number of factors may be relevant to this inquiry, </w:t>
      </w:r>
      <w:r w:rsidRPr="008366B8">
        <w:rPr>
          <w:rStyle w:val="StyleUnderline"/>
        </w:rPr>
        <w:t>n134 the Court should adopt a set of basic factors and assign an appropriate weight to each</w:t>
      </w:r>
      <w:r>
        <w:t xml:space="preserve">. n135 </w:t>
      </w:r>
      <w:r w:rsidRPr="008366B8">
        <w:t>Three inquiries should always occur: (1) whether the school district has made sufficient effort to provide supplementary aids and services; (2) the benefits--both academic and non-academic--to the student with disabilities of placement in the regular classroom versus a more segregated setting; and (3) the effects--both positive and negative--of the student's presence in the regular classroom on his nondisabled peers.</w:t>
      </w:r>
    </w:p>
    <w:p w:rsidR="00AF5DAD" w:rsidRDefault="00AF5DAD" w:rsidP="00AF5DAD">
      <w:r w:rsidRPr="008366B8">
        <w:rPr>
          <w:rStyle w:val="StyleUnderline"/>
        </w:rPr>
        <w:t>The test's primary consideration should be whether a school district has taken steps to provide a student with disabilities supplementary aids and services in the regular classroom</w:t>
      </w:r>
      <w:r>
        <w:t xml:space="preserve">. School districts must provide supplementary aids and services to support students with disabilities in the regular classroom. n136 Thus, </w:t>
      </w:r>
      <w:r w:rsidRPr="008366B8">
        <w:rPr>
          <w:rStyle w:val="StyleUnderline"/>
        </w:rPr>
        <w:t>there can be no question as to whether courts should consider the sufficiency of a school district's efforts</w:t>
      </w:r>
      <w:r>
        <w:t xml:space="preserve">. Access to supplementary aids and services surely impacts the level of achievement and benefit that a student with disabilities can reach in the regular classroom. n137 Therefore, </w:t>
      </w:r>
      <w:r w:rsidRPr="008366B8">
        <w:rPr>
          <w:rStyle w:val="StyleUnderline"/>
        </w:rPr>
        <w:t>if the school district has not made an effort to provide supplementary aids and services to the student, no further analysis is necessary</w:t>
      </w:r>
      <w:r>
        <w:t>. n138</w:t>
      </w:r>
    </w:p>
    <w:p w:rsidR="00AF5DAD" w:rsidRDefault="00AF5DAD" w:rsidP="00AF5DAD">
      <w:r w:rsidRPr="008366B8">
        <w:rPr>
          <w:rStyle w:val="StyleUnderline"/>
        </w:rPr>
        <w:t>Next, courts should weigh the academic benefit of a regular classroom placement against the academic benefit of placement in a more segregated settin</w:t>
      </w:r>
      <w:r>
        <w:t>g</w:t>
      </w:r>
      <w:r w:rsidRPr="008366B8">
        <w:rPr>
          <w:rStyle w:val="StyleUnderline"/>
        </w:rPr>
        <w:t xml:space="preserve">. Doing so "effectively balance[s the] dual tasks of providing an </w:t>
      </w:r>
      <w:r>
        <w:t xml:space="preserve"> [*133]  </w:t>
      </w:r>
      <w:r w:rsidRPr="008366B8">
        <w:rPr>
          <w:rStyle w:val="StyleUnderline"/>
        </w:rPr>
        <w:t>appropriate education in the least restrictive environment</w:t>
      </w:r>
      <w:r>
        <w:t xml:space="preserve">." n139 Children go to school to learn, and therefore, </w:t>
      </w:r>
      <w:r w:rsidRPr="008366B8">
        <w:rPr>
          <w:rStyle w:val="StyleUnderline"/>
        </w:rPr>
        <w:t>academic benefits should be of the utmost importance in determining the appropriate placement for a student with disabilities.</w:t>
      </w:r>
      <w:r>
        <w:t xml:space="preserve"> n140 </w:t>
      </w:r>
      <w:r w:rsidRPr="008366B8">
        <w:rPr>
          <w:rStyle w:val="StyleUnderline"/>
        </w:rPr>
        <w:t>Only after academic benefits are considered should courts look to the collateral social benefits of placing the student in the regular classroom, such as interpersonal development</w:t>
      </w:r>
      <w:r>
        <w:t xml:space="preserve">. n141 </w:t>
      </w:r>
      <w:r w:rsidRPr="008366B8">
        <w:rPr>
          <w:rStyle w:val="StyleUnderline"/>
        </w:rPr>
        <w:t>Non-academic benefits might tip the scale in favor of inclusion, where academic benefits would be the same regardless of placement</w:t>
      </w:r>
      <w:r>
        <w:t>. n142</w:t>
      </w:r>
    </w:p>
    <w:p w:rsidR="00AF5DAD" w:rsidRDefault="00AF5DAD" w:rsidP="00AF5DAD">
      <w:r w:rsidRPr="008366B8">
        <w:rPr>
          <w:rStyle w:val="StyleUnderline"/>
        </w:rPr>
        <w:t>Lastly, courts should consider the degree to which the student's presence impacts his or her peers' education</w:t>
      </w:r>
      <w:r>
        <w:t xml:space="preserve">, both positively and negatively. This ensures that non-disabled children's rights to an appropriate education are also protected. n143 As several cases have noted, where a child is excessively disruptive or requires an unreasonable amount of individualized attention from the teacher, the regular classroom may not be the appropriate placement. n144 If a student with disabilities would receive only marginal benefits from placement in a regular classroom, doing so at the expense of his peer's education defeats the underlying purpose of the Act: to provide equal education rights to all students regardless of disability. Cost might also be considered under this factor, but only if the school district has used its funding to create an adequate continuum of alternative placements. n145 Where providing supplementary aids and services in the regular classroom is so expensive that it affects the education of other students in the school district, courts have held that placement in a more segregated setting may be appropriate. n146 It is also important to recognize the reciprocal benefits n147 that non-disabled students experience in inclusive classrooms. </w:t>
      </w:r>
      <w:r w:rsidRPr="008366B8">
        <w:rPr>
          <w:rStyle w:val="StyleUnderline"/>
        </w:rPr>
        <w:t>When students with disabilities are placed in the regular classroom, their non-disabled peers also grow socially and behaviorally</w:t>
      </w:r>
      <w:r>
        <w:t xml:space="preserve">. </w:t>
      </w:r>
      <w:r w:rsidRPr="008366B8">
        <w:rPr>
          <w:rStyle w:val="StyleUnderline"/>
        </w:rPr>
        <w:t>n148 Studies show that students who learn alongside peers with disabilities demonstrate increased responsiveness to the</w:t>
      </w:r>
      <w:r>
        <w:t xml:space="preserve">  [*134</w:t>
      </w:r>
      <w:r w:rsidRPr="008366B8">
        <w:rPr>
          <w:rStyle w:val="StyleUnderline"/>
        </w:rPr>
        <w:t>]  needs of others, increased acceptance of disabilities, and learn to effectively communicate with others who are different from them</w:t>
      </w:r>
      <w:r>
        <w:t>. n149</w:t>
      </w:r>
    </w:p>
    <w:p w:rsidR="00AF5DAD" w:rsidRDefault="00AF5DAD" w:rsidP="00AF5DAD">
      <w:r>
        <w:t xml:space="preserve">Using the aforementioned factors, in conjunction with any other factor that may prove relevant for consideration in an individual case, a court may determine that a student with disabilities will be better served in a more restrictive setting than the regular classroom. </w:t>
      </w:r>
      <w:r w:rsidRPr="008366B8">
        <w:rPr>
          <w:rStyle w:val="StyleUnderline"/>
        </w:rPr>
        <w:t>The Court should adopt a new test that addresses such instances by requiring an additional straightforward inquiry that determines whether the student has been mainstreamed to the maximum extent appropriate</w:t>
      </w:r>
      <w:r>
        <w:t>. This question is easily answered by assessing the extent to which the child is integrated during lunch, recess, and other non-academic activities.</w:t>
      </w:r>
    </w:p>
    <w:p w:rsidR="00AF5DAD" w:rsidRDefault="00AF5DAD" w:rsidP="00AF5DAD">
      <w:r>
        <w:t>B. Systemic Reform</w:t>
      </w:r>
    </w:p>
    <w:p w:rsidR="00AF5DAD" w:rsidRDefault="00AF5DAD" w:rsidP="00AF5DAD">
      <w:r w:rsidRPr="008366B8">
        <w:rPr>
          <w:rStyle w:val="StyleUnderline"/>
        </w:rPr>
        <w:t>Adopting a nationwide rule is a positive step toward ensuring equal education rights for all students with disabilities on an individual level.</w:t>
      </w:r>
      <w:r>
        <w:t xml:space="preserve"> However, </w:t>
      </w:r>
      <w:r w:rsidRPr="008366B8">
        <w:rPr>
          <w:rStyle w:val="StyleUnderline"/>
        </w:rPr>
        <w:t>such protection will only be available to those students who have the resources to maneuver the justice system for individualized review</w:t>
      </w:r>
      <w:r>
        <w:t xml:space="preserve">. n150 Despite the thirty-plus years since the inception of the LRE requirement, school districts still struggle to successfully implement its mandates. </w:t>
      </w:r>
      <w:r w:rsidRPr="00920B18">
        <w:rPr>
          <w:rStyle w:val="StyleUnderline"/>
        </w:rPr>
        <w:t>n151 To properly serve all students with disabilities, the existing education system needs to experience reform physically, economically, and systematically.</w:t>
      </w:r>
      <w:r>
        <w:t xml:space="preserve"> n152</w:t>
      </w:r>
    </w:p>
    <w:p w:rsidR="00AF5DAD" w:rsidRDefault="00AF5DAD" w:rsidP="00AF5DAD">
      <w:r>
        <w:t>First</w:t>
      </w:r>
      <w:r w:rsidRPr="00920B18">
        <w:rPr>
          <w:rStyle w:val="StyleUnderline"/>
        </w:rPr>
        <w:t>, schools must develop a physical environment that supports students with disabilities to fully effectuate inclusive education. n153 Schools should be designed to promote social interaction, thereby reducing the stigmatizing effect of segregated placements when necessary.</w:t>
      </w:r>
      <w:r>
        <w:t xml:space="preserve"> n154 Buildings can be made accessible to all students, for example, by ensuring that students in wheelchairs  [*135]  are not barred from any area of the building. n155 Accessibility is also improved by providing appropriate technology that makes participation in the classroom possible. n156 </w:t>
      </w:r>
      <w:r w:rsidRPr="00920B18">
        <w:rPr>
          <w:rStyle w:val="StyleUnderline"/>
        </w:rPr>
        <w:t>Classrooms should be designed with flexibility to accommodate any type of instruction from group activities to individualized instruction. n157 Class sizes must also be decreased to allow teachers to respond to the unique needs of all of the students without becoming overwhelmed. n158 Smaller class sizes afford all students more individualized attention resulting in increased academic success</w:t>
      </w:r>
      <w:r>
        <w:t>. n159</w:t>
      </w:r>
    </w:p>
    <w:p w:rsidR="00AF5DAD" w:rsidRDefault="00AF5DAD" w:rsidP="00AF5DAD">
      <w:r w:rsidRPr="00920B18">
        <w:rPr>
          <w:rStyle w:val="StyleUnderline"/>
        </w:rPr>
        <w:t>Fulfillment of the LRE provision also requires funding reform.</w:t>
      </w:r>
      <w:r>
        <w:t xml:space="preserve"> n160 Appropriate education and supplementary services cannot be provided without sufficient financial support. n161 As a result of limited federal funding and varying state funding models, school districts are often without the financial resources to ensure successful implementation of IDEA's mandates. n162 </w:t>
      </w:r>
      <w:r w:rsidRPr="00920B18">
        <w:rPr>
          <w:rStyle w:val="StyleUnderline"/>
        </w:rPr>
        <w:t>Although some courts currently consider cost when evaluating LRE placements, individual lawsuits are unlikely to address large-scale funding; thus, economic factors "need to be addressed outside of the individual rights of students with disabilities</w:t>
      </w:r>
      <w:r>
        <w:t xml:space="preserve">." n163 </w:t>
      </w:r>
      <w:r w:rsidRPr="00920B18">
        <w:rPr>
          <w:rStyle w:val="StyleUnderline"/>
        </w:rPr>
        <w:t>Without funding reform, school districts may never be able to fulfill IDEA's promises to students with disabilities</w:t>
      </w:r>
      <w:r>
        <w:t>. n164</w:t>
      </w:r>
    </w:p>
    <w:p w:rsidR="00AF5DAD" w:rsidRDefault="00AF5DAD" w:rsidP="00AF5DAD">
      <w:r>
        <w:t>Perhaps the most influential reform to take place is that of educators' approach to education itself and the ways in which it is delivered. n165 General education and special education teachers have historically trained differently as a result of the existing dual-system. n166 To accommodate increasing numbers of students with disabilities in the regular classroom, school districts must provide general education teachers with appropriate training to enable them to effectively and confidently teach in inclusive classrooms. n167 Ongoing professional development that emphasizes situation-specific problem solving  [*136]  strategies and best practices for teaching and adapting curriculum is an important component of any successful inclusion program. n168 Research shows that administrative attitudes are also important tools for fostering successful inclusion practices. n169 Administrators should encourage and empower educators to approach teaching in inclusive classrooms with positive attitudes. n170 Proper implementation of the LRE mandate also requires adequate provision of support staff and time designated collaborative planning between general education and special education teachers. n171 One of the most widely used methods of collaboration, co-teaching, allows general and special educators to plan for and effectively provide successful inclusive instruction. n172</w:t>
      </w:r>
    </w:p>
    <w:p w:rsidR="00AF5DAD" w:rsidRDefault="00AF5DAD" w:rsidP="00AF5DAD">
      <w:r w:rsidRPr="00920B18">
        <w:rPr>
          <w:rStyle w:val="StyleUnderline"/>
        </w:rPr>
        <w:t>Only once our existing schools are restructured and repurposed can the full benefits of IDEA's mandates be realized. With sufficient funding, school districts can renovate and build schools that welcome all students and provide resources and training to general education teachers to effectively instruct in inclusive classrooms</w:t>
      </w:r>
      <w:r>
        <w:t>.</w:t>
      </w:r>
    </w:p>
    <w:p w:rsidR="00AF5DAD" w:rsidRDefault="00AF5DAD" w:rsidP="00AF5DAD">
      <w:r>
        <w:t>CONCLUSION</w:t>
      </w:r>
    </w:p>
    <w:p w:rsidR="00AF5DAD" w:rsidRDefault="00AF5DAD" w:rsidP="00AF5DAD">
      <w:r>
        <w:t xml:space="preserve">IDEA has drastically improved academic opportunities for students with disabilities like Andrew since its inception. However, </w:t>
      </w:r>
      <w:r w:rsidRPr="00920B18">
        <w:rPr>
          <w:rStyle w:val="StyleUnderline"/>
        </w:rPr>
        <w:t>there are improvements to be made in order to fulfill IDEA's promises of equal education for all students. This can only be fully achieved by setting national standards for compliance with the LRE mandate and encouraging reform in the education system. The Supreme Court can ensure equal implementation of the LRE provision across the country by adopting a test that resembles the Daniel R.R. two-prong analysis: examining whether education can be satisfactorily achieved in a regular classroom with supplementary supports, and in cases where placement in a segregated classroom is warranted, whether the school has mainstreamed the student to the maximum extent appropriate</w:t>
      </w:r>
      <w:r>
        <w:t xml:space="preserve"> during lunch, recess, or other non-academic classes. In addition, policymakers, administrators, and educators should demand a large-scale system reform that improves the physical environment and funding structure and empowers educators to effectively educate students in inclusive classrooms.</w:t>
      </w:r>
    </w:p>
    <w:p w:rsidR="00AF5DAD" w:rsidRPr="00D979B1" w:rsidRDefault="00AF5DAD" w:rsidP="00AF5DAD">
      <w:r>
        <w:t xml:space="preserve"> [*137]  With the these changes, Andrew's story could be different: In a school district that has made significant progress in implementing IDEA's guarantees, Andrew sits at his desk with an assignment that was uniquely designed to meet his academic needs and works confidently to complete his work. His teacher has received hours of special education training and is able to identify the proper supplementary supports needed to help Andrew succeed. Andrew no longer worries about falling behind the rest of his fourth grade classmates, and his plans of someday going to college no longer seem so far-fetched.</w:t>
      </w:r>
    </w:p>
    <w:p w:rsidR="00BE7197" w:rsidRDefault="00BE7197" w:rsidP="00BE7197">
      <w:pPr>
        <w:pStyle w:val="Heading4"/>
      </w:pPr>
      <w:r>
        <w:t>A federal court ruling is necessary to force an end to discrimination against special needs students by charter schools</w:t>
      </w:r>
    </w:p>
    <w:p w:rsidR="00BE7197" w:rsidRPr="000D20B3" w:rsidRDefault="00BE7197" w:rsidP="00BE7197">
      <w:proofErr w:type="spellStart"/>
      <w:r w:rsidRPr="000D20B3">
        <w:rPr>
          <w:rStyle w:val="Style13ptBold"/>
        </w:rPr>
        <w:t>Wieselthier</w:t>
      </w:r>
      <w:proofErr w:type="spellEnd"/>
      <w:r w:rsidRPr="000D20B3">
        <w:rPr>
          <w:rStyle w:val="Style13ptBold"/>
        </w:rPr>
        <w:t xml:space="preserve"> 2013</w:t>
      </w:r>
      <w:r>
        <w:t xml:space="preserve"> - 2012 magna cum laude grad of Hofstra Law </w:t>
      </w:r>
      <w:r>
        <w:br/>
        <w:t>Sarah, "Judicial Clarity: Giving Teeth to the Application of Federal Disability Laws in Charter Schools," 2013 BYU Educ. &amp; L. J. 67</w:t>
      </w:r>
    </w:p>
    <w:p w:rsidR="00BE7197" w:rsidRDefault="00BE7197" w:rsidP="00BE7197">
      <w:r w:rsidRPr="000D20B3">
        <w:rPr>
          <w:rStyle w:val="StyleUnderline"/>
        </w:rPr>
        <w:t>Charter schools are unique in that they are public but free from the regulation</w:t>
      </w:r>
      <w:r>
        <w:t xml:space="preserve"> and oversight traditional public schools are subject to in order to provide them with the opportunity to use innovative teaching methods to improve student outcomes. n15 Despite this </w:t>
      </w:r>
      <w:r w:rsidRPr="000D20B3">
        <w:rPr>
          <w:rStyle w:val="StyleUnderline"/>
        </w:rPr>
        <w:t xml:space="preserve">autonomy, charter schools are still bound by the federal special education and civil rights laws that protect students with disabilities. </w:t>
      </w:r>
      <w:r>
        <w:t xml:space="preserve">n16 </w:t>
      </w:r>
      <w:r w:rsidRPr="000D20B3">
        <w:rPr>
          <w:rStyle w:val="StyleUnderline"/>
        </w:rPr>
        <w:t>The rigid and rigorous standards of these disability laws are incongruent with the flexible and innovative structure of charter schools, making compliance a challenge.</w:t>
      </w:r>
      <w:r>
        <w:t xml:space="preserve"> n17</w:t>
      </w:r>
    </w:p>
    <w:p w:rsidR="00BE7197" w:rsidRDefault="00BE7197" w:rsidP="00BE7197">
      <w:r>
        <w:t xml:space="preserve">The problem with most </w:t>
      </w:r>
      <w:r w:rsidRPr="000D20B3">
        <w:rPr>
          <w:rStyle w:val="StyleUnderline"/>
        </w:rPr>
        <w:t xml:space="preserve">charter schools </w:t>
      </w:r>
      <w:r>
        <w:t xml:space="preserve">is not that they seek to violate the laws protecting students with disabilities, but rather that they </w:t>
      </w:r>
      <w:r w:rsidRPr="000D20B3">
        <w:rPr>
          <w:rStyle w:val="StyleUnderline"/>
        </w:rPr>
        <w:t>do not have the resources to provide these students with appropriate special education and related services</w:t>
      </w:r>
      <w:r>
        <w:t xml:space="preserve">. n18 </w:t>
      </w:r>
      <w:r w:rsidRPr="000D20B3">
        <w:rPr>
          <w:rStyle w:val="StyleUnderline"/>
        </w:rPr>
        <w:t>Charter schools face significant challenges in balancing their mission to achieve academic success through creative and flexible teaching methods against compliance with rigid federal disability laws.</w:t>
      </w:r>
      <w:r>
        <w:t xml:space="preserve"> n19 In order to achieve the appropriate balance, </w:t>
      </w:r>
      <w:r w:rsidRPr="000D20B3">
        <w:rPr>
          <w:rStyle w:val="StyleUnderline"/>
        </w:rPr>
        <w:t>there must be judicial interpretation and clarification to give teeth to the requirement that charter schools comply with federal disability laws and to set forth the obligations and freedoms of charter schools in educating students with special needs</w:t>
      </w:r>
      <w:r>
        <w:t xml:space="preserve">. n20 </w:t>
      </w:r>
      <w:r w:rsidRPr="000D20B3">
        <w:rPr>
          <w:rStyle w:val="StyleUnderline"/>
        </w:rPr>
        <w:t xml:space="preserve">Without the courts weighing in, this discrimination will  </w:t>
      </w:r>
      <w:r>
        <w:t xml:space="preserve">[*70]  </w:t>
      </w:r>
      <w:r w:rsidRPr="000D20B3">
        <w:rPr>
          <w:rStyle w:val="StyleUnderline"/>
        </w:rPr>
        <w:t>continue</w:t>
      </w:r>
      <w:r w:rsidRPr="000D20B3">
        <w:t>.</w:t>
      </w:r>
    </w:p>
    <w:p w:rsidR="008C37F9" w:rsidRDefault="008C37F9" w:rsidP="008C37F9">
      <w:pPr>
        <w:pStyle w:val="Heading4"/>
      </w:pPr>
      <w:r>
        <w:t>Setting federal precedent is necessary, anything less allows for an interpretation by a Circuit court that conflates the ADA and IDEA, preventing appropriate redress for students with needs</w:t>
      </w:r>
    </w:p>
    <w:p w:rsidR="008C37F9" w:rsidRPr="0098498C" w:rsidRDefault="008C37F9" w:rsidP="008C37F9">
      <w:r w:rsidRPr="0098498C">
        <w:rPr>
          <w:rStyle w:val="Style13ptBold"/>
        </w:rPr>
        <w:t>Estrella-Lemus 2014</w:t>
      </w:r>
      <w:r>
        <w:t xml:space="preserve"> - third year student at Pepperdine University School of Law </w:t>
      </w:r>
      <w:r>
        <w:br/>
        <w:t xml:space="preserve">Angela, "An IDEA for Special Education: Why the IDEA Should Have Primacy over the ADA in Adjudicating Education Claims for Students with Disabilities," 34 J. Nat'l </w:t>
      </w:r>
      <w:proofErr w:type="spellStart"/>
      <w:r>
        <w:t>Ass'n</w:t>
      </w:r>
      <w:proofErr w:type="spellEnd"/>
      <w:r>
        <w:t xml:space="preserve"> L. Jud. 405</w:t>
      </w:r>
    </w:p>
    <w:p w:rsidR="008C37F9" w:rsidRDefault="008C37F9" w:rsidP="008C37F9">
      <w:r>
        <w:t>V. The IDEA Should Have Primacy over the ADA in Special Education</w:t>
      </w:r>
    </w:p>
    <w:p w:rsidR="008C37F9" w:rsidRDefault="008C37F9" w:rsidP="008C37F9">
      <w:r>
        <w:t>A. Comparing the Purposes of the ADA and the IDEA</w:t>
      </w:r>
    </w:p>
    <w:p w:rsidR="008C37F9" w:rsidRPr="008C37F9" w:rsidRDefault="008C37F9" w:rsidP="008C37F9">
      <w:pPr>
        <w:rPr>
          <w:rStyle w:val="StyleUnderline"/>
        </w:rPr>
      </w:pPr>
      <w:r>
        <w:t>While the Ninth Circuit held that compliance with the IDEA does not automatically guarantee compliance with the ADA, it is important to assess how the ADA and the IDEA differ and what these differences mean for school districts. The goals of the ADA and the IDEA are similar in that they both aim to protect the rights of individuals with disabilities; however, they have noticeable and measurable differences: "</w:t>
      </w:r>
      <w:r w:rsidRPr="008C37F9">
        <w:rPr>
          <w:rStyle w:val="StyleUnderline"/>
        </w:rPr>
        <w:t>The ADA's goal of enabling people with disabilities to receive the same opportunities as people without disabilities is distinct from the IDEA's goal of enabling students with disabilities to receive the same educational opportunities as nondisabled students</w:t>
      </w:r>
      <w:r>
        <w:t xml:space="preserve">." n171 There are educational and noneducational distinctions between the ADA and the IDEA. </w:t>
      </w:r>
      <w:r w:rsidRPr="008C37F9">
        <w:rPr>
          <w:rStyle w:val="StyleUnderline"/>
        </w:rPr>
        <w:t>The difference in purpose between the ADA and the IDEA at its most basic level is that the former piece of legislation deals with providing people with disabilities the same opportunities, while the latter deals specifically with providing people with disabilities the same educational opportunities as those without disabilities</w:t>
      </w:r>
      <w:r>
        <w:t xml:space="preserve">. n172 </w:t>
      </w:r>
      <w:r w:rsidRPr="008C37F9">
        <w:rPr>
          <w:rStyle w:val="StyleUnderline"/>
        </w:rPr>
        <w:t>Due to this distinction, they have different definitions for what qualifies as a disability.</w:t>
      </w:r>
    </w:p>
    <w:p w:rsidR="008C37F9" w:rsidRDefault="008C37F9" w:rsidP="008C37F9">
      <w:r>
        <w:t xml:space="preserve"> [*435]  As discussed below</w:t>
      </w:r>
      <w:r w:rsidRPr="008C37F9">
        <w:rPr>
          <w:rStyle w:val="StyleUnderline"/>
        </w:rPr>
        <w:t>, the ADA definition continues to broaden with each reauthorization</w:t>
      </w:r>
      <w:r>
        <w:t xml:space="preserve">, n173 </w:t>
      </w:r>
      <w:r w:rsidRPr="008C37F9">
        <w:rPr>
          <w:rStyle w:val="StyleUnderline"/>
        </w:rPr>
        <w:t>whereas the IDEA definition continues to narrow</w:t>
      </w:r>
      <w:r>
        <w:t xml:space="preserve">. n174 </w:t>
      </w:r>
      <w:r w:rsidRPr="008C37F9">
        <w:rPr>
          <w:rStyle w:val="StyleUnderline"/>
        </w:rPr>
        <w:t>A broader ADA definition that defines disability as a physical or mental impairment limiting a major life activity incorporates more individuals with disabilities under the Act, but moves even further away from a focus on education</w:t>
      </w:r>
      <w:r>
        <w:t xml:space="preserve">. n175 In contrast, </w:t>
      </w:r>
      <w:r w:rsidRPr="008C37F9">
        <w:rPr>
          <w:rStyle w:val="StyleUnderline"/>
        </w:rPr>
        <w:t>a narrower IDEA definition focuses more purposefully on disabilities that affect education, such as hearing impairments, autism, and specific learning disabilities</w:t>
      </w:r>
      <w:r>
        <w:t>. n176</w:t>
      </w:r>
    </w:p>
    <w:p w:rsidR="008C37F9" w:rsidRDefault="008C37F9" w:rsidP="008C37F9">
      <w:r>
        <w:t xml:space="preserve">In addition, with a definition of disability that focuses more specifically on education, the IDEA has more extensive procedural requirements than the ADA. n177 </w:t>
      </w:r>
      <w:r w:rsidRPr="008C37F9">
        <w:rPr>
          <w:rStyle w:val="StyleUnderline"/>
        </w:rPr>
        <w:t xml:space="preserve">The IDEA sets a standard for access to education and requires school districts to ensure that students with disabilities meet that standard of access through individualized programs regardless of the cost or administrative burden it takes to make that happen. </w:t>
      </w:r>
      <w:r>
        <w:t xml:space="preserve">n178 In contrast, </w:t>
      </w:r>
      <w:r w:rsidRPr="008C37F9">
        <w:rPr>
          <w:rStyle w:val="StyleUnderline"/>
        </w:rPr>
        <w:t>the ADA requires school districts to make existing services equally accessible, but only so far as it does not unnecessarily burden or alter the existing programs</w:t>
      </w:r>
      <w:r>
        <w:t xml:space="preserve">. n179 This distinction demonstrates that the goal of the IDEA is access to education, whereas the goal of the ADA is preventing general discrimination based on disability. Due to their differing goals, </w:t>
      </w:r>
      <w:r w:rsidRPr="008C37F9">
        <w:rPr>
          <w:rStyle w:val="StyleUnderline"/>
        </w:rPr>
        <w:t>the IDEA's obligations to students are different than the ADA's obligations to the same group of students</w:t>
      </w:r>
      <w:r>
        <w:t>. For example, under Title II of the ADA, a public school must provide DHH students with communications that are as effective as the communications that are provided for individuals without a disability. n180 Under the IDEA, a school must provide each individual DHH student with a specific education  [*436]  program designed to meet that student's individual educational needs.</w:t>
      </w:r>
    </w:p>
    <w:p w:rsidR="008C37F9" w:rsidRPr="0098498C" w:rsidRDefault="008C37F9" w:rsidP="008C37F9">
      <w:r>
        <w:t xml:space="preserve">When comparing the IDEA and the ADA, it is clear that the </w:t>
      </w:r>
      <w:r w:rsidRPr="008C37F9">
        <w:rPr>
          <w:rStyle w:val="StyleUnderline"/>
        </w:rPr>
        <w:t>IDEA puts more pressure on school districts to help and support individuals with disabilities through their education -</w:t>
      </w:r>
      <w:r>
        <w:t xml:space="preserve"> this is the Act's specific purpose. </w:t>
      </w:r>
      <w:r w:rsidRPr="008C37F9">
        <w:rPr>
          <w:rStyle w:val="StyleUnderline"/>
        </w:rPr>
        <w:t>In ruling that a student can bring claims under both the IDEA and the ADA for the same situation, the Ninth Circuit did not honor the purpose of the IDEA</w:t>
      </w:r>
      <w:r>
        <w:t>.</w:t>
      </w:r>
    </w:p>
    <w:p w:rsidR="00E174D9" w:rsidRDefault="00E174D9" w:rsidP="00E174D9">
      <w:pPr>
        <w:pStyle w:val="Heading4"/>
      </w:pPr>
      <w:r>
        <w:t>Reclarification of LRE allows for the government to identify which schools are failing their students, forcing litigation and legal intervention</w:t>
      </w:r>
    </w:p>
    <w:p w:rsidR="00E174D9" w:rsidRPr="00BE1383" w:rsidRDefault="00E174D9" w:rsidP="00E174D9">
      <w:r w:rsidRPr="00BE1383">
        <w:rPr>
          <w:rStyle w:val="Style13ptBold"/>
        </w:rPr>
        <w:t>Hehir 2012</w:t>
      </w:r>
      <w:r>
        <w:t xml:space="preserve"> -  Silvana and Christopher </w:t>
      </w:r>
      <w:proofErr w:type="spellStart"/>
      <w:r>
        <w:t>Pascucci</w:t>
      </w:r>
      <w:proofErr w:type="spellEnd"/>
      <w:r>
        <w:t xml:space="preserve"> Professor of Practice in Learning Differences at the Harvard Graduate School of Education </w:t>
      </w:r>
      <w:r>
        <w:br/>
        <w:t xml:space="preserve">Thomas and Lauren Katzman, </w:t>
      </w:r>
      <w:r>
        <w:rPr>
          <w:i/>
        </w:rPr>
        <w:t xml:space="preserve">Effective Inclusive Schools: Designing Successful Schoolwide Programs, </w:t>
      </w:r>
      <w:r>
        <w:t>Jossey-Bass Press, p. 198-199</w:t>
      </w:r>
    </w:p>
    <w:p w:rsidR="00E174D9" w:rsidRDefault="00E174D9" w:rsidP="00E174D9">
      <w:r w:rsidRPr="00E174D9">
        <w:rPr>
          <w:rStyle w:val="StyleUnderline"/>
        </w:rPr>
        <w:t>Though both FAPE and LRE are relatively vague, they are central to IDEA and should be viewed as the main entitlements of the law</w:t>
      </w:r>
      <w:r>
        <w:t xml:space="preserve">, designed to confer benefits on children. As the research has shown, and </w:t>
      </w:r>
      <w:r w:rsidRPr="00E174D9">
        <w:rPr>
          <w:rStyle w:val="StyleUnderline"/>
        </w:rPr>
        <w:t>these schools demonstrate, integration is associated with better outcomes for students with disabilities</w:t>
      </w:r>
      <w:r>
        <w:t xml:space="preserve">, </w:t>
      </w:r>
      <w:r w:rsidRPr="00E174D9">
        <w:rPr>
          <w:rStyle w:val="StyleUnderline"/>
        </w:rPr>
        <w:t>and FAPE ultimately should ensure that the effects of students’ disabilities are minimized through the provision of special education servi</w:t>
      </w:r>
      <w:r>
        <w:rPr>
          <w:rStyle w:val="StyleUnderline"/>
        </w:rPr>
        <w:t>ces and access to general educa</w:t>
      </w:r>
      <w:r w:rsidRPr="00E174D9">
        <w:rPr>
          <w:rStyle w:val="StyleUnderline"/>
        </w:rPr>
        <w:t>tion with individualized disability accommodations.</w:t>
      </w:r>
      <w:r>
        <w:t xml:space="preserve"> Though these are vague concepts, </w:t>
      </w:r>
      <w:r w:rsidRPr="00E174D9">
        <w:rPr>
          <w:rStyle w:val="StyleUnderline"/>
        </w:rPr>
        <w:t>class action litigations have been successful in finding districts and states in noncompliance with these elements</w:t>
      </w:r>
      <w:r>
        <w:t>, either through court action (for example, Corey H. ) or through negotiated settlements (for example, Chandra Smith ). Further, the 2004 reauthorization of IDEA has required states to develop data-based performance plans that may lend themselves to more robust and effective interventions.</w:t>
      </w:r>
    </w:p>
    <w:p w:rsidR="00E174D9" w:rsidRDefault="00E174D9" w:rsidP="00E174D9">
      <w:r w:rsidRPr="00E174D9">
        <w:rPr>
          <w:rStyle w:val="StyleUnderline"/>
        </w:rPr>
        <w:t>To increase the likelihood of districts implementing practices that will improve outcomes, class action litigation or state interventions must focus more closely on educational practices and move away from their current emphasis on procedural compliance through “top-down” bureaucratic intervention</w:t>
      </w:r>
      <w:r>
        <w:t xml:space="preserve">. </w:t>
      </w:r>
      <w:r w:rsidRPr="00E174D9">
        <w:rPr>
          <w:rStyle w:val="StyleUnderline"/>
        </w:rPr>
        <w:t>They need to promote changes in educational practice at the school level where children are educated.</w:t>
      </w:r>
      <w:r>
        <w:t xml:space="preserve"> This is admittedly difficult to do, because each school, like those profiled in this book, is an organization that is semiautonomous. 16 However, </w:t>
      </w:r>
      <w:r w:rsidRPr="00E174D9">
        <w:rPr>
          <w:rStyle w:val="StyleUnderline"/>
        </w:rPr>
        <w:t xml:space="preserve">the fact that schools are individual organizations may explain some of the failure of </w:t>
      </w:r>
      <w:proofErr w:type="spellStart"/>
      <w:r w:rsidRPr="00E174D9">
        <w:rPr>
          <w:rStyle w:val="StyleUnderline"/>
        </w:rPr>
        <w:t>tradit</w:t>
      </w:r>
      <w:proofErr w:type="spellEnd"/>
      <w:r w:rsidRPr="00E174D9">
        <w:rPr>
          <w:rStyle w:val="StyleUnderline"/>
        </w:rPr>
        <w:t xml:space="preserve"> </w:t>
      </w:r>
      <w:proofErr w:type="spellStart"/>
      <w:r w:rsidRPr="00E174D9">
        <w:rPr>
          <w:rStyle w:val="StyleUnderline"/>
        </w:rPr>
        <w:t>ional</w:t>
      </w:r>
      <w:proofErr w:type="spellEnd"/>
      <w:r w:rsidRPr="00E174D9">
        <w:rPr>
          <w:rStyle w:val="StyleUnderline"/>
        </w:rPr>
        <w:t xml:space="preserve"> bureaucratic interventions; they are apt to treat all schools as if they are the same. A more effective intervention strategy by either a court or the state would thus highlight schools that have failed to implement effective practices and require improvements</w:t>
      </w:r>
      <w:r>
        <w:t xml:space="preserve">. </w:t>
      </w:r>
      <w:r w:rsidRPr="00E174D9">
        <w:rPr>
          <w:rStyle w:val="StyleUnderline"/>
        </w:rPr>
        <w:t>A major element of this effort must focus on capacity development</w:t>
      </w:r>
      <w:r>
        <w:t>.</w:t>
      </w:r>
    </w:p>
    <w:p w:rsidR="00F43315" w:rsidRDefault="00F43315" w:rsidP="00F43315">
      <w:pPr>
        <w:pStyle w:val="Heading4"/>
      </w:pPr>
      <w:r>
        <w:t>Reject impact framing that prio</w:t>
      </w:r>
      <w:r w:rsidR="00332444">
        <w:t xml:space="preserve">ritizes nonsensical flashpoints, instead focus on what will benefit disadvantaged groups the most </w:t>
      </w:r>
    </w:p>
    <w:p w:rsidR="00332444" w:rsidRPr="00332444" w:rsidRDefault="00332444" w:rsidP="00332444">
      <w:r w:rsidRPr="00332444">
        <w:rPr>
          <w:rStyle w:val="Style13ptBold"/>
        </w:rPr>
        <w:t>Hyland 1987</w:t>
      </w:r>
      <w:r>
        <w:t xml:space="preserve"> - Department of Education, Bristol Polytechnic</w:t>
      </w:r>
      <w:r>
        <w:br/>
        <w:t>Terry, "Disability and the Moral Point of View," Disability, Handicap &amp; Society, 2:2, 163-173</w:t>
      </w:r>
    </w:p>
    <w:p w:rsidR="00332444" w:rsidRDefault="00332444" w:rsidP="00332444">
      <w:r>
        <w:t>We can legislate for social change and, as the British political experience of</w:t>
      </w:r>
      <w:r w:rsidR="00F8648C">
        <w:t xml:space="preserve"> </w:t>
      </w:r>
      <w:r>
        <w:t>recent years has shown, a certain sort of ethos and world-view can soon become</w:t>
      </w:r>
      <w:r w:rsidR="00F8648C">
        <w:t xml:space="preserve"> </w:t>
      </w:r>
      <w:r>
        <w:t>embedded in the popular imagination; in this way it becomes part of what Marxists</w:t>
      </w:r>
      <w:r w:rsidR="00F8648C">
        <w:t xml:space="preserve"> </w:t>
      </w:r>
      <w:r>
        <w:t>refer to as the 'hegemony', the unquestioned common-sense understanding of the</w:t>
      </w:r>
      <w:r w:rsidR="00F8648C">
        <w:t xml:space="preserve"> </w:t>
      </w:r>
      <w:r>
        <w:t xml:space="preserve">world. </w:t>
      </w:r>
      <w:r w:rsidRPr="00F8648C">
        <w:rPr>
          <w:rStyle w:val="StyleUnderline"/>
        </w:rPr>
        <w:t>Attitudes, beliefs and codes of conduct have no life of their own outside the</w:t>
      </w:r>
      <w:r w:rsidR="00F8648C">
        <w:rPr>
          <w:rStyle w:val="StyleUnderline"/>
        </w:rPr>
        <w:t xml:space="preserve"> </w:t>
      </w:r>
      <w:r w:rsidRPr="00F8648C">
        <w:rPr>
          <w:rStyle w:val="StyleUnderline"/>
        </w:rPr>
        <w:t xml:space="preserve">framework of a social setting, and it is important, therefore, to </w:t>
      </w:r>
      <w:proofErr w:type="spellStart"/>
      <w:r w:rsidRPr="00F8648C">
        <w:rPr>
          <w:rStyle w:val="StyleUnderline"/>
        </w:rPr>
        <w:t>emphasise</w:t>
      </w:r>
      <w:proofErr w:type="spellEnd"/>
      <w:r w:rsidRPr="00F8648C">
        <w:rPr>
          <w:rStyle w:val="StyleUnderline"/>
        </w:rPr>
        <w:t xml:space="preserve"> the vital</w:t>
      </w:r>
      <w:r w:rsidR="00F8648C">
        <w:rPr>
          <w:rStyle w:val="StyleUnderline"/>
        </w:rPr>
        <w:t xml:space="preserve"> </w:t>
      </w:r>
      <w:r w:rsidRPr="00F8648C">
        <w:rPr>
          <w:rStyle w:val="StyleUnderline"/>
        </w:rPr>
        <w:t xml:space="preserve">role that education and </w:t>
      </w:r>
      <w:proofErr w:type="spellStart"/>
      <w:r w:rsidRPr="00F8648C">
        <w:rPr>
          <w:rStyle w:val="StyleUnderline"/>
        </w:rPr>
        <w:t>socialisation</w:t>
      </w:r>
      <w:proofErr w:type="spellEnd"/>
      <w:r w:rsidRPr="00F8648C">
        <w:rPr>
          <w:rStyle w:val="StyleUnderline"/>
        </w:rPr>
        <w:t xml:space="preserve"> play in this sphere</w:t>
      </w:r>
      <w:r>
        <w:t>.</w:t>
      </w:r>
      <w:r w:rsidR="00F8648C">
        <w:t xml:space="preserve"> </w:t>
      </w:r>
      <w:r w:rsidRPr="00F8648C">
        <w:rPr>
          <w:rStyle w:val="StyleUnderline"/>
        </w:rPr>
        <w:t xml:space="preserve">All contemporary </w:t>
      </w:r>
      <w:proofErr w:type="spellStart"/>
      <w:r w:rsidRPr="00F8648C">
        <w:rPr>
          <w:rStyle w:val="StyleUnderline"/>
        </w:rPr>
        <w:t>programmes</w:t>
      </w:r>
      <w:proofErr w:type="spellEnd"/>
      <w:r w:rsidRPr="00F8648C">
        <w:rPr>
          <w:rStyle w:val="StyleUnderline"/>
        </w:rPr>
        <w:t xml:space="preserve"> of moral education are committed</w:t>
      </w:r>
      <w:r>
        <w:t>, in their</w:t>
      </w:r>
      <w:r w:rsidR="00F8648C">
        <w:t xml:space="preserve"> </w:t>
      </w:r>
      <w:r>
        <w:t xml:space="preserve">various ways, </w:t>
      </w:r>
      <w:r w:rsidRPr="00F8648C">
        <w:rPr>
          <w:rStyle w:val="StyleUnderline"/>
        </w:rPr>
        <w:t>to transmitting the sort of values which have been identified as</w:t>
      </w:r>
      <w:r w:rsidR="00F8648C">
        <w:rPr>
          <w:rStyle w:val="StyleUnderline"/>
        </w:rPr>
        <w:t xml:space="preserve"> </w:t>
      </w:r>
      <w:r w:rsidRPr="00F8648C">
        <w:rPr>
          <w:rStyle w:val="StyleUnderline"/>
        </w:rPr>
        <w:t>important in relation to the way disabled people are perceived and treated</w:t>
      </w:r>
      <w:r>
        <w:t>.</w:t>
      </w:r>
      <w:r w:rsidR="00F8648C">
        <w:t xml:space="preserve"> </w:t>
      </w:r>
      <w:r>
        <w:t xml:space="preserve">However, as </w:t>
      </w:r>
      <w:proofErr w:type="spellStart"/>
      <w:r>
        <w:t>Straughan</w:t>
      </w:r>
      <w:proofErr w:type="spellEnd"/>
      <w:r>
        <w:t xml:space="preserve"> (1982) instructively reminds us, many </w:t>
      </w:r>
      <w:r w:rsidRPr="00F8648C">
        <w:rPr>
          <w:rStyle w:val="StyleUnderline"/>
        </w:rPr>
        <w:t xml:space="preserve">such </w:t>
      </w:r>
      <w:proofErr w:type="spellStart"/>
      <w:r w:rsidRPr="00F8648C">
        <w:rPr>
          <w:rStyle w:val="StyleUnderline"/>
        </w:rPr>
        <w:t>programmes</w:t>
      </w:r>
      <w:proofErr w:type="spellEnd"/>
      <w:r w:rsidRPr="00F8648C">
        <w:rPr>
          <w:rStyle w:val="StyleUnderline"/>
        </w:rPr>
        <w:t xml:space="preserve"> pay</w:t>
      </w:r>
      <w:r w:rsidR="00F8648C">
        <w:rPr>
          <w:rStyle w:val="StyleUnderline"/>
        </w:rPr>
        <w:t xml:space="preserve"> </w:t>
      </w:r>
      <w:r w:rsidRPr="00F8648C">
        <w:rPr>
          <w:rStyle w:val="StyleUnderline"/>
        </w:rPr>
        <w:t>too little attention to the crucial link between belief and conduct and, consequently,</w:t>
      </w:r>
      <w:r w:rsidR="00F8648C">
        <w:rPr>
          <w:rStyle w:val="StyleUnderline"/>
        </w:rPr>
        <w:t xml:space="preserve"> </w:t>
      </w:r>
      <w:r w:rsidRPr="00F8648C">
        <w:rPr>
          <w:rStyle w:val="StyleUnderline"/>
        </w:rPr>
        <w:t>tend to construct a lacuna between theory and practice. One way of remedying this</w:t>
      </w:r>
      <w:r w:rsidR="00F8648C">
        <w:rPr>
          <w:rStyle w:val="StyleUnderline"/>
        </w:rPr>
        <w:t xml:space="preserve"> </w:t>
      </w:r>
      <w:r w:rsidRPr="00F8648C">
        <w:rPr>
          <w:rStyle w:val="StyleUnderline"/>
        </w:rPr>
        <w:t xml:space="preserve">would be to ensure that the content of moral education </w:t>
      </w:r>
      <w:proofErr w:type="spellStart"/>
      <w:r w:rsidRPr="00F8648C">
        <w:rPr>
          <w:rStyle w:val="StyleUnderline"/>
        </w:rPr>
        <w:t>programmes</w:t>
      </w:r>
      <w:proofErr w:type="spellEnd"/>
      <w:r w:rsidRPr="00F8648C">
        <w:rPr>
          <w:rStyle w:val="StyleUnderline"/>
        </w:rPr>
        <w:t xml:space="preserve"> gives special</w:t>
      </w:r>
      <w:r w:rsidR="00F8648C">
        <w:rPr>
          <w:rStyle w:val="StyleUnderline"/>
        </w:rPr>
        <w:t xml:space="preserve"> </w:t>
      </w:r>
      <w:r w:rsidRPr="00F8648C">
        <w:rPr>
          <w:rStyle w:val="StyleUnderline"/>
        </w:rPr>
        <w:t>emphasis to the issues currently affecting contemporary society;</w:t>
      </w:r>
      <w:r>
        <w:t xml:space="preserve"> specifically, the</w:t>
      </w:r>
      <w:r w:rsidR="00F8648C">
        <w:t xml:space="preserve"> </w:t>
      </w:r>
      <w:r>
        <w:t>subject matter ought to be addressed to the glaring inequalities endemic both in</w:t>
      </w:r>
      <w:r w:rsidR="00F8648C">
        <w:t xml:space="preserve"> </w:t>
      </w:r>
      <w:r>
        <w:t xml:space="preserve">Western communities and in the Third World, </w:t>
      </w:r>
      <w:r w:rsidRPr="00F8648C">
        <w:rPr>
          <w:rStyle w:val="StyleUnderline"/>
        </w:rPr>
        <w:t>and should deal with the problems</w:t>
      </w:r>
      <w:r w:rsidR="00F8648C">
        <w:rPr>
          <w:rStyle w:val="StyleUnderline"/>
        </w:rPr>
        <w:t xml:space="preserve"> </w:t>
      </w:r>
      <w:r w:rsidRPr="00F8648C">
        <w:rPr>
          <w:rStyle w:val="StyleUnderline"/>
        </w:rPr>
        <w:t>and experiences of disadvantaged groups</w:t>
      </w:r>
      <w:r>
        <w:t>.</w:t>
      </w:r>
    </w:p>
    <w:p w:rsidR="00332444" w:rsidRDefault="00332444" w:rsidP="00332444">
      <w:r>
        <w:t>I have noted elsewhere (Hyland, 1985) the poor record of educators in this</w:t>
      </w:r>
      <w:r w:rsidR="00F8648C">
        <w:t xml:space="preserve"> </w:t>
      </w:r>
      <w:r>
        <w:t xml:space="preserve">respect; </w:t>
      </w:r>
      <w:r w:rsidRPr="00F8648C">
        <w:rPr>
          <w:rStyle w:val="StyleUnderline"/>
        </w:rPr>
        <w:t>there seems to be a systematic avoidance of the realities of everyday life and</w:t>
      </w:r>
      <w:r w:rsidR="00F8648C">
        <w:rPr>
          <w:rStyle w:val="StyleUnderline"/>
        </w:rPr>
        <w:t xml:space="preserve"> </w:t>
      </w:r>
      <w:r w:rsidRPr="00F8648C">
        <w:rPr>
          <w:rStyle w:val="StyleUnderline"/>
        </w:rPr>
        <w:t>a determination in some quarters to steer clear of the pain, adversity and strife</w:t>
      </w:r>
      <w:r w:rsidR="00F8648C">
        <w:rPr>
          <w:rStyle w:val="StyleUnderline"/>
        </w:rPr>
        <w:t xml:space="preserve"> </w:t>
      </w:r>
      <w:r w:rsidRPr="00F8648C">
        <w:rPr>
          <w:rStyle w:val="StyleUnderline"/>
        </w:rPr>
        <w:t>which are typically a part of every human life and which</w:t>
      </w:r>
      <w:r>
        <w:t xml:space="preserve">, for many people, </w:t>
      </w:r>
      <w:r w:rsidRPr="00F8648C">
        <w:rPr>
          <w:rStyle w:val="StyleUnderline"/>
        </w:rPr>
        <w:t>militate</w:t>
      </w:r>
      <w:r w:rsidR="00F8648C">
        <w:rPr>
          <w:rStyle w:val="StyleUnderline"/>
        </w:rPr>
        <w:t xml:space="preserve"> </w:t>
      </w:r>
      <w:r w:rsidRPr="00F8648C">
        <w:rPr>
          <w:rStyle w:val="StyleUnderline"/>
        </w:rPr>
        <w:t>against the achievement of moral and emotional stability</w:t>
      </w:r>
      <w:r>
        <w:t xml:space="preserve">. </w:t>
      </w:r>
      <w:r w:rsidRPr="00F8648C">
        <w:rPr>
          <w:rStyle w:val="StyleUnderline"/>
        </w:rPr>
        <w:t>What is required is a</w:t>
      </w:r>
      <w:r w:rsidR="00F8648C">
        <w:rPr>
          <w:rStyle w:val="StyleUnderline"/>
        </w:rPr>
        <w:t xml:space="preserve"> </w:t>
      </w:r>
      <w:r w:rsidRPr="00F8648C">
        <w:rPr>
          <w:rStyle w:val="StyleUnderline"/>
        </w:rPr>
        <w:t>sensitive exploration of the sources and consequences of unhappiness in life, a</w:t>
      </w:r>
      <w:r w:rsidR="00F8648C">
        <w:rPr>
          <w:rStyle w:val="StyleUnderline"/>
        </w:rPr>
        <w:t xml:space="preserve"> </w:t>
      </w:r>
      <w:r w:rsidRPr="00F8648C">
        <w:rPr>
          <w:rStyle w:val="StyleUnderline"/>
        </w:rPr>
        <w:t>process which involves turning the critical attention of pupils towards such issues as</w:t>
      </w:r>
      <w:r w:rsidR="00F8648C">
        <w:rPr>
          <w:rStyle w:val="StyleUnderline"/>
        </w:rPr>
        <w:t xml:space="preserve"> </w:t>
      </w:r>
      <w:r w:rsidRPr="00F8648C">
        <w:rPr>
          <w:rStyle w:val="StyleUnderline"/>
        </w:rPr>
        <w:t>poverty, illness, pain, disability, loneliness, depression, and aspects of death and</w:t>
      </w:r>
      <w:r w:rsidR="00F8648C">
        <w:rPr>
          <w:rStyle w:val="StyleUnderline"/>
        </w:rPr>
        <w:t xml:space="preserve"> </w:t>
      </w:r>
      <w:r w:rsidRPr="00F8648C">
        <w:rPr>
          <w:rStyle w:val="StyleUnderline"/>
        </w:rPr>
        <w:t xml:space="preserve">dying, </w:t>
      </w:r>
      <w:r>
        <w:t>areas which, if they are discussed at all in schools, are treated only</w:t>
      </w:r>
      <w:r w:rsidR="00F8648C">
        <w:t xml:space="preserve"> </w:t>
      </w:r>
      <w:r>
        <w:t>superficially.</w:t>
      </w:r>
    </w:p>
    <w:p w:rsidR="00332444" w:rsidRDefault="00332444" w:rsidP="00332444">
      <w:r>
        <w:t xml:space="preserve">Moral education </w:t>
      </w:r>
      <w:proofErr w:type="spellStart"/>
      <w:r>
        <w:t>programmes</w:t>
      </w:r>
      <w:proofErr w:type="spellEnd"/>
      <w:r>
        <w:t xml:space="preserve"> (especially in the light of the Warnock Report's</w:t>
      </w:r>
      <w:r w:rsidR="00F8648C">
        <w:t xml:space="preserve"> </w:t>
      </w:r>
      <w:r>
        <w:t>(1978) recommendations for the integration of handicapped pupils into the mainstream of schooling) must address the topic of disability specifically, and must treat</w:t>
      </w:r>
      <w:r w:rsidR="00F8648C">
        <w:t xml:space="preserve"> </w:t>
      </w:r>
      <w:r>
        <w:t>it with the seriousness that is currently being shown in schools towards such issues</w:t>
      </w:r>
      <w:r w:rsidR="00F8648C">
        <w:t xml:space="preserve"> </w:t>
      </w:r>
      <w:r>
        <w:t>as sex education and drug abuse. I would agree with Withers (1986) that empathy</w:t>
      </w:r>
      <w:r w:rsidR="00F8648C">
        <w:t xml:space="preserve"> </w:t>
      </w:r>
      <w:r>
        <w:t>might be rather too much to hope for in this area. A more direct and determined</w:t>
      </w:r>
      <w:r w:rsidR="00F8648C">
        <w:t xml:space="preserve"> </w:t>
      </w:r>
      <w:r>
        <w:t>approach is necessary if the moral position outlined above is to be translated into</w:t>
      </w:r>
      <w:r w:rsidR="00F8648C">
        <w:t xml:space="preserve"> </w:t>
      </w:r>
      <w:r>
        <w:t xml:space="preserve">the desired changes in attitudes and social </w:t>
      </w:r>
      <w:proofErr w:type="spellStart"/>
      <w:r>
        <w:t>behaviour</w:t>
      </w:r>
      <w:proofErr w:type="spellEnd"/>
      <w:r>
        <w:t>.</w:t>
      </w:r>
    </w:p>
    <w:p w:rsidR="00332444" w:rsidRPr="00332444" w:rsidRDefault="00332444" w:rsidP="00332444">
      <w:proofErr w:type="spellStart"/>
      <w:r>
        <w:t>Brisenden</w:t>
      </w:r>
      <w:proofErr w:type="spellEnd"/>
      <w:r>
        <w:t xml:space="preserve"> argues that the "choice of independent living is not a privilege</w:t>
      </w:r>
      <w:r w:rsidR="00F8648C">
        <w:t xml:space="preserve"> </w:t>
      </w:r>
      <w:r>
        <w:t>conferred on us by a generous society, but is the right of all individuals, regardless of</w:t>
      </w:r>
      <w:r w:rsidR="00F8648C">
        <w:t xml:space="preserve"> </w:t>
      </w:r>
      <w:r>
        <w:t xml:space="preserve">disability, to live in the community" (op. cit., p. 178). </w:t>
      </w:r>
      <w:r w:rsidRPr="00F8648C">
        <w:rPr>
          <w:rStyle w:val="StyleUnderline"/>
        </w:rPr>
        <w:t>The best way to achieve the</w:t>
      </w:r>
      <w:r w:rsidR="00F8648C">
        <w:rPr>
          <w:rStyle w:val="StyleUnderline"/>
        </w:rPr>
        <w:t xml:space="preserve"> </w:t>
      </w:r>
      <w:r w:rsidRPr="00F8648C">
        <w:rPr>
          <w:rStyle w:val="StyleUnderline"/>
        </w:rPr>
        <w:t>acknowledgement and reinforcement of this right is to educate our future citizens in a</w:t>
      </w:r>
      <w:r w:rsidR="00F8648C">
        <w:rPr>
          <w:rStyle w:val="StyleUnderline"/>
        </w:rPr>
        <w:t xml:space="preserve"> </w:t>
      </w:r>
      <w:r w:rsidRPr="00F8648C">
        <w:rPr>
          <w:rStyle w:val="StyleUnderline"/>
        </w:rPr>
        <w:t>way which encourages them to regard disability from the moral point of view</w:t>
      </w:r>
      <w:r>
        <w:t xml:space="preserve"> in the</w:t>
      </w:r>
      <w:r w:rsidR="00F8648C">
        <w:t xml:space="preserve"> </w:t>
      </w:r>
      <w:r>
        <w:t xml:space="preserve">light of the prescriptions put forward above. In the long run the </w:t>
      </w:r>
      <w:r w:rsidRPr="00F8648C">
        <w:rPr>
          <w:rStyle w:val="StyleUnderline"/>
        </w:rPr>
        <w:t>fostering and</w:t>
      </w:r>
      <w:r w:rsidR="00F8648C">
        <w:rPr>
          <w:rStyle w:val="StyleUnderline"/>
        </w:rPr>
        <w:t xml:space="preserve"> </w:t>
      </w:r>
      <w:r w:rsidRPr="00F8648C">
        <w:rPr>
          <w:rStyle w:val="StyleUnderline"/>
        </w:rPr>
        <w:t>widespread acceptance of this moral stance is the only sure way of guaranteeing that</w:t>
      </w:r>
      <w:r w:rsidR="00F8648C">
        <w:rPr>
          <w:rStyle w:val="StyleUnderline"/>
        </w:rPr>
        <w:t xml:space="preserve"> </w:t>
      </w:r>
      <w:r w:rsidRPr="00F8648C">
        <w:rPr>
          <w:rStyle w:val="StyleUnderline"/>
        </w:rPr>
        <w:t>the rights of disabled people are matched by the moral duties and responsibilities that</w:t>
      </w:r>
      <w:r w:rsidR="00F8648C">
        <w:rPr>
          <w:rStyle w:val="StyleUnderline"/>
        </w:rPr>
        <w:t xml:space="preserve"> </w:t>
      </w:r>
      <w:r w:rsidRPr="00F8648C">
        <w:rPr>
          <w:rStyle w:val="StyleUnderline"/>
        </w:rPr>
        <w:t>are inseparable from full and active membership of the community</w:t>
      </w:r>
      <w:r>
        <w:t>.</w:t>
      </w:r>
    </w:p>
    <w:p w:rsidR="00833446" w:rsidRDefault="00833446" w:rsidP="00833446">
      <w:pPr>
        <w:pStyle w:val="Heading3"/>
      </w:pPr>
      <w:r>
        <w:t xml:space="preserve">AT: </w:t>
      </w:r>
      <w:proofErr w:type="spellStart"/>
      <w:r>
        <w:t>Endrew</w:t>
      </w:r>
      <w:proofErr w:type="spellEnd"/>
      <w:r>
        <w:t xml:space="preserve"> Solves</w:t>
      </w:r>
    </w:p>
    <w:p w:rsidR="00833446" w:rsidRDefault="00833446" w:rsidP="00833446">
      <w:pPr>
        <w:pStyle w:val="Heading4"/>
      </w:pPr>
      <w:r>
        <w:t xml:space="preserve">The plan goes well beyond the standards established by </w:t>
      </w:r>
      <w:proofErr w:type="spellStart"/>
      <w:r w:rsidRPr="00920B18">
        <w:rPr>
          <w:i/>
        </w:rPr>
        <w:t>Endrew</w:t>
      </w:r>
      <w:proofErr w:type="spellEnd"/>
      <w:r>
        <w:t xml:space="preserve"> by requiring students with special needs to have an equal standard of education—</w:t>
      </w:r>
      <w:r>
        <w:rPr>
          <w:u w:val="single"/>
        </w:rPr>
        <w:t>but</w:t>
      </w:r>
      <w:r>
        <w:t xml:space="preserve"> </w:t>
      </w:r>
      <w:proofErr w:type="spellStart"/>
      <w:r>
        <w:rPr>
          <w:i/>
        </w:rPr>
        <w:t>Endrew</w:t>
      </w:r>
      <w:proofErr w:type="spellEnd"/>
      <w:r>
        <w:rPr>
          <w:i/>
        </w:rPr>
        <w:t xml:space="preserve"> </w:t>
      </w:r>
      <w:r>
        <w:t>does take out all of their offense</w:t>
      </w:r>
    </w:p>
    <w:p w:rsidR="00833446" w:rsidRPr="00C419B2" w:rsidRDefault="00833446" w:rsidP="00833446">
      <w:r>
        <w:t xml:space="preserve"> </w:t>
      </w:r>
      <w:r w:rsidRPr="00C419B2">
        <w:rPr>
          <w:rStyle w:val="Style13ptBold"/>
        </w:rPr>
        <w:t>McKenna 2017</w:t>
      </w:r>
      <w:r>
        <w:t xml:space="preserve"> – Writer for the Atlantic</w:t>
      </w:r>
      <w:r>
        <w:br/>
        <w:t>Laura, "How a New Supreme Court Ruling Could Affect Special Education," Mar 23, https://www.theatlantic.com/education/archive/2017/03/how-a-new-supreme-court-ruling-could-affect-special-education/520662/</w:t>
      </w:r>
    </w:p>
    <w:p w:rsidR="00833446" w:rsidRDefault="00833446" w:rsidP="00833446">
      <w:r>
        <w:t xml:space="preserve">Despite the ASSA’s opposition to the case, </w:t>
      </w:r>
      <w:r w:rsidRPr="00920B18">
        <w:rPr>
          <w:rStyle w:val="StyleUnderline"/>
        </w:rPr>
        <w:t xml:space="preserve">Sasha </w:t>
      </w:r>
      <w:proofErr w:type="spellStart"/>
      <w:r w:rsidRPr="00920B18">
        <w:rPr>
          <w:rStyle w:val="StyleUnderline"/>
        </w:rPr>
        <w:t>Pudelski</w:t>
      </w:r>
      <w:proofErr w:type="spellEnd"/>
      <w:r w:rsidRPr="00920B18">
        <w:rPr>
          <w:rStyle w:val="StyleUnderline"/>
        </w:rPr>
        <w:t>,</w:t>
      </w:r>
      <w:r>
        <w:t xml:space="preserve"> a lobbyist for the professional association, </w:t>
      </w:r>
      <w:r w:rsidRPr="00920B18">
        <w:rPr>
          <w:rStyle w:val="StyleUnderline"/>
        </w:rPr>
        <w:t>said that the decision will not have a big impact on district practices. The court decision was actually quite moderate</w:t>
      </w:r>
      <w:r>
        <w:t xml:space="preserve">, she said. </w:t>
      </w:r>
      <w:r w:rsidRPr="00920B18">
        <w:rPr>
          <w:rStyle w:val="StyleUnderline"/>
        </w:rPr>
        <w:t>The court rejected the plaintiff’s argument that a special-education student should have a “substantially equal” standard of education as those of typical children.</w:t>
      </w:r>
      <w:r>
        <w:t xml:space="preserve"> Instead, the justices focused on the idea that children with disabilities should receive an education that shows progress in light of their disabilities. </w:t>
      </w:r>
      <w:proofErr w:type="spellStart"/>
      <w:r>
        <w:t>Pudelski</w:t>
      </w:r>
      <w:proofErr w:type="spellEnd"/>
      <w:r>
        <w:t xml:space="preserve"> said that schools are already doing that. “</w:t>
      </w:r>
      <w:r w:rsidRPr="00920B18">
        <w:rPr>
          <w:rStyle w:val="StyleUnderline"/>
        </w:rPr>
        <w:t>It is not going to be groundbreaking for districts,”</w:t>
      </w:r>
      <w:r>
        <w:t xml:space="preserve"> she said. “</w:t>
      </w:r>
      <w:r w:rsidRPr="00920B18">
        <w:rPr>
          <w:rStyle w:val="StyleUnderline"/>
        </w:rPr>
        <w:t>It’s a flexible standard that defers to the expertise of the schools.”</w:t>
      </w:r>
      <w:r>
        <w:rPr>
          <w:rStyle w:val="StyleUnderline"/>
        </w:rPr>
        <w:t xml:space="preserve"> </w:t>
      </w:r>
      <w:r>
        <w:t xml:space="preserve">While </w:t>
      </w:r>
      <w:proofErr w:type="spellStart"/>
      <w:r>
        <w:t>Pudelski</w:t>
      </w:r>
      <w:proofErr w:type="spellEnd"/>
      <w:r>
        <w:t xml:space="preserve"> does not foresee this decision leading to significant change at the local level, she noted that </w:t>
      </w:r>
      <w:r w:rsidRPr="00920B18">
        <w:rPr>
          <w:rStyle w:val="StyleUnderline"/>
        </w:rPr>
        <w:t>the escalating costs of educating children with disabilities puts a lot of pressure on schools, especially given past and proposed cuts to education funding</w:t>
      </w:r>
      <w:r>
        <w:t>. If this decision does, in fact, lead to additional, expensive services, she said, “it would be a recipe for disaster.”</w:t>
      </w:r>
    </w:p>
    <w:p w:rsidR="00833446" w:rsidRDefault="00833446" w:rsidP="00833446"/>
    <w:p w:rsidR="00833446" w:rsidRDefault="00833446" w:rsidP="00833446">
      <w:pPr>
        <w:pStyle w:val="Heading4"/>
      </w:pPr>
      <w:r>
        <w:t xml:space="preserve">The decision in </w:t>
      </w:r>
      <w:proofErr w:type="spellStart"/>
      <w:r>
        <w:rPr>
          <w:i/>
        </w:rPr>
        <w:t>Endrew</w:t>
      </w:r>
      <w:proofErr w:type="spellEnd"/>
      <w:r>
        <w:rPr>
          <w:i/>
        </w:rPr>
        <w:t xml:space="preserve"> </w:t>
      </w:r>
      <w:r>
        <w:t>explicitly says the plan didn’t occur</w:t>
      </w:r>
    </w:p>
    <w:p w:rsidR="00833446" w:rsidRPr="00C34BAA" w:rsidRDefault="00833446" w:rsidP="00833446">
      <w:r w:rsidRPr="00BE34E6">
        <w:rPr>
          <w:rStyle w:val="Style13ptBold"/>
        </w:rPr>
        <w:t>Roberts 2017</w:t>
      </w:r>
      <w:r>
        <w:t xml:space="preserve"> - Chief Justice of the Supreme Court </w:t>
      </w:r>
      <w:r>
        <w:br/>
        <w:t>John, "ENDREW F., A MINOR, BY AND THROUGH HIS PARENTS AND NEXT FRIENDS, JOSEPH F. AND JENNIFER F., PETITIONER v. DOUGLAS COUNTY SCHOOL DISTRICT RE–," Mar 22, https://www.supremecourt.gov/opinions/16pdf/15-827_0pm1.pdf</w:t>
      </w:r>
    </w:p>
    <w:p w:rsidR="00833446" w:rsidRDefault="00833446" w:rsidP="00833446">
      <w:r w:rsidRPr="00440A30">
        <w:rPr>
          <w:rStyle w:val="StyleUnderline"/>
        </w:rPr>
        <w:t>We will not attempt to elaborate on what “appropriate”</w:t>
      </w:r>
      <w:r>
        <w:rPr>
          <w:rStyle w:val="StyleUnderline"/>
        </w:rPr>
        <w:t xml:space="preserve"> </w:t>
      </w:r>
      <w:r w:rsidRPr="00440A30">
        <w:rPr>
          <w:rStyle w:val="StyleUnderline"/>
        </w:rPr>
        <w:t xml:space="preserve">progress will look like </w:t>
      </w:r>
      <w:r>
        <w:t>from case to case. It is in the nature of the Act and the standard we adopt to resist such an effort</w:t>
      </w:r>
      <w:r w:rsidRPr="00440A30">
        <w:rPr>
          <w:rStyle w:val="StyleUnderline"/>
        </w:rPr>
        <w:t>: The adequacy of a given IEP turns on the unique circumstances of the child for whom it was created. This</w:t>
      </w:r>
      <w:r>
        <w:rPr>
          <w:rStyle w:val="StyleUnderline"/>
        </w:rPr>
        <w:t xml:space="preserve"> </w:t>
      </w:r>
      <w:r w:rsidRPr="00440A30">
        <w:rPr>
          <w:rStyle w:val="StyleUnderline"/>
        </w:rPr>
        <w:t>absence of a bright-line rule</w:t>
      </w:r>
      <w:r>
        <w:t xml:space="preserve">, however, </w:t>
      </w:r>
      <w:r w:rsidRPr="00440A30">
        <w:rPr>
          <w:rStyle w:val="StyleUnderline"/>
        </w:rPr>
        <w:t>should not be mistaken</w:t>
      </w:r>
      <w:r>
        <w:rPr>
          <w:rStyle w:val="StyleUnderline"/>
        </w:rPr>
        <w:t xml:space="preserve"> </w:t>
      </w:r>
      <w:r w:rsidRPr="00440A30">
        <w:rPr>
          <w:rStyle w:val="StyleUnderline"/>
        </w:rPr>
        <w:t>for “an invitation to the courts to substitute their</w:t>
      </w:r>
      <w:r>
        <w:rPr>
          <w:rStyle w:val="StyleUnderline"/>
        </w:rPr>
        <w:t xml:space="preserve"> </w:t>
      </w:r>
      <w:r w:rsidRPr="00440A30">
        <w:rPr>
          <w:rStyle w:val="StyleUnderline"/>
        </w:rPr>
        <w:t>own notions of sound educational policy for those of the</w:t>
      </w:r>
      <w:r>
        <w:rPr>
          <w:rStyle w:val="StyleUnderline"/>
        </w:rPr>
        <w:t xml:space="preserve"> </w:t>
      </w:r>
      <w:r w:rsidRPr="00440A30">
        <w:rPr>
          <w:rStyle w:val="StyleUnderline"/>
        </w:rPr>
        <w:t>school authorities which they review</w:t>
      </w:r>
      <w:r>
        <w:t>.” Rowley, 458 U. S., at 206.</w:t>
      </w:r>
    </w:p>
    <w:p w:rsidR="00833446" w:rsidRDefault="00833446" w:rsidP="00833446">
      <w:r>
        <w:t>At the same time, deference is based on the application of expertise and the exercise of judgment by school authorities. The Act vests these officials with responsibility for decisions of critical importance to the life of a disabled child. The nature of the IEP process, from the initial consultation through state administrative proceedings, ensures that parents and school representatives will fully air their respective opinions on the degree of progress a child’s IEP should pursue. See §§1414, 1415; id., at 208– 209. By the time any dispute reaches court, school authorities will have had a complete opportunity to bring their expertise and judgment to bear on areas of disagreement. A reviewing court may fairly expect those authorities to be able to offer a cogent and responsive explanation for their decisions that shows the IEP is reasonably calculated to enable the child to make progress appropriate in light of his circumstances.</w:t>
      </w:r>
    </w:p>
    <w:p w:rsidR="00833446" w:rsidRDefault="00833446" w:rsidP="00833446">
      <w:r>
        <w:t xml:space="preserve">The judgment of the United States Court of Appeals for the Tenth Circuit is vacated, and </w:t>
      </w:r>
      <w:r w:rsidRPr="00C34BAA">
        <w:rPr>
          <w:rStyle w:val="StyleUnderline"/>
        </w:rPr>
        <w:t>the case is remanded for</w:t>
      </w:r>
      <w:r>
        <w:rPr>
          <w:rStyle w:val="StyleUnderline"/>
        </w:rPr>
        <w:t xml:space="preserve"> </w:t>
      </w:r>
      <w:r w:rsidRPr="00C34BAA">
        <w:rPr>
          <w:rStyle w:val="StyleUnderline"/>
        </w:rPr>
        <w:t>further proceedings consistent with this opinion</w:t>
      </w:r>
      <w:r>
        <w:t xml:space="preserve">. </w:t>
      </w:r>
    </w:p>
    <w:p w:rsidR="00833446" w:rsidRPr="003417E7" w:rsidRDefault="00833446" w:rsidP="00833446">
      <w:pPr>
        <w:pStyle w:val="Heading3"/>
      </w:pPr>
      <w:r>
        <w:t>AT: SQ solves</w:t>
      </w:r>
    </w:p>
    <w:p w:rsidR="00833446" w:rsidRPr="00D00627" w:rsidRDefault="00833446" w:rsidP="00833446">
      <w:pPr>
        <w:pStyle w:val="Heading4"/>
        <w:rPr>
          <w:rStyle w:val="Style13ptBold"/>
          <w:rFonts w:cs="Arial"/>
          <w:b/>
        </w:rPr>
      </w:pPr>
      <w:r w:rsidRPr="00D00627">
        <w:rPr>
          <w:rStyle w:val="Style13ptBold"/>
          <w:rFonts w:cs="Arial"/>
          <w:b/>
        </w:rPr>
        <w:t xml:space="preserve">Medically fragile students receive an inadequate education justified by financial burdens and outdate laws. </w:t>
      </w:r>
    </w:p>
    <w:p w:rsidR="00833446" w:rsidRPr="003417E7" w:rsidRDefault="00833446" w:rsidP="00833446">
      <w:pPr>
        <w:rPr>
          <w:rFonts w:cs="Arial"/>
          <w:sz w:val="16"/>
          <w:szCs w:val="16"/>
        </w:rPr>
      </w:pPr>
      <w:r w:rsidRPr="003417E7">
        <w:rPr>
          <w:rStyle w:val="Style13ptBold"/>
          <w:rFonts w:cs="Arial"/>
        </w:rPr>
        <w:t>Neal ’15</w:t>
      </w:r>
      <w:r w:rsidRPr="003417E7">
        <w:rPr>
          <w:rFonts w:cs="Arial"/>
        </w:rPr>
        <w:t xml:space="preserve"> </w:t>
      </w:r>
      <w:r w:rsidRPr="003417E7">
        <w:rPr>
          <w:rFonts w:cs="Arial"/>
          <w:sz w:val="16"/>
          <w:szCs w:val="16"/>
        </w:rPr>
        <w:t>(Cameron; JD in Law from UNC School of Law, BA in Political Science from NC State University; NORTH CAROLINA JOURNAL OF LAW &amp; TECHNOLOGY, 16 N.C. J.L. &amp; TECH. ON. 235 (2015) “WHEN FIVE HOURS EQUALS FIVE DAYS: BRINGING SECTION 504 EDUCATION PLANS INTO THE 21ST CENTURY,</w:t>
      </w:r>
      <w:r>
        <w:rPr>
          <w:rFonts w:cs="Arial"/>
          <w:sz w:val="16"/>
          <w:szCs w:val="16"/>
        </w:rPr>
        <w:t xml:space="preserve"> </w:t>
      </w:r>
      <w:r w:rsidRPr="003417E7">
        <w:rPr>
          <w:rFonts w:cs="Arial"/>
          <w:sz w:val="16"/>
          <w:szCs w:val="16"/>
        </w:rPr>
        <w:t xml:space="preserve">” </w:t>
      </w:r>
      <w:hyperlink r:id="rId6" w:history="1">
        <w:r w:rsidRPr="003417E7">
          <w:rPr>
            <w:rStyle w:val="Hyperlink"/>
            <w:rFonts w:cs="Arial"/>
            <w:sz w:val="16"/>
            <w:szCs w:val="16"/>
          </w:rPr>
          <w:t>http://ncjolt.org/wp-content/uploads/2015/04/Neal_Final-1.pdf</w:t>
        </w:r>
      </w:hyperlink>
      <w:r w:rsidRPr="003417E7">
        <w:rPr>
          <w:rFonts w:cs="Arial"/>
          <w:sz w:val="16"/>
          <w:szCs w:val="16"/>
        </w:rPr>
        <w:t>, DOA: 6/28/17)</w:t>
      </w:r>
    </w:p>
    <w:p w:rsidR="00833446" w:rsidRPr="003417E7" w:rsidRDefault="00833446" w:rsidP="00833446">
      <w:pPr>
        <w:rPr>
          <w:rFonts w:cs="Arial"/>
          <w:sz w:val="16"/>
        </w:rPr>
      </w:pPr>
      <w:r w:rsidRPr="003417E7">
        <w:rPr>
          <w:rFonts w:cs="Arial"/>
          <w:sz w:val="16"/>
        </w:rPr>
        <w:t xml:space="preserve">When does five hours equal five days? Only in educational regulations. 1 Many </w:t>
      </w:r>
      <w:r w:rsidRPr="003417E7">
        <w:rPr>
          <w:rStyle w:val="StyleUnderline"/>
          <w:rFonts w:cs="Arial"/>
        </w:rPr>
        <w:t>states have statutes requiring</w:t>
      </w:r>
      <w:r w:rsidRPr="003417E7">
        <w:rPr>
          <w:rFonts w:cs="Arial"/>
          <w:sz w:val="16"/>
        </w:rPr>
        <w:t xml:space="preserve"> that </w:t>
      </w:r>
      <w:r w:rsidRPr="003417E7">
        <w:rPr>
          <w:rStyle w:val="StyleUnderline"/>
          <w:rFonts w:cs="Arial"/>
        </w:rPr>
        <w:t>medically-fragile</w:t>
      </w:r>
      <w:r w:rsidRPr="003417E7">
        <w:rPr>
          <w:rFonts w:cs="Arial"/>
          <w:sz w:val="16"/>
        </w:rPr>
        <w:t xml:space="preserve"> (or “homebound”) 2 </w:t>
      </w:r>
      <w:r w:rsidRPr="003417E7">
        <w:rPr>
          <w:rStyle w:val="StyleUnderline"/>
          <w:rFonts w:cs="Arial"/>
        </w:rPr>
        <w:t>students receive five hours of educational instruction per week rather than the traditionally-mandated five days of class</w:t>
      </w:r>
      <w:r w:rsidRPr="003417E7">
        <w:rPr>
          <w:rFonts w:cs="Arial"/>
          <w:sz w:val="16"/>
        </w:rPr>
        <w:t xml:space="preserve">. 3 </w:t>
      </w:r>
      <w:r w:rsidRPr="003417E7">
        <w:rPr>
          <w:rStyle w:val="StyleUnderline"/>
          <w:rFonts w:cs="Arial"/>
        </w:rPr>
        <w:t>Schools could easily remedy this inequality—and potential violation of federal disability law—by allowing students to participate in classrooms via distance-</w:t>
      </w:r>
      <w:r w:rsidRPr="003417E7">
        <w:rPr>
          <w:rStyle w:val="Emphasis"/>
          <w:rFonts w:cs="Arial"/>
        </w:rPr>
        <w:t>learning technologies</w:t>
      </w:r>
      <w:r w:rsidRPr="003417E7">
        <w:rPr>
          <w:rStyle w:val="StyleUnderline"/>
          <w:rFonts w:cs="Arial"/>
        </w:rPr>
        <w:t xml:space="preserve"> such as video conferencing.</w:t>
      </w:r>
      <w:r w:rsidRPr="003417E7">
        <w:rPr>
          <w:rFonts w:cs="Arial"/>
          <w:sz w:val="16"/>
        </w:rPr>
        <w:t xml:space="preserve"> An estimated </w:t>
      </w:r>
      <w:r w:rsidRPr="003417E7">
        <w:rPr>
          <w:rStyle w:val="Emphasis"/>
          <w:rFonts w:cs="Arial"/>
        </w:rPr>
        <w:t>10.2 million children</w:t>
      </w:r>
      <w:r w:rsidRPr="003417E7">
        <w:rPr>
          <w:rStyle w:val="StyleUnderline"/>
          <w:rFonts w:cs="Arial"/>
        </w:rPr>
        <w:t xml:space="preserve"> in the United States have special healthcare needs, accounting for </w:t>
      </w:r>
      <w:r w:rsidRPr="003417E7">
        <w:rPr>
          <w:rStyle w:val="Emphasis"/>
          <w:rFonts w:cs="Arial"/>
        </w:rPr>
        <w:t xml:space="preserve">13.9% </w:t>
      </w:r>
      <w:r w:rsidRPr="003417E7">
        <w:rPr>
          <w:rStyle w:val="StyleUnderline"/>
          <w:rFonts w:cs="Arial"/>
        </w:rPr>
        <w:t>of all children.</w:t>
      </w:r>
      <w:r w:rsidRPr="003417E7">
        <w:rPr>
          <w:rFonts w:cs="Arial"/>
          <w:sz w:val="16"/>
        </w:rPr>
        <w:t xml:space="preserve"> 4 Some </w:t>
      </w:r>
      <w:r w:rsidRPr="003417E7">
        <w:rPr>
          <w:rStyle w:val="StyleUnderline"/>
          <w:rFonts w:cs="Arial"/>
        </w:rPr>
        <w:t>students who are medically-fragile receive their educational services at home from a teacher because attending traditional school could exacerbate their medical problem</w:t>
      </w:r>
      <w:r w:rsidRPr="003417E7">
        <w:rPr>
          <w:rFonts w:cs="Arial"/>
          <w:sz w:val="16"/>
        </w:rPr>
        <w:t xml:space="preserve">s. At least 23,000 students across the country are homebound or hospitalized each school year.5 </w:t>
      </w:r>
      <w:r w:rsidRPr="003417E7">
        <w:rPr>
          <w:rStyle w:val="StyleUnderline"/>
          <w:rFonts w:cs="Arial"/>
        </w:rPr>
        <w:t>Congress passed the Americans with Disabilities Act (“</w:t>
      </w:r>
      <w:r w:rsidRPr="003417E7">
        <w:rPr>
          <w:rFonts w:cs="Arial"/>
          <w:sz w:val="16"/>
        </w:rPr>
        <w:t xml:space="preserve">ADA”)6 in 1990, </w:t>
      </w:r>
      <w:r w:rsidRPr="003417E7">
        <w:rPr>
          <w:rStyle w:val="StyleUnderline"/>
          <w:rFonts w:cs="Arial"/>
        </w:rPr>
        <w:t>before the prevalence of e-mail and cell phones.</w:t>
      </w:r>
      <w:r w:rsidRPr="003417E7">
        <w:rPr>
          <w:rFonts w:cs="Arial"/>
          <w:sz w:val="16"/>
        </w:rPr>
        <w:t xml:space="preserve"> In many ways, </w:t>
      </w:r>
      <w:r w:rsidRPr="003417E7">
        <w:rPr>
          <w:rStyle w:val="StyleUnderline"/>
          <w:rFonts w:cs="Arial"/>
        </w:rPr>
        <w:t>the ADA has failed to keep up with recent technological advances such as video conferencing and the Internet, thus remaining a law stuck firmly in the twentieth century</w:t>
      </w:r>
      <w:r w:rsidRPr="003417E7">
        <w:rPr>
          <w:rFonts w:cs="Arial"/>
          <w:sz w:val="16"/>
        </w:rPr>
        <w:t xml:space="preserve">. </w:t>
      </w:r>
      <w:r w:rsidRPr="003417E7">
        <w:rPr>
          <w:rStyle w:val="StyleUnderline"/>
          <w:rFonts w:cs="Arial"/>
        </w:rPr>
        <w:t xml:space="preserve">Implementing new ADA policies that reflect current technologies would </w:t>
      </w:r>
      <w:r w:rsidRPr="003417E7">
        <w:rPr>
          <w:rStyle w:val="Emphasis"/>
          <w:rFonts w:cs="Arial"/>
        </w:rPr>
        <w:t>not be financially burdensome</w:t>
      </w:r>
      <w:r w:rsidRPr="003417E7">
        <w:rPr>
          <w:rStyle w:val="StyleUnderline"/>
          <w:rFonts w:cs="Arial"/>
        </w:rPr>
        <w:t xml:space="preserve"> to schools, </w:t>
      </w:r>
      <w:r w:rsidRPr="003417E7">
        <w:rPr>
          <w:rFonts w:cs="Arial"/>
          <w:sz w:val="16"/>
        </w:rPr>
        <w:t>yet of paramount importance to homebound students who would be able to engage with their peers in an interactive classroom setting. This Recent Development argues that Section 504 of the Rehabilitation Act of 1973 (“Rehabilitation Act”)7 and Title II of the ADA are currently misapplied in light of easily accessible technologies capable of integrating homebound students into the classroom with distance-learning technologies. Part II introduces federal disability laws, describing their history and legislative intentions. Part III assesses the current interpretations of Section 504 and Title II as they are applied to public education. Part IV examines distance-learning technologies that are currently available. Finally, Part V analyzes Section 504 and Title II in light of these recent technologies.</w:t>
      </w:r>
    </w:p>
    <w:p w:rsidR="00833446" w:rsidRPr="003417E7" w:rsidRDefault="00833446" w:rsidP="00833446">
      <w:pPr>
        <w:pStyle w:val="Heading3"/>
      </w:pPr>
      <w:r>
        <w:t>AT: All students covered</w:t>
      </w:r>
    </w:p>
    <w:p w:rsidR="00833446" w:rsidRPr="003417E7" w:rsidRDefault="00833446" w:rsidP="00833446">
      <w:pPr>
        <w:pStyle w:val="Heading4"/>
        <w:rPr>
          <w:rFonts w:cs="Arial"/>
        </w:rPr>
      </w:pPr>
      <w:r w:rsidRPr="003417E7">
        <w:rPr>
          <w:rFonts w:cs="Arial"/>
        </w:rPr>
        <w:t xml:space="preserve">Current laws are supposed to create equality but the IDEA doesn’t include all people with physical disabilities. </w:t>
      </w:r>
    </w:p>
    <w:p w:rsidR="00833446" w:rsidRPr="003417E7" w:rsidRDefault="00833446" w:rsidP="00833446">
      <w:pPr>
        <w:rPr>
          <w:rFonts w:cs="Arial"/>
          <w:sz w:val="16"/>
          <w:szCs w:val="16"/>
        </w:rPr>
      </w:pPr>
      <w:r w:rsidRPr="003417E7">
        <w:rPr>
          <w:rStyle w:val="Style13ptBold"/>
          <w:rFonts w:cs="Arial"/>
        </w:rPr>
        <w:t>Neal ’15</w:t>
      </w:r>
      <w:r w:rsidRPr="003417E7">
        <w:rPr>
          <w:rFonts w:cs="Arial"/>
        </w:rPr>
        <w:t xml:space="preserve"> </w:t>
      </w:r>
      <w:r w:rsidRPr="003417E7">
        <w:rPr>
          <w:rFonts w:cs="Arial"/>
          <w:sz w:val="16"/>
          <w:szCs w:val="16"/>
        </w:rPr>
        <w:t xml:space="preserve">(Cameron; JD in Law from UNC School of Law, BA in Political Science from NC State University; NORTH CAROLINA JOURNAL OF LAW &amp; TECHNOLOGY, 16 N.C. J.L. &amp; TECH. ON. 235 (2015) “WHEN FIVE HOURS EQUALS FIVE DAYS: BRINGING SECTION 504 EDUCATION PLANS INTO THE 21ST CENTURY,” </w:t>
      </w:r>
      <w:hyperlink r:id="rId7" w:history="1">
        <w:r w:rsidRPr="003417E7">
          <w:rPr>
            <w:rStyle w:val="Hyperlink"/>
            <w:rFonts w:cs="Arial"/>
            <w:sz w:val="16"/>
            <w:szCs w:val="16"/>
          </w:rPr>
          <w:t>http://ncjolt.org/wp-content/uploads/2015/04/Neal_Final-1.pdf</w:t>
        </w:r>
      </w:hyperlink>
      <w:r w:rsidRPr="003417E7">
        <w:rPr>
          <w:rFonts w:cs="Arial"/>
          <w:sz w:val="16"/>
          <w:szCs w:val="16"/>
        </w:rPr>
        <w:t>, DOA: 6/28/17)</w:t>
      </w:r>
    </w:p>
    <w:p w:rsidR="00833446" w:rsidRPr="003417E7" w:rsidRDefault="00833446" w:rsidP="00833446">
      <w:pPr>
        <w:rPr>
          <w:rStyle w:val="StyleUnderline"/>
          <w:rFonts w:cs="Arial"/>
        </w:rPr>
      </w:pPr>
      <w:r w:rsidRPr="003417E7">
        <w:rPr>
          <w:rStyle w:val="StyleUnderline"/>
          <w:rFonts w:cs="Arial"/>
        </w:rPr>
        <w:t>The Rehabilitation Act</w:t>
      </w:r>
      <w:r w:rsidRPr="003417E7">
        <w:rPr>
          <w:rFonts w:cs="Arial"/>
          <w:sz w:val="16"/>
        </w:rPr>
        <w:t xml:space="preserve"> was Congress’s first attempt at extending anti-discrimination civil rights to disabled persons. 8 The Act </w:t>
      </w:r>
      <w:r w:rsidRPr="003417E7">
        <w:rPr>
          <w:rStyle w:val="StyleUnderline"/>
          <w:rFonts w:cs="Arial"/>
        </w:rPr>
        <w:t>prohibited the federal government</w:t>
      </w:r>
      <w:r w:rsidRPr="003417E7">
        <w:rPr>
          <w:rFonts w:cs="Arial"/>
          <w:sz w:val="16"/>
        </w:rPr>
        <w:t xml:space="preserve"> and federal contractors </w:t>
      </w:r>
      <w:r w:rsidRPr="003417E7">
        <w:rPr>
          <w:rStyle w:val="StyleUnderline"/>
          <w:rFonts w:cs="Arial"/>
        </w:rPr>
        <w:t>from engaging in discriminatory hiring practices</w:t>
      </w:r>
      <w:r w:rsidRPr="003417E7">
        <w:rPr>
          <w:rFonts w:cs="Arial"/>
          <w:sz w:val="16"/>
        </w:rPr>
        <w:t xml:space="preserve"> against disabled persons.9 Section 504 of the Act created the first federal civil rights protections for persons who are classified as disabled.10 </w:t>
      </w:r>
      <w:r w:rsidRPr="003417E7">
        <w:rPr>
          <w:rStyle w:val="StyleUnderline"/>
          <w:rFonts w:cs="Arial"/>
        </w:rPr>
        <w:t>Congress expanded on the Rehabilitation Act in 1990 when it enacted the ADA to “remedy widespread discrimination against disabled individuals.”</w:t>
      </w:r>
      <w:r w:rsidRPr="003417E7">
        <w:rPr>
          <w:rFonts w:cs="Arial"/>
          <w:sz w:val="16"/>
        </w:rPr>
        <w:t xml:space="preserve">11 The ADA did not replace the Rehabilitation Act, hence entitling plaintiffs to remedies under either applicable law.12 When considering language for the ADA, Congress borrowed from the Rehabilitation Act, expanding coverage to more individuals and to all workplaces with fifteen or more employees. 13 </w:t>
      </w:r>
      <w:r w:rsidRPr="003417E7">
        <w:rPr>
          <w:rStyle w:val="StyleUnderline"/>
          <w:rFonts w:cs="Arial"/>
        </w:rPr>
        <w:t>The ADA prohibits both public and private entities from discriminating against a disabled individual because of that person’s disability</w:t>
      </w:r>
      <w:r w:rsidRPr="003417E7">
        <w:rPr>
          <w:rFonts w:cs="Arial"/>
          <w:sz w:val="16"/>
        </w:rPr>
        <w:t xml:space="preserve">.14 </w:t>
      </w:r>
      <w:r w:rsidRPr="003417E7">
        <w:rPr>
          <w:rStyle w:val="StyleUnderline"/>
          <w:rFonts w:cs="Arial"/>
        </w:rPr>
        <w:t>The essence of the current interpretation of the ADA is that disabled individuals are entitled to a reasonable accommodation that does not impose an undue hardship upon the entity being sued.</w:t>
      </w:r>
      <w:r w:rsidRPr="003417E7">
        <w:rPr>
          <w:rFonts w:cs="Arial"/>
          <w:sz w:val="16"/>
        </w:rPr>
        <w:t xml:space="preserve"> </w:t>
      </w:r>
      <w:r w:rsidRPr="003417E7">
        <w:rPr>
          <w:rStyle w:val="StyleUnderline"/>
          <w:rFonts w:cs="Arial"/>
        </w:rPr>
        <w:t>15 Under the ADA, the term “disability” means “a physical or mental impairment that substantially limits one or more major life activities of such individual.”</w:t>
      </w:r>
      <w:r w:rsidRPr="003417E7">
        <w:rPr>
          <w:rFonts w:cs="Arial"/>
          <w:sz w:val="16"/>
        </w:rPr>
        <w:t xml:space="preserve">16 The ADA’s definition draws from the Rehabilitation Act’s definition of “handicapped individual,” because Congress intended the new law to apply to the same individuals, while expanding the breadth of entities that must comply. 17 There are three major provisions of the ADA. Title I relates to private employment 18 and Title III addresses public accommodations. 19 Title II of </w:t>
      </w:r>
      <w:r w:rsidRPr="003417E7">
        <w:rPr>
          <w:rStyle w:val="StyleUnderline"/>
          <w:rFonts w:cs="Arial"/>
        </w:rPr>
        <w:t>the ADA prohibits discrimination against individuals with disabilities by</w:t>
      </w:r>
      <w:r w:rsidRPr="003417E7">
        <w:rPr>
          <w:rFonts w:cs="Arial"/>
          <w:sz w:val="16"/>
        </w:rPr>
        <w:t xml:space="preserve"> public entities, including </w:t>
      </w:r>
      <w:r w:rsidRPr="003417E7">
        <w:rPr>
          <w:rStyle w:val="Emphasis"/>
          <w:rFonts w:cs="Arial"/>
        </w:rPr>
        <w:t>public school systems</w:t>
      </w:r>
      <w:r w:rsidRPr="003417E7">
        <w:rPr>
          <w:rFonts w:cs="Arial"/>
          <w:sz w:val="16"/>
        </w:rPr>
        <w:t xml:space="preserve">, 20 </w:t>
      </w:r>
      <w:r w:rsidRPr="003417E7">
        <w:rPr>
          <w:rStyle w:val="StyleUnderline"/>
          <w:rFonts w:cs="Arial"/>
        </w:rPr>
        <w:t>when providing services, programs, or activities.</w:t>
      </w:r>
      <w:r w:rsidRPr="003417E7">
        <w:rPr>
          <w:rFonts w:cs="Arial"/>
          <w:sz w:val="16"/>
        </w:rPr>
        <w:t xml:space="preserve">21 One of </w:t>
      </w:r>
      <w:r w:rsidRPr="003417E7">
        <w:rPr>
          <w:rStyle w:val="StyleUnderline"/>
          <w:rFonts w:cs="Arial"/>
        </w:rPr>
        <w:t>the</w:t>
      </w:r>
      <w:r w:rsidRPr="003417E7">
        <w:rPr>
          <w:rFonts w:cs="Arial"/>
          <w:sz w:val="16"/>
        </w:rPr>
        <w:t xml:space="preserve"> primary </w:t>
      </w:r>
      <w:r w:rsidRPr="003417E7">
        <w:rPr>
          <w:rStyle w:val="StyleUnderline"/>
          <w:rFonts w:cs="Arial"/>
        </w:rPr>
        <w:t>goal</w:t>
      </w:r>
      <w:r w:rsidRPr="003417E7">
        <w:rPr>
          <w:rFonts w:cs="Arial"/>
          <w:sz w:val="16"/>
        </w:rPr>
        <w:t xml:space="preserve">s of the ADA </w:t>
      </w:r>
      <w:r w:rsidRPr="003417E7">
        <w:rPr>
          <w:rStyle w:val="StyleUnderline"/>
          <w:rFonts w:cs="Arial"/>
        </w:rPr>
        <w:t xml:space="preserve">is to ensure the </w:t>
      </w:r>
      <w:r w:rsidRPr="003417E7">
        <w:rPr>
          <w:rStyle w:val="Emphasis"/>
          <w:rFonts w:cs="Arial"/>
        </w:rPr>
        <w:t>equal participation</w:t>
      </w:r>
      <w:r w:rsidRPr="003417E7">
        <w:rPr>
          <w:rStyle w:val="StyleUnderline"/>
          <w:rFonts w:cs="Arial"/>
        </w:rPr>
        <w:t xml:space="preserve"> of individuals with disabilities in “mainstream” American society</w:t>
      </w:r>
      <w:r w:rsidRPr="003417E7">
        <w:rPr>
          <w:rFonts w:cs="Arial"/>
          <w:sz w:val="16"/>
        </w:rPr>
        <w:t xml:space="preserve">.22 According to the U.S. Department of Justice’s (“DOJ”) Civil Rights Division, </w:t>
      </w:r>
      <w:r w:rsidRPr="003417E7">
        <w:rPr>
          <w:rStyle w:val="StyleUnderline"/>
          <w:rFonts w:cs="Arial"/>
        </w:rPr>
        <w:t>disabled individuals must be integrated to the maximum extent appropriate</w:t>
      </w:r>
      <w:r w:rsidRPr="003417E7">
        <w:rPr>
          <w:rFonts w:cs="Arial"/>
          <w:sz w:val="16"/>
        </w:rPr>
        <w:t xml:space="preserve">, </w:t>
      </w:r>
      <w:r w:rsidRPr="003417E7">
        <w:rPr>
          <w:rStyle w:val="StyleUnderline"/>
          <w:rFonts w:cs="Arial"/>
        </w:rPr>
        <w:t xml:space="preserve">and </w:t>
      </w:r>
      <w:r w:rsidRPr="003417E7">
        <w:rPr>
          <w:rStyle w:val="Emphasis"/>
          <w:rFonts w:cs="Arial"/>
        </w:rPr>
        <w:t>cannot be excluded</w:t>
      </w:r>
      <w:r w:rsidRPr="003417E7">
        <w:rPr>
          <w:rStyle w:val="StyleUnderline"/>
          <w:rFonts w:cs="Arial"/>
        </w:rPr>
        <w:t xml:space="preserve"> from regular programs or required to accept special services of benefit</w:t>
      </w:r>
      <w:r w:rsidRPr="003417E7">
        <w:rPr>
          <w:rFonts w:cs="Arial"/>
          <w:sz w:val="16"/>
        </w:rPr>
        <w:t>s.</w:t>
      </w:r>
      <w:r w:rsidRPr="003417E7">
        <w:rPr>
          <w:rStyle w:val="StyleUnderline"/>
          <w:rFonts w:cs="Arial"/>
        </w:rPr>
        <w:t>23 A public entity may not refuse to allow a person with a disability to participate in a service, program, or activity simply because that person has a disability</w:t>
      </w:r>
      <w:r w:rsidRPr="003417E7">
        <w:rPr>
          <w:rFonts w:cs="Arial"/>
          <w:sz w:val="16"/>
        </w:rPr>
        <w:t xml:space="preserve">.24 </w:t>
      </w:r>
      <w:r w:rsidRPr="003417E7">
        <w:rPr>
          <w:rStyle w:val="StyleUnderline"/>
          <w:rFonts w:cs="Arial"/>
        </w:rPr>
        <w:t>Public entities must provide all programs and services in an integrated setting</w:t>
      </w:r>
      <w:r w:rsidRPr="003417E7">
        <w:rPr>
          <w:rFonts w:cs="Arial"/>
          <w:sz w:val="16"/>
        </w:rPr>
        <w:t xml:space="preserve">, unless separate or different measures are necessary to ensure equal opportunity.25 Requirements that screen out individuals with disabilities (such as requiring a driver’s license as the only acceptable means of identification) are prohibited, but safety requirements may be imposed if such requirements are necessary for the safe operation of a program and are based on actual risks and not on speculation, stereotypes, or generalizations about individuals with disabilities.26 To cement this interpretation of the ADA, the U.S. Attorney General issued 28 C.F.R. § 35.130(d) in 1991, </w:t>
      </w:r>
      <w:r w:rsidRPr="003417E7">
        <w:rPr>
          <w:rStyle w:val="StyleUnderline"/>
          <w:rFonts w:cs="Arial"/>
        </w:rPr>
        <w:t>requiring public entities to administer programs in the most integrated setting appropriate to the needs of qualified individuals with disabilities.</w:t>
      </w:r>
      <w:r w:rsidRPr="003417E7">
        <w:rPr>
          <w:rFonts w:cs="Arial"/>
          <w:sz w:val="16"/>
        </w:rPr>
        <w:t xml:space="preserve">27 </w:t>
      </w:r>
      <w:r w:rsidRPr="003417E7">
        <w:rPr>
          <w:rStyle w:val="StyleUnderline"/>
          <w:rFonts w:cs="Arial"/>
        </w:rPr>
        <w:t>If a public entity is unable to provide its services in an integrated manner, resulting in a fundamental change, then it should take “every effort to ensure that alternative methods of providing programs access d</w:t>
      </w:r>
      <w:r w:rsidRPr="003417E7">
        <w:rPr>
          <w:rStyle w:val="Emphasis"/>
          <w:rFonts w:cs="Arial"/>
        </w:rPr>
        <w:t>o not result in unnecessary segregation.”</w:t>
      </w:r>
      <w:r w:rsidRPr="003417E7">
        <w:rPr>
          <w:rFonts w:cs="Arial"/>
          <w:sz w:val="16"/>
        </w:rPr>
        <w:t>28 The Individuals with Disabilities Educational Act (“</w:t>
      </w:r>
      <w:r w:rsidRPr="003417E7">
        <w:rPr>
          <w:rStyle w:val="StyleUnderline"/>
          <w:rFonts w:cs="Arial"/>
        </w:rPr>
        <w:t>IDEA</w:t>
      </w:r>
      <w:r w:rsidRPr="003417E7">
        <w:rPr>
          <w:rFonts w:cs="Arial"/>
          <w:sz w:val="16"/>
        </w:rPr>
        <w:t xml:space="preserve">”),29 which Congress also passed in 1990, </w:t>
      </w:r>
      <w:r w:rsidRPr="003417E7">
        <w:rPr>
          <w:rStyle w:val="StyleUnderline"/>
          <w:rFonts w:cs="Arial"/>
        </w:rPr>
        <w:t>requires</w:t>
      </w:r>
      <w:r w:rsidRPr="003417E7">
        <w:rPr>
          <w:rFonts w:cs="Arial"/>
          <w:sz w:val="16"/>
        </w:rPr>
        <w:t xml:space="preserve"> that </w:t>
      </w:r>
      <w:r w:rsidRPr="003417E7">
        <w:rPr>
          <w:rStyle w:val="StyleUnderline"/>
          <w:rFonts w:cs="Arial"/>
        </w:rPr>
        <w:t>all students receive a free appropriate public education in the least restrictive environment.</w:t>
      </w:r>
      <w:r w:rsidRPr="003417E7">
        <w:rPr>
          <w:rFonts w:cs="Arial"/>
          <w:sz w:val="16"/>
        </w:rPr>
        <w:t xml:space="preserve">30 </w:t>
      </w:r>
      <w:r w:rsidRPr="003417E7">
        <w:rPr>
          <w:rStyle w:val="StyleUnderline"/>
          <w:rFonts w:cs="Arial"/>
        </w:rPr>
        <w:t>The</w:t>
      </w:r>
      <w:r w:rsidRPr="003417E7">
        <w:rPr>
          <w:rFonts w:cs="Arial"/>
          <w:sz w:val="16"/>
        </w:rPr>
        <w:t xml:space="preserve"> IDEA’s </w:t>
      </w:r>
      <w:r w:rsidRPr="003417E7">
        <w:rPr>
          <w:rStyle w:val="StyleUnderline"/>
          <w:rFonts w:cs="Arial"/>
        </w:rPr>
        <w:t>main focus is on students with learning disabilities and requires that schools provide these students with Individualized Educational Programs</w:t>
      </w:r>
      <w:r w:rsidRPr="003417E7">
        <w:rPr>
          <w:rFonts w:cs="Arial"/>
          <w:sz w:val="16"/>
        </w:rPr>
        <w:t xml:space="preserve"> (“IEPs”) </w:t>
      </w:r>
      <w:r w:rsidRPr="003417E7">
        <w:rPr>
          <w:rStyle w:val="StyleUnderline"/>
          <w:rFonts w:cs="Arial"/>
        </w:rPr>
        <w:t>to ensure</w:t>
      </w:r>
      <w:r w:rsidRPr="003417E7">
        <w:rPr>
          <w:rFonts w:cs="Arial"/>
          <w:sz w:val="16"/>
        </w:rPr>
        <w:t xml:space="preserve"> that they are receiving an </w:t>
      </w:r>
      <w:r w:rsidRPr="003417E7">
        <w:rPr>
          <w:rStyle w:val="StyleUnderline"/>
          <w:rFonts w:cs="Arial"/>
        </w:rPr>
        <w:t>appropriate education</w:t>
      </w:r>
      <w:r w:rsidRPr="003417E7">
        <w:rPr>
          <w:rFonts w:cs="Arial"/>
          <w:sz w:val="16"/>
        </w:rPr>
        <w:t xml:space="preserve">.31 </w:t>
      </w:r>
      <w:r w:rsidRPr="003417E7">
        <w:rPr>
          <w:rStyle w:val="StyleUnderline"/>
          <w:rFonts w:cs="Arial"/>
        </w:rPr>
        <w:t xml:space="preserve">Because the IDEA’s focus is on students with learning disabilities and </w:t>
      </w:r>
      <w:r w:rsidRPr="003417E7">
        <w:rPr>
          <w:rStyle w:val="Emphasis"/>
          <w:rFonts w:cs="Arial"/>
        </w:rPr>
        <w:t>not students who have physical disabilities</w:t>
      </w:r>
      <w:r w:rsidRPr="003417E7">
        <w:rPr>
          <w:rStyle w:val="StyleUnderline"/>
          <w:rFonts w:cs="Arial"/>
        </w:rPr>
        <w:t>, the IDEA is only applicable to some homebound students.</w:t>
      </w:r>
    </w:p>
    <w:p w:rsidR="00833446" w:rsidRPr="003417E7" w:rsidRDefault="00833446" w:rsidP="00833446">
      <w:pPr>
        <w:pStyle w:val="Heading3"/>
      </w:pPr>
      <w:r>
        <w:t>AT: Enforcement Now</w:t>
      </w:r>
    </w:p>
    <w:p w:rsidR="00833446" w:rsidRPr="003417E7" w:rsidRDefault="00833446" w:rsidP="00833446">
      <w:pPr>
        <w:pStyle w:val="Heading4"/>
      </w:pPr>
      <w:r w:rsidRPr="003417E7">
        <w:t>IDEA fails – all school districts need it to provide “some educational benefit”</w:t>
      </w:r>
    </w:p>
    <w:p w:rsidR="00833446" w:rsidRPr="003417E7" w:rsidRDefault="00833446" w:rsidP="00833446">
      <w:r w:rsidRPr="003417E7">
        <w:rPr>
          <w:rStyle w:val="Style13ptBold"/>
        </w:rPr>
        <w:t>Dannenberg ’16</w:t>
      </w:r>
      <w:r w:rsidRPr="003417E7">
        <w:t xml:space="preserve"> </w:t>
      </w:r>
      <w:r w:rsidRPr="003417E7">
        <w:rPr>
          <w:sz w:val="16"/>
          <w:szCs w:val="16"/>
        </w:rPr>
        <w:t>(Michael; JD From Yale Law School, MA in Education Policy and Administration from Stanford, BA in Political Science from Boston University; 10/6/16, Education Reform Now, “An IDEA in Need of a Better Answer,” https://edreformnow.org/idea-special-education-law/, DOA: 6/29/17)</w:t>
      </w:r>
    </w:p>
    <w:p w:rsidR="00833446" w:rsidRPr="003417E7" w:rsidRDefault="00833446" w:rsidP="00833446">
      <w:pPr>
        <w:spacing w:line="240" w:lineRule="auto"/>
        <w:rPr>
          <w:sz w:val="16"/>
        </w:rPr>
      </w:pPr>
      <w:r w:rsidRPr="003417E7">
        <w:rPr>
          <w:sz w:val="16"/>
        </w:rPr>
        <w:t xml:space="preserve"> Outside of fights for fully funding the Individuals with Disabilities Education Act (IDEA), I’ve always shied away from policy work on special education.  My mom is disabled and one of the millions who prior to IDEA was kept out of public school – in her case until 6th grade. IDEA is a personal, emotional issue for me and millions of parent advocates. It’s also a pretty successful education civil rights law — one that has the potential to do even more. </w:t>
      </w:r>
      <w:r w:rsidRPr="003417E7">
        <w:rPr>
          <w:rStyle w:val="StyleUnderline"/>
        </w:rPr>
        <w:t>Almost everyone in education views IDEA as a law that codifies in federal statute a right to education for children with disabilities</w:t>
      </w:r>
      <w:r w:rsidRPr="003417E7">
        <w:rPr>
          <w:sz w:val="16"/>
        </w:rPr>
        <w:t xml:space="preserve">.  But maybe, just </w:t>
      </w:r>
      <w:r w:rsidRPr="003417E7">
        <w:rPr>
          <w:rStyle w:val="StyleUnderline"/>
        </w:rPr>
        <w:t>maybe IDEA could also be viewed as a law that codifies a derivative right to education for non-disabled children as well</w:t>
      </w:r>
      <w:r w:rsidRPr="003417E7">
        <w:rPr>
          <w:sz w:val="16"/>
        </w:rPr>
        <w:t xml:space="preserve">. </w:t>
      </w:r>
      <w:r w:rsidRPr="003417E7">
        <w:rPr>
          <w:rStyle w:val="StyleUnderline"/>
        </w:rPr>
        <w:t>The IDEA special education law provides that children with disabilities are to receive a “free appropriate public education” in the “least restrictive environment.</w:t>
      </w:r>
      <w:r w:rsidRPr="003417E7">
        <w:rPr>
          <w:sz w:val="16"/>
        </w:rPr>
        <w:t xml:space="preserve">” But what </w:t>
      </w:r>
      <w:r w:rsidRPr="003417E7">
        <w:rPr>
          <w:rStyle w:val="StyleUnderline"/>
        </w:rPr>
        <w:t>if the regular public school is so bad</w:t>
      </w:r>
      <w:r w:rsidRPr="003417E7">
        <w:rPr>
          <w:sz w:val="16"/>
        </w:rPr>
        <w:t>, so inadequate fo</w:t>
      </w:r>
      <w:r w:rsidRPr="003417E7">
        <w:rPr>
          <w:rStyle w:val="StyleUnderline"/>
        </w:rPr>
        <w:t>r all kids that a child with a disability can’t get an appropriate public education in that school regardless of his or her disability</w:t>
      </w:r>
      <w:r w:rsidRPr="003417E7">
        <w:rPr>
          <w:sz w:val="16"/>
        </w:rPr>
        <w:t>? D</w:t>
      </w:r>
      <w:r w:rsidRPr="003417E7">
        <w:rPr>
          <w:rStyle w:val="StyleUnderline"/>
        </w:rPr>
        <w:t>oes that mean the relevant public school district has to segregate out that child with a disability into a special classroom or separate school that does provide an appropriate public education</w:t>
      </w:r>
      <w:r w:rsidRPr="003417E7">
        <w:rPr>
          <w:sz w:val="16"/>
        </w:rPr>
        <w:t xml:space="preserve">? If so, how is that the “least restrictive environment?” I’d submit that </w:t>
      </w:r>
      <w:r w:rsidRPr="003417E7">
        <w:rPr>
          <w:rStyle w:val="StyleUnderline"/>
        </w:rPr>
        <w:t>schools have to provide an appropriate public education for everyone or risk violating IDEA’s requirement that a child with a disability receive an appropriate education in the least restrictive environment to which he or she is entitled</w:t>
      </w:r>
      <w:r w:rsidRPr="003417E7">
        <w:rPr>
          <w:sz w:val="16"/>
        </w:rPr>
        <w:t xml:space="preserve">. Now I haven’t checked recent case law, but let’s look at the IDEA statute because ultimately that’s what should control; that and the U.S. Constitution. The IDEA Statute </w:t>
      </w:r>
      <w:r w:rsidRPr="003417E7">
        <w:rPr>
          <w:rStyle w:val="StyleUnderline"/>
        </w:rPr>
        <w:t xml:space="preserve">Under Section 602 of the IDEA statute, a free appropriate public education is defined to </w:t>
      </w:r>
      <w:r w:rsidRPr="003417E7">
        <w:rPr>
          <w:sz w:val="16"/>
        </w:rPr>
        <w:t>have several elements, of which the most relevant here is that it must “</w:t>
      </w:r>
      <w:r w:rsidRPr="003417E7">
        <w:rPr>
          <w:rStyle w:val="StyleUnderline"/>
        </w:rPr>
        <w:t>meet the standards of the State educational agency</w:t>
      </w:r>
      <w:r w:rsidRPr="003417E7">
        <w:rPr>
          <w:sz w:val="16"/>
        </w:rPr>
        <w:t>.” Section 612 of the statute explains that the</w:t>
      </w:r>
      <w:r w:rsidRPr="003417E7">
        <w:rPr>
          <w:rStyle w:val="StyleUnderline"/>
        </w:rPr>
        <w:t xml:space="preserve"> least restrictive environment is basically the regular classroom to the maximum extent it possibly can be</w:t>
      </w:r>
      <w:r w:rsidRPr="003417E7">
        <w:rPr>
          <w:sz w:val="16"/>
        </w:rPr>
        <w:t xml:space="preserve">. </w:t>
      </w:r>
      <w:r w:rsidRPr="003417E7">
        <w:rPr>
          <w:rStyle w:val="StyleUnderline"/>
        </w:rPr>
        <w:t>There is to be segregation “only when the nature</w:t>
      </w:r>
      <w:r w:rsidRPr="003417E7">
        <w:rPr>
          <w:sz w:val="16"/>
        </w:rPr>
        <w:t xml:space="preserve"> or severity </w:t>
      </w:r>
      <w:r w:rsidRPr="003417E7">
        <w:rPr>
          <w:rStyle w:val="StyleUnderline"/>
        </w:rPr>
        <w:t>of the disability</w:t>
      </w:r>
      <w:r w:rsidRPr="003417E7">
        <w:rPr>
          <w:sz w:val="16"/>
        </w:rPr>
        <w:t xml:space="preserve"> of a child </w:t>
      </w:r>
      <w:r w:rsidRPr="003417E7">
        <w:rPr>
          <w:rStyle w:val="StyleUnderline"/>
        </w:rPr>
        <w:t xml:space="preserve">is such that education in regular classes </w:t>
      </w:r>
      <w:r w:rsidRPr="003417E7">
        <w:rPr>
          <w:sz w:val="16"/>
        </w:rPr>
        <w:t xml:space="preserve">with the use of supplementary aids and services </w:t>
      </w:r>
      <w:r w:rsidRPr="003417E7">
        <w:rPr>
          <w:rStyle w:val="StyleUnderline"/>
        </w:rPr>
        <w:t>cannot be achieved satisfactorily</w:t>
      </w:r>
      <w:r w:rsidRPr="003417E7">
        <w:rPr>
          <w:sz w:val="16"/>
        </w:rPr>
        <w:t xml:space="preserve">.” </w:t>
      </w:r>
      <w:r w:rsidRPr="003417E7">
        <w:rPr>
          <w:rStyle w:val="StyleUnderline"/>
        </w:rPr>
        <w:t>But what does it mean to meet the standards of a state agency</w:t>
      </w:r>
      <w:r w:rsidRPr="003417E7">
        <w:rPr>
          <w:sz w:val="16"/>
        </w:rPr>
        <w:t>? Well, as per state court decisions, subsequent and independent state policy, states have come up with all sorts of standards from fire code to academic. The federal government has weighed in as well. The ESSA Statute Take a look at the new Every Student Succeeds Act (ESSA) that passed last December that amends the Elementary and Secondary Education Act (</w:t>
      </w:r>
      <w:r w:rsidRPr="003417E7">
        <w:rPr>
          <w:rStyle w:val="StyleUnderline"/>
        </w:rPr>
        <w:t>ESEA</w:t>
      </w:r>
      <w:r w:rsidRPr="003417E7">
        <w:rPr>
          <w:sz w:val="16"/>
        </w:rPr>
        <w:t xml:space="preserve">). It </w:t>
      </w:r>
      <w:r w:rsidRPr="003417E7">
        <w:rPr>
          <w:rStyle w:val="StyleUnderline"/>
        </w:rPr>
        <w:t>lays out requirements regarding state education standards</w:t>
      </w:r>
      <w:r w:rsidRPr="003417E7">
        <w:rPr>
          <w:sz w:val="16"/>
        </w:rPr>
        <w:t xml:space="preserve"> (i.e. content and skills that students are taught to, but don’t necessarily have to master), including that those North Star content and skill expectations must be the same for all children. Section 1111 of ESSA includes a series of civil rights guardrails. State </w:t>
      </w:r>
      <w:r w:rsidRPr="003417E7">
        <w:rPr>
          <w:rStyle w:val="StyleUnderline"/>
        </w:rPr>
        <w:t>ESEA</w:t>
      </w:r>
      <w:r w:rsidRPr="003417E7">
        <w:rPr>
          <w:sz w:val="16"/>
        </w:rPr>
        <w:t xml:space="preserve"> Title I </w:t>
      </w:r>
      <w:r w:rsidRPr="003417E7">
        <w:rPr>
          <w:rStyle w:val="StyleUnderline"/>
        </w:rPr>
        <w:t>plans are to be “coordinated with</w:t>
      </w:r>
      <w:r w:rsidRPr="003417E7">
        <w:rPr>
          <w:sz w:val="16"/>
        </w:rPr>
        <w:t xml:space="preserve"> . . . </w:t>
      </w:r>
      <w:r w:rsidRPr="003417E7">
        <w:rPr>
          <w:rStyle w:val="StyleUnderline"/>
        </w:rPr>
        <w:t>the Individuals with Disabilities Education Act</w:t>
      </w:r>
      <w:r w:rsidRPr="003417E7">
        <w:rPr>
          <w:sz w:val="16"/>
        </w:rPr>
        <w:t>, the Rehabilitation Act,” and other ESEA programs. State academic standards are to be the same for all children. That’s where some people stumble. “Can disabled kids really learn to the same standards?” Well, yes, but set that aside and look at the ESEA law. ‘‘(A) IN GENERAL.—Each State, in the plan it files under subsection (a), shall provide an assurance that the State has adopted challenging academic content standards and aligned academic achievement standards (referred to in this Act as ‘challenging State academic standards’) . . . ‘‘(B) SAME STANDARDS—Except as provided in subparagraph (E), the standards required by subparagraph (A) shall— ‘‘(</w:t>
      </w:r>
      <w:proofErr w:type="spellStart"/>
      <w:r w:rsidRPr="003417E7">
        <w:rPr>
          <w:sz w:val="16"/>
        </w:rPr>
        <w:t>i</w:t>
      </w:r>
      <w:proofErr w:type="spellEnd"/>
      <w:r w:rsidRPr="003417E7">
        <w:rPr>
          <w:sz w:val="16"/>
        </w:rPr>
        <w:t>) apply to all public schools and public school students in the State; and ‘‘(ii) with respect to academic achievement standards, include the same knowledge, skills, and levels of achievement expected of all public school students in the State. ‘‘(C) SUBJECTS.—The State shall have such academic standards for mathematics, reading or language arts, and science, and may have such standards for any other subject determined by the State. ‘‘(D) ALIGNMENT.— ‘‘(</w:t>
      </w:r>
      <w:proofErr w:type="spellStart"/>
      <w:r w:rsidRPr="003417E7">
        <w:rPr>
          <w:sz w:val="16"/>
        </w:rPr>
        <w:t>i</w:t>
      </w:r>
      <w:proofErr w:type="spellEnd"/>
      <w:r w:rsidRPr="003417E7">
        <w:rPr>
          <w:sz w:val="16"/>
        </w:rPr>
        <w:t xml:space="preserve">) IN GENERAL.—Each State shall demonstrate that the challenging State academic standards are aligned with entrance requirements for credit-bearing coursework in the system of public higher education in the State . . . That last part about state education standards having to be aligned with what public colleges require for credit-bearing coursework is new and should prevent a dumbing-down of K-12 content standards. Ok. So to recap the argument: Under IDEA – (1) a free appropriate public education has to meet the standards of the State. Under ESEA – (2) state standards have to be the same for all students. Under IDEA – (3) children with disabilities are to receive a standards-based education in the least restrictive environment. Under IDEA – (4) an education in the least restrictive requirement means that to the maximum extent appropriate, children with disabilities cannot be taught in separate schools or separate classes. Given those four premises, </w:t>
      </w:r>
      <w:r w:rsidRPr="003417E7">
        <w:rPr>
          <w:rStyle w:val="StyleUnderline"/>
        </w:rPr>
        <w:t xml:space="preserve">doesn’t it stand to reason that an inadequate public school has to be </w:t>
      </w:r>
      <w:r w:rsidRPr="003417E7">
        <w:rPr>
          <w:sz w:val="16"/>
        </w:rPr>
        <w:t>made</w:t>
      </w:r>
      <w:r w:rsidRPr="003417E7">
        <w:rPr>
          <w:rStyle w:val="StyleUnderline"/>
        </w:rPr>
        <w:t xml:space="preserve"> </w:t>
      </w:r>
      <w:r w:rsidRPr="003417E7">
        <w:rPr>
          <w:sz w:val="16"/>
        </w:rPr>
        <w:t xml:space="preserve">adequate (i.e. reasonably </w:t>
      </w:r>
      <w:r w:rsidRPr="003417E7">
        <w:rPr>
          <w:rStyle w:val="StyleUnderline"/>
        </w:rPr>
        <w:t>able to teach</w:t>
      </w:r>
      <w:r w:rsidRPr="003417E7">
        <w:rPr>
          <w:sz w:val="16"/>
        </w:rPr>
        <w:t xml:space="preserve"> and for </w:t>
      </w:r>
      <w:r w:rsidRPr="003417E7">
        <w:rPr>
          <w:rStyle w:val="StyleUnderline"/>
        </w:rPr>
        <w:t xml:space="preserve">children </w:t>
      </w:r>
      <w:r w:rsidRPr="003417E7">
        <w:rPr>
          <w:sz w:val="16"/>
        </w:rPr>
        <w:t>to learn state standards) for all children</w:t>
      </w:r>
      <w:r w:rsidRPr="003417E7">
        <w:rPr>
          <w:rStyle w:val="StyleUnderline"/>
        </w:rPr>
        <w:t xml:space="preserve"> so that children with disabilities aren’t unfairly forced into segregated settings? </w:t>
      </w:r>
      <w:r w:rsidRPr="003417E7">
        <w:rPr>
          <w:sz w:val="16"/>
        </w:rPr>
        <w:t xml:space="preserve">Now the skeptical lawyer-types will say there’s no private right of action under ESEA and besides, you can’t ignore case law. But first, </w:t>
      </w:r>
      <w:r w:rsidRPr="003417E7">
        <w:rPr>
          <w:rStyle w:val="StyleUnderline"/>
        </w:rPr>
        <w:t>there is a private right of action under IDEA</w:t>
      </w:r>
      <w:r w:rsidRPr="003417E7">
        <w:rPr>
          <w:sz w:val="16"/>
        </w:rPr>
        <w:t xml:space="preserve"> (with attorney fees covered in successful cases). Second, case law can be overtaken by new facts. For almost 35 years, the controlling case law interpretation of the free appropriate public education clause has been found in Justice Rehnquist’s </w:t>
      </w:r>
      <w:r w:rsidRPr="003417E7">
        <w:rPr>
          <w:rStyle w:val="StyleUnderline"/>
        </w:rPr>
        <w:t>Hendrick Hudson Central School District v. Rowley, 458 U.S. 76 (1982), decision</w:t>
      </w:r>
      <w:r w:rsidRPr="003417E7">
        <w:rPr>
          <w:sz w:val="16"/>
        </w:rPr>
        <w:t xml:space="preserve">. There, a divided court held that </w:t>
      </w:r>
      <w:r w:rsidRPr="003417E7">
        <w:rPr>
          <w:rStyle w:val="StyleUnderline"/>
        </w:rPr>
        <w:t>all a school district needs to do to meet IDEA’s free appropriate public education requirement is to provide children with disabilities a program with “some educational benefit”</w:t>
      </w:r>
      <w:r w:rsidRPr="003417E7">
        <w:rPr>
          <w:sz w:val="16"/>
        </w:rPr>
        <w:t xml:space="preserve"> — </w:t>
      </w:r>
      <w:r w:rsidRPr="003417E7">
        <w:rPr>
          <w:rStyle w:val="Emphasis"/>
        </w:rPr>
        <w:t>presumably anything above zero benefit</w:t>
      </w:r>
      <w:r w:rsidRPr="003417E7">
        <w:rPr>
          <w:sz w:val="16"/>
        </w:rPr>
        <w:t xml:space="preserve">. But </w:t>
      </w:r>
      <w:r w:rsidRPr="003417E7">
        <w:rPr>
          <w:rStyle w:val="StyleUnderline"/>
        </w:rPr>
        <w:t>the</w:t>
      </w:r>
      <w:r w:rsidRPr="003417E7">
        <w:rPr>
          <w:sz w:val="16"/>
        </w:rPr>
        <w:t xml:space="preserve"> 1982 Rowley </w:t>
      </w:r>
      <w:r w:rsidRPr="003417E7">
        <w:rPr>
          <w:rStyle w:val="StyleUnderline"/>
        </w:rPr>
        <w:t xml:space="preserve">decision predates the statewide standards-based education reform movement. </w:t>
      </w:r>
      <w:r w:rsidRPr="003417E7">
        <w:rPr>
          <w:sz w:val="16"/>
        </w:rPr>
        <w:t>It predates articulation of state content and performance education standards much less ESSA’s heightened requirement of statewide academic standards aligned with preparation for credit-bearing, college level work</w:t>
      </w:r>
      <w:r w:rsidRPr="003417E7">
        <w:rPr>
          <w:rStyle w:val="StyleUnderline"/>
        </w:rPr>
        <w:t xml:space="preserve">. It doesn’t examine the specific, relevant subparagraph of the statute (subparagraph (9)(B)). </w:t>
      </w:r>
      <w:r w:rsidRPr="003417E7">
        <w:rPr>
          <w:sz w:val="16"/>
        </w:rPr>
        <w:t>Granted, IDEA and ESEA state participation is voluntary. But every state participates in IDEA and ESEA as amended by ESSA. Theoretically, a state could withdraw from participating, but no state has ever done so. Frankly it wouldn’t make a lot of sense given the range of other federal disability laws (e.g. the Americans with Disabilities Act) as well as federal and state constitutional provisions that intertwine with IDEA. In fact</w:t>
      </w:r>
      <w:r w:rsidRPr="003417E7">
        <w:rPr>
          <w:rStyle w:val="StyleUnderline"/>
        </w:rPr>
        <w:t xml:space="preserve">, a majority of </w:t>
      </w:r>
      <w:r w:rsidRPr="003417E7">
        <w:rPr>
          <w:rStyle w:val="Emphasis"/>
        </w:rPr>
        <w:t>states have their own versions</w:t>
      </w:r>
      <w:r w:rsidRPr="003417E7">
        <w:rPr>
          <w:rStyle w:val="StyleUnderline"/>
        </w:rPr>
        <w:t xml:space="preserve"> of IDEA on their books as state law.</w:t>
      </w:r>
      <w:r w:rsidRPr="003417E7">
        <w:rPr>
          <w:sz w:val="16"/>
        </w:rPr>
        <w:t xml:space="preserve"> IDEA and its forerunner the Education </w:t>
      </w:r>
      <w:r w:rsidRPr="003417E7">
        <w:rPr>
          <w:rStyle w:val="StyleUnderline"/>
        </w:rPr>
        <w:t>For All Handicapped Children Act in part was based on over twenty pre-existing state laws assuring children with disabilities receive a free appropriate public education in the least restrictive environment. For most states, it just doesn’t make sense to contemplate withdrawing from IDEA.</w:t>
      </w:r>
      <w:r w:rsidRPr="003417E7">
        <w:rPr>
          <w:sz w:val="16"/>
        </w:rPr>
        <w:t xml:space="preserve"> If nothing else, the loss of federal revenue to any state pulling out of IDEA or ESEA would be politically prohibitive. Plus if a state withdrew from one or the other, it’s not as if other </w:t>
      </w:r>
      <w:r w:rsidRPr="003417E7">
        <w:rPr>
          <w:rStyle w:val="Style13ptBold"/>
          <w:b w:val="0"/>
          <w:sz w:val="16"/>
        </w:rPr>
        <w:t>state</w:t>
      </w:r>
      <w:r w:rsidRPr="003417E7">
        <w:rPr>
          <w:sz w:val="16"/>
        </w:rPr>
        <w:t xml:space="preserve"> and federal laws, not to mention state and federal constitutional law, would not apply. Bottom line: IDEA and a host of other federal and complementary state disability and education laws are supposed to provide children with disabilities two essential promises: An adequate education; and An integrated environment to the maximum extent possible. Based on the text of the IDEA statute, it seems that participating states should have to make at least some showing that they are providing an adequate education consistent with state standards to all children in a public school lest children with disabilities in those schools be forced to give up one of their two statutory rights to adequacy and access. Who knows? Maybe one day, we’ll find out that there is a federal right to education . . . for everyone. There certainly should be.</w:t>
      </w:r>
    </w:p>
    <w:p w:rsidR="00833446" w:rsidRPr="003417E7" w:rsidRDefault="00833446" w:rsidP="00833446">
      <w:pPr>
        <w:pStyle w:val="Heading3"/>
      </w:pPr>
      <w:r>
        <w:t>Solves – New Tech Key</w:t>
      </w:r>
    </w:p>
    <w:p w:rsidR="00833446" w:rsidRPr="003417E7" w:rsidRDefault="00833446" w:rsidP="00833446">
      <w:pPr>
        <w:pStyle w:val="Heading4"/>
        <w:rPr>
          <w:rFonts w:cs="Arial"/>
        </w:rPr>
      </w:pPr>
      <w:r w:rsidRPr="003417E7">
        <w:rPr>
          <w:rFonts w:cs="Arial"/>
        </w:rPr>
        <w:t>New technologies allow for easier accommodation towards differently abled students.</w:t>
      </w:r>
    </w:p>
    <w:p w:rsidR="00833446" w:rsidRPr="003417E7" w:rsidRDefault="00833446" w:rsidP="00833446">
      <w:pPr>
        <w:pStyle w:val="ListParagraph"/>
        <w:numPr>
          <w:ilvl w:val="0"/>
          <w:numId w:val="11"/>
        </w:numPr>
        <w:rPr>
          <w:rFonts w:cs="Arial"/>
        </w:rPr>
      </w:pPr>
      <w:r w:rsidRPr="003417E7">
        <w:rPr>
          <w:rFonts w:cs="Arial"/>
        </w:rPr>
        <w:t>Video chat</w:t>
      </w:r>
    </w:p>
    <w:p w:rsidR="00833446" w:rsidRPr="003417E7" w:rsidRDefault="00833446" w:rsidP="00833446">
      <w:pPr>
        <w:pStyle w:val="ListParagraph"/>
        <w:numPr>
          <w:ilvl w:val="0"/>
          <w:numId w:val="11"/>
        </w:numPr>
        <w:rPr>
          <w:rFonts w:cs="Arial"/>
        </w:rPr>
      </w:pPr>
      <w:r w:rsidRPr="003417E7">
        <w:rPr>
          <w:rFonts w:cs="Arial"/>
        </w:rPr>
        <w:t>Robots</w:t>
      </w:r>
    </w:p>
    <w:p w:rsidR="00833446" w:rsidRPr="003417E7" w:rsidRDefault="00833446" w:rsidP="00833446">
      <w:pPr>
        <w:pStyle w:val="ListParagraph"/>
        <w:numPr>
          <w:ilvl w:val="0"/>
          <w:numId w:val="11"/>
        </w:numPr>
        <w:rPr>
          <w:rFonts w:cs="Arial"/>
        </w:rPr>
      </w:pPr>
      <w:r w:rsidRPr="003417E7">
        <w:rPr>
          <w:rFonts w:cs="Arial"/>
        </w:rPr>
        <w:t>Online school</w:t>
      </w:r>
    </w:p>
    <w:p w:rsidR="00833446" w:rsidRPr="003417E7" w:rsidRDefault="00833446" w:rsidP="00833446">
      <w:pPr>
        <w:rPr>
          <w:rFonts w:cs="Arial"/>
          <w:sz w:val="16"/>
          <w:szCs w:val="16"/>
        </w:rPr>
      </w:pPr>
      <w:r w:rsidRPr="003417E7">
        <w:rPr>
          <w:rStyle w:val="Style13ptBold"/>
          <w:rFonts w:cs="Arial"/>
        </w:rPr>
        <w:t>Neal ’15</w:t>
      </w:r>
      <w:r w:rsidRPr="003417E7">
        <w:rPr>
          <w:rFonts w:cs="Arial"/>
        </w:rPr>
        <w:t xml:space="preserve"> </w:t>
      </w:r>
      <w:r w:rsidRPr="003417E7">
        <w:rPr>
          <w:rFonts w:cs="Arial"/>
          <w:sz w:val="16"/>
          <w:szCs w:val="16"/>
        </w:rPr>
        <w:t xml:space="preserve">(Cameron; JD in Law from UNC School of Law, BA in Political Science from NC State University; NORTH CAROLINA JOURNAL OF LAW &amp; TECHNOLOGY, 16 N.C. J.L. &amp; TECH. ON. 235 (2015) “WHEN FIVE HOURS EQUALS FIVE DAYS: BRINGING SECTION 504 EDUCATION PLANS INTO THE 21ST CENTURY,” </w:t>
      </w:r>
      <w:hyperlink r:id="rId8" w:history="1">
        <w:r w:rsidRPr="003417E7">
          <w:rPr>
            <w:rStyle w:val="Hyperlink"/>
            <w:rFonts w:cs="Arial"/>
            <w:sz w:val="16"/>
            <w:szCs w:val="16"/>
          </w:rPr>
          <w:t>http://ncjolt.org/wp-content/uploads/2015/04/Neal_Final-1.pdf</w:t>
        </w:r>
      </w:hyperlink>
      <w:r w:rsidRPr="003417E7">
        <w:rPr>
          <w:rFonts w:cs="Arial"/>
          <w:sz w:val="16"/>
          <w:szCs w:val="16"/>
        </w:rPr>
        <w:t>, DOA: 6/28/17)</w:t>
      </w:r>
    </w:p>
    <w:p w:rsidR="00833446" w:rsidRPr="003417E7" w:rsidRDefault="00833446" w:rsidP="00833446">
      <w:pPr>
        <w:rPr>
          <w:rFonts w:cs="Arial"/>
          <w:sz w:val="16"/>
        </w:rPr>
      </w:pPr>
      <w:r w:rsidRPr="003417E7">
        <w:rPr>
          <w:rFonts w:cs="Arial"/>
          <w:sz w:val="16"/>
        </w:rPr>
        <w:t xml:space="preserve">IV. TECHNOLOGY ADVANCES IN EDUCATION </w:t>
      </w:r>
      <w:r w:rsidRPr="003417E7">
        <w:rPr>
          <w:rStyle w:val="StyleUnderline"/>
          <w:rFonts w:cs="Arial"/>
        </w:rPr>
        <w:t>When Congress passed the ADA the most advanced widespread communication technologies were telephones</w:t>
      </w:r>
      <w:r w:rsidRPr="003417E7">
        <w:rPr>
          <w:rFonts w:cs="Arial"/>
          <w:sz w:val="16"/>
        </w:rPr>
        <w:t xml:space="preserve">, VCRs, </w:t>
      </w:r>
      <w:r w:rsidRPr="003417E7">
        <w:rPr>
          <w:rStyle w:val="StyleUnderline"/>
          <w:rFonts w:cs="Arial"/>
        </w:rPr>
        <w:t>and audiocassette tapes</w:t>
      </w:r>
      <w:r w:rsidRPr="003417E7">
        <w:rPr>
          <w:rFonts w:cs="Arial"/>
          <w:sz w:val="16"/>
        </w:rPr>
        <w:t xml:space="preserve">. Back then, a homebound student would probably have received a much better education by meeting one-on-one with a teacher, even for just five hours a week, than by listening to class five days a week over the telephone. </w:t>
      </w:r>
      <w:r w:rsidRPr="003417E7">
        <w:rPr>
          <w:rStyle w:val="StyleUnderline"/>
          <w:rFonts w:cs="Arial"/>
        </w:rPr>
        <w:t>Since 1990,</w:t>
      </w:r>
      <w:r w:rsidRPr="003417E7">
        <w:rPr>
          <w:rFonts w:cs="Arial"/>
          <w:sz w:val="16"/>
        </w:rPr>
        <w:t xml:space="preserve"> </w:t>
      </w:r>
      <w:r w:rsidRPr="003417E7">
        <w:rPr>
          <w:rStyle w:val="StyleUnderline"/>
          <w:rFonts w:cs="Arial"/>
        </w:rPr>
        <w:t>the Internet has increased the number and variations of educational technologies available.</w:t>
      </w:r>
      <w:r w:rsidRPr="003417E7">
        <w:rPr>
          <w:rFonts w:cs="Arial"/>
          <w:sz w:val="16"/>
        </w:rPr>
        <w:t xml:space="preserve"> The Internet officially emerged in 1992 when Congress passed the Scientific and Advanced-Technology Act, which allowed the National Science Foundation to support access by the research and educational communities to computer networks which were not used exclusively for research and education purposes, thus permitting interconnection with commercial networks. 64 </w:t>
      </w:r>
      <w:r w:rsidRPr="003417E7">
        <w:rPr>
          <w:rStyle w:val="StyleUnderline"/>
          <w:rFonts w:cs="Arial"/>
        </w:rPr>
        <w:t>Universities developed the Internet as a research tool in the 1970s and 1980s, and use of the Internet became widespread around the time that President Bush signed the ADA into law</w:t>
      </w:r>
      <w:r w:rsidRPr="003417E7">
        <w:rPr>
          <w:rFonts w:cs="Arial"/>
          <w:sz w:val="16"/>
        </w:rPr>
        <w:t xml:space="preserve">.65 By the end of the 1990s, one researcher stated, that </w:t>
      </w:r>
      <w:r w:rsidRPr="003417E7">
        <w:rPr>
          <w:rStyle w:val="StyleUnderline"/>
          <w:rFonts w:cs="Arial"/>
        </w:rPr>
        <w:t>use of “the Internet as a teaching aid is literally exploding</w:t>
      </w:r>
      <w:r w:rsidRPr="003417E7">
        <w:rPr>
          <w:rFonts w:cs="Arial"/>
          <w:sz w:val="16"/>
        </w:rPr>
        <w:t xml:space="preserve">.” 66 In 2004, one study even concluded that </w:t>
      </w:r>
      <w:r w:rsidRPr="003417E7">
        <w:rPr>
          <w:rStyle w:val="StyleUnderline"/>
          <w:rFonts w:cs="Arial"/>
        </w:rPr>
        <w:t>“[r]emote learners can outperform traditional classroom students.”</w:t>
      </w:r>
      <w:r w:rsidRPr="003417E7">
        <w:rPr>
          <w:rFonts w:cs="Arial"/>
          <w:sz w:val="16"/>
        </w:rPr>
        <w:t xml:space="preserve">67 A. Videoconferencing </w:t>
      </w:r>
      <w:proofErr w:type="spellStart"/>
      <w:r w:rsidRPr="003417E7">
        <w:rPr>
          <w:rFonts w:cs="Arial"/>
          <w:sz w:val="16"/>
        </w:rPr>
        <w:t>Vide</w:t>
      </w:r>
      <w:r w:rsidRPr="003417E7">
        <w:rPr>
          <w:rStyle w:val="StyleUnderline"/>
          <w:rFonts w:cs="Arial"/>
        </w:rPr>
        <w:t>oconferencing</w:t>
      </w:r>
      <w:proofErr w:type="spellEnd"/>
      <w:r w:rsidRPr="003417E7">
        <w:rPr>
          <w:rStyle w:val="StyleUnderline"/>
          <w:rFonts w:cs="Arial"/>
        </w:rPr>
        <w:t xml:space="preserve"> is a mode of communication between two or more parties where persons can see and hear one another, essentially permitting them to have a normal face-to-face conversation through video display</w:t>
      </w:r>
      <w:r w:rsidRPr="003417E7">
        <w:rPr>
          <w:rFonts w:cs="Arial"/>
          <w:sz w:val="16"/>
        </w:rPr>
        <w:t xml:space="preserve">s. A webcam is a video camera that transmits its video image live through the Internet to be displayed by a user on the other side.68 </w:t>
      </w:r>
      <w:r w:rsidRPr="003417E7">
        <w:rPr>
          <w:rStyle w:val="StyleUnderline"/>
          <w:rFonts w:cs="Arial"/>
        </w:rPr>
        <w:t>Videoconferencing software includes Skype and FaceTime, which offer free video calls between users from their computers or smartphones.</w:t>
      </w:r>
      <w:r w:rsidRPr="003417E7">
        <w:rPr>
          <w:rFonts w:cs="Arial"/>
          <w:sz w:val="16"/>
        </w:rPr>
        <w:t xml:space="preserve"> 69 Skype supplies the software that enables users to turn their computers into video-phones with the simple addition of a webcam.70 </w:t>
      </w:r>
      <w:r w:rsidRPr="003417E7">
        <w:rPr>
          <w:rStyle w:val="StyleUnderline"/>
          <w:rFonts w:cs="Arial"/>
        </w:rPr>
        <w:t>Users can also set up webcams so parties on each side can see each other via their computer screens</w:t>
      </w:r>
      <w:r w:rsidRPr="003417E7">
        <w:rPr>
          <w:rFonts w:cs="Arial"/>
          <w:sz w:val="16"/>
        </w:rPr>
        <w:t xml:space="preserve">. Most modern laptops, tablets, and phones come with a webcam built in. However, </w:t>
      </w:r>
      <w:r w:rsidRPr="003417E7">
        <w:rPr>
          <w:rStyle w:val="StyleUnderline"/>
          <w:rFonts w:cs="Arial"/>
        </w:rPr>
        <w:t>for students without access to more recent technology, a small camera can easily be purchased and hooked up to even older computers. In order for this technology to work, the user and the classroom each need to have a computer or smartphone with a webcam, and access to a high-speed Internet connection.71</w:t>
      </w:r>
      <w:r w:rsidRPr="003417E7">
        <w:rPr>
          <w:rFonts w:cs="Arial"/>
          <w:sz w:val="16"/>
        </w:rPr>
        <w:t xml:space="preserve"> </w:t>
      </w:r>
      <w:r w:rsidRPr="003417E7">
        <w:rPr>
          <w:rStyle w:val="StyleUnderline"/>
          <w:rFonts w:cs="Arial"/>
        </w:rPr>
        <w:t xml:space="preserve">Videoconferencing technology is </w:t>
      </w:r>
      <w:r w:rsidRPr="003417E7">
        <w:rPr>
          <w:rStyle w:val="Emphasis"/>
          <w:rFonts w:cs="Arial"/>
        </w:rPr>
        <w:t>cheap and relatively easy to troubleshoot</w:t>
      </w:r>
      <w:r w:rsidRPr="003417E7">
        <w:rPr>
          <w:rStyle w:val="StyleUnderline"/>
          <w:rFonts w:cs="Arial"/>
        </w:rPr>
        <w:t xml:space="preserve">. It is so </w:t>
      </w:r>
      <w:r w:rsidRPr="003417E7">
        <w:rPr>
          <w:rStyle w:val="Emphasis"/>
          <w:rFonts w:cs="Arial"/>
        </w:rPr>
        <w:t>reliable</w:t>
      </w:r>
      <w:r w:rsidRPr="003417E7">
        <w:rPr>
          <w:rStyle w:val="StyleUnderline"/>
          <w:rFonts w:cs="Arial"/>
        </w:rPr>
        <w:t xml:space="preserve"> that the legal profession has accepted it for taking depositions and testimony during trial.</w:t>
      </w:r>
      <w:r w:rsidRPr="003417E7">
        <w:rPr>
          <w:rFonts w:cs="Arial"/>
          <w:sz w:val="16"/>
        </w:rPr>
        <w:t xml:space="preserve"> 72 </w:t>
      </w:r>
      <w:r w:rsidRPr="003417E7">
        <w:rPr>
          <w:rStyle w:val="StyleUnderline"/>
          <w:rFonts w:cs="Arial"/>
        </w:rPr>
        <w:t xml:space="preserve">Some colleges and universities offer courses where students, and even faculty, may “virtually attend” class using webcam technology, which helps to </w:t>
      </w:r>
      <w:r w:rsidRPr="003417E7">
        <w:rPr>
          <w:rStyle w:val="Emphasis"/>
          <w:rFonts w:cs="Arial"/>
        </w:rPr>
        <w:t>prove its viability in an educational</w:t>
      </w:r>
      <w:r w:rsidRPr="003417E7">
        <w:rPr>
          <w:rStyle w:val="StyleUnderline"/>
          <w:rFonts w:cs="Arial"/>
        </w:rPr>
        <w:t xml:space="preserve"> </w:t>
      </w:r>
      <w:r w:rsidRPr="003417E7">
        <w:rPr>
          <w:rStyle w:val="Emphasis"/>
          <w:rFonts w:cs="Arial"/>
        </w:rPr>
        <w:t>context</w:t>
      </w:r>
      <w:r w:rsidRPr="003417E7">
        <w:rPr>
          <w:rFonts w:cs="Arial"/>
          <w:sz w:val="16"/>
        </w:rPr>
        <w:t xml:space="preserve">. 73 Admittedly, webcam technology is not without limitations. First, the webcam is limited to the location where it is set up. While a stand-alone webcam recording and transmitting the teacher’s class is possible, that arrangement limits the student’s point of view and the student’s interaction with classmates. If the teacher wanders outside the area of the webcam’s aim the student would be unable to readjust the camera to see the teacher.74 The teacher could readjust the camera, if he or she remembers, but constant webcam adjustments disrupt class for all. </w:t>
      </w:r>
      <w:r w:rsidRPr="003417E7">
        <w:rPr>
          <w:rStyle w:val="StyleUnderline"/>
          <w:rFonts w:cs="Arial"/>
        </w:rPr>
        <w:t>The cost of webcams has dropped due to widespread proliferation of the technology</w:t>
      </w:r>
      <w:r w:rsidRPr="003417E7">
        <w:rPr>
          <w:rFonts w:cs="Arial"/>
          <w:sz w:val="16"/>
        </w:rPr>
        <w:t xml:space="preserve">. But, the low cost may be offset by the added expense of high-speed Internet connections for both the students and schools. 75 B. </w:t>
      </w:r>
      <w:r w:rsidRPr="003417E7">
        <w:rPr>
          <w:rStyle w:val="StyleUnderline"/>
          <w:rFonts w:cs="Arial"/>
        </w:rPr>
        <w:t>Personal Roving Presence (“</w:t>
      </w:r>
      <w:proofErr w:type="spellStart"/>
      <w:r w:rsidRPr="003417E7">
        <w:rPr>
          <w:rStyle w:val="StyleUnderline"/>
          <w:rFonts w:cs="Arial"/>
        </w:rPr>
        <w:t>PRoP</w:t>
      </w:r>
      <w:proofErr w:type="spellEnd"/>
      <w:r w:rsidRPr="003417E7">
        <w:rPr>
          <w:rStyle w:val="StyleUnderline"/>
          <w:rFonts w:cs="Arial"/>
        </w:rPr>
        <w:t>”)</w:t>
      </w:r>
      <w:r w:rsidRPr="003417E7">
        <w:rPr>
          <w:rFonts w:cs="Arial"/>
          <w:sz w:val="16"/>
        </w:rPr>
        <w:t xml:space="preserve"> A </w:t>
      </w:r>
      <w:proofErr w:type="spellStart"/>
      <w:r w:rsidRPr="003417E7">
        <w:rPr>
          <w:rStyle w:val="StyleUnderline"/>
          <w:rFonts w:cs="Arial"/>
        </w:rPr>
        <w:t>PRoP</w:t>
      </w:r>
      <w:proofErr w:type="spellEnd"/>
      <w:r w:rsidRPr="003417E7">
        <w:rPr>
          <w:rStyle w:val="StyleUnderline"/>
          <w:rFonts w:cs="Arial"/>
        </w:rPr>
        <w:t xml:space="preserve"> is a mobile two-way, wireless webcam, which a student can “drive” around the school.</w:t>
      </w:r>
      <w:r w:rsidRPr="003417E7">
        <w:rPr>
          <w:rFonts w:cs="Arial"/>
          <w:sz w:val="16"/>
        </w:rPr>
        <w:t xml:space="preserve"> 76 </w:t>
      </w:r>
      <w:r w:rsidRPr="003417E7">
        <w:rPr>
          <w:rStyle w:val="StyleUnderline"/>
          <w:rFonts w:cs="Arial"/>
        </w:rPr>
        <w:t>The</w:t>
      </w:r>
      <w:r w:rsidRPr="003417E7">
        <w:rPr>
          <w:rFonts w:cs="Arial"/>
          <w:sz w:val="16"/>
        </w:rPr>
        <w:t xml:space="preserve"> physical tele-</w:t>
      </w:r>
      <w:r w:rsidRPr="003417E7">
        <w:rPr>
          <w:rStyle w:val="StyleUnderline"/>
          <w:rFonts w:cs="Arial"/>
        </w:rPr>
        <w:t>robot serves</w:t>
      </w:r>
      <w:r w:rsidRPr="003417E7">
        <w:rPr>
          <w:rFonts w:cs="Arial"/>
          <w:sz w:val="16"/>
        </w:rPr>
        <w:t xml:space="preserve"> both </w:t>
      </w:r>
      <w:r w:rsidRPr="003417E7">
        <w:rPr>
          <w:rStyle w:val="StyleUnderline"/>
          <w:rFonts w:cs="Arial"/>
        </w:rPr>
        <w:t>as an extension of its operator and as a visible, mobile entity with which other people can interact</w:t>
      </w:r>
      <w:r w:rsidRPr="003417E7">
        <w:rPr>
          <w:rFonts w:cs="Arial"/>
          <w:sz w:val="16"/>
        </w:rPr>
        <w:t xml:space="preserve">.77 </w:t>
      </w:r>
      <w:proofErr w:type="spellStart"/>
      <w:r w:rsidRPr="003417E7">
        <w:rPr>
          <w:rFonts w:cs="Arial"/>
          <w:sz w:val="16"/>
        </w:rPr>
        <w:t>PRoPs</w:t>
      </w:r>
      <w:proofErr w:type="spellEnd"/>
      <w:r w:rsidRPr="003417E7">
        <w:rPr>
          <w:rFonts w:cs="Arial"/>
          <w:sz w:val="16"/>
        </w:rPr>
        <w:t xml:space="preserve"> enable their users to perform a wide gamut of human activities in the remote space from conversing with people, to reading, examining objects, and wandering around.78 </w:t>
      </w:r>
      <w:r w:rsidRPr="003417E7">
        <w:rPr>
          <w:rStyle w:val="StyleUnderline"/>
          <w:rFonts w:cs="Arial"/>
        </w:rPr>
        <w:t xml:space="preserve">Telepresence robots are becoming more popular in the business world and even television shows. </w:t>
      </w:r>
      <w:r w:rsidRPr="003417E7">
        <w:rPr>
          <w:rFonts w:cs="Arial"/>
          <w:sz w:val="16"/>
        </w:rPr>
        <w:t xml:space="preserve">79 A wide variety of brands sell </w:t>
      </w:r>
      <w:proofErr w:type="spellStart"/>
      <w:r w:rsidRPr="003417E7">
        <w:rPr>
          <w:rFonts w:cs="Arial"/>
          <w:sz w:val="16"/>
        </w:rPr>
        <w:t>PRoPs</w:t>
      </w:r>
      <w:proofErr w:type="spellEnd"/>
      <w:r w:rsidRPr="003417E7">
        <w:rPr>
          <w:rFonts w:cs="Arial"/>
          <w:sz w:val="16"/>
        </w:rPr>
        <w:t>, ranging from obscure flying blimp-</w:t>
      </w:r>
      <w:proofErr w:type="spellStart"/>
      <w:r w:rsidRPr="003417E7">
        <w:rPr>
          <w:rFonts w:cs="Arial"/>
          <w:sz w:val="16"/>
        </w:rPr>
        <w:t>esque</w:t>
      </w:r>
      <w:proofErr w:type="spellEnd"/>
      <w:r w:rsidRPr="003417E7">
        <w:rPr>
          <w:rFonts w:cs="Arial"/>
          <w:sz w:val="16"/>
        </w:rPr>
        <w:t xml:space="preserve"> PRoPs80 to drivable toy-like tank iPhone holders.81 Despite the wide variety of </w:t>
      </w:r>
      <w:proofErr w:type="spellStart"/>
      <w:r w:rsidRPr="003417E7">
        <w:rPr>
          <w:rFonts w:cs="Arial"/>
          <w:sz w:val="16"/>
        </w:rPr>
        <w:t>PRoP</w:t>
      </w:r>
      <w:proofErr w:type="spellEnd"/>
      <w:r w:rsidRPr="003417E7">
        <w:rPr>
          <w:rFonts w:cs="Arial"/>
          <w:sz w:val="16"/>
        </w:rPr>
        <w:t xml:space="preserve"> models, ranging widely in price, features, and support, only some brands have proven themselves and found their way into schools. One particularly popular brand of </w:t>
      </w:r>
      <w:proofErr w:type="spellStart"/>
      <w:r w:rsidRPr="003417E7">
        <w:rPr>
          <w:rFonts w:cs="Arial"/>
          <w:sz w:val="16"/>
        </w:rPr>
        <w:t>PRoP</w:t>
      </w:r>
      <w:proofErr w:type="spellEnd"/>
      <w:r w:rsidRPr="003417E7">
        <w:rPr>
          <w:rFonts w:cs="Arial"/>
          <w:sz w:val="16"/>
        </w:rPr>
        <w:t xml:space="preserve"> is the </w:t>
      </w:r>
      <w:proofErr w:type="spellStart"/>
      <w:r w:rsidRPr="003417E7">
        <w:rPr>
          <w:rFonts w:cs="Arial"/>
          <w:sz w:val="16"/>
        </w:rPr>
        <w:t>VGo</w:t>
      </w:r>
      <w:proofErr w:type="spellEnd"/>
      <w:r w:rsidRPr="003417E7">
        <w:rPr>
          <w:rFonts w:cs="Arial"/>
          <w:sz w:val="16"/>
        </w:rPr>
        <w:t xml:space="preserve">, which is used in many schools around the country. 82 </w:t>
      </w:r>
      <w:r w:rsidRPr="003417E7">
        <w:rPr>
          <w:rStyle w:val="StyleUnderline"/>
          <w:rFonts w:cs="Arial"/>
        </w:rPr>
        <w:t xml:space="preserve">The company that produces the </w:t>
      </w:r>
      <w:proofErr w:type="spellStart"/>
      <w:r w:rsidRPr="003417E7">
        <w:rPr>
          <w:rStyle w:val="StyleUnderline"/>
          <w:rFonts w:cs="Arial"/>
        </w:rPr>
        <w:t>VGo</w:t>
      </w:r>
      <w:proofErr w:type="spellEnd"/>
      <w:r w:rsidRPr="003417E7">
        <w:rPr>
          <w:rStyle w:val="StyleUnderline"/>
          <w:rFonts w:cs="Arial"/>
        </w:rPr>
        <w:t xml:space="preserve"> has placed more than forty units in school settings</w:t>
      </w:r>
      <w:r w:rsidRPr="003417E7">
        <w:rPr>
          <w:rFonts w:cs="Arial"/>
          <w:sz w:val="16"/>
        </w:rPr>
        <w:t>.83 St</w:t>
      </w:r>
      <w:r w:rsidRPr="003417E7">
        <w:rPr>
          <w:rStyle w:val="StyleUnderline"/>
          <w:rFonts w:cs="Arial"/>
        </w:rPr>
        <w:t xml:space="preserve">udents navigate the </w:t>
      </w:r>
      <w:proofErr w:type="spellStart"/>
      <w:r w:rsidRPr="003417E7">
        <w:rPr>
          <w:rStyle w:val="StyleUnderline"/>
          <w:rFonts w:cs="Arial"/>
        </w:rPr>
        <w:t>VGo</w:t>
      </w:r>
      <w:proofErr w:type="spellEnd"/>
      <w:r w:rsidRPr="003417E7">
        <w:rPr>
          <w:rStyle w:val="StyleUnderline"/>
          <w:rFonts w:cs="Arial"/>
        </w:rPr>
        <w:t xml:space="preserve"> robot and adjust the camera to keep the teacher in view.85 Each student also has a webcam at home that broadcasts his or her image to a screen on the VGo</w:t>
      </w:r>
      <w:r w:rsidRPr="003417E7">
        <w:rPr>
          <w:rFonts w:cs="Arial"/>
          <w:sz w:val="16"/>
        </w:rPr>
        <w:t xml:space="preserve">.86 Additionally, </w:t>
      </w:r>
      <w:r w:rsidRPr="003417E7">
        <w:rPr>
          <w:rStyle w:val="StyleUnderline"/>
          <w:rFonts w:cs="Arial"/>
        </w:rPr>
        <w:t>students can participate in class and “raise their hand” by activating a light on top of the VG</w:t>
      </w:r>
      <w:r w:rsidRPr="003417E7">
        <w:rPr>
          <w:rFonts w:cs="Arial"/>
          <w:sz w:val="16"/>
        </w:rPr>
        <w:t>o.87 Furthermore</w:t>
      </w:r>
      <w:r w:rsidRPr="003417E7">
        <w:rPr>
          <w:rStyle w:val="StyleUnderline"/>
          <w:rFonts w:cs="Arial"/>
        </w:rPr>
        <w:t xml:space="preserve">, some students who use this technology have reported that they use the </w:t>
      </w:r>
      <w:proofErr w:type="spellStart"/>
      <w:r w:rsidRPr="003417E7">
        <w:rPr>
          <w:rStyle w:val="StyleUnderline"/>
          <w:rFonts w:cs="Arial"/>
        </w:rPr>
        <w:t>VGo</w:t>
      </w:r>
      <w:proofErr w:type="spellEnd"/>
      <w:r w:rsidRPr="003417E7">
        <w:rPr>
          <w:rStyle w:val="StyleUnderline"/>
          <w:rFonts w:cs="Arial"/>
        </w:rPr>
        <w:t xml:space="preserve"> to travel between classes and “chat with . . . friends.</w:t>
      </w:r>
      <w:r w:rsidRPr="003417E7">
        <w:rPr>
          <w:rFonts w:cs="Arial"/>
          <w:sz w:val="16"/>
        </w:rPr>
        <w:t xml:space="preserve">”88 </w:t>
      </w:r>
      <w:r w:rsidRPr="003417E7">
        <w:rPr>
          <w:rStyle w:val="StyleUnderline"/>
          <w:rFonts w:cs="Arial"/>
        </w:rPr>
        <w:t xml:space="preserve">Students using telepresence robots can </w:t>
      </w:r>
      <w:r w:rsidRPr="003417E7">
        <w:rPr>
          <w:rStyle w:val="Emphasis"/>
          <w:rFonts w:cs="Arial"/>
        </w:rPr>
        <w:t>participate in group projects and even classroom discussions</w:t>
      </w:r>
      <w:r w:rsidRPr="003417E7">
        <w:rPr>
          <w:rFonts w:cs="Arial"/>
          <w:sz w:val="16"/>
        </w:rPr>
        <w:t xml:space="preserve">.89 </w:t>
      </w:r>
      <w:r w:rsidRPr="003417E7">
        <w:rPr>
          <w:rStyle w:val="StyleUnderline"/>
          <w:rFonts w:cs="Arial"/>
        </w:rPr>
        <w:t>This</w:t>
      </w:r>
      <w:r w:rsidRPr="003417E7">
        <w:rPr>
          <w:rFonts w:cs="Arial"/>
          <w:sz w:val="16"/>
        </w:rPr>
        <w:t xml:space="preserve"> capability </w:t>
      </w:r>
      <w:r w:rsidRPr="003417E7">
        <w:rPr>
          <w:rStyle w:val="StyleUnderline"/>
          <w:rFonts w:cs="Arial"/>
        </w:rPr>
        <w:t xml:space="preserve">suggests a level of </w:t>
      </w:r>
      <w:r w:rsidRPr="003417E7">
        <w:rPr>
          <w:rStyle w:val="Emphasis"/>
          <w:rFonts w:cs="Arial"/>
        </w:rPr>
        <w:t>social interaction</w:t>
      </w:r>
      <w:r w:rsidRPr="003417E7">
        <w:rPr>
          <w:rStyle w:val="StyleUnderline"/>
          <w:rFonts w:cs="Arial"/>
        </w:rPr>
        <w:t xml:space="preserve"> that a homebound student may never come to develop without this proven technology</w:t>
      </w:r>
      <w:r w:rsidRPr="003417E7">
        <w:rPr>
          <w:rFonts w:cs="Arial"/>
          <w:sz w:val="16"/>
        </w:rPr>
        <w:t xml:space="preserve">.90 One of the downsides of telepresence robots is similar to the disadvantages of a webcam in that the student is required to have access to both the Internet and a laptop. 91 An additional drawback is that the </w:t>
      </w:r>
      <w:proofErr w:type="spellStart"/>
      <w:r w:rsidRPr="003417E7">
        <w:rPr>
          <w:rFonts w:cs="Arial"/>
          <w:sz w:val="16"/>
        </w:rPr>
        <w:t>VGo</w:t>
      </w:r>
      <w:proofErr w:type="spellEnd"/>
      <w:r w:rsidRPr="003417E7">
        <w:rPr>
          <w:rFonts w:cs="Arial"/>
          <w:sz w:val="16"/>
        </w:rPr>
        <w:t xml:space="preserve"> unit costs roughly six thousand dollars ($6,000.00), with an additional one hundred dollars ($100.00) per month for maintenance and support. 92 The final challenge is that a student must learn to “drive” their </w:t>
      </w:r>
      <w:proofErr w:type="spellStart"/>
      <w:r w:rsidRPr="003417E7">
        <w:rPr>
          <w:rFonts w:cs="Arial"/>
          <w:sz w:val="16"/>
        </w:rPr>
        <w:t>PRoP</w:t>
      </w:r>
      <w:proofErr w:type="spellEnd"/>
      <w:r w:rsidRPr="003417E7">
        <w:rPr>
          <w:rFonts w:cs="Arial"/>
          <w:sz w:val="16"/>
        </w:rPr>
        <w:t xml:space="preserve">. For example, if the student has a medical condition that makes fine motor control difficult or is extremely young, then the sensitive controls for the </w:t>
      </w:r>
      <w:proofErr w:type="spellStart"/>
      <w:r w:rsidRPr="003417E7">
        <w:rPr>
          <w:rFonts w:cs="Arial"/>
          <w:sz w:val="16"/>
        </w:rPr>
        <w:t>PRoP</w:t>
      </w:r>
      <w:proofErr w:type="spellEnd"/>
      <w:r w:rsidRPr="003417E7">
        <w:rPr>
          <w:rFonts w:cs="Arial"/>
          <w:sz w:val="16"/>
        </w:rPr>
        <w:t xml:space="preserve"> may make it difficult to operate. Furthermore, some schools are inherently more difficult to navigate than others.93 </w:t>
      </w:r>
      <w:r w:rsidRPr="003417E7">
        <w:rPr>
          <w:rStyle w:val="StyleUnderline"/>
          <w:rFonts w:cs="Arial"/>
        </w:rPr>
        <w:t>The Garland Independent School District in Texas</w:t>
      </w:r>
      <w:r w:rsidRPr="003417E7">
        <w:rPr>
          <w:rFonts w:cs="Arial"/>
          <w:sz w:val="16"/>
        </w:rPr>
        <w:t xml:space="preserve"> recently </w:t>
      </w:r>
      <w:r w:rsidRPr="003417E7">
        <w:rPr>
          <w:rStyle w:val="StyleUnderline"/>
          <w:rFonts w:cs="Arial"/>
        </w:rPr>
        <w:t>provided a homebound student with a VGo.</w:t>
      </w:r>
      <w:r w:rsidRPr="003417E7">
        <w:rPr>
          <w:rFonts w:cs="Arial"/>
          <w:sz w:val="16"/>
        </w:rPr>
        <w:t xml:space="preserve">94 </w:t>
      </w:r>
      <w:r w:rsidRPr="003417E7">
        <w:rPr>
          <w:rStyle w:val="StyleUnderline"/>
          <w:rFonts w:cs="Arial"/>
        </w:rPr>
        <w:t xml:space="preserve">The program was so successful that neighboring Region 10 purchased five </w:t>
      </w:r>
      <w:proofErr w:type="spellStart"/>
      <w:r w:rsidRPr="003417E7">
        <w:rPr>
          <w:rStyle w:val="StyleUnderline"/>
          <w:rFonts w:cs="Arial"/>
        </w:rPr>
        <w:t>VGos</w:t>
      </w:r>
      <w:proofErr w:type="spellEnd"/>
      <w:r w:rsidRPr="003417E7">
        <w:rPr>
          <w:rStyle w:val="StyleUnderline"/>
          <w:rFonts w:cs="Arial"/>
        </w:rPr>
        <w:t xml:space="preserve"> for students to use as part of a “Reggie’s Robots” initiative</w:t>
      </w:r>
      <w:r w:rsidRPr="003417E7">
        <w:rPr>
          <w:rFonts w:cs="Arial"/>
          <w:sz w:val="16"/>
        </w:rPr>
        <w:t>.95 Region 10’s Distance-Learning Consultant Lori Aden noted that “[h]</w:t>
      </w:r>
      <w:proofErr w:type="spellStart"/>
      <w:r w:rsidRPr="003417E7">
        <w:rPr>
          <w:rFonts w:cs="Arial"/>
          <w:sz w:val="16"/>
        </w:rPr>
        <w:t>aving</w:t>
      </w:r>
      <w:proofErr w:type="spellEnd"/>
      <w:r w:rsidRPr="003417E7">
        <w:rPr>
          <w:rFonts w:cs="Arial"/>
          <w:sz w:val="16"/>
        </w:rPr>
        <w:t xml:space="preserve"> a district-owned robot is actually cheaper than hiring a homebound teacher.”96 She also emphasized that the </w:t>
      </w:r>
      <w:proofErr w:type="spellStart"/>
      <w:r w:rsidRPr="003417E7">
        <w:rPr>
          <w:rStyle w:val="StyleUnderline"/>
          <w:rFonts w:cs="Arial"/>
        </w:rPr>
        <w:t>VGo</w:t>
      </w:r>
      <w:proofErr w:type="spellEnd"/>
      <w:r w:rsidRPr="003417E7">
        <w:rPr>
          <w:rStyle w:val="StyleUnderline"/>
          <w:rFonts w:cs="Arial"/>
        </w:rPr>
        <w:t xml:space="preserve"> “enables students to receive instruction that homebound teachers may not be able to provide</w:t>
      </w:r>
      <w:r w:rsidRPr="003417E7">
        <w:rPr>
          <w:rFonts w:cs="Arial"/>
          <w:sz w:val="16"/>
        </w:rPr>
        <w:t>, such as Advanced Placement, International Baccalaureate, or . . . Technical Education courses.” 97 C. Virtual Public School (“</w:t>
      </w:r>
      <w:r w:rsidRPr="003417E7">
        <w:rPr>
          <w:rStyle w:val="StyleUnderline"/>
          <w:rFonts w:cs="Arial"/>
        </w:rPr>
        <w:t>VPS</w:t>
      </w:r>
      <w:r w:rsidRPr="003417E7">
        <w:rPr>
          <w:rFonts w:cs="Arial"/>
          <w:sz w:val="16"/>
        </w:rPr>
        <w:t>”) In the United States, “</w:t>
      </w:r>
      <w:r w:rsidRPr="003417E7">
        <w:rPr>
          <w:rStyle w:val="StyleUnderline"/>
          <w:rFonts w:cs="Arial"/>
        </w:rPr>
        <w:t>cyber schools” or “virtual schools” have been growing in popularity</w:t>
      </w:r>
      <w:r w:rsidRPr="003417E7">
        <w:rPr>
          <w:rFonts w:cs="Arial"/>
          <w:sz w:val="16"/>
        </w:rPr>
        <w:t>, with their number tripling between2003 and 2009. 98 “</w:t>
      </w:r>
      <w:r w:rsidRPr="003417E7">
        <w:rPr>
          <w:rStyle w:val="StyleUnderline"/>
          <w:rFonts w:cs="Arial"/>
        </w:rPr>
        <w:t>These schools [tend to] offer most or all of their instructional programs over the Internet.”</w:t>
      </w:r>
      <w:r w:rsidRPr="003417E7">
        <w:rPr>
          <w:rFonts w:cs="Arial"/>
          <w:sz w:val="16"/>
        </w:rPr>
        <w:t xml:space="preserve"> 99 Remarkably, as of 2007, </w:t>
      </w:r>
      <w:r w:rsidRPr="003417E7">
        <w:rPr>
          <w:rStyle w:val="StyleUnderline"/>
          <w:rFonts w:cs="Arial"/>
        </w:rPr>
        <w:t>more than thirty-one states had established VPSs</w:t>
      </w:r>
      <w:r w:rsidRPr="003417E7">
        <w:rPr>
          <w:rFonts w:cs="Arial"/>
          <w:sz w:val="16"/>
        </w:rPr>
        <w:t xml:space="preserve">. 100 The North Carolina VPS is the second largest state virtual school in the country serving over 25,000 middle and high school students101 and offering more than 100 courses ranging from basic courses like Algebra, to hard-to-staff language courses like Arabic and Mandarin, and Advanced Placement (“AP”) courses. 102 </w:t>
      </w:r>
      <w:r w:rsidRPr="003417E7">
        <w:rPr>
          <w:rStyle w:val="StyleUnderline"/>
          <w:rFonts w:cs="Arial"/>
        </w:rPr>
        <w:t>Students log in to the website and watch a pre-recorded lecture. The students participate in both live discussions with the teacher and in message boards with their classmates to trade thoughts and ideas, achieving part of the social aspect of education</w:t>
      </w:r>
      <w:r w:rsidRPr="003417E7">
        <w:rPr>
          <w:rFonts w:cs="Arial"/>
          <w:sz w:val="16"/>
        </w:rPr>
        <w:t xml:space="preserve">. One benefit of VPSs is that </w:t>
      </w:r>
      <w:r w:rsidRPr="003417E7">
        <w:rPr>
          <w:rStyle w:val="StyleUnderline"/>
          <w:rFonts w:cs="Arial"/>
        </w:rPr>
        <w:t xml:space="preserve">students </w:t>
      </w:r>
      <w:r w:rsidRPr="003417E7">
        <w:rPr>
          <w:rStyle w:val="Emphasis"/>
          <w:rFonts w:cs="Arial"/>
        </w:rPr>
        <w:t>perform better on average</w:t>
      </w:r>
      <w:r w:rsidRPr="003417E7">
        <w:rPr>
          <w:rStyle w:val="StyleUnderline"/>
          <w:rFonts w:cs="Arial"/>
        </w:rPr>
        <w:t xml:space="preserve"> than those learning the same material through traditional face-to-face instruction.</w:t>
      </w:r>
      <w:r w:rsidRPr="003417E7">
        <w:rPr>
          <w:rFonts w:cs="Arial"/>
          <w:sz w:val="16"/>
        </w:rPr>
        <w:t>103 An analysis by the Department of Education found that “</w:t>
      </w:r>
      <w:r w:rsidRPr="003417E7">
        <w:rPr>
          <w:rStyle w:val="StyleUnderline"/>
          <w:rFonts w:cs="Arial"/>
        </w:rPr>
        <w:t>students doing some or all of the course online would rank in the 59th percentile in tested performance compared with the average classroom student scoring in the 50th percentile.</w:t>
      </w:r>
      <w:r w:rsidRPr="003417E7">
        <w:rPr>
          <w:rFonts w:cs="Arial"/>
          <w:sz w:val="16"/>
        </w:rPr>
        <w:t xml:space="preserve">” 104 </w:t>
      </w:r>
    </w:p>
    <w:p w:rsidR="00833446" w:rsidRPr="003417E7" w:rsidRDefault="00833446" w:rsidP="00833446"/>
    <w:p w:rsidR="00833446" w:rsidRDefault="00833446" w:rsidP="00833446">
      <w:pPr>
        <w:pStyle w:val="Heading3"/>
      </w:pPr>
      <w:r>
        <w:t>AT: No Solve Charter Schools</w:t>
      </w:r>
    </w:p>
    <w:p w:rsidR="00833446" w:rsidRDefault="00833446" w:rsidP="00833446">
      <w:pPr>
        <w:pStyle w:val="Heading4"/>
      </w:pPr>
      <w:r>
        <w:t xml:space="preserve">The plan will be a landmark for stemming discrimination against disabled people </w:t>
      </w:r>
    </w:p>
    <w:p w:rsidR="00833446" w:rsidRDefault="00833446" w:rsidP="00833446">
      <w:proofErr w:type="spellStart"/>
      <w:r w:rsidRPr="000D20B3">
        <w:rPr>
          <w:rStyle w:val="Style13ptBold"/>
        </w:rPr>
        <w:t>Wieselthier</w:t>
      </w:r>
      <w:proofErr w:type="spellEnd"/>
      <w:r w:rsidRPr="000D20B3">
        <w:rPr>
          <w:rStyle w:val="Style13ptBold"/>
        </w:rPr>
        <w:t xml:space="preserve"> 2013</w:t>
      </w:r>
      <w:r>
        <w:t xml:space="preserve"> - 2012 magna cum laude grad of Hofstra Law </w:t>
      </w:r>
      <w:r>
        <w:br/>
        <w:t>Sarah, "Judicial Clarity: Giving Teeth to the Application of Federal Disability Laws in Charter Schools," 2013 BYU Educ. &amp; L. J. 67</w:t>
      </w:r>
    </w:p>
    <w:p w:rsidR="00833446" w:rsidRDefault="00833446" w:rsidP="00833446">
      <w:r>
        <w:t>VI. Conclusion</w:t>
      </w:r>
    </w:p>
    <w:p w:rsidR="00833446" w:rsidRDefault="00833446" w:rsidP="00833446">
      <w:r>
        <w:t xml:space="preserve"> </w:t>
      </w:r>
      <w:r w:rsidRPr="00DE3C39">
        <w:rPr>
          <w:rStyle w:val="StyleUnderline"/>
        </w:rPr>
        <w:t>Federal laws tell charter schools how to provide students with disabilities with an education, and scholars in the fields of law and education have provided guidance and suggestions for complying with those laws.</w:t>
      </w:r>
      <w:r>
        <w:t xml:space="preserve"> Yet </w:t>
      </w:r>
      <w:r w:rsidRPr="00DE3C39">
        <w:rPr>
          <w:rStyle w:val="StyleUnderline"/>
        </w:rPr>
        <w:t>discrimination and noncompliance still occur.</w:t>
      </w:r>
      <w:r>
        <w:t xml:space="preserve"> In response to the Government Accountability Office's June 2012 report that charter schools enroll fewer students with special needs than traditional public schools, </w:t>
      </w:r>
      <w:r w:rsidRPr="005C7B53">
        <w:rPr>
          <w:rStyle w:val="StyleUnderline"/>
        </w:rPr>
        <w:t>the U.S. Department of Education has committed to provide additional guidance to charter schools on their legal responsibilities and will review charter school enrollment practices</w:t>
      </w:r>
      <w:r>
        <w:t xml:space="preserve">. n152 </w:t>
      </w:r>
      <w:r w:rsidRPr="005C7B53">
        <w:rPr>
          <w:rStyle w:val="StyleUnderline"/>
        </w:rPr>
        <w:t>That effort</w:t>
      </w:r>
      <w:r>
        <w:t xml:space="preserve">, by itself, </w:t>
      </w:r>
      <w:r w:rsidRPr="005C7B53">
        <w:rPr>
          <w:rStyle w:val="StyleUnderline"/>
        </w:rPr>
        <w:t>is not enough. In order to give the mandates of the IDEA, Section 504, and the ADA teeth in the charter school context, it is necessary for the courts to provide instruction and clarification to charter schools on how to provide an education to students with disabilities that complies with both the federal laws and the school's mission</w:t>
      </w:r>
      <w:r>
        <w:t>.</w:t>
      </w:r>
    </w:p>
    <w:p w:rsidR="00833446" w:rsidRDefault="00833446" w:rsidP="00833446">
      <w:r w:rsidRPr="005C7B53">
        <w:rPr>
          <w:rStyle w:val="StyleUnderline"/>
        </w:rPr>
        <w:t>Special education will continue to be one of the key challenges facing charter schools until judicial intervention takes place.</w:t>
      </w:r>
      <w:r>
        <w:t xml:space="preserve"> n153 With one case pending in federal district court, </w:t>
      </w:r>
      <w:r w:rsidRPr="005C7B53">
        <w:rPr>
          <w:rStyle w:val="StyleUnderline"/>
        </w:rPr>
        <w:t xml:space="preserve">there is the potential for another landmark decision in special education law - one that clarifies the obligations of charter schools under the federal disability laws and instructs charter schools how to stay true to their mission and comply with the laws. </w:t>
      </w:r>
      <w:r>
        <w:t>"The charter school movement shows much promise, and is providing important choice options within the American education system. It's time to assure that all children benefit from it."</w:t>
      </w:r>
    </w:p>
    <w:p w:rsidR="00833446" w:rsidRDefault="00833446" w:rsidP="00833446">
      <w:pPr>
        <w:pStyle w:val="Heading3"/>
      </w:pPr>
      <w:r>
        <w:t>AT: No Solve Racism Impact</w:t>
      </w:r>
    </w:p>
    <w:p w:rsidR="00833446" w:rsidRPr="00DF3B44" w:rsidRDefault="00833446" w:rsidP="00833446">
      <w:pPr>
        <w:pStyle w:val="Heading4"/>
      </w:pPr>
      <w:r>
        <w:t>The LRE provides a loophole for separate and unequal education based on race</w:t>
      </w:r>
    </w:p>
    <w:p w:rsidR="00833446" w:rsidRPr="00400BF2" w:rsidRDefault="00833446" w:rsidP="00833446">
      <w:r w:rsidRPr="00400BF2">
        <w:rPr>
          <w:rStyle w:val="Style13ptBold"/>
        </w:rPr>
        <w:t>Miles 2016</w:t>
      </w:r>
      <w:r>
        <w:t xml:space="preserve"> - JD Candidate @ Rutgers Law </w:t>
      </w:r>
      <w:r>
        <w:br/>
        <w:t>Alana, "Overrepresentation in Special Education: Does the IDEA Violate the Equal Protection Clause?," 17 Rutgers Race &amp; L. Rev. 245</w:t>
      </w:r>
    </w:p>
    <w:p w:rsidR="00833446" w:rsidRDefault="00833446" w:rsidP="00833446">
      <w:r>
        <w:t>One of the bases for disproportionate representation is inappropriate identification of students. n105 The 23rd Annual Report to Congress (2001) found that while the numbers of ethnically diverse children in the nation's schools are significantly increasing, many do not receive a Free and Appropriate Public Education (FAPE) as mandated by the Individuals with Disabilities Education Act. n106</w:t>
      </w:r>
    </w:p>
    <w:p w:rsidR="00833446" w:rsidRDefault="00833446" w:rsidP="00833446">
      <w:r w:rsidRPr="00DF3B44">
        <w:rPr>
          <w:rStyle w:val="StyleUnderline"/>
        </w:rPr>
        <w:t>The absence of clear statutory guidelines in the IDEA contributes to overrepresentation. n</w:t>
      </w:r>
      <w:r>
        <w:t xml:space="preserve">107 For example, </w:t>
      </w:r>
      <w:r w:rsidRPr="00DF3B44">
        <w:rPr>
          <w:rStyle w:val="StyleUnderline"/>
        </w:rPr>
        <w:t xml:space="preserve">this vagueness can explain the disparity in the types of </w:t>
      </w:r>
      <w:proofErr w:type="spellStart"/>
      <w:r w:rsidRPr="00DF3B44">
        <w:rPr>
          <w:rStyle w:val="StyleUnderline"/>
        </w:rPr>
        <w:t>accomodations</w:t>
      </w:r>
      <w:proofErr w:type="spellEnd"/>
      <w:r w:rsidRPr="00DF3B44">
        <w:rPr>
          <w:rStyle w:val="StyleUnderline"/>
        </w:rPr>
        <w:t xml:space="preserve"> children with disabilities receive in public schools</w:t>
      </w:r>
      <w:r>
        <w:t xml:space="preserve">. n108 For example, white students are overrepresented among students with disabilities seeking </w:t>
      </w:r>
      <w:proofErr w:type="spellStart"/>
      <w:r>
        <w:t>accomodations</w:t>
      </w:r>
      <w:proofErr w:type="spellEnd"/>
      <w:r>
        <w:t xml:space="preserve"> for the SAT, whereas minority students with disabilities are grossly underrepresented among this same group. n109 One can posit that </w:t>
      </w:r>
      <w:r w:rsidRPr="00DF3B44">
        <w:rPr>
          <w:rStyle w:val="StyleUnderline"/>
        </w:rPr>
        <w:t>race influences the accommodation.</w:t>
      </w:r>
      <w:r>
        <w:t xml:space="preserve"> n110 "</w:t>
      </w:r>
      <w:r w:rsidRPr="00DF3B44">
        <w:rPr>
          <w:rStyle w:val="StyleUnderline"/>
        </w:rPr>
        <w:t>For</w:t>
      </w:r>
      <w:r>
        <w:t xml:space="preserve">  [*256]  </w:t>
      </w:r>
      <w:r w:rsidRPr="00DF3B44">
        <w:rPr>
          <w:rStyle w:val="StyleUnderline"/>
        </w:rPr>
        <w:t>White students, special education eligibility is more likely to guarantee access to extra support services</w:t>
      </w:r>
      <w:r>
        <w:t xml:space="preserve">, maintenance in general education classrooms, and accommodation for high-status examination... </w:t>
      </w:r>
      <w:r w:rsidRPr="00DF3B44">
        <w:rPr>
          <w:rStyle w:val="StyleUnderline"/>
        </w:rPr>
        <w:t>For students of color, however, being labeled as disabled can result in decreased access to general education and poorer transition outcomes</w:t>
      </w:r>
      <w:r>
        <w:t xml:space="preserve"> (citation omitted)." n111 </w:t>
      </w:r>
      <w:r w:rsidRPr="00DF3B44">
        <w:rPr>
          <w:rStyle w:val="StyleUnderline"/>
        </w:rPr>
        <w:t>These disparities are especially problematic considering the disproportionate number of Blacks who are confined in "highly segregated settings",</w:t>
      </w:r>
      <w:r>
        <w:t xml:space="preserve"> compared to their White peers, n112 in violation of the IDEA's "Least Restrictive Environment" requirement. n113</w:t>
      </w:r>
    </w:p>
    <w:p w:rsidR="00833446" w:rsidRDefault="00833446" w:rsidP="00833446">
      <w:r>
        <w:t xml:space="preserve">While the </w:t>
      </w:r>
      <w:r w:rsidRPr="00DF3B44">
        <w:rPr>
          <w:rStyle w:val="StyleUnderline"/>
        </w:rPr>
        <w:t>IDEA has been successful in providing students with disabilities a free and public education, it has not been an "appropriate" one when there are a vast number of Black students who are placed in more restrictive environments.</w:t>
      </w:r>
      <w:r>
        <w:t xml:space="preserve"> n114 </w:t>
      </w:r>
      <w:r w:rsidRPr="00DF3B44">
        <w:rPr>
          <w:rStyle w:val="StyleUnderline"/>
        </w:rPr>
        <w:t>This has led some to characterize LRE</w:t>
      </w:r>
      <w:r>
        <w:t xml:space="preserve"> [Least Restrictive Environment] </w:t>
      </w:r>
      <w:r w:rsidRPr="00DF3B44">
        <w:rPr>
          <w:rStyle w:val="StyleUnderline"/>
        </w:rPr>
        <w:t>as a "loophole" that contributes to two largely separate and unequal education systems: general education and special education</w:t>
      </w:r>
      <w:r>
        <w:t>. n115 Generally, White students are "only placed in more restrictive self-contained classes when they need intensive services. n116 Students of color, however, may be more likely to be placed in the restrictive settings whether they require intensive services or not". n117 Statistics from the New York state education department show that more than 56% of White children and 51% of Asian children are fully included, only 44% of Hispanic and 40% of Black disabled students are similarly integrated. n118 Black males specifically are overrepresented, and typically receive services in segregated classrooms or buildings. n119</w:t>
      </w:r>
    </w:p>
    <w:p w:rsidR="00833446" w:rsidRDefault="00833446" w:rsidP="00833446">
      <w:r>
        <w:t>Student placement frequently is influenced by the classification that students in special education receive. n120 The "Learning Disability" is the single largest disability category. n121 This category is defined as a disorder in which "[one] or more of the basic psychological processes involved in understanding or in using language, spoken or written, which disorder may manifest itself in the imperfect ability to listen, think, speak, read, write, spell, or do mathematical calculations." n122 In 2010-11, those categorized as "learning  [*257]  disabled" constituted more than a third of all students in special education. n123 In 2011-2012 Blacks constituted about nineteen percent of all students in special education. n124 However, they represented nearly twenty-eight percent of students categorized as learning disabled. n125 Students categorized as learning disabled are more likely to be placed in more restrictive environments, and secluded from a general education class. n126 More than half of all students labeled as learning disabled are secluded from general education in New Jersey. n127 Due to the overrepresentation of urban minorities in special education, specifically with the classification of "learning disability", one may ponder why the educational advantages of the specific services and accommodations as a result of the learning disability are so stark and less realized when compared to whites. n128 The inequalities that result echo the inequalities associated with racially segregated schools. n129</w:t>
      </w:r>
    </w:p>
    <w:p w:rsidR="00833446" w:rsidRDefault="00833446" w:rsidP="00833446">
      <w:r>
        <w:t>Racial and cultural biases are also evident in the Emotional Disturbance classification. n130 Blacks are at a higher risk of being classified as having an Emotional Disturbance than any other group. n131 While they represent about 15% of the overall student population, they constitute 27% of students classified as Emotionally Disturbed, evidencing disproportionate representation. n132</w:t>
      </w:r>
    </w:p>
    <w:p w:rsidR="00833446" w:rsidRDefault="00833446" w:rsidP="00833446">
      <w:r>
        <w:t>"Learning disability" and "emotional disturbance" are classifications that merely reflect social and cultural beliefs about appropriate learning and behavior in the school setting. n133 "These "social system' or "judgmental' disabilities are not biologically based, there is no uniform test to determine their presence or agreement on how to diagnose them, and their definitions are open to discretion in application." n134</w:t>
      </w:r>
    </w:p>
    <w:p w:rsidR="00833446" w:rsidRPr="00DF3B44" w:rsidRDefault="00833446" w:rsidP="00833446">
      <w:pPr>
        <w:rPr>
          <w:rStyle w:val="StyleUnderline"/>
        </w:rPr>
      </w:pPr>
      <w:r w:rsidRPr="00DF3B44">
        <w:rPr>
          <w:rStyle w:val="StyleUnderline"/>
        </w:rPr>
        <w:t>Despite specific IDEA regulations, overrepresentation of Black children in special education continues to be a critical problem</w:t>
      </w:r>
      <w:r>
        <w:t xml:space="preserve">. n135 </w:t>
      </w:r>
      <w:r w:rsidRPr="00DF3B44">
        <w:rPr>
          <w:rStyle w:val="StyleUnderline"/>
        </w:rPr>
        <w:t>The result is that minority students are more vulnerable to a host of negative outcomes due</w:t>
      </w:r>
      <w:r>
        <w:t xml:space="preserve">  [*258]  </w:t>
      </w:r>
      <w:r w:rsidRPr="00DF3B44">
        <w:rPr>
          <w:rStyle w:val="StyleUnderline"/>
        </w:rPr>
        <w:t>to misclassification and inappropriate labeling</w:t>
      </w:r>
      <w:r>
        <w:t>. n136</w:t>
      </w:r>
      <w:r w:rsidRPr="00DF3B44">
        <w:rPr>
          <w:rStyle w:val="StyleUnderline"/>
        </w:rPr>
        <w:t xml:space="preserve"> There is a void between the evidence and the implementation of solutions to address these findings. This suggests that the promise of a "free and appropriate" education under the IDEA has been broken</w:t>
      </w:r>
      <w:r>
        <w:t xml:space="preserve">. The void in practice shadows the concerns that ignited Brown II. Yet, just as has been evidenced following the holding in that case, the issue of unequal educational opportunity, </w:t>
      </w:r>
      <w:r w:rsidRPr="00DF3B44">
        <w:rPr>
          <w:rStyle w:val="StyleUnderline"/>
        </w:rPr>
        <w:t>specifically with the overrepresentation of minorities in special education, has yet to be rectified.</w:t>
      </w:r>
    </w:p>
    <w:p w:rsidR="00833446" w:rsidRDefault="00833446" w:rsidP="00833446">
      <w:pPr>
        <w:pStyle w:val="Heading3"/>
      </w:pPr>
      <w:r>
        <w:t>AT: IDEA Not Racist</w:t>
      </w:r>
    </w:p>
    <w:p w:rsidR="00833446" w:rsidRDefault="00833446" w:rsidP="00833446">
      <w:pPr>
        <w:pStyle w:val="Heading4"/>
      </w:pPr>
      <w:r>
        <w:t>Racial differences in special needs education is increasing --- IDEA is failing</w:t>
      </w:r>
    </w:p>
    <w:p w:rsidR="00833446" w:rsidRPr="00502286" w:rsidRDefault="00833446" w:rsidP="00833446">
      <w:r w:rsidRPr="00502286">
        <w:rPr>
          <w:b/>
        </w:rPr>
        <w:t>Sun and Daniel 2013</w:t>
      </w:r>
      <w:r>
        <w:t xml:space="preserve"> - Associate Prof of Educational Leadership at University of North Dakota (Jeffrey C and Philip TK Daniel, “SPECIAL EDUCATION IN URBAN SCHOOLS: IDEAS FOR A CHANGING LANDSCAPE: ARTICLE: MATH AND SCIENCE ARE CORE TO THE IDEA: BREAKING THE RACIAL AND POVERTY LINES," 41 Fordham </w:t>
      </w:r>
      <w:proofErr w:type="spellStart"/>
      <w:r>
        <w:t>Urb</w:t>
      </w:r>
      <w:proofErr w:type="spellEnd"/>
      <w:r>
        <w:t>. L.J. 557 p. 558)//</w:t>
      </w:r>
      <w:proofErr w:type="spellStart"/>
      <w:r>
        <w:t>masw</w:t>
      </w:r>
      <w:proofErr w:type="spellEnd"/>
    </w:p>
    <w:p w:rsidR="00833446" w:rsidRPr="002612D9" w:rsidRDefault="00833446" w:rsidP="00833446">
      <w:pPr>
        <w:rPr>
          <w:sz w:val="16"/>
        </w:rPr>
      </w:pPr>
      <w:r w:rsidRPr="002612D9">
        <w:rPr>
          <w:sz w:val="16"/>
        </w:rPr>
        <w:t>The Individuals with Disabilities Education Act (IDEA) and, as amended, the Individuals with Disabilities Education Improvement Act (IDEIA),1 provides protections for students with disabilities in grades pre-K--12 to ensure that they may receive a ‘‘free appropriate public education’’ (FAPE).2</w:t>
      </w:r>
    </w:p>
    <w:p w:rsidR="00833446" w:rsidRPr="002612D9" w:rsidRDefault="00833446" w:rsidP="00833446">
      <w:pPr>
        <w:rPr>
          <w:sz w:val="16"/>
        </w:rPr>
      </w:pPr>
      <w:r w:rsidRPr="002612D9">
        <w:rPr>
          <w:sz w:val="16"/>
        </w:rPr>
        <w:t xml:space="preserve"> While serving as a civil rights law to ensure fairness in education for students with disabilities, </w:t>
      </w:r>
      <w:r w:rsidRPr="007E11F5">
        <w:rPr>
          <w:rStyle w:val="StyleUnderline"/>
        </w:rPr>
        <w:t>disparities based on race,3 sex,4 and family income5 levels have unfortunately accompanied IDEA implementation</w:t>
      </w:r>
      <w:r w:rsidRPr="002612D9">
        <w:rPr>
          <w:sz w:val="16"/>
        </w:rPr>
        <w:t>. These issues associated with IDEA execution raise questions about the genuine nature of FAPE and its effects on various societal groups.</w:t>
      </w:r>
    </w:p>
    <w:p w:rsidR="00833446" w:rsidRPr="002612D9" w:rsidRDefault="00833446" w:rsidP="00833446">
      <w:pPr>
        <w:rPr>
          <w:sz w:val="16"/>
        </w:rPr>
      </w:pPr>
      <w:r w:rsidRPr="007E11F5">
        <w:rPr>
          <w:rStyle w:val="StyleUnderline"/>
        </w:rPr>
        <w:t xml:space="preserve">With IDEA’s last reauthorization, the heightened disparity with respect to race became </w:t>
      </w:r>
      <w:r w:rsidRPr="007E11F5">
        <w:rPr>
          <w:rStyle w:val="Emphasis"/>
        </w:rPr>
        <w:t>evident in the data.</w:t>
      </w:r>
      <w:r w:rsidRPr="002612D9">
        <w:rPr>
          <w:sz w:val="16"/>
        </w:rPr>
        <w:t xml:space="preserve"> </w:t>
      </w:r>
      <w:r w:rsidRPr="007E11F5">
        <w:rPr>
          <w:rStyle w:val="StyleUnderline"/>
        </w:rPr>
        <w:t>These concerns were brought to the attention of Congress and the U.S. Department of Education by way of various reports and concerns</w:t>
      </w:r>
      <w:r w:rsidRPr="002612D9">
        <w:rPr>
          <w:sz w:val="16"/>
        </w:rPr>
        <w:t>, which resulted in an attempt to remedy these racial disparities.6</w:t>
      </w:r>
    </w:p>
    <w:p w:rsidR="00833446" w:rsidRPr="002612D9" w:rsidRDefault="00833446" w:rsidP="00833446">
      <w:pPr>
        <w:rPr>
          <w:sz w:val="16"/>
        </w:rPr>
      </w:pPr>
      <w:r w:rsidRPr="002612D9">
        <w:rPr>
          <w:sz w:val="16"/>
        </w:rPr>
        <w:t xml:space="preserve"> Among numerous other objectives</w:t>
      </w:r>
      <w:r w:rsidRPr="007E11F5">
        <w:rPr>
          <w:rStyle w:val="StyleUnderline"/>
        </w:rPr>
        <w:t>, the regulations arising from IDEA (and IDEIA) aimed to reinforce protections and ensure academic success</w:t>
      </w:r>
      <w:r w:rsidRPr="002612D9">
        <w:rPr>
          <w:sz w:val="16"/>
        </w:rPr>
        <w:t xml:space="preserve"> for students with disabilities, especially racial minority students.7</w:t>
      </w:r>
    </w:p>
    <w:p w:rsidR="00833446" w:rsidRPr="002612D9" w:rsidRDefault="00833446" w:rsidP="00833446">
      <w:pPr>
        <w:rPr>
          <w:sz w:val="16"/>
        </w:rPr>
      </w:pPr>
      <w:r w:rsidRPr="002612D9">
        <w:rPr>
          <w:sz w:val="16"/>
        </w:rPr>
        <w:t xml:space="preserve"> At the time of IDEA’s most recent reauthorization, </w:t>
      </w:r>
      <w:r w:rsidRPr="00FA76F9">
        <w:rPr>
          <w:rStyle w:val="StyleUnderline"/>
        </w:rPr>
        <w:t xml:space="preserve">the data was </w:t>
      </w:r>
      <w:r w:rsidRPr="00FA76F9">
        <w:rPr>
          <w:rStyle w:val="Emphasis"/>
        </w:rPr>
        <w:t>abysmally clear</w:t>
      </w:r>
      <w:r w:rsidRPr="00FA76F9">
        <w:rPr>
          <w:rStyle w:val="StyleUnderline"/>
        </w:rPr>
        <w:t xml:space="preserve">: </w:t>
      </w:r>
      <w:r w:rsidRPr="00FA76F9">
        <w:rPr>
          <w:rStyle w:val="Emphasis"/>
        </w:rPr>
        <w:t>racial differences</w:t>
      </w:r>
      <w:r w:rsidRPr="00FA76F9">
        <w:rPr>
          <w:rStyle w:val="StyleUnderline"/>
        </w:rPr>
        <w:t xml:space="preserve"> already existed in </w:t>
      </w:r>
      <w:r w:rsidRPr="00FA76F9">
        <w:rPr>
          <w:rStyle w:val="Emphasis"/>
        </w:rPr>
        <w:t>special education identification</w:t>
      </w:r>
      <w:r w:rsidRPr="00FA76F9">
        <w:rPr>
          <w:rStyle w:val="StyleUnderline"/>
        </w:rPr>
        <w:t>8 and graduation rates.9</w:t>
      </w:r>
      <w:r>
        <w:rPr>
          <w:rStyle w:val="StyleUnderline"/>
        </w:rPr>
        <w:t xml:space="preserve"> </w:t>
      </w:r>
      <w:r w:rsidRPr="002612D9">
        <w:rPr>
          <w:sz w:val="16"/>
        </w:rPr>
        <w:t>Congress’s awareness and increased regulatory attention not only mandated funding and different program responses, but also resulted in the creation of many educational innovations for students with disabilities.10 Congress also aided the process further with an examination of the response to intervention (</w:t>
      </w:r>
      <w:proofErr w:type="spellStart"/>
      <w:r w:rsidRPr="002612D9">
        <w:rPr>
          <w:sz w:val="16"/>
        </w:rPr>
        <w:t>RtI</w:t>
      </w:r>
      <w:proofErr w:type="spellEnd"/>
      <w:r w:rsidRPr="002612D9">
        <w:rPr>
          <w:sz w:val="16"/>
        </w:rPr>
        <w:t>).11</w:t>
      </w:r>
    </w:p>
    <w:p w:rsidR="00833446" w:rsidRPr="002612D9" w:rsidRDefault="00833446" w:rsidP="00833446">
      <w:pPr>
        <w:rPr>
          <w:sz w:val="16"/>
        </w:rPr>
      </w:pPr>
      <w:r w:rsidRPr="00B60D9D">
        <w:rPr>
          <w:rStyle w:val="StyleUnderline"/>
        </w:rPr>
        <w:t>Educational interventions are typically instructional programs consisting of a planned set of procedures to address cognitive, behavioral, or social challenges that students face</w:t>
      </w:r>
      <w:r w:rsidRPr="002612D9">
        <w:rPr>
          <w:sz w:val="16"/>
        </w:rPr>
        <w:t xml:space="preserve">.12 </w:t>
      </w:r>
      <w:proofErr w:type="spellStart"/>
      <w:r w:rsidRPr="002612D9">
        <w:rPr>
          <w:sz w:val="16"/>
        </w:rPr>
        <w:t>RtI</w:t>
      </w:r>
      <w:proofErr w:type="spellEnd"/>
      <w:r w:rsidRPr="002612D9">
        <w:rPr>
          <w:sz w:val="16"/>
        </w:rPr>
        <w:t xml:space="preserve"> represents systematic actions that target children’s areas of specific need as soon as those needs become apparent.13 </w:t>
      </w:r>
      <w:r w:rsidRPr="007D4E41">
        <w:rPr>
          <w:rStyle w:val="StyleUnderline"/>
        </w:rPr>
        <w:t>Many reportedly innovative and successful intervention programs have emerged since the enactment and reauthorization of the IDEA,</w:t>
      </w:r>
      <w:r w:rsidRPr="002612D9">
        <w:rPr>
          <w:sz w:val="16"/>
        </w:rPr>
        <w:t xml:space="preserve"> particularly in urban school districts.14 These interventions and other supporting programs typically focus on remedying the educational gaps of students with disabilities through communication and language arts skills.15 Conversely, </w:t>
      </w:r>
      <w:r w:rsidRPr="007D4E41">
        <w:rPr>
          <w:rStyle w:val="StyleUnderline"/>
        </w:rPr>
        <w:t>while math and science remain core subject areas, these academic subjects have been less accessible to students, particularly urban students and certain racial minorities in urban districts (namely African-Americans and Hispanic</w:t>
      </w:r>
      <w:r w:rsidRPr="002612D9">
        <w:rPr>
          <w:sz w:val="16"/>
        </w:rPr>
        <w:t xml:space="preserve">s).16 </w:t>
      </w:r>
      <w:r w:rsidRPr="007D4E41">
        <w:rPr>
          <w:rStyle w:val="StyleUnderline"/>
        </w:rPr>
        <w:t xml:space="preserve">This deficiency is </w:t>
      </w:r>
      <w:r w:rsidRPr="007D4E41">
        <w:rPr>
          <w:rStyle w:val="Emphasis"/>
        </w:rPr>
        <w:t>alarming</w:t>
      </w:r>
      <w:r w:rsidRPr="002612D9">
        <w:rPr>
          <w:sz w:val="16"/>
        </w:rPr>
        <w:t xml:space="preserve">, </w:t>
      </w:r>
      <w:r w:rsidRPr="007D4E41">
        <w:rPr>
          <w:rStyle w:val="StyleUnderline"/>
        </w:rPr>
        <w:t xml:space="preserve">given that the </w:t>
      </w:r>
      <w:r w:rsidRPr="007D4E41">
        <w:rPr>
          <w:rStyle w:val="Emphasis"/>
        </w:rPr>
        <w:t>literature</w:t>
      </w:r>
      <w:r w:rsidRPr="007D4E41">
        <w:rPr>
          <w:rStyle w:val="StyleUnderline"/>
        </w:rPr>
        <w:t xml:space="preserve"> on student performance</w:t>
      </w:r>
      <w:r w:rsidRPr="002612D9">
        <w:rPr>
          <w:sz w:val="16"/>
        </w:rPr>
        <w:t xml:space="preserve"> </w:t>
      </w:r>
      <w:r w:rsidRPr="007D4E41">
        <w:rPr>
          <w:rStyle w:val="StyleUnderline"/>
        </w:rPr>
        <w:t>and competitive employment status suggest ‘‘</w:t>
      </w:r>
      <w:r w:rsidRPr="007D4E41">
        <w:rPr>
          <w:rStyle w:val="Emphasis"/>
        </w:rPr>
        <w:t>clear connections between the 21st century workforce’’</w:t>
      </w:r>
      <w:r w:rsidRPr="002612D9">
        <w:rPr>
          <w:sz w:val="16"/>
        </w:rPr>
        <w:t xml:space="preserve"> </w:t>
      </w:r>
      <w:r w:rsidRPr="007D4E41">
        <w:rPr>
          <w:rStyle w:val="StyleUnderline"/>
        </w:rPr>
        <w:t>and proficiency in scientific and technical skills</w:t>
      </w:r>
      <w:r w:rsidRPr="002612D9">
        <w:rPr>
          <w:sz w:val="16"/>
        </w:rPr>
        <w:t xml:space="preserve">.17 This Article argues that the </w:t>
      </w:r>
      <w:r w:rsidRPr="007D4E41">
        <w:rPr>
          <w:rStyle w:val="StyleUnderline"/>
        </w:rPr>
        <w:t>IDEA does not adequately address quality learning in two critical, core academic subjects------math and science</w:t>
      </w:r>
      <w:r w:rsidRPr="002612D9">
        <w:rPr>
          <w:sz w:val="16"/>
        </w:rPr>
        <w:t xml:space="preserve">.18 Specifically, it asserts that the IDEA’s funding and its accountability provisions (even those tied to the No Child Left Behind Act) fail to provide sufficient measures to ensure that racial minorities (particularly African-Americans and Hispanics) and </w:t>
      </w:r>
      <w:proofErr w:type="spellStart"/>
      <w:r w:rsidRPr="002612D9">
        <w:rPr>
          <w:sz w:val="16"/>
        </w:rPr>
        <w:t>lowincome</w:t>
      </w:r>
      <w:proofErr w:type="spellEnd"/>
      <w:r w:rsidRPr="002612D9">
        <w:rPr>
          <w:sz w:val="16"/>
        </w:rPr>
        <w:t xml:space="preserve"> students in urban areas who are identified as having a disability, are prepared to achieve significant, incremental progress in math and science.</w:t>
      </w:r>
      <w:r w:rsidRPr="004331F3">
        <w:rPr>
          <w:rStyle w:val="StyleUnderline"/>
        </w:rPr>
        <w:t>19 This deficiency is a major concern due to the significant proportion of racial minorities and economically disadvantaged students who find themselves categorized as ‘‘disabled’’ under IDEA’s terms</w:t>
      </w:r>
      <w:r w:rsidRPr="002612D9">
        <w:rPr>
          <w:sz w:val="16"/>
        </w:rPr>
        <w:t xml:space="preserve"> (discussed at length in Part II). In turn, the law presents a new social stratification that highlights the disability divide. In building the authors’ argument, Part I of this Article presents a general overview of the development of the IDEA and its supporting regulations to demonstrate how the goals of the legislation have evolved over time. Part II addresses the high proportion of students with disabilities from certain disadvantaged groups------particularly African-American and Hispanic students from low-income families residing in urban environments------and the problems of misidentification and misclassification. Drawing heavily from one midwestern state’s data, Part III highlights the significant deficiencies in the subject areas of math and science among students with disabilities from disadvantaged groups, and raises questions about special education policies and practices. Finally, Part IV offers possible solutions. In the form of action items, the authors propose more aggressive and intentional policies to remedy the disability divide such as demonstrating math and science progress based on race, ethnicity, and socioeconomic status and establishing university partnerships to identify scientifically sound and contextually appropriate instructional interventions. </w:t>
      </w:r>
    </w:p>
    <w:p w:rsidR="00833446" w:rsidRDefault="00833446" w:rsidP="00833446"/>
    <w:p w:rsidR="00833446" w:rsidRDefault="00833446" w:rsidP="00833446"/>
    <w:p w:rsidR="00833446" w:rsidRDefault="00833446" w:rsidP="00833446"/>
    <w:p w:rsidR="00833446" w:rsidRDefault="00833446" w:rsidP="00833446">
      <w:pPr>
        <w:pStyle w:val="Heading4"/>
      </w:pPr>
      <w:r>
        <w:t>Poor and minority students are grossly overrepresented in special need programs</w:t>
      </w:r>
    </w:p>
    <w:p w:rsidR="00833446" w:rsidRPr="000955C8" w:rsidRDefault="00833446" w:rsidP="00833446">
      <w:r w:rsidRPr="00502286">
        <w:rPr>
          <w:b/>
        </w:rPr>
        <w:t>Sun and Daniel 2013</w:t>
      </w:r>
      <w:r>
        <w:t xml:space="preserve"> - Associate Prof of Educational Leadership at University of North Dakota (Jeffrey C and Philip TK Daniel, “SPECIAL EDUCATION IN URBAN SCHOOLS: IDEAS FOR A CHANGING LANDSCAPE: ARTICLE: MATH AND SCIENCE ARE CORE TO THE IDEA: BREAKING THE RACIAL AND POVERTY LINES," 41 Fordham </w:t>
      </w:r>
      <w:proofErr w:type="spellStart"/>
      <w:r>
        <w:t>Urb</w:t>
      </w:r>
      <w:proofErr w:type="spellEnd"/>
      <w:r>
        <w:t>. L.J. 557 p. 572)//</w:t>
      </w:r>
      <w:proofErr w:type="spellStart"/>
      <w:r>
        <w:t>masw</w:t>
      </w:r>
      <w:proofErr w:type="spellEnd"/>
    </w:p>
    <w:p w:rsidR="00833446" w:rsidRPr="00D018E6" w:rsidRDefault="00833446" w:rsidP="00833446">
      <w:pPr>
        <w:rPr>
          <w:sz w:val="16"/>
        </w:rPr>
      </w:pPr>
      <w:r w:rsidRPr="00D018E6">
        <w:rPr>
          <w:sz w:val="16"/>
        </w:rPr>
        <w:t xml:space="preserve">II. RACE AND POVERTY </w:t>
      </w:r>
      <w:r w:rsidRPr="00054A19">
        <w:rPr>
          <w:rStyle w:val="StyleUnderline"/>
        </w:rPr>
        <w:t>For many years, educational research</w:t>
      </w:r>
      <w:r w:rsidRPr="00D018E6">
        <w:rPr>
          <w:sz w:val="16"/>
        </w:rPr>
        <w:t xml:space="preserve"> </w:t>
      </w:r>
      <w:r w:rsidRPr="00054A19">
        <w:rPr>
          <w:rStyle w:val="StyleUnderline"/>
        </w:rPr>
        <w:t>has observed the social</w:t>
      </w:r>
      <w:r>
        <w:rPr>
          <w:rStyle w:val="StyleUnderline"/>
        </w:rPr>
        <w:t xml:space="preserve"> </w:t>
      </w:r>
      <w:r w:rsidRPr="00054A19">
        <w:rPr>
          <w:rStyle w:val="StyleUnderline"/>
        </w:rPr>
        <w:t xml:space="preserve">disadvantage on educational performance based on both </w:t>
      </w:r>
      <w:r w:rsidRPr="00054A19">
        <w:rPr>
          <w:rStyle w:val="Emphasis"/>
        </w:rPr>
        <w:t>race</w:t>
      </w:r>
      <w:r w:rsidRPr="00054A19">
        <w:rPr>
          <w:rStyle w:val="StyleUnderline"/>
        </w:rPr>
        <w:t xml:space="preserve"> and</w:t>
      </w:r>
      <w:r>
        <w:rPr>
          <w:rStyle w:val="StyleUnderline"/>
        </w:rPr>
        <w:t xml:space="preserve"> </w:t>
      </w:r>
      <w:r w:rsidRPr="00054A19">
        <w:rPr>
          <w:rStyle w:val="Emphasis"/>
        </w:rPr>
        <w:t>socioeconomic status</w:t>
      </w:r>
      <w:r w:rsidRPr="00D018E6">
        <w:rPr>
          <w:sz w:val="16"/>
        </w:rPr>
        <w:t>.</w:t>
      </w:r>
      <w:r w:rsidRPr="00054A19">
        <w:rPr>
          <w:rStyle w:val="StyleUnderline"/>
        </w:rPr>
        <w:t>90 Part II presents some of the key social science</w:t>
      </w:r>
      <w:r>
        <w:rPr>
          <w:rStyle w:val="StyleUnderline"/>
        </w:rPr>
        <w:t xml:space="preserve"> </w:t>
      </w:r>
      <w:r w:rsidRPr="00054A19">
        <w:rPr>
          <w:rStyle w:val="StyleUnderline"/>
        </w:rPr>
        <w:t>research on the effects of race</w:t>
      </w:r>
      <w:r w:rsidRPr="00D018E6">
        <w:rPr>
          <w:sz w:val="16"/>
        </w:rPr>
        <w:t xml:space="preserve"> (particularly African-American and Hispanic) and income level. It does so by addressing the societal barriers for these underprivileged students in special education, the biases associated with misidentification and misclassification, and the educational drawbacks when racial minorities and low-income children are placed in special education. A. Societal Barriers </w:t>
      </w:r>
      <w:r w:rsidRPr="00054A19">
        <w:rPr>
          <w:rStyle w:val="StyleUnderline"/>
        </w:rPr>
        <w:t>Racial minorities and students from low-income families have</w:t>
      </w:r>
      <w:r>
        <w:rPr>
          <w:rStyle w:val="StyleUnderline"/>
        </w:rPr>
        <w:t xml:space="preserve"> </w:t>
      </w:r>
      <w:r w:rsidRPr="00054A19">
        <w:rPr>
          <w:rStyle w:val="Emphasis"/>
        </w:rPr>
        <w:t>historically</w:t>
      </w:r>
      <w:r w:rsidRPr="00D018E6">
        <w:rPr>
          <w:sz w:val="16"/>
        </w:rPr>
        <w:t xml:space="preserve"> </w:t>
      </w:r>
      <w:r w:rsidRPr="00054A19">
        <w:rPr>
          <w:rStyle w:val="StyleUnderline"/>
        </w:rPr>
        <w:t>been</w:t>
      </w:r>
      <w:r w:rsidRPr="00D018E6">
        <w:rPr>
          <w:sz w:val="16"/>
        </w:rPr>
        <w:t xml:space="preserve"> </w:t>
      </w:r>
      <w:r w:rsidRPr="00054A19">
        <w:rPr>
          <w:rStyle w:val="Emphasis"/>
        </w:rPr>
        <w:t>overrepresented</w:t>
      </w:r>
      <w:r w:rsidRPr="00D018E6">
        <w:rPr>
          <w:sz w:val="16"/>
        </w:rPr>
        <w:t xml:space="preserve"> </w:t>
      </w:r>
      <w:r w:rsidRPr="00054A19">
        <w:rPr>
          <w:rStyle w:val="StyleUnderline"/>
        </w:rPr>
        <w:t>in special education classes in the</w:t>
      </w:r>
      <w:r>
        <w:rPr>
          <w:rStyle w:val="StyleUnderline"/>
        </w:rPr>
        <w:t xml:space="preserve"> </w:t>
      </w:r>
      <w:r w:rsidRPr="00054A19">
        <w:rPr>
          <w:rStyle w:val="StyleUnderline"/>
        </w:rPr>
        <w:t>U.S. public school syste</w:t>
      </w:r>
      <w:r w:rsidRPr="00D018E6">
        <w:rPr>
          <w:sz w:val="16"/>
        </w:rPr>
        <w:t xml:space="preserve">m.91 In 1968, Lloyd </w:t>
      </w:r>
      <w:r w:rsidRPr="00054A19">
        <w:rPr>
          <w:rStyle w:val="StyleUnderline"/>
        </w:rPr>
        <w:t>Dunn, an educational</w:t>
      </w:r>
      <w:r>
        <w:rPr>
          <w:rStyle w:val="StyleUnderline"/>
        </w:rPr>
        <w:t xml:space="preserve"> </w:t>
      </w:r>
      <w:r w:rsidRPr="00054A19">
        <w:rPr>
          <w:rStyle w:val="StyleUnderline"/>
        </w:rPr>
        <w:t xml:space="preserve">researcher, reported that approximately </w:t>
      </w:r>
      <w:r w:rsidRPr="00054A19">
        <w:rPr>
          <w:rStyle w:val="Emphasis"/>
        </w:rPr>
        <w:t>60--80%</w:t>
      </w:r>
      <w:r w:rsidRPr="00D018E6">
        <w:rPr>
          <w:sz w:val="16"/>
        </w:rPr>
        <w:t xml:space="preserve"> </w:t>
      </w:r>
      <w:r w:rsidRPr="00054A19">
        <w:rPr>
          <w:rStyle w:val="StyleUnderline"/>
        </w:rPr>
        <w:t>of children classified</w:t>
      </w:r>
      <w:r>
        <w:rPr>
          <w:rStyle w:val="StyleUnderline"/>
        </w:rPr>
        <w:t xml:space="preserve"> </w:t>
      </w:r>
      <w:r w:rsidRPr="00054A19">
        <w:rPr>
          <w:rStyle w:val="StyleUnderline"/>
        </w:rPr>
        <w:t>as ‘‘mentally retarded’’ in the public education system were children</w:t>
      </w:r>
      <w:r>
        <w:rPr>
          <w:rStyle w:val="StyleUnderline"/>
        </w:rPr>
        <w:t xml:space="preserve"> </w:t>
      </w:r>
      <w:r w:rsidRPr="00054A19">
        <w:rPr>
          <w:rStyle w:val="StyleUnderline"/>
        </w:rPr>
        <w:t>from ‘‘</w:t>
      </w:r>
      <w:r w:rsidRPr="00054A19">
        <w:rPr>
          <w:rStyle w:val="Emphasis"/>
        </w:rPr>
        <w:t>low-status backgrounds</w:t>
      </w:r>
      <w:r w:rsidRPr="00054A19">
        <w:rPr>
          <w:rStyle w:val="StyleUnderline"/>
        </w:rPr>
        <w:t>------including Afro-Americans</w:t>
      </w:r>
      <w:r w:rsidRPr="00D018E6">
        <w:rPr>
          <w:sz w:val="16"/>
        </w:rPr>
        <w:t xml:space="preserve"> . . . and children from other non-middle class environments.’’92 T</w:t>
      </w:r>
      <w:r w:rsidRPr="007D4094">
        <w:rPr>
          <w:rStyle w:val="StyleUnderline"/>
        </w:rPr>
        <w:t>his trend</w:t>
      </w:r>
      <w:r>
        <w:rPr>
          <w:rStyle w:val="StyleUnderline"/>
        </w:rPr>
        <w:t xml:space="preserve"> </w:t>
      </w:r>
      <w:r w:rsidRPr="007D4094">
        <w:rPr>
          <w:rStyle w:val="StyleUnderline"/>
        </w:rPr>
        <w:t>continued, as a 1980s study reported that while African-American</w:t>
      </w:r>
      <w:r>
        <w:rPr>
          <w:rStyle w:val="StyleUnderline"/>
        </w:rPr>
        <w:t xml:space="preserve"> </w:t>
      </w:r>
      <w:r w:rsidRPr="007D4094">
        <w:rPr>
          <w:rStyle w:val="StyleUnderline"/>
        </w:rPr>
        <w:t>students comprised only 16% of the total student population in public</w:t>
      </w:r>
      <w:r>
        <w:rPr>
          <w:rStyle w:val="StyleUnderline"/>
        </w:rPr>
        <w:t xml:space="preserve"> </w:t>
      </w:r>
      <w:r w:rsidRPr="007D4094">
        <w:rPr>
          <w:rStyle w:val="StyleUnderline"/>
        </w:rPr>
        <w:t xml:space="preserve">schools, they represented </w:t>
      </w:r>
      <w:r w:rsidRPr="007D4094">
        <w:rPr>
          <w:rStyle w:val="Emphasis"/>
        </w:rPr>
        <w:t>38% of special education students</w:t>
      </w:r>
      <w:r w:rsidRPr="00D018E6">
        <w:rPr>
          <w:sz w:val="16"/>
        </w:rPr>
        <w:t xml:space="preserve">.93 Even after the legislation aimed at reducing this disparity (i.e., the IDEA) was passed, in 2011, African-American children comprised 33% of enrollment in classes for disabled students, while only constituting 17% of total school enrollment.94 In some districts, this racial disparity is even more pronounced: 41% of special education students in some districts were African-American male students.95 Other </w:t>
      </w:r>
      <w:r w:rsidRPr="007D4094">
        <w:rPr>
          <w:rStyle w:val="StyleUnderline"/>
        </w:rPr>
        <w:t>racial minorities, including Hispanics, Native Americans, and Asian</w:t>
      </w:r>
      <w:r>
        <w:rPr>
          <w:rStyle w:val="StyleUnderline"/>
        </w:rPr>
        <w:t xml:space="preserve"> </w:t>
      </w:r>
      <w:r w:rsidRPr="007D4094">
        <w:rPr>
          <w:rStyle w:val="StyleUnderline"/>
        </w:rPr>
        <w:t>Pacific Americans, are also overrepresented in the identification for</w:t>
      </w:r>
      <w:r>
        <w:rPr>
          <w:rStyle w:val="StyleUnderline"/>
        </w:rPr>
        <w:t xml:space="preserve"> </w:t>
      </w:r>
      <w:r w:rsidRPr="007D4094">
        <w:rPr>
          <w:rStyle w:val="StyleUnderline"/>
        </w:rPr>
        <w:t>special education</w:t>
      </w:r>
      <w:r w:rsidRPr="00D018E6">
        <w:rPr>
          <w:sz w:val="16"/>
        </w:rPr>
        <w:t xml:space="preserve"> in some states.96 But such disparity is not limited to race alone; </w:t>
      </w:r>
      <w:r w:rsidRPr="009560DF">
        <w:rPr>
          <w:rStyle w:val="StyleUnderline"/>
        </w:rPr>
        <w:t>poverty is also</w:t>
      </w:r>
      <w:r>
        <w:rPr>
          <w:rStyle w:val="StyleUnderline"/>
        </w:rPr>
        <w:t xml:space="preserve"> </w:t>
      </w:r>
      <w:r w:rsidRPr="009560DF">
        <w:rPr>
          <w:rStyle w:val="StyleUnderline"/>
        </w:rPr>
        <w:t>directly correlated to special education in our public schools</w:t>
      </w:r>
      <w:r w:rsidRPr="00D018E6">
        <w:rPr>
          <w:sz w:val="16"/>
        </w:rPr>
        <w:t xml:space="preserve">.97 A study of Massachusetts’ special education enrollment, published in 2012, found that </w:t>
      </w:r>
      <w:r w:rsidRPr="009560DF">
        <w:rPr>
          <w:rStyle w:val="Emphasis"/>
        </w:rPr>
        <w:t>low-income students</w:t>
      </w:r>
      <w:r w:rsidRPr="009560DF">
        <w:rPr>
          <w:rStyle w:val="StyleUnderline"/>
        </w:rPr>
        <w:t xml:space="preserve"> in Massachusetts were </w:t>
      </w:r>
      <w:r w:rsidRPr="009560DF">
        <w:rPr>
          <w:rStyle w:val="Emphasis"/>
        </w:rPr>
        <w:t>‘‘nearly</w:t>
      </w:r>
      <w:r>
        <w:rPr>
          <w:rStyle w:val="Emphasis"/>
        </w:rPr>
        <w:t xml:space="preserve"> </w:t>
      </w:r>
      <w:r w:rsidRPr="009560DF">
        <w:rPr>
          <w:rStyle w:val="Emphasis"/>
        </w:rPr>
        <w:t>twice as likely</w:t>
      </w:r>
      <w:r w:rsidRPr="009560DF">
        <w:rPr>
          <w:rStyle w:val="StyleUnderline"/>
        </w:rPr>
        <w:t xml:space="preserve"> to be placed in special education programs as other</w:t>
      </w:r>
      <w:r>
        <w:rPr>
          <w:rStyle w:val="StyleUnderline"/>
        </w:rPr>
        <w:t xml:space="preserve"> </w:t>
      </w:r>
      <w:r w:rsidRPr="009560DF">
        <w:rPr>
          <w:rStyle w:val="StyleUnderline"/>
        </w:rPr>
        <w:t>students.’</w:t>
      </w:r>
      <w:r w:rsidRPr="00D018E6">
        <w:rPr>
          <w:sz w:val="16"/>
        </w:rPr>
        <w:t xml:space="preserve">’98 The study found that ‘‘approximately 23% of low-income students in Massachusetts are students with disabilities, compared to about 15% of students who are not low-income.’’99 Racial minority status and low-income status are closely linked in the special education context; </w:t>
      </w:r>
      <w:r w:rsidRPr="009560DF">
        <w:rPr>
          <w:rStyle w:val="StyleUnderline"/>
        </w:rPr>
        <w:t>‘‘there is a strong correlation between race and</w:t>
      </w:r>
      <w:r>
        <w:rPr>
          <w:rStyle w:val="StyleUnderline"/>
        </w:rPr>
        <w:t xml:space="preserve"> </w:t>
      </w:r>
      <w:r w:rsidRPr="009560DF">
        <w:rPr>
          <w:rStyle w:val="StyleUnderline"/>
        </w:rPr>
        <w:t>poverty, and poverty and disability.</w:t>
      </w:r>
      <w:r w:rsidRPr="00D018E6">
        <w:rPr>
          <w:sz w:val="16"/>
        </w:rPr>
        <w:t xml:space="preserve">’’100 As Professor Garda explained in an article, </w:t>
      </w:r>
      <w:r w:rsidRPr="009560DF">
        <w:rPr>
          <w:rStyle w:val="StyleUnderline"/>
        </w:rPr>
        <w:t>‘‘[s]</w:t>
      </w:r>
      <w:proofErr w:type="spellStart"/>
      <w:r w:rsidRPr="009560DF">
        <w:rPr>
          <w:rStyle w:val="StyleUnderline"/>
        </w:rPr>
        <w:t>ocioeconomic</w:t>
      </w:r>
      <w:proofErr w:type="spellEnd"/>
      <w:r w:rsidRPr="009560DF">
        <w:rPr>
          <w:rStyle w:val="StyleUnderline"/>
        </w:rPr>
        <w:t xml:space="preserve"> status is closely tied to race, and</w:t>
      </w:r>
      <w:r>
        <w:rPr>
          <w:rStyle w:val="StyleUnderline"/>
        </w:rPr>
        <w:t xml:space="preserve"> </w:t>
      </w:r>
      <w:r w:rsidRPr="009560DF">
        <w:rPr>
          <w:rStyle w:val="StyleUnderline"/>
        </w:rPr>
        <w:t>correlates directly with educational outcomes</w:t>
      </w:r>
      <w:r w:rsidRPr="00D018E6">
        <w:rPr>
          <w:sz w:val="16"/>
        </w:rPr>
        <w:t xml:space="preserve">.’’101 While poverty proves to be a significant factor in the classification of students as disabled for IDEA purposes, race ‘‘impacts special education rates far more than any other variable . . . . The percentage of minority students in the district is the strongest driver of special education enrollment . . . .’’102 Further, </w:t>
      </w:r>
      <w:r w:rsidRPr="004060AD">
        <w:rPr>
          <w:rStyle w:val="StyleUnderline"/>
        </w:rPr>
        <w:t>the racial minority and low-income</w:t>
      </w:r>
      <w:r>
        <w:rPr>
          <w:rStyle w:val="StyleUnderline"/>
        </w:rPr>
        <w:t xml:space="preserve"> </w:t>
      </w:r>
      <w:r w:rsidRPr="004060AD">
        <w:rPr>
          <w:rStyle w:val="StyleUnderline"/>
        </w:rPr>
        <w:t>combination is especially likely to manifest itself in urban areas</w:t>
      </w:r>
      <w:r w:rsidRPr="00D018E6">
        <w:rPr>
          <w:sz w:val="16"/>
        </w:rPr>
        <w:t xml:space="preserve">, </w:t>
      </w:r>
      <w:r w:rsidRPr="004060AD">
        <w:rPr>
          <w:rStyle w:val="StyleUnderline"/>
        </w:rPr>
        <w:t xml:space="preserve">where </w:t>
      </w:r>
      <w:r w:rsidRPr="004060AD">
        <w:rPr>
          <w:rStyle w:val="Emphasis"/>
        </w:rPr>
        <w:t>services are limited</w:t>
      </w:r>
      <w:r w:rsidRPr="00D018E6">
        <w:rPr>
          <w:sz w:val="16"/>
        </w:rPr>
        <w:t xml:space="preserve"> </w:t>
      </w:r>
      <w:r w:rsidRPr="004060AD">
        <w:rPr>
          <w:rStyle w:val="StyleUnderline"/>
        </w:rPr>
        <w:t>and resources are scarce</w:t>
      </w:r>
      <w:r w:rsidRPr="00D018E6">
        <w:rPr>
          <w:sz w:val="16"/>
        </w:rPr>
        <w:t xml:space="preserve">.103 </w:t>
      </w:r>
    </w:p>
    <w:p w:rsidR="00833446" w:rsidRDefault="00833446" w:rsidP="00833446"/>
    <w:p w:rsidR="00833446" w:rsidRDefault="00833446" w:rsidP="00833446"/>
    <w:p w:rsidR="00833446" w:rsidRDefault="00833446" w:rsidP="00833446"/>
    <w:p w:rsidR="00833446" w:rsidRDefault="00833446" w:rsidP="00833446"/>
    <w:p w:rsidR="00833446" w:rsidRDefault="00833446" w:rsidP="00833446">
      <w:pPr>
        <w:pStyle w:val="Heading4"/>
      </w:pPr>
      <w:r>
        <w:t xml:space="preserve">Many minority students are </w:t>
      </w:r>
      <w:proofErr w:type="spellStart"/>
      <w:r>
        <w:t>miscategorized</w:t>
      </w:r>
      <w:proofErr w:type="spellEnd"/>
      <w:r>
        <w:t xml:space="preserve"> into special needs programs</w:t>
      </w:r>
    </w:p>
    <w:p w:rsidR="00833446" w:rsidRPr="0019705B" w:rsidRDefault="00833446" w:rsidP="00833446">
      <w:r w:rsidRPr="00502286">
        <w:rPr>
          <w:b/>
        </w:rPr>
        <w:t>Sun and Daniel 2013</w:t>
      </w:r>
      <w:r>
        <w:t xml:space="preserve"> - Associate Prof of Educational Leadership at University of North Dakota (Jeffrey C and Philip TK Daniel, “SPECIAL EDUCATION IN URBAN SCHOOLS: IDEAS FOR A CHANGING LANDSCAPE: ARTICLE: MATH AND SCIENCE ARE CORE TO THE IDEA: BREAKING THE RACIAL AND POVERTY LINES," 41 Fordham </w:t>
      </w:r>
      <w:proofErr w:type="spellStart"/>
      <w:r>
        <w:t>Urb</w:t>
      </w:r>
      <w:proofErr w:type="spellEnd"/>
      <w:r>
        <w:t>. L.J. 557 p. 574)//</w:t>
      </w:r>
      <w:proofErr w:type="spellStart"/>
      <w:r>
        <w:t>masw</w:t>
      </w:r>
      <w:proofErr w:type="spellEnd"/>
    </w:p>
    <w:p w:rsidR="00833446" w:rsidRPr="00D018E6" w:rsidRDefault="00833446" w:rsidP="00833446">
      <w:pPr>
        <w:rPr>
          <w:sz w:val="16"/>
        </w:rPr>
      </w:pPr>
      <w:r w:rsidRPr="00D018E6">
        <w:rPr>
          <w:sz w:val="16"/>
        </w:rPr>
        <w:t xml:space="preserve">B. Misidentification and Misclassification </w:t>
      </w:r>
      <w:r w:rsidRPr="00BB1907">
        <w:rPr>
          <w:rStyle w:val="StyleUnderline"/>
        </w:rPr>
        <w:t>Much of the discourse</w:t>
      </w:r>
      <w:r w:rsidRPr="00D018E6">
        <w:rPr>
          <w:sz w:val="16"/>
        </w:rPr>
        <w:t xml:space="preserve"> on the subject of racial and low-income overrepresentation in special education </w:t>
      </w:r>
      <w:r w:rsidRPr="00BB1907">
        <w:rPr>
          <w:rStyle w:val="StyleUnderline"/>
        </w:rPr>
        <w:t>describes the disparity as one</w:t>
      </w:r>
      <w:r>
        <w:rPr>
          <w:rStyle w:val="StyleUnderline"/>
        </w:rPr>
        <w:t xml:space="preserve"> </w:t>
      </w:r>
      <w:r w:rsidRPr="00BB1907">
        <w:rPr>
          <w:rStyle w:val="StyleUnderline"/>
        </w:rPr>
        <w:t>of ‘‘misidentification and misclassification</w:t>
      </w:r>
      <w:r w:rsidRPr="00D018E6">
        <w:rPr>
          <w:sz w:val="16"/>
        </w:rPr>
        <w:t xml:space="preserve">,’’ </w:t>
      </w:r>
      <w:r w:rsidRPr="00BB1907">
        <w:rPr>
          <w:rStyle w:val="StyleUnderline"/>
        </w:rPr>
        <w:t xml:space="preserve">largely from </w:t>
      </w:r>
      <w:r w:rsidRPr="00BB1907">
        <w:rPr>
          <w:rStyle w:val="Emphasis"/>
        </w:rPr>
        <w:t>inadequate</w:t>
      </w:r>
      <w:r>
        <w:rPr>
          <w:rStyle w:val="StyleUnderline"/>
        </w:rPr>
        <w:t xml:space="preserve"> </w:t>
      </w:r>
      <w:r w:rsidRPr="00BB1907">
        <w:rPr>
          <w:rStyle w:val="StyleUnderline"/>
        </w:rPr>
        <w:t xml:space="preserve">resources and </w:t>
      </w:r>
      <w:r w:rsidRPr="00BB1907">
        <w:rPr>
          <w:rStyle w:val="Emphasis"/>
        </w:rPr>
        <w:t>training</w:t>
      </w:r>
      <w:r w:rsidRPr="00BB1907">
        <w:rPr>
          <w:rStyle w:val="StyleUnderline"/>
        </w:rPr>
        <w:t>.</w:t>
      </w:r>
      <w:r w:rsidRPr="00D018E6">
        <w:rPr>
          <w:sz w:val="16"/>
        </w:rPr>
        <w:t xml:space="preserve">104 Misidentification occurs when teachers inappropriately identify minority students as students with disabilities; misclassification occurs when students who have already been identified as disabled are then incorrectly labeled with a disability that they do not have.105 </w:t>
      </w:r>
      <w:r w:rsidRPr="00BB1907">
        <w:rPr>
          <w:rStyle w:val="StyleUnderline"/>
        </w:rPr>
        <w:t>When racial minorities and</w:t>
      </w:r>
      <w:r>
        <w:rPr>
          <w:rStyle w:val="StyleUnderline"/>
        </w:rPr>
        <w:t xml:space="preserve"> </w:t>
      </w:r>
      <w:r w:rsidRPr="00BB1907">
        <w:rPr>
          <w:rStyle w:val="StyleUnderline"/>
        </w:rPr>
        <w:t>students from low-income backgrounds are both misidentified</w:t>
      </w:r>
      <w:r w:rsidRPr="00D018E6">
        <w:rPr>
          <w:sz w:val="16"/>
        </w:rPr>
        <w:t xml:space="preserve"> and misclassified, </w:t>
      </w:r>
      <w:r w:rsidRPr="00BB1907">
        <w:rPr>
          <w:rStyle w:val="StyleUnderline"/>
        </w:rPr>
        <w:t>a second level of disproportionality is added to the</w:t>
      </w:r>
      <w:r>
        <w:rPr>
          <w:rStyle w:val="StyleUnderline"/>
        </w:rPr>
        <w:t xml:space="preserve"> </w:t>
      </w:r>
      <w:r w:rsidRPr="00BB1907">
        <w:rPr>
          <w:rStyle w:val="StyleUnderline"/>
        </w:rPr>
        <w:t>mix.</w:t>
      </w:r>
      <w:r w:rsidRPr="00D018E6">
        <w:rPr>
          <w:sz w:val="16"/>
        </w:rPr>
        <w:t xml:space="preserve">106 For instance, when a student is incorrectly identified as having a disability, and then is incorrectly classified as having a high incidence disability, </w:t>
      </w:r>
      <w:r w:rsidRPr="00BB1907">
        <w:rPr>
          <w:rStyle w:val="StyleUnderline"/>
        </w:rPr>
        <w:t xml:space="preserve">the student may be placed in a </w:t>
      </w:r>
      <w:r w:rsidRPr="00BB1907">
        <w:rPr>
          <w:rStyle w:val="Emphasis"/>
        </w:rPr>
        <w:t>restrictive setting</w:t>
      </w:r>
      <w:r>
        <w:rPr>
          <w:rStyle w:val="StyleUnderline"/>
        </w:rPr>
        <w:t xml:space="preserve"> </w:t>
      </w:r>
      <w:r w:rsidRPr="00BB1907">
        <w:rPr>
          <w:rStyle w:val="StyleUnderline"/>
        </w:rPr>
        <w:t>for special education.107</w:t>
      </w:r>
      <w:r w:rsidRPr="00D018E6">
        <w:rPr>
          <w:sz w:val="16"/>
        </w:rPr>
        <w:t xml:space="preserve"> The resulting ‘‘increased risk for being educated in restrictive settings’’ due to a possible misidentification and misclassification is </w:t>
      </w:r>
      <w:r w:rsidRPr="00BB1907">
        <w:rPr>
          <w:rStyle w:val="StyleUnderline"/>
        </w:rPr>
        <w:t>referred to as ‘‘double jeopardy’’</w:t>
      </w:r>
      <w:r w:rsidRPr="00D018E6">
        <w:rPr>
          <w:sz w:val="16"/>
        </w:rPr>
        <w:t xml:space="preserve"> for these minority students.108 </w:t>
      </w:r>
      <w:r w:rsidRPr="001058DA">
        <w:rPr>
          <w:rStyle w:val="StyleUnderline"/>
        </w:rPr>
        <w:t>Racial minority students are also more likely than their white</w:t>
      </w:r>
      <w:r>
        <w:rPr>
          <w:rStyle w:val="StyleUnderline"/>
        </w:rPr>
        <w:t xml:space="preserve"> </w:t>
      </w:r>
      <w:r w:rsidRPr="001058DA">
        <w:rPr>
          <w:rStyle w:val="StyleUnderline"/>
        </w:rPr>
        <w:t>counterparts to be classified in the high-incidence</w:t>
      </w:r>
      <w:r w:rsidRPr="00D018E6">
        <w:rPr>
          <w:sz w:val="16"/>
        </w:rPr>
        <w:t xml:space="preserve"> </w:t>
      </w:r>
      <w:r w:rsidRPr="001058DA">
        <w:rPr>
          <w:rStyle w:val="StyleUnderline"/>
        </w:rPr>
        <w:t>categories</w:t>
      </w:r>
      <w:r w:rsidRPr="00D018E6">
        <w:rPr>
          <w:sz w:val="16"/>
        </w:rPr>
        <w:t xml:space="preserve"> of disabilities, including </w:t>
      </w:r>
      <w:r w:rsidRPr="001058DA">
        <w:rPr>
          <w:rStyle w:val="StyleUnderline"/>
        </w:rPr>
        <w:t>mental retardation (MR), severe emotional</w:t>
      </w:r>
      <w:r>
        <w:rPr>
          <w:rStyle w:val="StyleUnderline"/>
        </w:rPr>
        <w:t xml:space="preserve"> </w:t>
      </w:r>
      <w:r w:rsidRPr="001058DA">
        <w:rPr>
          <w:rStyle w:val="StyleUnderline"/>
        </w:rPr>
        <w:t>disturbance (SED), and specific learning disability (SLD</w:t>
      </w:r>
      <w:r w:rsidRPr="00D018E6">
        <w:rPr>
          <w:sz w:val="16"/>
        </w:rPr>
        <w:t xml:space="preserve">).109 These categories are ones ‘‘in which the problem is often identified first in the school context and the disability diagnosis is typically given without confirmation of an organic cause,’’ comprising around 88% of students eligible for IDEA services.110 High-incidence categories such as mental retardation are referred to as ‘‘judgmental’’ or ‘‘social system’’ disabilities, because there is no uniform test to detect them, they are not biologically based, and an amount of discretion is granted in classifying students into the high-incidence categories.111 In particular, </w:t>
      </w:r>
      <w:r w:rsidRPr="00306B25">
        <w:rPr>
          <w:rStyle w:val="StyleUnderline"/>
        </w:rPr>
        <w:t>African-American students</w:t>
      </w:r>
      <w:r w:rsidRPr="00D018E6">
        <w:rPr>
          <w:sz w:val="16"/>
        </w:rPr>
        <w:t xml:space="preserve"> </w:t>
      </w:r>
      <w:r w:rsidRPr="00306B25">
        <w:rPr>
          <w:rStyle w:val="StyleUnderline"/>
        </w:rPr>
        <w:t>are overrepresented</w:t>
      </w:r>
      <w:r w:rsidRPr="00D018E6">
        <w:rPr>
          <w:sz w:val="16"/>
        </w:rPr>
        <w:t xml:space="preserve"> in the high-incidence categories of disabilities, </w:t>
      </w:r>
      <w:r w:rsidRPr="00306B25">
        <w:rPr>
          <w:rStyle w:val="StyleUnderline"/>
        </w:rPr>
        <w:t xml:space="preserve">comprising </w:t>
      </w:r>
      <w:r w:rsidRPr="00306B25">
        <w:rPr>
          <w:rStyle w:val="Emphasis"/>
        </w:rPr>
        <w:t>a quarter</w:t>
      </w:r>
      <w:r w:rsidRPr="00306B25">
        <w:rPr>
          <w:rStyle w:val="StyleUnderline"/>
        </w:rPr>
        <w:t xml:space="preserve"> of</w:t>
      </w:r>
      <w:r>
        <w:rPr>
          <w:rStyle w:val="StyleUnderline"/>
        </w:rPr>
        <w:t xml:space="preserve"> </w:t>
      </w:r>
      <w:r w:rsidRPr="00306B25">
        <w:rPr>
          <w:rStyle w:val="StyleUnderline"/>
        </w:rPr>
        <w:t>total students classified as having emotional or behavioral</w:t>
      </w:r>
      <w:r w:rsidRPr="00D018E6">
        <w:rPr>
          <w:sz w:val="16"/>
        </w:rPr>
        <w:t xml:space="preserve"> </w:t>
      </w:r>
      <w:r w:rsidRPr="00306B25">
        <w:rPr>
          <w:rStyle w:val="StyleUnderline"/>
        </w:rPr>
        <w:t>disturbance.112</w:t>
      </w:r>
      <w:r w:rsidRPr="00D018E6">
        <w:rPr>
          <w:sz w:val="16"/>
        </w:rPr>
        <w:t xml:space="preserve"> Studies based on data from the Special Education Elementary Longitudinal Study (SEELS) and the National Longitudinal Transition Study 2 (NLTS2) reveal that ‘‘</w:t>
      </w:r>
      <w:proofErr w:type="spellStart"/>
      <w:r w:rsidRPr="00D018E6">
        <w:rPr>
          <w:sz w:val="16"/>
        </w:rPr>
        <w:t>AfricanAmericans</w:t>
      </w:r>
      <w:proofErr w:type="spellEnd"/>
      <w:r w:rsidRPr="00D018E6">
        <w:rPr>
          <w:sz w:val="16"/>
        </w:rPr>
        <w:t xml:space="preserve">, children from poor families, and single parent households were overrepresented in ED [emotional disturbance].’’113 Interestingly, researchers have identified one possible link between the classification of emotional disturbance and race of the student’s teacher.114 The study found that ‘‘as the percentage of </w:t>
      </w:r>
      <w:proofErr w:type="spellStart"/>
      <w:r w:rsidRPr="00D018E6">
        <w:rPr>
          <w:sz w:val="16"/>
        </w:rPr>
        <w:t>AfricanAmerican</w:t>
      </w:r>
      <w:proofErr w:type="spellEnd"/>
      <w:r w:rsidRPr="00D018E6">
        <w:rPr>
          <w:sz w:val="16"/>
        </w:rPr>
        <w:t xml:space="preserve"> teachers increased, overrepresentation of </w:t>
      </w:r>
      <w:proofErr w:type="spellStart"/>
      <w:r w:rsidRPr="00D018E6">
        <w:rPr>
          <w:sz w:val="16"/>
        </w:rPr>
        <w:t>AfricanAmerican</w:t>
      </w:r>
      <w:proofErr w:type="spellEnd"/>
      <w:r w:rsidRPr="00D018E6">
        <w:rPr>
          <w:sz w:val="16"/>
        </w:rPr>
        <w:t xml:space="preserve"> students in emotionally disturbed category decreased.’’115 Similar to the emotional disturbance category</w:t>
      </w:r>
      <w:r w:rsidRPr="0022290B">
        <w:rPr>
          <w:rStyle w:val="StyleUnderline"/>
        </w:rPr>
        <w:t>, African-American</w:t>
      </w:r>
      <w:r>
        <w:rPr>
          <w:rStyle w:val="StyleUnderline"/>
        </w:rPr>
        <w:t xml:space="preserve"> </w:t>
      </w:r>
      <w:r w:rsidRPr="0022290B">
        <w:rPr>
          <w:rStyle w:val="StyleUnderline"/>
        </w:rPr>
        <w:t xml:space="preserve">students ‘‘are nearly </w:t>
      </w:r>
      <w:r w:rsidRPr="0022290B">
        <w:rPr>
          <w:rStyle w:val="Emphasis"/>
        </w:rPr>
        <w:t>three time</w:t>
      </w:r>
      <w:r w:rsidRPr="0022290B">
        <w:rPr>
          <w:rStyle w:val="StyleUnderline"/>
        </w:rPr>
        <w:t>s as likely as white students to be</w:t>
      </w:r>
      <w:r>
        <w:rPr>
          <w:rStyle w:val="StyleUnderline"/>
        </w:rPr>
        <w:t xml:space="preserve"> </w:t>
      </w:r>
      <w:r w:rsidRPr="0022290B">
        <w:rPr>
          <w:rStyle w:val="StyleUnderline"/>
        </w:rPr>
        <w:t>labeled mentally retarded, and in five states the likelihood is more</w:t>
      </w:r>
      <w:r>
        <w:rPr>
          <w:rStyle w:val="StyleUnderline"/>
        </w:rPr>
        <w:t xml:space="preserve"> </w:t>
      </w:r>
      <w:r w:rsidRPr="0022290B">
        <w:rPr>
          <w:rStyle w:val="StyleUnderline"/>
        </w:rPr>
        <w:t xml:space="preserve">than </w:t>
      </w:r>
      <w:r w:rsidRPr="0022290B">
        <w:rPr>
          <w:rStyle w:val="Emphasis"/>
        </w:rPr>
        <w:t>four times</w:t>
      </w:r>
      <w:r w:rsidRPr="0022290B">
        <w:rPr>
          <w:rStyle w:val="StyleUnderline"/>
        </w:rPr>
        <w:t xml:space="preserve"> that of whites.’’116</w:t>
      </w:r>
      <w:r w:rsidRPr="00D018E6">
        <w:rPr>
          <w:sz w:val="16"/>
        </w:rPr>
        <w:t xml:space="preserve"> Another study done by the Harvard Civil Rights Project echoed the finding that </w:t>
      </w:r>
      <w:proofErr w:type="spellStart"/>
      <w:r w:rsidRPr="00D018E6">
        <w:rPr>
          <w:sz w:val="16"/>
        </w:rPr>
        <w:t>AfricanAmericans</w:t>
      </w:r>
      <w:proofErr w:type="spellEnd"/>
      <w:r w:rsidRPr="00D018E6">
        <w:rPr>
          <w:sz w:val="16"/>
        </w:rPr>
        <w:t xml:space="preserve"> are three times as likely to be classified as mentally retarded than white students.117 The MR category ‘‘far and away represents the greatest degree of African-American disproportionality,’’ with African-American students comprising 33% of MR enrollment, but only 15% of total enrollment.118 African-Americans are not the only minority to be misclassified or misidentified; other racial minorities are also overrepresented in the high-incidence categories.119 A study of </w:t>
      </w:r>
      <w:r w:rsidRPr="004C13B4">
        <w:rPr>
          <w:rStyle w:val="StyleUnderline"/>
        </w:rPr>
        <w:t>Asian Pacific Islander</w:t>
      </w:r>
      <w:r w:rsidRPr="00D018E6">
        <w:rPr>
          <w:sz w:val="16"/>
        </w:rPr>
        <w:t xml:space="preserve"> </w:t>
      </w:r>
      <w:r w:rsidRPr="004C13B4">
        <w:rPr>
          <w:rStyle w:val="StyleUnderline"/>
        </w:rPr>
        <w:t>students</w:t>
      </w:r>
      <w:r w:rsidRPr="00D018E6">
        <w:rPr>
          <w:sz w:val="16"/>
        </w:rPr>
        <w:t xml:space="preserve"> in Hawaii school systems showed that those students </w:t>
      </w:r>
      <w:r w:rsidRPr="004C13B4">
        <w:rPr>
          <w:rStyle w:val="StyleUnderline"/>
        </w:rPr>
        <w:t>were</w:t>
      </w:r>
      <w:r w:rsidRPr="00D018E6">
        <w:rPr>
          <w:sz w:val="16"/>
        </w:rPr>
        <w:t xml:space="preserve"> </w:t>
      </w:r>
      <w:r w:rsidRPr="004C13B4">
        <w:rPr>
          <w:rStyle w:val="StyleUnderline"/>
        </w:rPr>
        <w:t>more than three times as likely to be classified as mentally retarded</w:t>
      </w:r>
      <w:r>
        <w:rPr>
          <w:rStyle w:val="StyleUnderline"/>
        </w:rPr>
        <w:t xml:space="preserve"> </w:t>
      </w:r>
      <w:r w:rsidRPr="00D018E6">
        <w:rPr>
          <w:sz w:val="16"/>
        </w:rPr>
        <w:t xml:space="preserve">than white students.120 Another study of </w:t>
      </w:r>
      <w:r w:rsidRPr="005832C4">
        <w:rPr>
          <w:rStyle w:val="StyleUnderline"/>
        </w:rPr>
        <w:t>Native American children</w:t>
      </w:r>
      <w:r w:rsidRPr="00D018E6">
        <w:rPr>
          <w:sz w:val="16"/>
        </w:rPr>
        <w:t xml:space="preserve"> in the Alaska school system reported that Native American students ‘‘</w:t>
      </w:r>
      <w:r w:rsidRPr="005832C4">
        <w:rPr>
          <w:rStyle w:val="StyleUnderline"/>
        </w:rPr>
        <w:t>were 2.43 times as likely to be labeled mentally retarded’’</w:t>
      </w:r>
      <w:r w:rsidRPr="00D018E6">
        <w:rPr>
          <w:sz w:val="16"/>
        </w:rPr>
        <w:t xml:space="preserve"> when compared with white students.121 The prevalence of misclassification and misidentification among racial minorities as well as those of lower socioeconomic status is demonstrative of an ongoing problem that has subsisted throughout modifications of the IDIEA legislation. The problem of IDEA and its progeny’s over-inclusiveness in implementation manifests itself in several negative outcomes, as discussed in more detail below.122 </w:t>
      </w:r>
    </w:p>
    <w:p w:rsidR="00833446" w:rsidRDefault="00833446" w:rsidP="00833446"/>
    <w:p w:rsidR="00833446" w:rsidRDefault="00833446" w:rsidP="00833446">
      <w:pPr>
        <w:pStyle w:val="Heading4"/>
      </w:pPr>
      <w:r>
        <w:t>That kills any chance of success in high school --- dropout rates are through the roof</w:t>
      </w:r>
    </w:p>
    <w:p w:rsidR="00833446" w:rsidRPr="00BA5382" w:rsidRDefault="00833446" w:rsidP="00833446">
      <w:r w:rsidRPr="00502286">
        <w:rPr>
          <w:b/>
        </w:rPr>
        <w:t>Sun and Daniel 2013</w:t>
      </w:r>
      <w:r>
        <w:t xml:space="preserve"> - Associate Prof of Educational Leadership at University of North Dakota (Jeffrey C and Philip TK Daniel, “SPECIAL EDUCATION IN URBAN SCHOOLS: IDEAS FOR A CHANGING LANDSCAPE: ARTICLE: MATH AND SCIENCE ARE CORE TO THE IDEA: BREAKING THE RACIAL AND POVERTY LINES," 41 Fordham </w:t>
      </w:r>
      <w:proofErr w:type="spellStart"/>
      <w:r>
        <w:t>Urb</w:t>
      </w:r>
      <w:proofErr w:type="spellEnd"/>
      <w:r>
        <w:t>. L.J. 557 p. 577)//</w:t>
      </w:r>
      <w:proofErr w:type="spellStart"/>
      <w:r>
        <w:t>masw</w:t>
      </w:r>
      <w:proofErr w:type="spellEnd"/>
    </w:p>
    <w:p w:rsidR="00833446" w:rsidRPr="00D018E6" w:rsidRDefault="00833446" w:rsidP="00833446">
      <w:pPr>
        <w:rPr>
          <w:sz w:val="16"/>
        </w:rPr>
      </w:pPr>
      <w:r w:rsidRPr="00D018E6">
        <w:rPr>
          <w:sz w:val="16"/>
        </w:rPr>
        <w:t xml:space="preserve">C. Restrictive Settings and Reduced Outcomes </w:t>
      </w:r>
      <w:r w:rsidRPr="005832C4">
        <w:rPr>
          <w:rStyle w:val="StyleUnderline"/>
        </w:rPr>
        <w:t>Minority students who have been deemed disabled under the</w:t>
      </w:r>
      <w:r>
        <w:rPr>
          <w:rStyle w:val="StyleUnderline"/>
        </w:rPr>
        <w:t xml:space="preserve"> </w:t>
      </w:r>
      <w:r w:rsidRPr="005832C4">
        <w:rPr>
          <w:rStyle w:val="StyleUnderline"/>
        </w:rPr>
        <w:t xml:space="preserve">IDEA are ‘‘far </w:t>
      </w:r>
      <w:r w:rsidRPr="005832C4">
        <w:rPr>
          <w:rStyle w:val="Emphasis"/>
        </w:rPr>
        <w:t>less likely than white students</w:t>
      </w:r>
      <w:r w:rsidRPr="005832C4">
        <w:rPr>
          <w:rStyle w:val="StyleUnderline"/>
        </w:rPr>
        <w:t xml:space="preserve"> with disabilities to be</w:t>
      </w:r>
      <w:r>
        <w:rPr>
          <w:rStyle w:val="StyleUnderline"/>
        </w:rPr>
        <w:t xml:space="preserve"> </w:t>
      </w:r>
      <w:r w:rsidRPr="005832C4">
        <w:rPr>
          <w:rStyle w:val="StyleUnderline"/>
        </w:rPr>
        <w:t xml:space="preserve">educated in a general education classroom and </w:t>
      </w:r>
      <w:r w:rsidRPr="005832C4">
        <w:rPr>
          <w:rStyle w:val="Emphasis"/>
        </w:rPr>
        <w:t>far more likely</w:t>
      </w:r>
      <w:r w:rsidRPr="005832C4">
        <w:rPr>
          <w:rStyle w:val="StyleUnderline"/>
        </w:rPr>
        <w:t xml:space="preserve"> to be</w:t>
      </w:r>
      <w:r>
        <w:rPr>
          <w:rStyle w:val="StyleUnderline"/>
        </w:rPr>
        <w:t xml:space="preserve"> </w:t>
      </w:r>
      <w:r w:rsidRPr="005832C4">
        <w:rPr>
          <w:rStyle w:val="StyleUnderline"/>
        </w:rPr>
        <w:t xml:space="preserve">educated in </w:t>
      </w:r>
      <w:r w:rsidRPr="005832C4">
        <w:rPr>
          <w:rStyle w:val="Emphasis"/>
        </w:rPr>
        <w:t>highly separate settings</w:t>
      </w:r>
      <w:r w:rsidRPr="005832C4">
        <w:rPr>
          <w:rStyle w:val="StyleUnderline"/>
        </w:rPr>
        <w:t>.’’123</w:t>
      </w:r>
      <w:r w:rsidRPr="00D018E6">
        <w:rPr>
          <w:sz w:val="16"/>
        </w:rPr>
        <w:t xml:space="preserve"> Hispanic and </w:t>
      </w:r>
      <w:proofErr w:type="spellStart"/>
      <w:r w:rsidRPr="00D018E6">
        <w:rPr>
          <w:sz w:val="16"/>
        </w:rPr>
        <w:t>AfricanAmerican</w:t>
      </w:r>
      <w:proofErr w:type="spellEnd"/>
      <w:r w:rsidRPr="00D018E6">
        <w:rPr>
          <w:sz w:val="16"/>
        </w:rPr>
        <w:t xml:space="preserve"> students in particular are twice as likely to be educated in separate educational classrooms as white students with disabilities.124 </w:t>
      </w:r>
      <w:r w:rsidRPr="00694D83">
        <w:rPr>
          <w:rStyle w:val="StyleUnderline"/>
        </w:rPr>
        <w:t>The trend</w:t>
      </w:r>
      <w:r w:rsidRPr="00D018E6">
        <w:rPr>
          <w:sz w:val="16"/>
        </w:rPr>
        <w:t xml:space="preserve"> of African-American disabled students being disproportionately placed in restrictive environments ‘‘</w:t>
      </w:r>
      <w:r w:rsidRPr="00694D83">
        <w:rPr>
          <w:rStyle w:val="StyleUnderline"/>
        </w:rPr>
        <w:t>is nothing</w:t>
      </w:r>
      <w:r>
        <w:rPr>
          <w:rStyle w:val="StyleUnderline"/>
        </w:rPr>
        <w:t xml:space="preserve"> </w:t>
      </w:r>
      <w:r w:rsidRPr="00694D83">
        <w:rPr>
          <w:rStyle w:val="StyleUnderline"/>
        </w:rPr>
        <w:t>new.’’1</w:t>
      </w:r>
      <w:r w:rsidRPr="00D018E6">
        <w:rPr>
          <w:sz w:val="16"/>
        </w:rPr>
        <w:t xml:space="preserve">25 In one study, </w:t>
      </w:r>
      <w:r w:rsidRPr="00694D83">
        <w:rPr>
          <w:rStyle w:val="StyleUnderline"/>
        </w:rPr>
        <w:t>African-American children ‘‘were more likely</w:t>
      </w:r>
      <w:r>
        <w:rPr>
          <w:rStyle w:val="StyleUnderline"/>
        </w:rPr>
        <w:t xml:space="preserve"> </w:t>
      </w:r>
      <w:r w:rsidRPr="00694D83">
        <w:rPr>
          <w:rStyle w:val="StyleUnderline"/>
        </w:rPr>
        <w:t>than their peers with the same disability to be overrepresented in</w:t>
      </w:r>
      <w:r>
        <w:rPr>
          <w:rStyle w:val="StyleUnderline"/>
        </w:rPr>
        <w:t xml:space="preserve"> </w:t>
      </w:r>
      <w:r w:rsidRPr="00694D83">
        <w:rPr>
          <w:rStyle w:val="StyleUnderline"/>
        </w:rPr>
        <w:t>more restrictive settings</w:t>
      </w:r>
      <w:r w:rsidRPr="00D018E6">
        <w:rPr>
          <w:sz w:val="16"/>
        </w:rPr>
        <w:t xml:space="preserve">, or underrepresented in the general education setting’’ in four out of the five disability categories.126 The Massachusetts study also found that low-income students, in addition to racial minorities, ‘‘are more apt to be educated in separate settings.’’127 The researchers noted that education in separate settings is ‘‘particularly alarming given evidence that separation from the mainstream is associated with poorer standardized test performance for students with disabilities.’’128 </w:t>
      </w:r>
    </w:p>
    <w:p w:rsidR="00833446" w:rsidRPr="00D018E6" w:rsidRDefault="00833446" w:rsidP="00833446">
      <w:pPr>
        <w:rPr>
          <w:sz w:val="16"/>
        </w:rPr>
      </w:pPr>
      <w:r w:rsidRPr="00354245">
        <w:rPr>
          <w:rStyle w:val="StyleUnderline"/>
        </w:rPr>
        <w:t xml:space="preserve">The racial and poverty line problem has led to reported </w:t>
      </w:r>
      <w:r w:rsidRPr="00354245">
        <w:rPr>
          <w:rStyle w:val="Emphasis"/>
        </w:rPr>
        <w:t>drawbacks</w:t>
      </w:r>
      <w:r>
        <w:rPr>
          <w:rStyle w:val="StyleUnderline"/>
        </w:rPr>
        <w:t xml:space="preserve"> </w:t>
      </w:r>
      <w:r w:rsidRPr="00354245">
        <w:rPr>
          <w:rStyle w:val="StyleUnderline"/>
        </w:rPr>
        <w:t>to these disadvantaged groups</w:t>
      </w:r>
      <w:r w:rsidRPr="00D018E6">
        <w:rPr>
          <w:sz w:val="16"/>
        </w:rPr>
        <w:t xml:space="preserve">.129 Not surprisingly, </w:t>
      </w:r>
      <w:r w:rsidRPr="00354245">
        <w:rPr>
          <w:rStyle w:val="StyleUnderline"/>
        </w:rPr>
        <w:t>studies have</w:t>
      </w:r>
      <w:r>
        <w:rPr>
          <w:rStyle w:val="StyleUnderline"/>
        </w:rPr>
        <w:t xml:space="preserve"> </w:t>
      </w:r>
      <w:r w:rsidRPr="00354245">
        <w:rPr>
          <w:rStyle w:val="StyleUnderline"/>
        </w:rPr>
        <w:t xml:space="preserve">shown that </w:t>
      </w:r>
      <w:r w:rsidRPr="004409A9">
        <w:rPr>
          <w:rStyle w:val="Emphasis"/>
        </w:rPr>
        <w:t>minority students</w:t>
      </w:r>
      <w:r w:rsidRPr="00354245">
        <w:rPr>
          <w:rStyle w:val="StyleUnderline"/>
        </w:rPr>
        <w:t xml:space="preserve"> who have been placed </w:t>
      </w:r>
      <w:r w:rsidRPr="004409A9">
        <w:rPr>
          <w:rStyle w:val="Emphasis"/>
        </w:rPr>
        <w:t>in special</w:t>
      </w:r>
      <w:r>
        <w:rPr>
          <w:rStyle w:val="Emphasis"/>
        </w:rPr>
        <w:t xml:space="preserve"> </w:t>
      </w:r>
      <w:r w:rsidRPr="004409A9">
        <w:rPr>
          <w:rStyle w:val="Emphasis"/>
        </w:rPr>
        <w:t>education programs</w:t>
      </w:r>
      <w:r w:rsidRPr="00354245">
        <w:rPr>
          <w:rStyle w:val="StyleUnderline"/>
        </w:rPr>
        <w:t xml:space="preserve"> have </w:t>
      </w:r>
      <w:r w:rsidRPr="004409A9">
        <w:rPr>
          <w:rStyle w:val="Emphasis"/>
        </w:rPr>
        <w:t>poor educational outcomes</w:t>
      </w:r>
      <w:r w:rsidRPr="00354245">
        <w:rPr>
          <w:rStyle w:val="StyleUnderline"/>
        </w:rPr>
        <w:t>.1</w:t>
      </w:r>
      <w:r w:rsidRPr="00D018E6">
        <w:rPr>
          <w:sz w:val="16"/>
        </w:rPr>
        <w:t xml:space="preserve">30 In a study of high school students graduating in 2003, </w:t>
      </w:r>
      <w:r w:rsidRPr="004409A9">
        <w:rPr>
          <w:rStyle w:val="StyleUnderline"/>
        </w:rPr>
        <w:t xml:space="preserve">the </w:t>
      </w:r>
      <w:r w:rsidRPr="004409A9">
        <w:rPr>
          <w:rStyle w:val="Emphasis"/>
        </w:rPr>
        <w:t xml:space="preserve">graduation </w:t>
      </w:r>
      <w:r w:rsidRPr="00B43699">
        <w:rPr>
          <w:rStyle w:val="Emphasis"/>
        </w:rPr>
        <w:t>rate</w:t>
      </w:r>
      <w:r w:rsidRPr="004409A9">
        <w:rPr>
          <w:rStyle w:val="StyleUnderline"/>
        </w:rPr>
        <w:t xml:space="preserve"> for white</w:t>
      </w:r>
      <w:r>
        <w:rPr>
          <w:rStyle w:val="StyleUnderline"/>
        </w:rPr>
        <w:t xml:space="preserve"> </w:t>
      </w:r>
      <w:r w:rsidRPr="004409A9">
        <w:rPr>
          <w:rStyle w:val="StyleUnderline"/>
        </w:rPr>
        <w:t xml:space="preserve">students with disabilities </w:t>
      </w:r>
      <w:r w:rsidRPr="004409A9">
        <w:rPr>
          <w:rStyle w:val="Emphasis"/>
        </w:rPr>
        <w:t>was 59.1%,</w:t>
      </w:r>
      <w:r w:rsidRPr="00D018E6">
        <w:rPr>
          <w:sz w:val="16"/>
        </w:rPr>
        <w:t xml:space="preserve"> </w:t>
      </w:r>
      <w:r w:rsidRPr="004409A9">
        <w:rPr>
          <w:rStyle w:val="StyleUnderline"/>
        </w:rPr>
        <w:t>while the graduation rate for</w:t>
      </w:r>
      <w:r>
        <w:rPr>
          <w:rStyle w:val="StyleUnderline"/>
        </w:rPr>
        <w:t xml:space="preserve"> </w:t>
      </w:r>
      <w:r w:rsidRPr="004409A9">
        <w:rPr>
          <w:rStyle w:val="StyleUnderline"/>
        </w:rPr>
        <w:t xml:space="preserve">African-Americans with disabilities was </w:t>
      </w:r>
      <w:r w:rsidRPr="004409A9">
        <w:rPr>
          <w:rStyle w:val="Emphasis"/>
        </w:rPr>
        <w:t>36.2%</w:t>
      </w:r>
      <w:r w:rsidRPr="004409A9">
        <w:rPr>
          <w:rStyle w:val="StyleUnderline"/>
        </w:rPr>
        <w:t>.</w:t>
      </w:r>
      <w:r w:rsidRPr="00D018E6">
        <w:rPr>
          <w:sz w:val="16"/>
        </w:rPr>
        <w:t xml:space="preserve">131 </w:t>
      </w:r>
      <w:proofErr w:type="spellStart"/>
      <w:r w:rsidRPr="00D018E6">
        <w:rPr>
          <w:sz w:val="16"/>
        </w:rPr>
        <w:t>NativeAmerican</w:t>
      </w:r>
      <w:proofErr w:type="spellEnd"/>
      <w:r w:rsidRPr="00D018E6">
        <w:rPr>
          <w:sz w:val="16"/>
        </w:rPr>
        <w:t xml:space="preserve">/Alaskan Native disabled students, African-American disabled students, and </w:t>
      </w:r>
      <w:r w:rsidRPr="0040454E">
        <w:rPr>
          <w:rStyle w:val="StyleUnderline"/>
        </w:rPr>
        <w:t>Hispanic disabled students had the highest</w:t>
      </w:r>
      <w:r>
        <w:rPr>
          <w:rStyle w:val="StyleUnderline"/>
        </w:rPr>
        <w:t xml:space="preserve"> </w:t>
      </w:r>
      <w:r w:rsidRPr="0040454E">
        <w:rPr>
          <w:rStyle w:val="StyleUnderline"/>
        </w:rPr>
        <w:t>dropout rates, at 48.4%, 41.7%, and 38.9%,</w:t>
      </w:r>
      <w:r w:rsidRPr="00D018E6">
        <w:rPr>
          <w:sz w:val="16"/>
        </w:rPr>
        <w:t xml:space="preserve"> respectively.132 </w:t>
      </w:r>
      <w:r w:rsidRPr="0040454E">
        <w:rPr>
          <w:rStyle w:val="StyleUnderline"/>
        </w:rPr>
        <w:t>Other</w:t>
      </w:r>
      <w:r w:rsidRPr="00D018E6">
        <w:rPr>
          <w:sz w:val="16"/>
        </w:rPr>
        <w:t xml:space="preserve"> </w:t>
      </w:r>
      <w:r w:rsidRPr="0040454E">
        <w:rPr>
          <w:rStyle w:val="StyleUnderline"/>
        </w:rPr>
        <w:t>effects</w:t>
      </w:r>
      <w:r w:rsidRPr="00D018E6">
        <w:rPr>
          <w:sz w:val="16"/>
        </w:rPr>
        <w:t xml:space="preserve"> of placing minorities in special education programs </w:t>
      </w:r>
      <w:r w:rsidRPr="0040454E">
        <w:rPr>
          <w:rStyle w:val="StyleUnderline"/>
        </w:rPr>
        <w:t>include</w:t>
      </w:r>
      <w:r w:rsidRPr="00D018E6">
        <w:rPr>
          <w:sz w:val="16"/>
        </w:rPr>
        <w:t xml:space="preserve"> ‘‘</w:t>
      </w:r>
      <w:r w:rsidRPr="0040454E">
        <w:rPr>
          <w:rStyle w:val="StyleUnderline"/>
        </w:rPr>
        <w:t xml:space="preserve">greater likelihood of falling into </w:t>
      </w:r>
      <w:r w:rsidRPr="0040454E">
        <w:rPr>
          <w:rStyle w:val="Emphasis"/>
        </w:rPr>
        <w:t>poverty</w:t>
      </w:r>
      <w:r w:rsidRPr="0040454E">
        <w:rPr>
          <w:rStyle w:val="StyleUnderline"/>
        </w:rPr>
        <w:t>,</w:t>
      </w:r>
      <w:r w:rsidRPr="00D018E6">
        <w:rPr>
          <w:sz w:val="16"/>
        </w:rPr>
        <w:t xml:space="preserve"> </w:t>
      </w:r>
      <w:r w:rsidRPr="0040454E">
        <w:rPr>
          <w:rStyle w:val="StyleUnderline"/>
        </w:rPr>
        <w:t xml:space="preserve">relying on </w:t>
      </w:r>
      <w:r w:rsidRPr="0040454E">
        <w:rPr>
          <w:rStyle w:val="Emphasis"/>
        </w:rPr>
        <w:t>government</w:t>
      </w:r>
      <w:r>
        <w:rPr>
          <w:rStyle w:val="Emphasis"/>
        </w:rPr>
        <w:t xml:space="preserve"> </w:t>
      </w:r>
      <w:r w:rsidRPr="0040454E">
        <w:rPr>
          <w:rStyle w:val="Emphasis"/>
        </w:rPr>
        <w:t>benefits programs</w:t>
      </w:r>
      <w:r w:rsidRPr="0040454E">
        <w:rPr>
          <w:rStyle w:val="StyleUnderline"/>
        </w:rPr>
        <w:t xml:space="preserve"> later in life</w:t>
      </w:r>
      <w:r w:rsidRPr="00D018E6">
        <w:rPr>
          <w:sz w:val="16"/>
        </w:rPr>
        <w:t xml:space="preserve">, </w:t>
      </w:r>
      <w:r w:rsidRPr="0040454E">
        <w:rPr>
          <w:rStyle w:val="StyleUnderline"/>
        </w:rPr>
        <w:t xml:space="preserve">higher </w:t>
      </w:r>
      <w:r w:rsidRPr="0040454E">
        <w:rPr>
          <w:rStyle w:val="Emphasis"/>
        </w:rPr>
        <w:t>teen birth rates</w:t>
      </w:r>
      <w:r w:rsidRPr="00D018E6">
        <w:rPr>
          <w:sz w:val="16"/>
        </w:rPr>
        <w:t xml:space="preserve">, </w:t>
      </w:r>
      <w:r w:rsidRPr="0040454E">
        <w:rPr>
          <w:rStyle w:val="StyleUnderline"/>
        </w:rPr>
        <w:t>and an</w:t>
      </w:r>
      <w:r>
        <w:rPr>
          <w:rStyle w:val="StyleUnderline"/>
        </w:rPr>
        <w:t xml:space="preserve"> </w:t>
      </w:r>
      <w:r w:rsidRPr="0040454E">
        <w:rPr>
          <w:rStyle w:val="StyleUnderline"/>
        </w:rPr>
        <w:t xml:space="preserve">increased chance of being </w:t>
      </w:r>
      <w:r w:rsidRPr="0040454E">
        <w:rPr>
          <w:rStyle w:val="Emphasis"/>
        </w:rPr>
        <w:t>convicted of a felony</w:t>
      </w:r>
      <w:r w:rsidRPr="00D018E6">
        <w:rPr>
          <w:sz w:val="16"/>
        </w:rPr>
        <w:t xml:space="preserve">.’’133 These findings suggest that investments such as educational interventions and general awareness of the negative, albeit unintended, consequences on racial minorities and economically disadvantaged students are necessary to advance the goals of a civil rights law in special education.134 </w:t>
      </w:r>
      <w:r w:rsidRPr="000B3022">
        <w:rPr>
          <w:rStyle w:val="StyleUnderline"/>
        </w:rPr>
        <w:t xml:space="preserve">Absent </w:t>
      </w:r>
      <w:r w:rsidRPr="000B3022">
        <w:rPr>
          <w:rStyle w:val="Emphasis"/>
        </w:rPr>
        <w:t>narrowly tailored</w:t>
      </w:r>
      <w:r w:rsidRPr="000B3022">
        <w:rPr>
          <w:rStyle w:val="StyleUnderline"/>
        </w:rPr>
        <w:t xml:space="preserve"> </w:t>
      </w:r>
      <w:r w:rsidRPr="000B3022">
        <w:rPr>
          <w:rStyle w:val="Emphasis"/>
        </w:rPr>
        <w:t>federal</w:t>
      </w:r>
      <w:r w:rsidRPr="000B3022">
        <w:rPr>
          <w:rStyle w:val="StyleUnderline"/>
        </w:rPr>
        <w:t xml:space="preserve"> </w:t>
      </w:r>
      <w:r w:rsidRPr="000B3022">
        <w:rPr>
          <w:rStyle w:val="Emphasis"/>
        </w:rPr>
        <w:t>action</w:t>
      </w:r>
      <w:r w:rsidRPr="000B3022">
        <w:rPr>
          <w:rStyle w:val="StyleUnderline"/>
        </w:rPr>
        <w:t xml:space="preserve"> with systemic</w:t>
      </w:r>
      <w:r>
        <w:rPr>
          <w:rStyle w:val="StyleUnderline"/>
        </w:rPr>
        <w:t xml:space="preserve"> </w:t>
      </w:r>
      <w:r w:rsidRPr="000B3022">
        <w:rPr>
          <w:rStyle w:val="StyleUnderline"/>
        </w:rPr>
        <w:t>effects, special education policies will continue to further the</w:t>
      </w:r>
      <w:r w:rsidRPr="00D018E6">
        <w:rPr>
          <w:sz w:val="16"/>
        </w:rPr>
        <w:t xml:space="preserve"> </w:t>
      </w:r>
      <w:r w:rsidRPr="000B3022">
        <w:rPr>
          <w:rStyle w:val="StyleUnderline"/>
        </w:rPr>
        <w:t>disability, racial, and socioeconomic divides------as evidenced by the</w:t>
      </w:r>
      <w:r>
        <w:rPr>
          <w:rStyle w:val="StyleUnderline"/>
        </w:rPr>
        <w:t xml:space="preserve"> </w:t>
      </w:r>
      <w:r w:rsidRPr="00D018E6">
        <w:rPr>
          <w:sz w:val="16"/>
        </w:rPr>
        <w:t>data presented in Part III.135</w:t>
      </w:r>
    </w:p>
    <w:p w:rsidR="00833446" w:rsidRDefault="00833446" w:rsidP="00833446"/>
    <w:p w:rsidR="00833446" w:rsidRDefault="00833446" w:rsidP="00833446"/>
    <w:p w:rsidR="00833446" w:rsidRDefault="00833446" w:rsidP="00833446">
      <w:pPr>
        <w:pStyle w:val="Heading4"/>
      </w:pPr>
      <w:r>
        <w:t>Vigorous studies prove the gap</w:t>
      </w:r>
    </w:p>
    <w:p w:rsidR="00833446" w:rsidRPr="00B43699" w:rsidRDefault="00833446" w:rsidP="00833446">
      <w:r w:rsidRPr="00502286">
        <w:rPr>
          <w:b/>
        </w:rPr>
        <w:t>Sun and Daniel 2013</w:t>
      </w:r>
      <w:r>
        <w:t xml:space="preserve"> - Associate Prof of Educational Leadership at University of North Dakota (Jeffrey C and Philip TK Daniel, “SPECIAL EDUCATION IN URBAN SCHOOLS: IDEAS FOR A CHANGING LANDSCAPE: ARTICLE: MATH AND SCIENCE ARE CORE TO THE IDEA: BREAKING THE RACIAL AND POVERTY LINES," 41 Fordham </w:t>
      </w:r>
      <w:proofErr w:type="spellStart"/>
      <w:r>
        <w:t>Urb</w:t>
      </w:r>
      <w:proofErr w:type="spellEnd"/>
      <w:r>
        <w:t>. L.J. 557 p. 578)//</w:t>
      </w:r>
      <w:proofErr w:type="spellStart"/>
      <w:r>
        <w:t>masw</w:t>
      </w:r>
      <w:proofErr w:type="spellEnd"/>
    </w:p>
    <w:p w:rsidR="00833446" w:rsidRPr="00D018E6" w:rsidRDefault="00833446" w:rsidP="00833446">
      <w:pPr>
        <w:rPr>
          <w:sz w:val="16"/>
        </w:rPr>
      </w:pPr>
      <w:r w:rsidRPr="00D018E6">
        <w:rPr>
          <w:sz w:val="16"/>
        </w:rPr>
        <w:t xml:space="preserve">III. FINDINGS FROM EIGHTH GRADE TESTING </w:t>
      </w:r>
      <w:r w:rsidRPr="00C10E1B">
        <w:rPr>
          <w:rStyle w:val="StyleUnderline"/>
        </w:rPr>
        <w:t>The disability divide may be illustrated by actual evidence from</w:t>
      </w:r>
      <w:r>
        <w:rPr>
          <w:rStyle w:val="StyleUnderline"/>
        </w:rPr>
        <w:t xml:space="preserve"> </w:t>
      </w:r>
      <w:r w:rsidRPr="00C10E1B">
        <w:rPr>
          <w:rStyle w:val="StyleUnderline"/>
        </w:rPr>
        <w:t xml:space="preserve">statewide student performance </w:t>
      </w:r>
      <w:r w:rsidRPr="00C10E1B">
        <w:rPr>
          <w:rStyle w:val="Emphasis"/>
        </w:rPr>
        <w:t>exam</w:t>
      </w:r>
      <w:r w:rsidRPr="00C10E1B">
        <w:rPr>
          <w:rStyle w:val="StyleUnderline"/>
        </w:rPr>
        <w:t xml:space="preserve"> </w:t>
      </w:r>
      <w:r w:rsidRPr="00C10E1B">
        <w:rPr>
          <w:rStyle w:val="Emphasis"/>
        </w:rPr>
        <w:t>scores</w:t>
      </w:r>
      <w:r w:rsidRPr="00D018E6">
        <w:rPr>
          <w:sz w:val="16"/>
        </w:rPr>
        <w:t xml:space="preserve">. Part III begins by </w:t>
      </w:r>
      <w:r w:rsidRPr="005D0503">
        <w:rPr>
          <w:rStyle w:val="StyleUnderline"/>
        </w:rPr>
        <w:t>explaining the process by which the authors of this Article examined</w:t>
      </w:r>
      <w:r>
        <w:rPr>
          <w:rStyle w:val="StyleUnderline"/>
        </w:rPr>
        <w:t xml:space="preserve"> </w:t>
      </w:r>
      <w:r w:rsidRPr="005D0503">
        <w:rPr>
          <w:rStyle w:val="StyleUnderline"/>
        </w:rPr>
        <w:t>the proficiency levels based on state test scores of eighth grade</w:t>
      </w:r>
      <w:r>
        <w:rPr>
          <w:rStyle w:val="StyleUnderline"/>
        </w:rPr>
        <w:t xml:space="preserve"> </w:t>
      </w:r>
      <w:r w:rsidRPr="005D0503">
        <w:rPr>
          <w:rStyle w:val="StyleUnderline"/>
        </w:rPr>
        <w:t>students in Ohio</w:t>
      </w:r>
      <w:r w:rsidRPr="00D018E6">
        <w:rPr>
          <w:sz w:val="16"/>
        </w:rPr>
        <w:t xml:space="preserve">.136 Subsequent sub-Parts examine how student proficiency fluctuates by race, economic disadvantage, and population density.137 As the data demonstrate, </w:t>
      </w:r>
      <w:r w:rsidRPr="006C3547">
        <w:rPr>
          <w:rStyle w:val="StyleUnderline"/>
        </w:rPr>
        <w:t>the disability divide is most</w:t>
      </w:r>
      <w:r>
        <w:rPr>
          <w:rStyle w:val="StyleUnderline"/>
        </w:rPr>
        <w:t xml:space="preserve"> </w:t>
      </w:r>
      <w:r w:rsidRPr="006C3547">
        <w:rPr>
          <w:rStyle w:val="StyleUnderline"/>
        </w:rPr>
        <w:t>prominent among low-income, racial minority student</w:t>
      </w:r>
      <w:r w:rsidRPr="00D018E6">
        <w:rPr>
          <w:sz w:val="16"/>
        </w:rPr>
        <w:t xml:space="preserve">s from </w:t>
      </w:r>
      <w:proofErr w:type="spellStart"/>
      <w:r w:rsidRPr="00D018E6">
        <w:rPr>
          <w:sz w:val="16"/>
        </w:rPr>
        <w:t>highdensity</w:t>
      </w:r>
      <w:proofErr w:type="spellEnd"/>
      <w:r w:rsidRPr="00D018E6">
        <w:rPr>
          <w:sz w:val="16"/>
        </w:rPr>
        <w:t xml:space="preserve"> urban environments than any other group.138 A. Data Sorting, Coding, and Analysis Procedures </w:t>
      </w:r>
      <w:r w:rsidRPr="006C3547">
        <w:rPr>
          <w:rStyle w:val="StyleUnderline"/>
        </w:rPr>
        <w:t>To investigate the effects of test performance levels of children</w:t>
      </w:r>
      <w:r>
        <w:rPr>
          <w:rStyle w:val="StyleUnderline"/>
        </w:rPr>
        <w:t xml:space="preserve"> </w:t>
      </w:r>
      <w:r w:rsidRPr="00D018E6">
        <w:rPr>
          <w:sz w:val="16"/>
        </w:rPr>
        <w:t xml:space="preserve">with </w:t>
      </w:r>
      <w:r w:rsidRPr="006C3547">
        <w:rPr>
          <w:rStyle w:val="StyleUnderline"/>
        </w:rPr>
        <w:t>disabilities based on race, economic disadvantage, and</w:t>
      </w:r>
      <w:r w:rsidRPr="00D018E6">
        <w:rPr>
          <w:sz w:val="16"/>
        </w:rPr>
        <w:t xml:space="preserve"> </w:t>
      </w:r>
      <w:r w:rsidRPr="006C3547">
        <w:rPr>
          <w:rStyle w:val="StyleUnderline"/>
        </w:rPr>
        <w:t>population density,</w:t>
      </w:r>
      <w:r w:rsidRPr="00D018E6">
        <w:rPr>
          <w:sz w:val="16"/>
        </w:rPr>
        <w:t xml:space="preserve"> the </w:t>
      </w:r>
      <w:r w:rsidRPr="006C3547">
        <w:rPr>
          <w:rStyle w:val="StyleUnderline"/>
        </w:rPr>
        <w:t xml:space="preserve">authors of this Article </w:t>
      </w:r>
      <w:r w:rsidRPr="006C3547">
        <w:rPr>
          <w:rStyle w:val="Emphasis"/>
        </w:rPr>
        <w:t>reviewed data</w:t>
      </w:r>
      <w:r w:rsidRPr="00D018E6">
        <w:rPr>
          <w:sz w:val="16"/>
        </w:rPr>
        <w:t xml:space="preserve"> </w:t>
      </w:r>
      <w:r w:rsidRPr="006C3547">
        <w:rPr>
          <w:rStyle w:val="StyleUnderline"/>
        </w:rPr>
        <w:t>from the</w:t>
      </w:r>
      <w:r w:rsidRPr="00D018E6">
        <w:rPr>
          <w:sz w:val="16"/>
        </w:rPr>
        <w:t xml:space="preserve"> accountability data from the Ohio </w:t>
      </w:r>
      <w:r w:rsidRPr="006C3547">
        <w:rPr>
          <w:rStyle w:val="StyleUnderline"/>
        </w:rPr>
        <w:t>Department of Education</w:t>
      </w:r>
      <w:r w:rsidRPr="00D018E6">
        <w:rPr>
          <w:sz w:val="16"/>
        </w:rPr>
        <w:t xml:space="preserve">, which calls the data ‘‘Report Cards.’’139 The accountability measures include academic performance measures of students in Ohio’s public schools as reported by schools and districts.140 </w:t>
      </w:r>
      <w:r w:rsidRPr="007645EC">
        <w:rPr>
          <w:rStyle w:val="StyleUnderline"/>
        </w:rPr>
        <w:t>The data includes information</w:t>
      </w:r>
      <w:r>
        <w:rPr>
          <w:rStyle w:val="StyleUnderline"/>
        </w:rPr>
        <w:t xml:space="preserve"> </w:t>
      </w:r>
      <w:r w:rsidRPr="007645EC">
        <w:rPr>
          <w:rStyle w:val="StyleUnderline"/>
        </w:rPr>
        <w:t>about test score achievements, graduation rates, and literacy rates.</w:t>
      </w:r>
      <w:r w:rsidRPr="00D018E6">
        <w:rPr>
          <w:sz w:val="16"/>
        </w:rPr>
        <w:t xml:space="preserve">141 In addition, </w:t>
      </w:r>
      <w:r w:rsidRPr="007645EC">
        <w:rPr>
          <w:rStyle w:val="StyleUnderline"/>
        </w:rPr>
        <w:t>the data report disaggregated scores by population</w:t>
      </w:r>
      <w:r>
        <w:rPr>
          <w:rStyle w:val="StyleUnderline"/>
        </w:rPr>
        <w:t xml:space="preserve"> </w:t>
      </w:r>
      <w:r w:rsidRPr="007645EC">
        <w:rPr>
          <w:rStyle w:val="StyleUnderline"/>
        </w:rPr>
        <w:t>classifications such as race, disability, and economic disadvantage in</w:t>
      </w:r>
      <w:r>
        <w:rPr>
          <w:rStyle w:val="StyleUnderline"/>
        </w:rPr>
        <w:t xml:space="preserve"> </w:t>
      </w:r>
      <w:r w:rsidRPr="007645EC">
        <w:rPr>
          <w:rStyle w:val="StyleUnderline"/>
        </w:rPr>
        <w:t>order to close the achievement gap</w:t>
      </w:r>
      <w:r w:rsidRPr="00D018E6">
        <w:rPr>
          <w:sz w:val="16"/>
        </w:rPr>
        <w:t>.142 The Ohio Report Card data collects data from the entire state, which consists of 614 school districts.143 Yet, as is quite clear, not all school districts are educational equals. To differentiate among the 614 school districts, the authors referred to the 2013 School Districts Typology created by the Ohio Department of Education (ODE).144 The ODE aimed to divide different school districts into categories by examining different school districts’ shared demographic and geographic characteristics.145 Factors that entered into the determinations included average daily enrollment, percentage economically disadvantaged students, median income of the district, population density, and percentage ethnic breakdown.146 As displayed in Table III.1, that division created eight categories of school districts with roughly 110,000 to 320,000 students in each category.147 ODE further identified ‘‘Exemplar Districts by 2013 Typology Code.’’148 The exemplar districts represented five school districts that most characteristically resembled the criteria for each general typology code.149 For instance, Cleveland Municipal City was one of five districts qualifying as ‘‘Urban------Very High Student Poverty &amp; Very Large Student Population.’’150 Based on data about the district in terms of demographic and geographic characteristics, it qualified as an exemplar district within that typological category as well as Cincinnati, Columbus, Dayton, and Toledo.151</w:t>
      </w:r>
      <w:r>
        <w:rPr>
          <w:sz w:val="16"/>
        </w:rPr>
        <w:t xml:space="preserve"> </w:t>
      </w:r>
      <w:r w:rsidRPr="008A507B">
        <w:rPr>
          <w:rStyle w:val="StyleUnderline"/>
        </w:rPr>
        <w:t>B. Racially Diverse Urban District with Very High Student</w:t>
      </w:r>
      <w:r>
        <w:rPr>
          <w:rStyle w:val="StyleUnderline"/>
        </w:rPr>
        <w:t xml:space="preserve"> </w:t>
      </w:r>
      <w:r w:rsidRPr="00D018E6">
        <w:rPr>
          <w:sz w:val="16"/>
        </w:rPr>
        <w:t xml:space="preserve">Poverty and Very Large Student Population Using the interactive Ohio Report cards, the authors gathered data for urban school districts that have very high poverty rates and very large student populations.160 Tables III.2 and III.3 display the data of the five exemplar districts within the typology of an urban school district with very high student poverty and very large student population.161 These districts represent an urban environment with a very high student population base and a very high poverty rate.162 More than 8350 eighth grade students took the exam in 2011--2012.163 The data reported below reflects only the eighth graders in these districts who have a disability flag on their record------equaling approximately 1785 students. The performance of these students is generally weak. If 2014 is the intended year in which all students reach proficiency (as the federal goal reflects), then reaching this goal will be quite difficult.164 Based on the data, white students with disabilities outperformed </w:t>
      </w:r>
      <w:proofErr w:type="spellStart"/>
      <w:r w:rsidRPr="00D018E6">
        <w:rPr>
          <w:sz w:val="16"/>
        </w:rPr>
        <w:t>AfricanAmerican</w:t>
      </w:r>
      <w:proofErr w:type="spellEnd"/>
      <w:r w:rsidRPr="00D018E6">
        <w:rPr>
          <w:sz w:val="16"/>
        </w:rPr>
        <w:t xml:space="preserve"> students in all test areas------reading, math, and science.165 </w:t>
      </w:r>
      <w:r w:rsidRPr="00525AD9">
        <w:rPr>
          <w:rStyle w:val="StyleUnderline"/>
        </w:rPr>
        <w:t>For</w:t>
      </w:r>
      <w:r w:rsidRPr="00D018E6">
        <w:rPr>
          <w:sz w:val="16"/>
        </w:rPr>
        <w:t xml:space="preserve"> </w:t>
      </w:r>
      <w:r w:rsidRPr="00525AD9">
        <w:rPr>
          <w:rStyle w:val="StyleUnderline"/>
        </w:rPr>
        <w:t>instance, in Toledo City, 39% of the white students demonstrated</w:t>
      </w:r>
      <w:r>
        <w:rPr>
          <w:rStyle w:val="StyleUnderline"/>
        </w:rPr>
        <w:t xml:space="preserve"> </w:t>
      </w:r>
      <w:r w:rsidRPr="00525AD9">
        <w:rPr>
          <w:rStyle w:val="StyleUnderline"/>
        </w:rPr>
        <w:t>proficiency in reading whereas only 24.4% of African-Americans</w:t>
      </w:r>
      <w:r>
        <w:rPr>
          <w:rStyle w:val="StyleUnderline"/>
        </w:rPr>
        <w:t xml:space="preserve"> </w:t>
      </w:r>
      <w:r w:rsidRPr="00525AD9">
        <w:rPr>
          <w:rStyle w:val="StyleUnderline"/>
        </w:rPr>
        <w:t>demonstrated proficiency in reading</w:t>
      </w:r>
      <w:r w:rsidRPr="00D018E6">
        <w:rPr>
          <w:sz w:val="16"/>
        </w:rPr>
        <w:t xml:space="preserve">.166 </w:t>
      </w:r>
      <w:r w:rsidRPr="00525AD9">
        <w:rPr>
          <w:rStyle w:val="StyleUnderline"/>
        </w:rPr>
        <w:t>The difference between the</w:t>
      </w:r>
      <w:r>
        <w:rPr>
          <w:rStyle w:val="StyleUnderline"/>
        </w:rPr>
        <w:t xml:space="preserve"> </w:t>
      </w:r>
      <w:r w:rsidRPr="00525AD9">
        <w:rPr>
          <w:rStyle w:val="StyleUnderline"/>
        </w:rPr>
        <w:t>two racial groups was 15</w:t>
      </w:r>
      <w:r w:rsidRPr="00D018E6">
        <w:rPr>
          <w:sz w:val="16"/>
        </w:rPr>
        <w:t xml:space="preserve">%.167 </w:t>
      </w:r>
      <w:r w:rsidRPr="00525AD9">
        <w:rPr>
          <w:rStyle w:val="StyleUnderline"/>
        </w:rPr>
        <w:t>That statistic is significant given that</w:t>
      </w:r>
      <w:r>
        <w:rPr>
          <w:rStyle w:val="StyleUnderline"/>
        </w:rPr>
        <w:t xml:space="preserve"> </w:t>
      </w:r>
      <w:r w:rsidRPr="00525AD9">
        <w:rPr>
          <w:rStyle w:val="StyleUnderline"/>
        </w:rPr>
        <w:t>the African-American and white student enrollments in Toledo are</w:t>
      </w:r>
      <w:r>
        <w:rPr>
          <w:rStyle w:val="StyleUnderline"/>
        </w:rPr>
        <w:t xml:space="preserve"> </w:t>
      </w:r>
      <w:r w:rsidRPr="00525AD9">
        <w:rPr>
          <w:rStyle w:val="StyleUnderline"/>
        </w:rPr>
        <w:t>nearly equivalent in number</w:t>
      </w:r>
      <w:r w:rsidRPr="00D018E6">
        <w:rPr>
          <w:sz w:val="16"/>
        </w:rPr>
        <w:t>.168</w:t>
      </w:r>
      <w:r>
        <w:rPr>
          <w:sz w:val="16"/>
        </w:rPr>
        <w:t xml:space="preserve"> </w:t>
      </w:r>
      <w:r w:rsidRPr="00621E7D">
        <w:rPr>
          <w:rStyle w:val="StyleUnderline"/>
        </w:rPr>
        <w:t>Based on the authors’ collection</w:t>
      </w:r>
      <w:r w:rsidRPr="00D018E6">
        <w:rPr>
          <w:sz w:val="16"/>
        </w:rPr>
        <w:t xml:space="preserve"> and analysis of data from the interactive report cards, 169 Table III.3 </w:t>
      </w:r>
      <w:r w:rsidRPr="00621E7D">
        <w:rPr>
          <w:rStyle w:val="StyleUnderline"/>
        </w:rPr>
        <w:t>re-examines the eighth grade</w:t>
      </w:r>
      <w:r>
        <w:rPr>
          <w:rStyle w:val="StyleUnderline"/>
        </w:rPr>
        <w:t xml:space="preserve"> </w:t>
      </w:r>
      <w:r w:rsidRPr="00621E7D">
        <w:rPr>
          <w:rStyle w:val="StyleUnderline"/>
        </w:rPr>
        <w:t>proficiency levels in reading, math, and science for African-American</w:t>
      </w:r>
      <w:r>
        <w:rPr>
          <w:rStyle w:val="StyleUnderline"/>
        </w:rPr>
        <w:t xml:space="preserve"> </w:t>
      </w:r>
      <w:r w:rsidRPr="00621E7D">
        <w:rPr>
          <w:rStyle w:val="StyleUnderline"/>
        </w:rPr>
        <w:t>and white students with disabilities</w:t>
      </w:r>
      <w:r w:rsidRPr="00D018E6">
        <w:rPr>
          <w:sz w:val="16"/>
        </w:rPr>
        <w:t xml:space="preserve">. Table III.3 adds a column for comparisons within a racial group’s performance relative to reading.170 Overall, for both African-American and white students with disabilities, reading proficiency tends to be significantly higher than science proficiency.171 However, the data generally indicates noticeably lower levels of proficiency for African-American students with disabilities in the areas of math and science compared to reading.172 For instance, </w:t>
      </w:r>
      <w:r w:rsidRPr="005B5984">
        <w:rPr>
          <w:rStyle w:val="StyleUnderline"/>
        </w:rPr>
        <w:t>in the city of Cincinnati, African-American</w:t>
      </w:r>
      <w:r w:rsidRPr="00D018E6">
        <w:rPr>
          <w:sz w:val="16"/>
        </w:rPr>
        <w:t xml:space="preserve"> </w:t>
      </w:r>
      <w:r w:rsidRPr="005B5984">
        <w:rPr>
          <w:rStyle w:val="StyleUnderline"/>
        </w:rPr>
        <w:t>students with disabilities scored 6.6% lower in math than in reading</w:t>
      </w:r>
      <w:r>
        <w:rPr>
          <w:rStyle w:val="StyleUnderline"/>
        </w:rPr>
        <w:t xml:space="preserve"> </w:t>
      </w:r>
      <w:r w:rsidRPr="005B5984">
        <w:rPr>
          <w:rStyle w:val="StyleUnderline"/>
        </w:rPr>
        <w:t>and 17.2% lower in science than in reading.</w:t>
      </w:r>
      <w:r w:rsidRPr="00D018E6">
        <w:rPr>
          <w:sz w:val="16"/>
        </w:rPr>
        <w:t xml:space="preserve">173 This finding does not hold true for white students, who demonstrate more fluctuation or discrepant data.174 Given the national claims and other federal policies directing attention to the demands for increased mastery (not just proficiency) of science literacy, it stands to reason that </w:t>
      </w:r>
      <w:r w:rsidRPr="005B5984">
        <w:rPr>
          <w:rStyle w:val="StyleUnderline"/>
        </w:rPr>
        <w:t>education</w:t>
      </w:r>
      <w:r>
        <w:rPr>
          <w:rStyle w:val="StyleUnderline"/>
        </w:rPr>
        <w:t xml:space="preserve"> </w:t>
      </w:r>
      <w:r w:rsidRPr="005B5984">
        <w:rPr>
          <w:rStyle w:val="StyleUnderline"/>
        </w:rPr>
        <w:t>in science is necessary to demonstrate functional capacity for twenty first</w:t>
      </w:r>
      <w:r>
        <w:rPr>
          <w:rStyle w:val="StyleUnderline"/>
        </w:rPr>
        <w:t xml:space="preserve"> </w:t>
      </w:r>
      <w:r w:rsidRPr="005B5984">
        <w:rPr>
          <w:rStyle w:val="StyleUnderline"/>
        </w:rPr>
        <w:t>century workforce skills</w:t>
      </w:r>
      <w:r w:rsidRPr="00D018E6">
        <w:rPr>
          <w:sz w:val="16"/>
        </w:rPr>
        <w:t xml:space="preserve">, and these student deficits signal grave concerns with the special education practice and policy.175 </w:t>
      </w:r>
    </w:p>
    <w:p w:rsidR="001C4A82" w:rsidRDefault="00833446" w:rsidP="00833446">
      <w:pPr>
        <w:pStyle w:val="Heading2"/>
      </w:pPr>
      <w:r>
        <w:t>Advantage</w:t>
      </w:r>
      <w:r w:rsidR="00BE5A03">
        <w:t xml:space="preserve"> – Treaties </w:t>
      </w:r>
    </w:p>
    <w:p w:rsidR="00833446" w:rsidRPr="00833446" w:rsidRDefault="00833446" w:rsidP="00833446">
      <w:pPr>
        <w:pStyle w:val="Heading3"/>
      </w:pPr>
      <w:r>
        <w:t>1AC</w:t>
      </w:r>
    </w:p>
    <w:p w:rsidR="001E34E8" w:rsidRPr="00E37098" w:rsidRDefault="00BD77DF" w:rsidP="001E34E8">
      <w:pPr>
        <w:pStyle w:val="Heading4"/>
        <w:rPr>
          <w:rStyle w:val="StyleUnderline"/>
        </w:rPr>
      </w:pPr>
      <w:r>
        <w:t xml:space="preserve">Hypocrisy </w:t>
      </w:r>
      <w:r w:rsidR="001E34E8" w:rsidRPr="00761CF8">
        <w:t xml:space="preserve">prevents us from pressuring </w:t>
      </w:r>
      <w:r w:rsidR="001E34E8">
        <w:t>other countries on HR – IDEA</w:t>
      </w:r>
      <w:r>
        <w:t xml:space="preserve"> reform</w:t>
      </w:r>
      <w:r w:rsidR="001E34E8">
        <w:t xml:space="preserve"> is the step in the right direction we need </w:t>
      </w:r>
    </w:p>
    <w:p w:rsidR="001E34E8" w:rsidRPr="005C6FDC" w:rsidRDefault="001E34E8" w:rsidP="001E34E8">
      <w:pPr>
        <w:rPr>
          <w:sz w:val="18"/>
          <w:szCs w:val="18"/>
        </w:rPr>
      </w:pPr>
      <w:r w:rsidRPr="00E65759">
        <w:rPr>
          <w:rFonts w:eastAsiaTheme="majorEastAsia" w:cstheme="majorBidi"/>
          <w:b/>
          <w:iCs/>
          <w:sz w:val="26"/>
        </w:rPr>
        <w:t>Koh</w:t>
      </w:r>
      <w:r>
        <w:rPr>
          <w:rFonts w:eastAsiaTheme="majorEastAsia" w:cstheme="majorBidi"/>
          <w:b/>
          <w:iCs/>
          <w:sz w:val="26"/>
        </w:rPr>
        <w:t xml:space="preserve"> et al.</w:t>
      </w:r>
      <w:r w:rsidRPr="00E65759">
        <w:rPr>
          <w:rFonts w:eastAsiaTheme="majorEastAsia" w:cstheme="majorBidi"/>
          <w:b/>
          <w:iCs/>
          <w:sz w:val="26"/>
        </w:rPr>
        <w:t xml:space="preserve"> ’03</w:t>
      </w:r>
      <w:r>
        <w:t xml:space="preserve"> </w:t>
      </w:r>
      <w:r w:rsidRPr="005C6FDC">
        <w:rPr>
          <w:sz w:val="18"/>
          <w:szCs w:val="18"/>
        </w:rPr>
        <w:t>[Professor of International Law, Yale Law School; Assistant Secretary of State for Democracy, Human Rights and Labor, 1998-2001. “On American Exceptionalism”, The Board of Trustees of Leland Stanford Junior University Stanford Law Review, May, 2003, 55 Stan. L. Rev. 1479]</w:t>
      </w:r>
    </w:p>
    <w:p w:rsidR="001E34E8" w:rsidRDefault="001E34E8" w:rsidP="001E34E8">
      <w:pPr>
        <w:rPr>
          <w:u w:val="single"/>
        </w:rPr>
      </w:pPr>
      <w:r w:rsidRPr="006D7F80">
        <w:rPr>
          <w:sz w:val="16"/>
        </w:rPr>
        <w:t xml:space="preserve">This brings me to the fourth and most problematic face of American exceptionalism: </w:t>
      </w:r>
      <w:r w:rsidRPr="00E37098">
        <w:rPr>
          <w:u w:val="single"/>
        </w:rPr>
        <w:t>when the United States actually uses its exceptional power and wealth to promote a double standard</w:t>
      </w:r>
      <w:r w:rsidRPr="006D7F80">
        <w:rPr>
          <w:sz w:val="16"/>
        </w:rPr>
        <w:t>. The most problematic case is not distinctive American rights culture, a taste for different labels, or a flying [*1486] buttress mentality, but rather,</w:t>
      </w:r>
      <w:r w:rsidRPr="00E37098">
        <w:rPr>
          <w:u w:val="single"/>
        </w:rPr>
        <w:t xml:space="preserve"> when the United States proposes that a different rule should apply to itself than applies to the rest of the world</w:t>
      </w:r>
      <w:r w:rsidRPr="006D7F80">
        <w:rPr>
          <w:sz w:val="16"/>
        </w:rPr>
        <w:t xml:space="preserve">. Recent well-known examples include such diverse issues as the International Criminal Court, n23 the Kyoto Protocol on Climate Change, n24 </w:t>
      </w:r>
      <w:r w:rsidRPr="00CF726D">
        <w:rPr>
          <w:rStyle w:val="StyleUnderline"/>
          <w:b/>
        </w:rPr>
        <w:t>ex</w:t>
      </w:r>
      <w:r w:rsidRPr="002108E7">
        <w:rPr>
          <w:b/>
          <w:u w:val="single"/>
        </w:rPr>
        <w:t>ecuting juvenile offenders or persons with mental disabilities,</w:t>
      </w:r>
      <w:r w:rsidRPr="006D7F80">
        <w:rPr>
          <w:sz w:val="16"/>
        </w:rPr>
        <w:t xml:space="preserve"> n25 declining to implement orders of the International Court of Justice with regard to the death penalty, n26 or claiming a Second Amendment exclusion from a proposed global ban on the illicit transfer of small arms and light weapons. n27 In the post-9/11 environment, further examples have proliferated:</w:t>
      </w:r>
      <w:r w:rsidRPr="002108E7">
        <w:rPr>
          <w:u w:val="single"/>
        </w:rPr>
        <w:t xml:space="preserve"> America's attitudes toward the global justice system, holding Taliban detainees on Guantanamo without Geneva Convention hearings, and asserting a right to use force in preemptive self-defense,</w:t>
      </w:r>
      <w:r w:rsidRPr="006D7F80">
        <w:rPr>
          <w:sz w:val="16"/>
        </w:rPr>
        <w:t xml:space="preserve"> about all of which I will say more shortly. For now, we should recognize at least four problems with double standards. The first is that, </w:t>
      </w:r>
      <w:r w:rsidRPr="002108E7">
        <w:rPr>
          <w:b/>
          <w:u w:val="single"/>
        </w:rPr>
        <w:t>when the United States promotes double standards, it invariably ends up not on the higher rung, but on the lower rung with horrid bedfellows - for example, with such countries as Iran, Nigeria, and Saudi [*1487] Arabia</w:t>
      </w:r>
      <w:r w:rsidRPr="006D7F80">
        <w:rPr>
          <w:sz w:val="16"/>
        </w:rPr>
        <w:t>, the o</w:t>
      </w:r>
      <w:r w:rsidRPr="002108E7">
        <w:rPr>
          <w:u w:val="single"/>
        </w:rPr>
        <w:t>nly other countries that have not in practice either abolished or declared a moratorium upon the imposition of the death penalty on juvenile offenders</w:t>
      </w:r>
      <w:r w:rsidRPr="006D7F80">
        <w:rPr>
          <w:sz w:val="16"/>
        </w:rPr>
        <w:t>. n28 This a</w:t>
      </w:r>
      <w:r w:rsidRPr="002108E7">
        <w:rPr>
          <w:b/>
          <w:u w:val="single"/>
        </w:rPr>
        <w:t>ppearance of hypocrisy undercuts America's ability to pursue an affirmative human rights agenda</w:t>
      </w:r>
      <w:r w:rsidRPr="006D7F80">
        <w:rPr>
          <w:sz w:val="16"/>
        </w:rPr>
        <w:t>. Worse yet, b</w:t>
      </w:r>
      <w:r w:rsidRPr="006D7F80">
        <w:rPr>
          <w:u w:val="single"/>
        </w:rPr>
        <w:t>y espousing the double standard, the United States often finds itself co-opted into either condoning or defending other countries' human rights abuses, even when it previously criticized them</w:t>
      </w:r>
      <w:r w:rsidRPr="006D7F80">
        <w:rPr>
          <w:sz w:val="16"/>
        </w:rPr>
        <w:t xml:space="preserve"> (as has happened, for example, with the United States </w:t>
      </w:r>
      <w:r w:rsidRPr="006D7F80">
        <w:rPr>
          <w:b/>
          <w:u w:val="single"/>
        </w:rPr>
        <w:t>critique of military tribunals in Peru, Russia's war on Chechen "terrorists," or China's crackdown on Uighur Muslims</w:t>
      </w:r>
      <w:r w:rsidRPr="006D7F80">
        <w:rPr>
          <w:sz w:val="16"/>
        </w:rPr>
        <w:t xml:space="preserve">). n29 Third, the </w:t>
      </w:r>
      <w:r w:rsidRPr="006D7F80">
        <w:rPr>
          <w:u w:val="single"/>
        </w:rPr>
        <w:t>perception that the United States applies one standard to the world and another to itself sharply weakens America's claim to lead globally through moral authority</w:t>
      </w:r>
      <w:r w:rsidRPr="006D7F80">
        <w:rPr>
          <w:sz w:val="16"/>
        </w:rPr>
        <w:t xml:space="preserve">. This </w:t>
      </w:r>
      <w:r w:rsidRPr="006D7F80">
        <w:rPr>
          <w:b/>
          <w:u w:val="single"/>
        </w:rPr>
        <w:t>diminishes U.S. power to persuade through principle, a critical element of American "soft power."</w:t>
      </w:r>
      <w:r w:rsidRPr="006D7F80">
        <w:rPr>
          <w:sz w:val="16"/>
        </w:rPr>
        <w:t xml:space="preserve"> Fourth, and perhaps most important, </w:t>
      </w:r>
      <w:r w:rsidRPr="006D7F80">
        <w:rPr>
          <w:u w:val="single"/>
        </w:rPr>
        <w:t>by opposing the global rules, the United States can end up undermining the legitimacy of the rules themselves, not just modifying them to suit America's purposes</w:t>
      </w:r>
      <w:r w:rsidRPr="006D7F80">
        <w:rPr>
          <w:sz w:val="16"/>
        </w:rPr>
        <w:t>. The irony, of course, is that, by doing so,</w:t>
      </w:r>
      <w:r w:rsidRPr="006D7F80">
        <w:rPr>
          <w:u w:val="single"/>
        </w:rPr>
        <w:t xml:space="preserve"> the United States disempowers itself from invoking those rules, at precisely the moment when it needs those rules to serve its own national purposes. </w:t>
      </w:r>
      <w:r w:rsidRPr="006D7F80">
        <w:rPr>
          <w:sz w:val="16"/>
        </w:rPr>
        <w:t>n30</w:t>
      </w:r>
      <w:r>
        <w:rPr>
          <w:sz w:val="16"/>
        </w:rPr>
        <w:t xml:space="preserve"> </w:t>
      </w:r>
    </w:p>
    <w:p w:rsidR="001E34E8" w:rsidRDefault="001E34E8" w:rsidP="001E34E8">
      <w:pPr>
        <w:pStyle w:val="Heading4"/>
      </w:pPr>
      <w:r>
        <w:t>A</w:t>
      </w:r>
      <w:r w:rsidRPr="00692EE5">
        <w:t xml:space="preserve">ny step in the right direction is good </w:t>
      </w:r>
      <w:r>
        <w:t xml:space="preserve">- </w:t>
      </w:r>
      <w:r w:rsidRPr="00692EE5">
        <w:t>empowers the CPRD and models to other countries</w:t>
      </w:r>
      <w:r>
        <w:t xml:space="preserve"> </w:t>
      </w:r>
      <w:r w:rsidR="00BD77DF">
        <w:t>while allowing us to pressure North Korea for regime change</w:t>
      </w:r>
    </w:p>
    <w:p w:rsidR="001E34E8" w:rsidRDefault="001E34E8" w:rsidP="001E34E8">
      <w:r w:rsidRPr="00692EE5">
        <w:rPr>
          <w:rFonts w:eastAsiaTheme="majorEastAsia" w:cstheme="majorBidi"/>
          <w:b/>
          <w:iCs/>
          <w:sz w:val="26"/>
        </w:rPr>
        <w:t xml:space="preserve">Lord 2017 </w:t>
      </w:r>
      <w:r w:rsidRPr="007247BF">
        <w:rPr>
          <w:sz w:val="18"/>
          <w:szCs w:val="18"/>
        </w:rPr>
        <w:t xml:space="preserve">[Janet E. - senior research fellow at the Harvard Law School Project on Disability; adjunct professor of law, American University Washington College of </w:t>
      </w:r>
      <w:proofErr w:type="spellStart"/>
      <w:r w:rsidRPr="007247BF">
        <w:rPr>
          <w:sz w:val="18"/>
          <w:szCs w:val="18"/>
        </w:rPr>
        <w:t>Law,"Child</w:t>
      </w:r>
      <w:proofErr w:type="spellEnd"/>
      <w:r w:rsidRPr="007247BF">
        <w:rPr>
          <w:sz w:val="18"/>
          <w:szCs w:val="18"/>
        </w:rPr>
        <w:t xml:space="preserve"> Rights Trending: Accommodating Children with Disabilities in the Global Human Rights Framework and US Foreign Policy," 16 Whittier J. Child &amp; Fam. </w:t>
      </w:r>
      <w:proofErr w:type="spellStart"/>
      <w:r w:rsidRPr="007247BF">
        <w:rPr>
          <w:sz w:val="18"/>
          <w:szCs w:val="18"/>
        </w:rPr>
        <w:t>Advoc</w:t>
      </w:r>
      <w:proofErr w:type="spellEnd"/>
      <w:r w:rsidRPr="007247BF">
        <w:rPr>
          <w:sz w:val="18"/>
          <w:szCs w:val="18"/>
        </w:rPr>
        <w:t>. 1]</w:t>
      </w:r>
    </w:p>
    <w:p w:rsidR="001E34E8" w:rsidRDefault="001E34E8" w:rsidP="001E34E8">
      <w:pPr>
        <w:rPr>
          <w:u w:val="single"/>
        </w:rPr>
      </w:pPr>
      <w:r w:rsidRPr="00020152">
        <w:rPr>
          <w:sz w:val="14"/>
        </w:rPr>
        <w:t xml:space="preserve">A </w:t>
      </w:r>
      <w:r w:rsidRPr="00020152">
        <w:rPr>
          <w:u w:val="single"/>
        </w:rPr>
        <w:t>further argument against ratifying human rights conventions by the United States</w:t>
      </w:r>
      <w:r w:rsidRPr="00020152">
        <w:rPr>
          <w:sz w:val="14"/>
        </w:rPr>
        <w:t xml:space="preserve"> posits that </w:t>
      </w:r>
      <w:r w:rsidRPr="00020152">
        <w:rPr>
          <w:u w:val="single"/>
        </w:rPr>
        <w:t>participation in treaties</w:t>
      </w:r>
      <w:r w:rsidRPr="00020152">
        <w:rPr>
          <w:sz w:val="14"/>
        </w:rPr>
        <w:t xml:space="preserve"> whose subject matter </w:t>
      </w:r>
      <w:r w:rsidRPr="00020152">
        <w:rPr>
          <w:u w:val="single"/>
        </w:rPr>
        <w:t>is already</w:t>
      </w:r>
      <w:r w:rsidRPr="00020152">
        <w:rPr>
          <w:sz w:val="14"/>
        </w:rPr>
        <w:t xml:space="preserve"> adequately</w:t>
      </w:r>
      <w:r w:rsidRPr="00020152">
        <w:rPr>
          <w:u w:val="single"/>
        </w:rPr>
        <w:t xml:space="preserve"> addressed</w:t>
      </w:r>
      <w:r w:rsidRPr="00020152">
        <w:rPr>
          <w:sz w:val="14"/>
        </w:rPr>
        <w:t xml:space="preserve"> in domestic law and the state or federal levels </w:t>
      </w:r>
      <w:r w:rsidRPr="00020152">
        <w:rPr>
          <w:u w:val="single"/>
        </w:rPr>
        <w:t>is unnecessary and perhaps superfluous</w:t>
      </w:r>
      <w:r w:rsidRPr="00020152">
        <w:rPr>
          <w:sz w:val="14"/>
        </w:rPr>
        <w:t xml:space="preserve">. This </w:t>
      </w:r>
      <w:r w:rsidRPr="00020152">
        <w:rPr>
          <w:u w:val="single"/>
        </w:rPr>
        <w:t>is a poor argument for non-participation, especially when the United States supports as part of its foreign p</w:t>
      </w:r>
      <w:r w:rsidRPr="007247BF">
        <w:rPr>
          <w:u w:val="single"/>
        </w:rPr>
        <w:t>olicy democratic governance and human rights, which is clearly in the national interest.</w:t>
      </w:r>
      <w:r w:rsidRPr="007247BF">
        <w:rPr>
          <w:sz w:val="14"/>
        </w:rPr>
        <w:t xml:space="preserve"> Participation in the global human rights project through participation in human rights treaties </w:t>
      </w:r>
      <w:r w:rsidRPr="007247BF">
        <w:rPr>
          <w:u w:val="single"/>
        </w:rPr>
        <w:t>signals the commitment of the United States to international human rights which is part and parcel of our stated foreign policy. It is indeed incongruent to press for human rights treaty obeisance on the part of other states when we are unwilling to participate in those same international treaty obligations which are</w:t>
      </w:r>
      <w:r w:rsidRPr="007247BF">
        <w:rPr>
          <w:sz w:val="14"/>
        </w:rPr>
        <w:t xml:space="preserve"> in any case, in large measure </w:t>
      </w:r>
      <w:r w:rsidRPr="007247BF">
        <w:rPr>
          <w:u w:val="single"/>
        </w:rPr>
        <w:t>already part of our domestic law</w:t>
      </w:r>
      <w:r w:rsidRPr="007247BF">
        <w:rPr>
          <w:sz w:val="14"/>
        </w:rPr>
        <w:t xml:space="preserve">. Having </w:t>
      </w:r>
      <w:r w:rsidRPr="007247BF">
        <w:rPr>
          <w:u w:val="single"/>
        </w:rPr>
        <w:t xml:space="preserve">a seat at the table of a UN treaty body is meaningful </w:t>
      </w:r>
      <w:r w:rsidRPr="007247BF">
        <w:rPr>
          <w:sz w:val="14"/>
        </w:rPr>
        <w:t xml:space="preserve">[*41] </w:t>
      </w:r>
      <w:r w:rsidRPr="007247BF">
        <w:rPr>
          <w:u w:val="single"/>
        </w:rPr>
        <w:t>and hardly an abridgment of sovereignty given the recommendatory nature</w:t>
      </w:r>
      <w:r w:rsidRPr="007247BF">
        <w:rPr>
          <w:sz w:val="14"/>
        </w:rPr>
        <w:t xml:space="preserve"> of their conclusions. This is borne out by the fact that the United States already reports to the CRC Committee on implementation of the Optional Protocols on Children in Armed Conflict and the Sale of Children, n143 a process that has proven to be helpful in highlighting and addressing human rights issues facing highly marginalized children. </w:t>
      </w:r>
      <w:r w:rsidRPr="007247BF">
        <w:rPr>
          <w:u w:val="single"/>
        </w:rPr>
        <w:t>Participation in the CRPD, the CRC and</w:t>
      </w:r>
      <w:r w:rsidRPr="007247BF">
        <w:rPr>
          <w:sz w:val="14"/>
        </w:rPr>
        <w:t xml:space="preserve"> indeed </w:t>
      </w:r>
      <w:r w:rsidRPr="007247BF">
        <w:rPr>
          <w:u w:val="single"/>
        </w:rPr>
        <w:t>other human rights conventions enables the United States to take part in a global conversation on important issues impacting the protection of children with disabilities</w:t>
      </w:r>
      <w:r w:rsidRPr="007247BF">
        <w:rPr>
          <w:sz w:val="14"/>
        </w:rPr>
        <w:t xml:space="preserve">, such as </w:t>
      </w:r>
      <w:r w:rsidRPr="007247BF">
        <w:rPr>
          <w:u w:val="single"/>
        </w:rPr>
        <w:t>deinstitutionalization, refugee assistance, inclusive education, among other things. Insofar as the United States is not a party to the CRC, for instance, it is limited in the extent to which it can partner with UNICEF or other organizations in using the Convention as a specific tool for supporting children</w:t>
      </w:r>
      <w:r w:rsidRPr="007247BF">
        <w:rPr>
          <w:sz w:val="14"/>
        </w:rPr>
        <w:t xml:space="preserve"> and families </w:t>
      </w:r>
      <w:r w:rsidRPr="007247BF">
        <w:rPr>
          <w:u w:val="single"/>
        </w:rPr>
        <w:t>globally.</w:t>
      </w:r>
      <w:r w:rsidRPr="007247BF">
        <w:rPr>
          <w:sz w:val="14"/>
        </w:rPr>
        <w:t xml:space="preserve"> Limiting or restricting the leadership role of the United States in promoting child rights by failing to join an otherwise universally ratified treaty does not help to advance US human rights foreign policy. </w:t>
      </w:r>
      <w:r w:rsidRPr="007247BF">
        <w:rPr>
          <w:u w:val="single"/>
        </w:rPr>
        <w:t>Ratification of the CRC would reinforce America's leadership to provide assistance to children with disabilities and their families,</w:t>
      </w:r>
      <w:r w:rsidRPr="007247BF">
        <w:rPr>
          <w:sz w:val="14"/>
        </w:rPr>
        <w:t xml:space="preserve"> and </w:t>
      </w:r>
      <w:r w:rsidRPr="007247BF">
        <w:rPr>
          <w:u w:val="single"/>
        </w:rPr>
        <w:t>strengthen our ability to partner with UNICEF</w:t>
      </w:r>
      <w:r w:rsidRPr="007247BF">
        <w:rPr>
          <w:sz w:val="14"/>
        </w:rPr>
        <w:t xml:space="preserve"> and </w:t>
      </w:r>
      <w:r w:rsidRPr="007247BF">
        <w:rPr>
          <w:u w:val="single"/>
        </w:rPr>
        <w:t>other organizations to help governments respond to the needs of children and families.</w:t>
      </w:r>
      <w:r w:rsidRPr="007247BF">
        <w:rPr>
          <w:sz w:val="14"/>
        </w:rPr>
        <w:t xml:space="preserve"> As Cynthia Price Cohen, a primary drafter of the CRC noted with regard to participation in the CRC,</w:t>
      </w:r>
      <w:r w:rsidRPr="007247BF">
        <w:rPr>
          <w:u w:val="single"/>
        </w:rPr>
        <w:t xml:space="preserve"> the legitimacy of U.S. human rights foreign policy vis a vis other [*42] States is compromised by its non-ratification, especially insofar as the United States' routinely</w:t>
      </w:r>
      <w:r w:rsidRPr="007247BF">
        <w:rPr>
          <w:sz w:val="14"/>
        </w:rPr>
        <w:t xml:space="preserve">, by Congressional mandate, </w:t>
      </w:r>
      <w:r w:rsidRPr="007247BF">
        <w:rPr>
          <w:u w:val="single"/>
        </w:rPr>
        <w:t>reports on the shortcomings of States Parties regarding child rights (and disability rights) in its annual survey of human rights abuses</w:t>
      </w:r>
      <w:r w:rsidRPr="007247BF">
        <w:rPr>
          <w:sz w:val="14"/>
        </w:rPr>
        <w:t xml:space="preserve">. n144 Finally, </w:t>
      </w:r>
      <w:r w:rsidRPr="007247BF">
        <w:rPr>
          <w:u w:val="single"/>
        </w:rPr>
        <w:t>work on protection for the rights of children with disabilities</w:t>
      </w:r>
      <w:r w:rsidRPr="007247BF">
        <w:rPr>
          <w:sz w:val="14"/>
        </w:rPr>
        <w:t xml:space="preserve"> in the United States,</w:t>
      </w:r>
      <w:r w:rsidRPr="007247BF">
        <w:rPr>
          <w:rStyle w:val="StyleUnderline"/>
        </w:rPr>
        <w:t xml:space="preserve"> if not exactly transferable, do</w:t>
      </w:r>
      <w:r w:rsidRPr="007247BF">
        <w:rPr>
          <w:u w:val="single"/>
        </w:rPr>
        <w:t>es serve as a model that could be adapted in other settings, as countries come into alignment with child rights consistent with international standards.</w:t>
      </w:r>
      <w:r w:rsidRPr="007247BF">
        <w:rPr>
          <w:sz w:val="14"/>
        </w:rPr>
        <w:t xml:space="preserve"> The global human rights framework has, in large measure, expanded its protection to include children with disabilities through the adoption of the CRC and, more significantly, the CRPD. The placement of children with disabilities on the human rights agenda is starting to achieve positive returns in law and policy reform and in campaigns to end institutionalization, advance inclusive, quality education, and break down stigma and stereotyping that so often leads to isolation, exclusion and human rights violations against children with disabilities. Treaty obligations are prompting child-focused, disability inclusive advocacy practices on the part of non-governmental organizations engaged in human rights fact-finding and those working on inclusive development. Yet much more remains to be done to bring into operation the progressive standards for children and adults set out in the CRPD. n145</w:t>
      </w:r>
      <w:r w:rsidRPr="007247BF">
        <w:rPr>
          <w:rStyle w:val="StyleUnderline"/>
        </w:rPr>
        <w:t xml:space="preserve"> While prospects for ratification of the CRC and CRPD in the short term by the United States appear highly unlikely, American human rights foreign [*43] policy</w:t>
      </w:r>
      <w:r w:rsidRPr="007247BF">
        <w:rPr>
          <w:u w:val="single"/>
        </w:rPr>
        <w:t xml:space="preserve"> can advance the principles of American disability rights law and the spirit of both treaties. It can do so by providing adequate accommodations</w:t>
      </w:r>
      <w:r w:rsidRPr="007247BF">
        <w:rPr>
          <w:sz w:val="14"/>
        </w:rPr>
        <w:t xml:space="preserve"> </w:t>
      </w:r>
      <w:r w:rsidRPr="007247BF">
        <w:rPr>
          <w:u w:val="single"/>
        </w:rPr>
        <w:t>to children and adults with disabilities detained for any reason at our borders, fast-tracking vetting processes for immigrants seeking urgent medical or rehabilitation care for children with disabilities, participating fully in international campaigns to end institutionalization of children with disabilities, and ending the funding of orphanages and segregated homes for children with disabilities abroad</w:t>
      </w:r>
      <w:r w:rsidRPr="007247BF">
        <w:rPr>
          <w:sz w:val="14"/>
        </w:rPr>
        <w:t>. Further, t</w:t>
      </w:r>
      <w:r w:rsidRPr="007247BF">
        <w:rPr>
          <w:u w:val="single"/>
        </w:rPr>
        <w:t>he United States can encourage, through leadership in international criminal investigations into North Korea and other oppressive regimes, the inclusion of children and adults with disabilities in documentation and reporting of abuses.</w:t>
      </w:r>
      <w:r>
        <w:rPr>
          <w:u w:val="single"/>
        </w:rPr>
        <w:t xml:space="preserve">  </w:t>
      </w:r>
    </w:p>
    <w:p w:rsidR="00824C31" w:rsidRPr="00994B19" w:rsidRDefault="00824C31" w:rsidP="00824C31">
      <w:pPr>
        <w:pStyle w:val="Heading4"/>
      </w:pPr>
      <w:r w:rsidRPr="00994B19">
        <w:t>Criminal investigations and sanctions are key to breaking up North Korea’s murderous regime</w:t>
      </w:r>
    </w:p>
    <w:p w:rsidR="00824C31" w:rsidRPr="00994B19" w:rsidRDefault="00824C31" w:rsidP="00824C31">
      <w:r w:rsidRPr="00994B19">
        <w:rPr>
          <w:rFonts w:eastAsiaTheme="majorEastAsia" w:cstheme="majorBidi"/>
          <w:b/>
          <w:iCs/>
          <w:sz w:val="26"/>
        </w:rPr>
        <w:t xml:space="preserve">Ramos-Horta et al. 17 </w:t>
      </w:r>
      <w:r w:rsidRPr="00994B19">
        <w:t xml:space="preserve">[Jose Ramos-Horta-  Nobel Peace Prize Laureate and former President of Timor-Leste, Benedict Rogers -  writer and human rights activist working for Christian Solidarity Worldwide, is a co-founder of the International Coalition to Stop Crimes against Humanity in North Korea. Lord Alton of Liverpool is an independent cross-bench member of the House of Lords., “Sanction the North Korean Regime”, 06/29/17, Huffington Post, </w:t>
      </w:r>
      <w:hyperlink r:id="rId9" w:history="1">
        <w:r w:rsidRPr="00994B19">
          <w:rPr>
            <w:rStyle w:val="Hyperlink"/>
          </w:rPr>
          <w:t>http://www.huffingtonpost.com/entry/sanction-the-north-korean-regime_us_595565a8e4b0f078efd98856</w:t>
        </w:r>
      </w:hyperlink>
      <w:r w:rsidRPr="00994B19">
        <w:t>]</w:t>
      </w:r>
    </w:p>
    <w:p w:rsidR="00824C31" w:rsidRDefault="00824C31" w:rsidP="00824C31">
      <w:pPr>
        <w:rPr>
          <w:b/>
          <w:u w:val="single"/>
        </w:rPr>
      </w:pPr>
      <w:r w:rsidRPr="00CE30DC">
        <w:rPr>
          <w:u w:val="single"/>
        </w:rPr>
        <w:t xml:space="preserve">The student Otto </w:t>
      </w:r>
      <w:proofErr w:type="spellStart"/>
      <w:r w:rsidRPr="00CE30DC">
        <w:rPr>
          <w:u w:val="single"/>
        </w:rPr>
        <w:t>Warmbier</w:t>
      </w:r>
      <w:proofErr w:type="spellEnd"/>
      <w:r w:rsidRPr="00CE30DC">
        <w:rPr>
          <w:u w:val="single"/>
        </w:rPr>
        <w:t xml:space="preserve"> visited North Korea on an entirely legal visa arranged by a Beijing-based Chinese Travel Agency.</w:t>
      </w:r>
      <w:r w:rsidRPr="00577418">
        <w:rPr>
          <w:sz w:val="16"/>
        </w:rPr>
        <w:t xml:space="preserve"> On departure he </w:t>
      </w:r>
      <w:r w:rsidRPr="00CE30DC">
        <w:rPr>
          <w:u w:val="single"/>
        </w:rPr>
        <w:t>was detained, tried, and sentenced to fifteen years in prison for “stealing” a political poster.</w:t>
      </w:r>
      <w:r w:rsidRPr="00577418">
        <w:rPr>
          <w:sz w:val="16"/>
        </w:rPr>
        <w:t xml:space="preserve"> Otto </w:t>
      </w:r>
      <w:proofErr w:type="spellStart"/>
      <w:r w:rsidRPr="00577418">
        <w:rPr>
          <w:sz w:val="16"/>
        </w:rPr>
        <w:t>Warmbier</w:t>
      </w:r>
      <w:proofErr w:type="spellEnd"/>
      <w:r w:rsidRPr="00577418">
        <w:rPr>
          <w:sz w:val="16"/>
        </w:rPr>
        <w:t xml:space="preserve"> </w:t>
      </w:r>
      <w:r w:rsidRPr="00CE30DC">
        <w:rPr>
          <w:u w:val="single"/>
        </w:rPr>
        <w:t>was not seen again.</w:t>
      </w:r>
      <w:r w:rsidRPr="00577418">
        <w:rPr>
          <w:sz w:val="16"/>
        </w:rPr>
        <w:t xml:space="preserve"> He was </w:t>
      </w:r>
      <w:r w:rsidRPr="00CE30DC">
        <w:rPr>
          <w:u w:val="single"/>
        </w:rPr>
        <w:t xml:space="preserve">released last week in a comatose condition, and died in hospital in his home town. </w:t>
      </w:r>
      <w:r w:rsidRPr="00577418">
        <w:rPr>
          <w:sz w:val="16"/>
        </w:rPr>
        <w:t xml:space="preserve">His tragic death </w:t>
      </w:r>
      <w:r w:rsidRPr="00CE30DC">
        <w:rPr>
          <w:b/>
          <w:u w:val="single"/>
        </w:rPr>
        <w:t>symbolizes North Korea’s crimes against humanity and epitomizes why this brutal regime must be removed.</w:t>
      </w:r>
      <w:r w:rsidRPr="00577418">
        <w:rPr>
          <w:sz w:val="16"/>
        </w:rPr>
        <w:t xml:space="preserve"> While the full truth is yet to be established, the </w:t>
      </w:r>
      <w:r w:rsidRPr="00CE30DC">
        <w:rPr>
          <w:u w:val="single"/>
        </w:rPr>
        <w:t>thugs that run the North Korean prison camps must have inflicted such appallingly brutal physical and mental abuse on</w:t>
      </w:r>
      <w:r w:rsidRPr="00577418">
        <w:rPr>
          <w:sz w:val="16"/>
        </w:rPr>
        <w:t xml:space="preserve"> Otto </w:t>
      </w:r>
      <w:proofErr w:type="spellStart"/>
      <w:r w:rsidRPr="00CE30DC">
        <w:rPr>
          <w:u w:val="single"/>
        </w:rPr>
        <w:t>Warmbier</w:t>
      </w:r>
      <w:proofErr w:type="spellEnd"/>
      <w:r w:rsidRPr="00CE30DC">
        <w:rPr>
          <w:u w:val="single"/>
        </w:rPr>
        <w:t>, for him to have fallen into a coma</w:t>
      </w:r>
      <w:r w:rsidRPr="00577418">
        <w:rPr>
          <w:sz w:val="16"/>
        </w:rPr>
        <w:t xml:space="preserve"> for a year. The N</w:t>
      </w:r>
      <w:r w:rsidRPr="00CE30DC">
        <w:rPr>
          <w:b/>
          <w:u w:val="single"/>
        </w:rPr>
        <w:t>orth Korean regime is the most despicable on the face of the earth, one that must be confronted with every diplomatic, financial and commercial sanction tool available</w:t>
      </w:r>
      <w:r w:rsidRPr="00577418">
        <w:rPr>
          <w:sz w:val="16"/>
        </w:rPr>
        <w:t xml:space="preserve">. It is a regime that has </w:t>
      </w:r>
      <w:r w:rsidRPr="00CE30DC">
        <w:rPr>
          <w:u w:val="single"/>
        </w:rPr>
        <w:t xml:space="preserve">incarcerated between 100,000 and 200,000 political prisoners, subjected them to slave </w:t>
      </w:r>
      <w:proofErr w:type="spellStart"/>
      <w:r w:rsidRPr="00CE30DC">
        <w:rPr>
          <w:u w:val="single"/>
        </w:rPr>
        <w:t>labour</w:t>
      </w:r>
      <w:proofErr w:type="spellEnd"/>
      <w:r w:rsidRPr="00CE30DC">
        <w:rPr>
          <w:u w:val="single"/>
        </w:rPr>
        <w:t>, inflicted the worst forms of torture, denied them medical care and consigned innocents to horrific conditions in the prison camps.</w:t>
      </w:r>
      <w:r w:rsidRPr="00577418">
        <w:rPr>
          <w:sz w:val="16"/>
        </w:rPr>
        <w:t xml:space="preserve"> Hundreds of testimonies of escapees tell of prisoners forced to scavenge for rats and snakes because prison rations are so poor. Four years ago </w:t>
      </w:r>
      <w:r w:rsidRPr="00CE30DC">
        <w:rPr>
          <w:u w:val="single"/>
        </w:rPr>
        <w:t>the U</w:t>
      </w:r>
      <w:r w:rsidRPr="00577418">
        <w:rPr>
          <w:sz w:val="16"/>
        </w:rPr>
        <w:t xml:space="preserve">nited </w:t>
      </w:r>
      <w:r w:rsidRPr="00CE30DC">
        <w:rPr>
          <w:u w:val="single"/>
        </w:rPr>
        <w:t>N</w:t>
      </w:r>
      <w:r w:rsidRPr="00577418">
        <w:rPr>
          <w:sz w:val="16"/>
        </w:rPr>
        <w:t xml:space="preserve">ations </w:t>
      </w:r>
      <w:r w:rsidRPr="00CE30DC">
        <w:rPr>
          <w:u w:val="single"/>
        </w:rPr>
        <w:t>established a commission of inquiry to investigate North Korea’s human rights record</w:t>
      </w:r>
      <w:r w:rsidRPr="00577418">
        <w:rPr>
          <w:sz w:val="16"/>
        </w:rPr>
        <w:t xml:space="preserve">. Of course the </w:t>
      </w:r>
      <w:r w:rsidRPr="00CE30DC">
        <w:rPr>
          <w:u w:val="single"/>
        </w:rPr>
        <w:t>regime refused to collaborate</w:t>
      </w:r>
      <w:r w:rsidRPr="00577418">
        <w:rPr>
          <w:sz w:val="16"/>
        </w:rPr>
        <w:t>, but the inquiry – ably chaired by world renowned Australian High Court Judge Michael Kirby – c</w:t>
      </w:r>
      <w:r w:rsidRPr="00CE30DC">
        <w:rPr>
          <w:u w:val="single"/>
        </w:rPr>
        <w:t>onducted extensive hearings and heard from hundreds of North Korean escapees and international human rights experts. The commission concluded</w:t>
      </w:r>
      <w:r w:rsidRPr="00577418">
        <w:rPr>
          <w:sz w:val="16"/>
        </w:rPr>
        <w:t>, three years ago, t</w:t>
      </w:r>
      <w:r w:rsidRPr="00CE30DC">
        <w:rPr>
          <w:u w:val="single"/>
        </w:rPr>
        <w:t>hat “the gravity, scale and nature” of the human rights violations in North Korea “reveal a State that does not have any parallel in the contemporary world”.</w:t>
      </w:r>
      <w:r w:rsidRPr="00577418">
        <w:rPr>
          <w:sz w:val="16"/>
        </w:rPr>
        <w:t xml:space="preserve"> A catalogue of crimes against humanity, including </w:t>
      </w:r>
      <w:r w:rsidRPr="00CE30DC">
        <w:rPr>
          <w:u w:val="single"/>
        </w:rPr>
        <w:t>“extermination, murder, enslavement, torture, imprisonment, rape, forced abortions”, as well as severe religious persecution, enforced disappearances, and starvation, should lead</w:t>
      </w:r>
      <w:r w:rsidRPr="00577418">
        <w:rPr>
          <w:sz w:val="16"/>
        </w:rPr>
        <w:t>, the inquiry recommended,</w:t>
      </w:r>
      <w:r w:rsidRPr="00CE30DC">
        <w:rPr>
          <w:u w:val="single"/>
        </w:rPr>
        <w:t xml:space="preserve"> to a referral to the International Criminal Court</w:t>
      </w:r>
      <w:r w:rsidRPr="00577418">
        <w:rPr>
          <w:sz w:val="16"/>
        </w:rPr>
        <w:t xml:space="preserve">. </w:t>
      </w:r>
      <w:r w:rsidRPr="00CE30DC">
        <w:rPr>
          <w:b/>
          <w:u w:val="single"/>
        </w:rPr>
        <w:t>North Korea’s human rights abuses, Justice Kirby claimed, are on a par with the Holocaust.</w:t>
      </w:r>
      <w:r w:rsidRPr="00577418">
        <w:rPr>
          <w:sz w:val="16"/>
        </w:rPr>
        <w:t xml:space="preserve"> In another separate report to the UN Human Rights Council in March 2016, before completing his term as UN Special Rapporteur on Human Rights in the DPRK, </w:t>
      </w:r>
      <w:proofErr w:type="spellStart"/>
      <w:r w:rsidRPr="00577418">
        <w:rPr>
          <w:sz w:val="16"/>
        </w:rPr>
        <w:t>Marzuki</w:t>
      </w:r>
      <w:proofErr w:type="spellEnd"/>
      <w:r w:rsidRPr="00577418">
        <w:rPr>
          <w:sz w:val="16"/>
        </w:rPr>
        <w:t xml:space="preserve"> </w:t>
      </w:r>
      <w:proofErr w:type="spellStart"/>
      <w:r w:rsidRPr="00577418">
        <w:rPr>
          <w:sz w:val="16"/>
        </w:rPr>
        <w:t>Darusman</w:t>
      </w:r>
      <w:proofErr w:type="spellEnd"/>
      <w:r w:rsidRPr="00577418">
        <w:rPr>
          <w:sz w:val="16"/>
        </w:rPr>
        <w:t xml:space="preserve"> – a former attorney-general of Indonesia – said: </w:t>
      </w:r>
      <w:r w:rsidRPr="00CE30DC">
        <w:rPr>
          <w:u w:val="single"/>
        </w:rPr>
        <w:t xml:space="preserve">“The totalitarian governing structure in North Korea absolutely denies rights to its people and its unchecked power appears as strongly entrenched as ever throughout the whole country. </w:t>
      </w:r>
      <w:r w:rsidRPr="00577418">
        <w:rPr>
          <w:sz w:val="16"/>
        </w:rPr>
        <w:t xml:space="preserve">In this extremely centralized and hierarchical ruling structure, where tight control is extended to the smallest unit of the society, the </w:t>
      </w:r>
      <w:r w:rsidRPr="00672B4E">
        <w:rPr>
          <w:u w:val="single"/>
        </w:rPr>
        <w:t>principle of command and superior responsibility should offer a plausible theory to hold the ‘Supreme Leader’ Mr. Kim Jong Un and most of the past and present senior leaders individually culpable.”</w:t>
      </w:r>
      <w:r w:rsidRPr="00577418">
        <w:rPr>
          <w:sz w:val="16"/>
        </w:rPr>
        <w:t xml:space="preserve"> The former Special Rapporteur stressed that </w:t>
      </w:r>
      <w:r w:rsidRPr="00672B4E">
        <w:rPr>
          <w:b/>
          <w:u w:val="single"/>
        </w:rPr>
        <w:t>the international community must ensure that accountability for crimes against humanity must be part of any peace plan for the Korean peninsula</w:t>
      </w:r>
      <w:r w:rsidRPr="00577418">
        <w:rPr>
          <w:sz w:val="16"/>
        </w:rPr>
        <w:t xml:space="preserve">. “As the term implies, </w:t>
      </w:r>
      <w:r w:rsidRPr="00672B4E">
        <w:rPr>
          <w:u w:val="single"/>
        </w:rPr>
        <w:t>crimes against humanity are a concern for all of humanity. Ensuring accountability for such crimes justly requires the international community to play a role,</w:t>
      </w:r>
      <w:r w:rsidRPr="00577418">
        <w:rPr>
          <w:sz w:val="16"/>
        </w:rPr>
        <w:t xml:space="preserve">” he said. Predictably the UN has failed to act on the findings of the two landmark reports, beyond pathetically establishing a regional field office to continue research, a typical feeble diversionary tactic just to pretend it is doing something. The North Korean regime must be referred to the International Criminal Court, period. </w:t>
      </w:r>
      <w:r w:rsidRPr="00672B4E">
        <w:rPr>
          <w:u w:val="single"/>
        </w:rPr>
        <w:t>Crimes against humanity on the scale perpetrated in North Korea cannot continue with impunity.</w:t>
      </w:r>
      <w:r w:rsidRPr="00577418">
        <w:rPr>
          <w:sz w:val="16"/>
        </w:rPr>
        <w:t xml:space="preserve"> Such is the regime’s arrogance and audacity that it has rebuked China - its only diplomatic and economic lifeboat - when Beijing made rare public criticism of the regime’s latest missile tests. Another Asian country, Malaysia, had a taste of the North Korean regime’s propensity for disregarding basic international norms of behavior when it orchestrated the assassination of the ruling dictator Kim Jong-Un’s brother Kim Jong-Nam in Kuala Lumpur airport earlier this year. The time has come for the international community to say </w:t>
      </w:r>
      <w:r w:rsidRPr="00683913">
        <w:rPr>
          <w:u w:val="single"/>
        </w:rPr>
        <w:t>enough is enough</w:t>
      </w:r>
      <w:r w:rsidRPr="00577418">
        <w:rPr>
          <w:sz w:val="16"/>
        </w:rPr>
        <w:t>. There is a debate to be had about the mix of engagement and pressure required.</w:t>
      </w:r>
      <w:r w:rsidRPr="00683913">
        <w:rPr>
          <w:u w:val="single"/>
        </w:rPr>
        <w:t xml:space="preserve"> Justice needs to be combined with interaction, as far as possible. A state as isolated as North Korea cannot be kept isolated – it must be prized open</w:t>
      </w:r>
      <w:r w:rsidRPr="00577418">
        <w:rPr>
          <w:sz w:val="16"/>
        </w:rPr>
        <w:t>. That can be done by breaking the information blockade in various ways: by increasing smuggling of USB sticks and DVDs across the border, providing North Koreans a glimpse of the outside world, and through increasing radio broadcasts. The BBC’s recent decision to launch a Korean radio broadcast is especially welcome. F</w:t>
      </w:r>
      <w:r w:rsidRPr="00683913">
        <w:rPr>
          <w:u w:val="single"/>
        </w:rPr>
        <w:t>oreign embassies stationed in Pyongyang should be incentivized to downgrade their presence in the country to the bare minimum – or simply close down. While dialogue is always important where possible, there has to be a red line</w:t>
      </w:r>
      <w:r w:rsidRPr="00577418">
        <w:rPr>
          <w:sz w:val="16"/>
        </w:rPr>
        <w:t xml:space="preserve">. Would a dialogue with Adolf Hitler have prevented the Holocaust? If the UN Security Council does not pass a binding resolution on total and comprehensive sanctions on North Korea, </w:t>
      </w:r>
      <w:r w:rsidRPr="00683913">
        <w:rPr>
          <w:u w:val="single"/>
        </w:rPr>
        <w:t xml:space="preserve">the United States, European Union and other </w:t>
      </w:r>
      <w:proofErr w:type="spellStart"/>
      <w:r w:rsidRPr="00683913">
        <w:rPr>
          <w:u w:val="single"/>
        </w:rPr>
        <w:t>like minded</w:t>
      </w:r>
      <w:proofErr w:type="spellEnd"/>
      <w:r w:rsidRPr="00683913">
        <w:rPr>
          <w:u w:val="single"/>
        </w:rPr>
        <w:t xml:space="preserve"> countries should impose such sanctions</w:t>
      </w:r>
      <w:r w:rsidRPr="00577418">
        <w:rPr>
          <w:sz w:val="16"/>
        </w:rPr>
        <w:t xml:space="preserve">. Regardless of the obligations arising from the New York-United Nations Convention, the City of New York </w:t>
      </w:r>
      <w:r w:rsidRPr="00683913">
        <w:rPr>
          <w:u w:val="single"/>
        </w:rPr>
        <w:t>should declare North Korean diplomats “persona non grata” and invite them to leave the city. Water, electricity and all other services provided by the city to the North Korean diplomatic mission must be discontinued.</w:t>
      </w:r>
      <w:r w:rsidRPr="00577418">
        <w:rPr>
          <w:sz w:val="16"/>
        </w:rPr>
        <w:t xml:space="preserve"> Properties of the North Korean regime </w:t>
      </w:r>
      <w:r w:rsidRPr="00405A8D">
        <w:rPr>
          <w:u w:val="single"/>
        </w:rPr>
        <w:t xml:space="preserve">should be put under city control subject to final determination as to their use. The judiciary in the US, EU, Japan, South Korea and in any other like-minded countries should issue arrest warrants for any North Korean regime official. </w:t>
      </w:r>
      <w:r w:rsidRPr="00577418">
        <w:rPr>
          <w:sz w:val="16"/>
        </w:rPr>
        <w:t>Henceforth any representative of the North Korean regime traveling should be detained and tried for complicity in crimes against humanity.</w:t>
      </w:r>
      <w:r w:rsidRPr="00405A8D">
        <w:rPr>
          <w:u w:val="single"/>
        </w:rPr>
        <w:t xml:space="preserve"> North Korea deserves complete, comprehensive sanctions. Furthermore, just as we sanction those who support terrorism,</w:t>
      </w:r>
      <w:r w:rsidRPr="00577418">
        <w:rPr>
          <w:sz w:val="16"/>
        </w:rPr>
        <w:t xml:space="preserve"> we should sanction North Korea’s backers. </w:t>
      </w:r>
      <w:r w:rsidRPr="00405A8D">
        <w:rPr>
          <w:b/>
          <w:u w:val="single"/>
        </w:rPr>
        <w:t xml:space="preserve">It is time to drive this brutal regime, and its backers, out. </w:t>
      </w:r>
      <w:r>
        <w:rPr>
          <w:b/>
          <w:u w:val="single"/>
        </w:rPr>
        <w:t xml:space="preserve"> </w:t>
      </w:r>
    </w:p>
    <w:p w:rsidR="00824C31" w:rsidRDefault="00824C31" w:rsidP="00824C31"/>
    <w:p w:rsidR="00824C31" w:rsidRDefault="00824C31" w:rsidP="00824C31">
      <w:pPr>
        <w:pStyle w:val="Heading4"/>
      </w:pPr>
      <w:r>
        <w:t>Now is key – tensions with North Korea over Trump and human rights will lead to conflict &amp; a proxy war</w:t>
      </w:r>
    </w:p>
    <w:p w:rsidR="00824C31" w:rsidRPr="00186BD2" w:rsidRDefault="00824C31" w:rsidP="00824C31">
      <w:r w:rsidRPr="00483A85">
        <w:rPr>
          <w:rFonts w:eastAsiaTheme="majorEastAsia" w:cstheme="majorBidi"/>
          <w:b/>
          <w:iCs/>
          <w:sz w:val="26"/>
        </w:rPr>
        <w:t>O’Connor 6/29/17</w:t>
      </w:r>
      <w:r>
        <w:t xml:space="preserve"> [ Tom O’Connor - Defense and International Conflicts Reporter at Newsweek, formerly International Business Times, New York Post, The Daily Star (Lebanon) and Staten Island Advance., “NORTH KOREA WARNS OF WAR WITH U.S. AND ‘PUPPET’ SOUTH AS TRUMP MEETS WITH KOREAN LEADER”, 6/29/17, Newsweek, </w:t>
      </w:r>
      <w:r w:rsidRPr="00186BD2">
        <w:t>http://www.newsweek.com/north-korea-warns-war-us-puppet-south-trump-meets-leader-630184</w:t>
      </w:r>
      <w:r>
        <w:t>]</w:t>
      </w:r>
    </w:p>
    <w:p w:rsidR="00824C31" w:rsidRPr="00577418" w:rsidRDefault="00824C31" w:rsidP="00824C31">
      <w:pPr>
        <w:rPr>
          <w:b/>
          <w:u w:val="single"/>
        </w:rPr>
      </w:pPr>
      <w:r w:rsidRPr="00405A8D">
        <w:rPr>
          <w:b/>
          <w:u w:val="single"/>
        </w:rPr>
        <w:t>North Korea has warned of dire, destructive consequences to the increased collaboration between its southern rival and the U.S.</w:t>
      </w:r>
      <w:r w:rsidRPr="00577418">
        <w:rPr>
          <w:sz w:val="16"/>
        </w:rPr>
        <w:t>, which received South Korea’s recently elected leader Thursday in hopes of aligning the two nation’s efforts to dismantle Pyongyang’s nuclear weapons and missile program. North Korea’s state-run Korean Central News Agency (</w:t>
      </w:r>
      <w:r w:rsidRPr="005B11B6">
        <w:rPr>
          <w:u w:val="single"/>
        </w:rPr>
        <w:t>KCNA</w:t>
      </w:r>
      <w:r w:rsidRPr="00577418">
        <w:rPr>
          <w:sz w:val="16"/>
        </w:rPr>
        <w:t xml:space="preserve">), a daily outlet for the views of North Korean leader Kim Jong </w:t>
      </w:r>
      <w:proofErr w:type="spellStart"/>
      <w:r w:rsidRPr="00577418">
        <w:rPr>
          <w:sz w:val="16"/>
        </w:rPr>
        <w:t>Un’s</w:t>
      </w:r>
      <w:proofErr w:type="spellEnd"/>
      <w:r w:rsidRPr="00577418">
        <w:rPr>
          <w:sz w:val="16"/>
        </w:rPr>
        <w:t xml:space="preserve"> government, cited Thursday a spokesperson for Pyongyang’s National Peace Committee of Korea</w:t>
      </w:r>
      <w:r w:rsidRPr="005B11B6">
        <w:rPr>
          <w:u w:val="single"/>
        </w:rPr>
        <w:t xml:space="preserve"> in criticizing “South Korean puppet military warmongers” who he said were provoking their northern neighbor’s armed forces with a series of recent military drills conducted alongside U.S. President Donald Trump.</w:t>
      </w:r>
      <w:r w:rsidRPr="00577418">
        <w:rPr>
          <w:sz w:val="16"/>
        </w:rPr>
        <w:t xml:space="preserve"> The U.S. has sent two carrier strike groups and bolstered military assets in the region </w:t>
      </w:r>
      <w:r w:rsidRPr="005B11B6">
        <w:rPr>
          <w:u w:val="single"/>
        </w:rPr>
        <w:t>in order to increase military and political pressure on Kim to abandon his nuclear ambitions.</w:t>
      </w:r>
      <w:r w:rsidRPr="00577418">
        <w:rPr>
          <w:sz w:val="16"/>
        </w:rPr>
        <w:t xml:space="preserve"> In another KCNA piece, </w:t>
      </w:r>
      <w:r w:rsidRPr="005B11B6">
        <w:rPr>
          <w:u w:val="single"/>
        </w:rPr>
        <w:t>the agency blasted the U.S.–South Korea exercises as well as what it considered inflammatory remarks by South Korean President Moon Jae-in.</w:t>
      </w:r>
      <w:r w:rsidRPr="00577418">
        <w:rPr>
          <w:sz w:val="16"/>
        </w:rPr>
        <w:t xml:space="preserve"> “This is just a risky and reckless military move driving the already acute situation on the Korean peninsula to the brink of a nuclear war, and a blatant challenge to all Koreans and other peace-loving peoples in the world aspiring after peace and security on the peninsula” the article read, later attacking U.S. military moves in the region. “</w:t>
      </w:r>
      <w:r w:rsidRPr="005B11B6">
        <w:rPr>
          <w:u w:val="single"/>
        </w:rPr>
        <w:t>The Trump administration should not run riot, thinking twice about the catastrophic consequences to be entailed by its foolhardy military moves. It should properly understand the spirit and will of the Korean army and people to annihilate the enemy and finally conclude the standoff with the U.S.,” KCNA concluded.</w:t>
      </w:r>
      <w:r w:rsidRPr="00577418">
        <w:rPr>
          <w:sz w:val="16"/>
        </w:rPr>
        <w:t xml:space="preserve"> </w:t>
      </w:r>
      <w:r w:rsidRPr="00B70D6D">
        <w:rPr>
          <w:b/>
          <w:u w:val="single"/>
        </w:rPr>
        <w:t>Residents of Pyongyang take part in a mass rally marking the start of the Korean War, a date commemorated as the Day of Struggle Against U.S. Imperialism,</w:t>
      </w:r>
      <w:r w:rsidRPr="00577418">
        <w:rPr>
          <w:sz w:val="16"/>
        </w:rPr>
        <w:t xml:space="preserve"> in Kim Il-Sung Square in Pyongyang, June 25. President Donald Trump met with his South Korean counterpart, President Moon Jae-in, in an effort to escalate his campaign to isolate North Korea internationally over its nuclear weapons program, which it argues is necessary to defend against foreign invasion. </w:t>
      </w:r>
      <w:r w:rsidRPr="00B70D6D">
        <w:rPr>
          <w:u w:val="single"/>
        </w:rPr>
        <w:t>North Korea regularly asserts its right to possess nuclear weapons and develop intercontinental ballistic missiles (ICBM), arguing that these military assets are necessary to prevent foreign powers like the U.S. from invading and overthrowing Kim’s administration.</w:t>
      </w:r>
      <w:r w:rsidRPr="00577418">
        <w:rPr>
          <w:sz w:val="16"/>
        </w:rPr>
        <w:t xml:space="preserve"> The militarized state’s pursuit of these technologies, however, has led the U.S. and </w:t>
      </w:r>
      <w:r w:rsidRPr="00B70D6D">
        <w:rPr>
          <w:b/>
          <w:u w:val="single"/>
        </w:rPr>
        <w:t>even sympathetic nations such as China and Russia to support U.N. Security Council sanctions against North Korea. The U.S. has taken its threats a step farther and has publicly considered taking military action to prevent its longtime Asian foe from conducting a sixth nuclear weapons test.</w:t>
      </w:r>
      <w:r w:rsidRPr="00577418">
        <w:rPr>
          <w:sz w:val="16"/>
        </w:rPr>
        <w:t xml:space="preserve"> Trump first approached Chinese President Xi Jinping in an attempt to convince North Korea’s greatest ally to exert its leverage and convince its neighbor to disarm its nuclear and ballistic missile program. While Trump has acknowledged China’s efforts, following the death of U.S. student Otto </w:t>
      </w:r>
      <w:proofErr w:type="spellStart"/>
      <w:r w:rsidRPr="00577418">
        <w:rPr>
          <w:sz w:val="16"/>
        </w:rPr>
        <w:t>Warmbier</w:t>
      </w:r>
      <w:proofErr w:type="spellEnd"/>
      <w:r w:rsidRPr="00577418">
        <w:rPr>
          <w:sz w:val="16"/>
        </w:rPr>
        <w:t xml:space="preserve"> shortly after his release from North Korean prison. the president said last week that “it had not worked out.” </w:t>
      </w:r>
      <w:proofErr w:type="spellStart"/>
      <w:r w:rsidRPr="00B70D6D">
        <w:rPr>
          <w:u w:val="single"/>
        </w:rPr>
        <w:t>Warmbier</w:t>
      </w:r>
      <w:proofErr w:type="spellEnd"/>
      <w:r w:rsidRPr="00B70D6D">
        <w:rPr>
          <w:u w:val="single"/>
        </w:rPr>
        <w:t xml:space="preserve"> had reportedly fallen into a coma not long after his trial and imprisonment for allegedly stealing a sign bearing a political slogan during a visit to North Korea last year and never woke up. </w:t>
      </w:r>
      <w:r w:rsidRPr="00577418">
        <w:rPr>
          <w:sz w:val="16"/>
        </w:rPr>
        <w:t xml:space="preserve">A senior White House official said Wednesday that </w:t>
      </w:r>
      <w:r w:rsidRPr="00B70D6D">
        <w:rPr>
          <w:u w:val="single"/>
        </w:rPr>
        <w:t xml:space="preserve">China had “had fallen far short of expectations” in dealing with North Korea. </w:t>
      </w:r>
      <w:r w:rsidRPr="00577418">
        <w:rPr>
          <w:sz w:val="16"/>
        </w:rPr>
        <w:t xml:space="preserve"> While North Korea is not t</w:t>
      </w:r>
      <w:r w:rsidRPr="00B70D6D">
        <w:rPr>
          <w:u w:val="single"/>
        </w:rPr>
        <w:t xml:space="preserve">hought to possess any operating missiles capable of hitting the U.S., a number of other nations in the region are within its range. </w:t>
      </w:r>
      <w:r w:rsidRPr="00577418">
        <w:rPr>
          <w:sz w:val="16"/>
        </w:rPr>
        <w:t xml:space="preserve">In the U.S.’s latest attempt to turn up the heat on North Korea, </w:t>
      </w:r>
      <w:r w:rsidRPr="00B70D6D">
        <w:rPr>
          <w:u w:val="single"/>
        </w:rPr>
        <w:t>Trump was scheduled to meet with Moon for the first time Thursday.</w:t>
      </w:r>
      <w:r w:rsidRPr="00577418">
        <w:rPr>
          <w:sz w:val="16"/>
        </w:rPr>
        <w:t xml:space="preserve"> Moon, who was elected last month after his predecessor was arrested in a corruption scandal, distanced himself from the conservative views of the former South Korean administration, but </w:t>
      </w:r>
      <w:r w:rsidRPr="00577418">
        <w:rPr>
          <w:b/>
          <w:u w:val="single"/>
        </w:rPr>
        <w:t>he has recently embraced a more militant stance toward North Korea, with which his country has technically remained at war since the 1950s</w:t>
      </w:r>
      <w:r w:rsidRPr="00577418">
        <w:rPr>
          <w:sz w:val="16"/>
        </w:rPr>
        <w:t xml:space="preserve">. While Moon has pushed back on certain measures regarding the installation of the U.S.’s Terminal High Altitude Area Defense (THAAD) anti-missile system in his country, which was expedited before he took office, </w:t>
      </w:r>
      <w:r w:rsidRPr="00577418">
        <w:rPr>
          <w:b/>
          <w:u w:val="single"/>
        </w:rPr>
        <w:t xml:space="preserve">Moon said only days into his administration that there was a “high possibility” of conflict with North Korea. </w:t>
      </w:r>
      <w:r w:rsidRPr="00577418">
        <w:rPr>
          <w:sz w:val="16"/>
        </w:rPr>
        <w:t>While N</w:t>
      </w:r>
      <w:r w:rsidRPr="00577418">
        <w:rPr>
          <w:u w:val="single"/>
        </w:rPr>
        <w:t xml:space="preserve">orth Korea is not yet believed to have the capacity to produce an ICBM, much less fit it with a nuclear warhead, </w:t>
      </w:r>
      <w:r w:rsidRPr="00577418">
        <w:rPr>
          <w:b/>
          <w:u w:val="single"/>
        </w:rPr>
        <w:t>analysts have said that the country could begin testing such projectiles as soon as the end of this year</w:t>
      </w:r>
      <w:r w:rsidRPr="00577418">
        <w:rPr>
          <w:u w:val="single"/>
        </w:rPr>
        <w:t>.</w:t>
      </w:r>
      <w:r w:rsidRPr="00577418">
        <w:rPr>
          <w:sz w:val="16"/>
        </w:rPr>
        <w:t xml:space="preserve"> North Korea is </w:t>
      </w:r>
      <w:r w:rsidRPr="00577418">
        <w:rPr>
          <w:b/>
          <w:u w:val="single"/>
        </w:rPr>
        <w:t>estimated to possess up to 20 nuclear weapons and an extensive arsenal of ballistic missiles, all capable of striking nearby countries.</w:t>
      </w:r>
    </w:p>
    <w:p w:rsidR="00824C31" w:rsidRDefault="00824C31" w:rsidP="00824C31">
      <w:pPr>
        <w:pStyle w:val="Heading4"/>
      </w:pPr>
      <w:r>
        <w:t xml:space="preserve">A nuclear war on the peninsula would kill millions, involve massive amounts of fallout, and risk escalation </w:t>
      </w:r>
    </w:p>
    <w:p w:rsidR="00824C31" w:rsidRDefault="00824C31" w:rsidP="00824C31">
      <w:r w:rsidRPr="006D4A8E">
        <w:rPr>
          <w:rStyle w:val="Style13ptBold"/>
        </w:rPr>
        <w:t>Mount 2015</w:t>
      </w:r>
      <w:r>
        <w:t xml:space="preserve"> - Stanton Nuclear Security Fellow at the Council on Foreign Relation</w:t>
      </w:r>
      <w:r>
        <w:br/>
        <w:t xml:space="preserve">Adam, </w:t>
      </w:r>
      <w:r w:rsidR="009C27B6">
        <w:t>“</w:t>
      </w:r>
      <w:r>
        <w:t>The Strategic Logic of Nuclear Restraint,</w:t>
      </w:r>
      <w:r w:rsidR="009C27B6">
        <w:t>”</w:t>
      </w:r>
      <w:r>
        <w:t xml:space="preserve"> Survival: Global Politics and Strategy Volume 57, Issue 4, 2015, p. 53-76</w:t>
      </w:r>
    </w:p>
    <w:p w:rsidR="00824C31" w:rsidRPr="006D4A8E" w:rsidRDefault="00824C31" w:rsidP="00824C31">
      <w:pPr>
        <w:rPr>
          <w:sz w:val="16"/>
        </w:rPr>
      </w:pPr>
      <w:r w:rsidRPr="006D4A8E">
        <w:rPr>
          <w:sz w:val="16"/>
        </w:rPr>
        <w:t xml:space="preserve">As things stand today, </w:t>
      </w:r>
      <w:r w:rsidRPr="006D4A8E">
        <w:rPr>
          <w:rStyle w:val="StyleUnderline"/>
        </w:rPr>
        <w:t>the most plausible scenario for US nuclear use is in a contingency on the Korean Peninsula</w:t>
      </w:r>
      <w:r w:rsidRPr="006D4A8E">
        <w:rPr>
          <w:sz w:val="16"/>
        </w:rPr>
        <w:t xml:space="preserve">. Though North Korea's nuclear </w:t>
      </w:r>
      <w:proofErr w:type="spellStart"/>
      <w:r w:rsidRPr="006D4A8E">
        <w:rPr>
          <w:sz w:val="16"/>
        </w:rPr>
        <w:t>programme</w:t>
      </w:r>
      <w:proofErr w:type="spellEnd"/>
      <w:r w:rsidRPr="006D4A8E">
        <w:rPr>
          <w:sz w:val="16"/>
        </w:rPr>
        <w:t xml:space="preserve"> is still primitive, steady effort over the last decades has yielded an appreciable nuclear capability. Public estimates suggest that the </w:t>
      </w:r>
      <w:proofErr w:type="spellStart"/>
      <w:r w:rsidRPr="006D4A8E">
        <w:rPr>
          <w:sz w:val="16"/>
        </w:rPr>
        <w:t>programme</w:t>
      </w:r>
      <w:proofErr w:type="spellEnd"/>
      <w:r w:rsidRPr="006D4A8E">
        <w:rPr>
          <w:sz w:val="16"/>
        </w:rPr>
        <w:t xml:space="preserve"> has accelerated since 2009: the regime now possesses the full nuclear fuel cycle, a nuclear arsenal comprising as many as 20 warheads, a rudimentary capability to produce warheads small enough to fit atop the country's sizeable ballistic-missile force, and even an effort to develop submarine-launched missiles.27 In the last few years, the military situation on the Korean Peninsula has looked relatively stable. However</w:t>
      </w:r>
      <w:r w:rsidRPr="006D4A8E">
        <w:rPr>
          <w:rStyle w:val="StyleUnderline"/>
        </w:rPr>
        <w:t>, both sides of the</w:t>
      </w:r>
      <w:r w:rsidRPr="006D4A8E">
        <w:rPr>
          <w:sz w:val="16"/>
        </w:rPr>
        <w:t xml:space="preserve"> </w:t>
      </w:r>
      <w:proofErr w:type="spellStart"/>
      <w:r w:rsidRPr="006D4A8E">
        <w:rPr>
          <w:sz w:val="16"/>
        </w:rPr>
        <w:t>demilitarised</w:t>
      </w:r>
      <w:proofErr w:type="spellEnd"/>
      <w:r w:rsidRPr="006D4A8E">
        <w:rPr>
          <w:sz w:val="16"/>
        </w:rPr>
        <w:t xml:space="preserve"> zone (</w:t>
      </w:r>
      <w:r w:rsidRPr="006D4A8E">
        <w:rPr>
          <w:rStyle w:val="StyleUnderline"/>
        </w:rPr>
        <w:t xml:space="preserve">DMZ) remain on high alert. North Korea has retained its predilection for </w:t>
      </w:r>
      <w:proofErr w:type="spellStart"/>
      <w:r w:rsidRPr="006D4A8E">
        <w:rPr>
          <w:rStyle w:val="StyleUnderline"/>
        </w:rPr>
        <w:t>destabilising</w:t>
      </w:r>
      <w:proofErr w:type="spellEnd"/>
      <w:r w:rsidRPr="006D4A8E">
        <w:rPr>
          <w:rStyle w:val="StyleUnderline"/>
        </w:rPr>
        <w:t xml:space="preserve"> provocations</w:t>
      </w:r>
      <w:r w:rsidRPr="006D4A8E">
        <w:rPr>
          <w:sz w:val="16"/>
        </w:rPr>
        <w:t xml:space="preserve">, and although these have not been as severe as in previous years, </w:t>
      </w:r>
      <w:r w:rsidRPr="006D4A8E">
        <w:rPr>
          <w:rStyle w:val="StyleUnderline"/>
        </w:rPr>
        <w:t xml:space="preserve">they could still produce a spiral of </w:t>
      </w:r>
      <w:proofErr w:type="spellStart"/>
      <w:r w:rsidRPr="006D4A8E">
        <w:rPr>
          <w:rStyle w:val="StyleUnderline"/>
        </w:rPr>
        <w:t>mis</w:t>
      </w:r>
      <w:proofErr w:type="spellEnd"/>
      <w:r w:rsidRPr="006D4A8E">
        <w:rPr>
          <w:rStyle w:val="StyleUnderline"/>
        </w:rPr>
        <w:t>-calculation that could quickly escalate to conflict.28</w:t>
      </w:r>
      <w:r>
        <w:rPr>
          <w:rStyle w:val="StyleUnderline"/>
        </w:rPr>
        <w:t xml:space="preserve"> </w:t>
      </w:r>
      <w:r w:rsidRPr="006D4A8E">
        <w:rPr>
          <w:sz w:val="16"/>
        </w:rPr>
        <w:t xml:space="preserve">Imagine: the winter of 2018 has not gone well for North Korean leader Kim Jong-un. A weak harvest has caused declining readiness and increased desertion among the Korean People's Army (KPA) forces deployed in the country's north. Facing an internal challenge, the young dictator fears that his regime will not survive until summer. He calculates that a show of strength could shore up his regime, and develops a plan that he hopes will halt the annual joint US–South Korea exercises that begin in February. By escalating the military situation on the peninsula, he hopes to moderate the exercise, or at least to demonstrate defiance. As part of the effort, North Korea conducts a nuclear test in early February. KPA forces are alerted, and artillery units are shifted closer to the DMZ. Unfortunately, the South Korean president is struggling with a corruption scandal and has an incentive to show strength. Tensions escalate more quickly than expected, and soon units are exchanging artillery fire across the Northern Limit Line and sections of the DMZ. KPA units periodically cross the northern border of the DMZ near Seoul. The United States, anxious to demonstrate alliance cohesion, deploys a Stryker Brigade Combat Team (SBCT) to the </w:t>
      </w:r>
      <w:proofErr w:type="spellStart"/>
      <w:r w:rsidRPr="006D4A8E">
        <w:rPr>
          <w:sz w:val="16"/>
        </w:rPr>
        <w:t>demilitarised</w:t>
      </w:r>
      <w:proofErr w:type="spellEnd"/>
      <w:r w:rsidRPr="006D4A8E">
        <w:rPr>
          <w:sz w:val="16"/>
        </w:rPr>
        <w:t xml:space="preserve"> zone to supplement the rotational </w:t>
      </w:r>
      <w:proofErr w:type="spellStart"/>
      <w:r w:rsidRPr="006D4A8E">
        <w:rPr>
          <w:sz w:val="16"/>
        </w:rPr>
        <w:t>armoured</w:t>
      </w:r>
      <w:proofErr w:type="spellEnd"/>
      <w:r w:rsidRPr="006D4A8E">
        <w:rPr>
          <w:sz w:val="16"/>
        </w:rPr>
        <w:t xml:space="preserve"> brigade combat team then deployed with the Eighth Army in South Korea. A carrier strike group is stationed in the Sea of Japan, operating in conjunction with an amphibious group carrying elements of the third Marine Expeditionary Brigade deployed from Japan. The Air Force is conducting deterrent patrols with nuclear-capable B-52Hs up the eastern coast of the peninsula. More forces continue to flow into the theatre. At this stage, North Korea might decide to escalate to the nuclear level in an attempt to prevent full-scale contact between forces. For instance, a Scud or </w:t>
      </w:r>
      <w:proofErr w:type="spellStart"/>
      <w:r w:rsidRPr="006D4A8E">
        <w:rPr>
          <w:sz w:val="16"/>
        </w:rPr>
        <w:t>Nodong</w:t>
      </w:r>
      <w:proofErr w:type="spellEnd"/>
      <w:r w:rsidRPr="006D4A8E">
        <w:rPr>
          <w:sz w:val="16"/>
        </w:rPr>
        <w:t xml:space="preserve"> missile could detonate a 2-kiloton warhead 25 </w:t>
      </w:r>
      <w:proofErr w:type="spellStart"/>
      <w:r w:rsidRPr="006D4A8E">
        <w:rPr>
          <w:sz w:val="16"/>
        </w:rPr>
        <w:t>kilometres</w:t>
      </w:r>
      <w:proofErr w:type="spellEnd"/>
      <w:r w:rsidRPr="006D4A8E">
        <w:rPr>
          <w:sz w:val="16"/>
        </w:rPr>
        <w:t xml:space="preserve"> off the eastern end of the DMZ, between the Carrier Strike Group and the Korean coastline. Under this scenario, the blast would cause only limited casualties to aviation forces and the naval groups would soon recover operational status. Alternatively, the regime might only issue a nuclear threat while the United States continued to deploy forces into the region. Under this scenario, a US B-52H on deterrent patrol faces electronic interference and is fired upon by North Korean air-</w:t>
      </w:r>
      <w:proofErr w:type="spellStart"/>
      <w:r w:rsidRPr="006D4A8E">
        <w:rPr>
          <w:sz w:val="16"/>
        </w:rPr>
        <w:t>defence</w:t>
      </w:r>
      <w:proofErr w:type="spellEnd"/>
      <w:r w:rsidRPr="006D4A8E">
        <w:rPr>
          <w:sz w:val="16"/>
        </w:rPr>
        <w:t xml:space="preserve"> units. US forces ramp up their intelligence-collection efforts against the air-</w:t>
      </w:r>
      <w:proofErr w:type="spellStart"/>
      <w:r w:rsidRPr="006D4A8E">
        <w:rPr>
          <w:sz w:val="16"/>
        </w:rPr>
        <w:t>defence</w:t>
      </w:r>
      <w:proofErr w:type="spellEnd"/>
      <w:r w:rsidRPr="006D4A8E">
        <w:rPr>
          <w:sz w:val="16"/>
        </w:rPr>
        <w:t xml:space="preserve"> networks, but also North Korea's road-mobile nuclear forces, using stealthy unmanned aerial vehicles, signals intelligence and special-operations forces. North Korean officials alert their leadership that US cyber forces have penetrated their command, control and communications networks, though they have not yet damaged the system. Concerned that their nuclear forces are vulnerable to a first strike and anxious to forestall the deployment of additional ground units, North Korean leaders decide to launch a nuclear-armed </w:t>
      </w:r>
      <w:proofErr w:type="spellStart"/>
      <w:r w:rsidRPr="006D4A8E">
        <w:rPr>
          <w:sz w:val="16"/>
        </w:rPr>
        <w:t>Nodong</w:t>
      </w:r>
      <w:proofErr w:type="spellEnd"/>
      <w:r w:rsidRPr="006D4A8E">
        <w:rPr>
          <w:sz w:val="16"/>
        </w:rPr>
        <w:t xml:space="preserve"> ballistic missile at </w:t>
      </w:r>
      <w:proofErr w:type="spellStart"/>
      <w:r w:rsidRPr="006D4A8E">
        <w:rPr>
          <w:sz w:val="16"/>
        </w:rPr>
        <w:t>Kadena</w:t>
      </w:r>
      <w:proofErr w:type="spellEnd"/>
      <w:r w:rsidRPr="006D4A8E">
        <w:rPr>
          <w:sz w:val="16"/>
        </w:rPr>
        <w:t xml:space="preserve"> Air Base on Okinawa. The strike kills nearly 20,000 American citizens and many more Japanese civilians who live near the base. If the regime instead opted to withhold nuclear use until later, the military situation could deteriorate further still. Let us imagine that in retaliation for US airstrikes against certain aggressive anti-ship missile units on the eastern coast – strikes which the DPRK claim caused civilian casualties – North Korean artillery north of the DMZ have shelled Seoul. Having achieved a </w:t>
      </w:r>
      <w:proofErr w:type="spellStart"/>
      <w:r w:rsidRPr="006D4A8E">
        <w:rPr>
          <w:sz w:val="16"/>
        </w:rPr>
        <w:t>favourable</w:t>
      </w:r>
      <w:proofErr w:type="spellEnd"/>
      <w:r w:rsidRPr="006D4A8E">
        <w:rPr>
          <w:sz w:val="16"/>
        </w:rPr>
        <w:t xml:space="preserve"> correlation of forces, the US–South Korean combined command orders a limited expeditionary force to attempt to clear the northern border of the DMZ of artillery units. US and South Korean ground-attack fighters suppress enemy air </w:t>
      </w:r>
      <w:proofErr w:type="spellStart"/>
      <w:r w:rsidRPr="006D4A8E">
        <w:rPr>
          <w:sz w:val="16"/>
        </w:rPr>
        <w:t>defences</w:t>
      </w:r>
      <w:proofErr w:type="spellEnd"/>
      <w:r w:rsidRPr="006D4A8E">
        <w:rPr>
          <w:sz w:val="16"/>
        </w:rPr>
        <w:t xml:space="preserve"> along the length of the DMZ and the southern half of the eastern coastline, and a </w:t>
      </w:r>
      <w:proofErr w:type="spellStart"/>
      <w:r w:rsidRPr="006D4A8E">
        <w:rPr>
          <w:sz w:val="16"/>
        </w:rPr>
        <w:t>mechanised</w:t>
      </w:r>
      <w:proofErr w:type="spellEnd"/>
      <w:r w:rsidRPr="006D4A8E">
        <w:rPr>
          <w:sz w:val="16"/>
        </w:rPr>
        <w:t xml:space="preserve"> brigade begins to advance across the DMZ. Concerned they are facing an invasion, the North Korean leadership conducts a nuclear strike against allied forces crossing the DMZ. The immediate casualties from the nuclear blast are military, but a cloud of fallout drifts toward Seoul. Though these scenarios for nuclear strikes vary significantly, US interests in each case would be similar. The United States would act to prevent further nuclear attacks; to deny North Korea any advantages from nuclear use; to resolve the crisis in a manner </w:t>
      </w:r>
      <w:proofErr w:type="spellStart"/>
      <w:r w:rsidRPr="006D4A8E">
        <w:rPr>
          <w:sz w:val="16"/>
        </w:rPr>
        <w:t>favourable</w:t>
      </w:r>
      <w:proofErr w:type="spellEnd"/>
      <w:r w:rsidRPr="006D4A8E">
        <w:rPr>
          <w:sz w:val="16"/>
        </w:rPr>
        <w:t xml:space="preserve"> to US allies; and to ensure that the global community expressed strict disapproval of the first strike, both to punish North Korea for its actions and to attempt to recover the nuclear taboo. In the aftermath of a nuclear attack, the first three interests might well lead US and ROK officials to determine that the North Korean regime cannot be allowed to remain in power. If so, the combined command would have to mount an invasion of the North. Allied aircraft would suppress enemy air </w:t>
      </w:r>
      <w:proofErr w:type="spellStart"/>
      <w:r w:rsidRPr="006D4A8E">
        <w:rPr>
          <w:sz w:val="16"/>
        </w:rPr>
        <w:t>defences</w:t>
      </w:r>
      <w:proofErr w:type="spellEnd"/>
      <w:r w:rsidRPr="006D4A8E">
        <w:rPr>
          <w:sz w:val="16"/>
        </w:rPr>
        <w:t xml:space="preserve">, ground forces would advance along the peninsula from south to north, while amphibious forces attacked from the Sea of Japan, and special-operations forces attempted to secure North Korean weapons of mass destruction and critical leadership targets. The invasion would be difficult and risky, but would be likely eventually to succeed.29 Prior to launching an invasion, however, US policymakers would have to make a decision on whether to employ nuclear weapons in response to North Korea's first use. There are three likely options:30 a nonlethal demonstration shot; a counterforce nuclear strike against the North's nuclear forces; and a nuclear strike against the North's conventional forces.31 A demonstration would be the likeliest nuclear response to the first scenario, a North Korean demonstration. Because a lethal retaliation for a demonstration response would violate the standing employment guidance, which promises to ‘apply the principles of distinction and proportionality and seek to minimize collateral damage to civilian populations and civilian objects’, US officials might judge this to be the best retaliatory option.32 The reasoning behind issuing a reciprocal demonstration would be for the United States to match the DPRK's demonstration of resolve and willingness to escalate to the nuclear level. The hope in this case would be that, seeing that US policymakers were willing to employ nuclear weapons, North Korea would eschew further nuclear use. However, the US demonstration strike would not achieve tactical military objectives and it would be devastating to the systemic interests listed above. After an exchange of demonstration strikes, the global community would certainly condemn the DPRK shot – but the United States would have difficulty avoiding similar disapprobation. A reciprocal demonstration shot would also do little to resolve the crisis in a </w:t>
      </w:r>
      <w:proofErr w:type="spellStart"/>
      <w:r w:rsidRPr="006D4A8E">
        <w:rPr>
          <w:sz w:val="16"/>
        </w:rPr>
        <w:t>favourable</w:t>
      </w:r>
      <w:proofErr w:type="spellEnd"/>
      <w:r w:rsidRPr="006D4A8E">
        <w:rPr>
          <w:sz w:val="16"/>
        </w:rPr>
        <w:t xml:space="preserve"> way. It would provide no tactical advantage, dilute international pressure on the North (especially from China) and leave intact the incentives that caused the DPRK to escalate in the first place. Having affirmed that the nuclear threshold could be breached, North Korea would be able to credibly threaten more damaging strikes later. Meanwhile, the exchange would have done little to drive back KPA forces, and invasion would be more difficult than before the exchange took place, owing to the difficulty of operating in a contaminated environment. </w:t>
      </w:r>
      <w:r w:rsidRPr="006D4A8E">
        <w:rPr>
          <w:rStyle w:val="StyleUnderline"/>
        </w:rPr>
        <w:t>The U</w:t>
      </w:r>
      <w:r w:rsidRPr="006D4A8E">
        <w:rPr>
          <w:sz w:val="16"/>
        </w:rPr>
        <w:t xml:space="preserve">nited </w:t>
      </w:r>
      <w:r w:rsidRPr="006D4A8E">
        <w:rPr>
          <w:rStyle w:val="StyleUnderline"/>
        </w:rPr>
        <w:t>S</w:t>
      </w:r>
      <w:r w:rsidRPr="006D4A8E">
        <w:rPr>
          <w:sz w:val="16"/>
        </w:rPr>
        <w:t xml:space="preserve">tates </w:t>
      </w:r>
      <w:r w:rsidRPr="006D4A8E">
        <w:rPr>
          <w:rStyle w:val="StyleUnderline"/>
        </w:rPr>
        <w:t>could</w:t>
      </w:r>
      <w:r w:rsidRPr="006D4A8E">
        <w:rPr>
          <w:sz w:val="16"/>
        </w:rPr>
        <w:t xml:space="preserve"> instead </w:t>
      </w:r>
      <w:r w:rsidRPr="006D4A8E">
        <w:rPr>
          <w:rStyle w:val="StyleUnderline"/>
        </w:rPr>
        <w:t xml:space="preserve">use nuclear weapons as part of a counterforce strike to destroy the North Korean nuclear arsenal </w:t>
      </w:r>
      <w:r w:rsidRPr="006D4A8E">
        <w:rPr>
          <w:sz w:val="16"/>
        </w:rPr>
        <w:t xml:space="preserve">before it could be launched. This would be most proportional in response to the second scenario, a strike on Okinawa. With an arsenal as small, inaccurate and constrained as North Korea's, </w:t>
      </w:r>
      <w:r w:rsidRPr="006D4A8E">
        <w:rPr>
          <w:rStyle w:val="StyleUnderline"/>
        </w:rPr>
        <w:t>the United States would have a reasonable chance of limiting damage from a future atta</w:t>
      </w:r>
      <w:r w:rsidRPr="006D4A8E">
        <w:rPr>
          <w:sz w:val="16"/>
        </w:rPr>
        <w:t xml:space="preserve">ck. </w:t>
      </w:r>
      <w:r w:rsidRPr="006D4A8E">
        <w:rPr>
          <w:rStyle w:val="StyleUnderline"/>
        </w:rPr>
        <w:t>The primary problem with a nuclear counterforce strike</w:t>
      </w:r>
      <w:r w:rsidRPr="006D4A8E">
        <w:rPr>
          <w:sz w:val="16"/>
        </w:rPr>
        <w:t xml:space="preserve">, however, </w:t>
      </w:r>
      <w:r w:rsidRPr="006D4A8E">
        <w:rPr>
          <w:rStyle w:val="StyleUnderline"/>
        </w:rPr>
        <w:t xml:space="preserve">is that it would entail the use of multiple nuclear warheads in response to a single shot, </w:t>
      </w:r>
      <w:proofErr w:type="spellStart"/>
      <w:r w:rsidRPr="006D4A8E">
        <w:rPr>
          <w:rStyle w:val="StyleUnderline"/>
        </w:rPr>
        <w:t>signalling</w:t>
      </w:r>
      <w:proofErr w:type="spellEnd"/>
      <w:r w:rsidRPr="006D4A8E">
        <w:rPr>
          <w:rStyle w:val="StyleUnderline"/>
        </w:rPr>
        <w:t xml:space="preserve"> a major escalation of the nuclear war.</w:t>
      </w:r>
      <w:r w:rsidRPr="006D4A8E">
        <w:rPr>
          <w:sz w:val="16"/>
        </w:rPr>
        <w:t xml:space="preserve"> Because </w:t>
      </w:r>
      <w:r w:rsidRPr="006D4A8E">
        <w:rPr>
          <w:rStyle w:val="StyleUnderline"/>
        </w:rPr>
        <w:t>North Korea's 20 warheads would have to be struck simultaneously, and their location would not be certain, the counterforce operation would likely require the United States to employ several SLBMs</w:t>
      </w:r>
      <w:r w:rsidRPr="006D4A8E">
        <w:rPr>
          <w:sz w:val="16"/>
        </w:rPr>
        <w:t xml:space="preserve">. Moreover, </w:t>
      </w:r>
      <w:r w:rsidRPr="006D4A8E">
        <w:rPr>
          <w:rStyle w:val="StyleUnderline"/>
        </w:rPr>
        <w:t>these ballistic trajectories would likely alert Russian and possibly also Chinese forces</w:t>
      </w:r>
      <w:r w:rsidRPr="006D4A8E">
        <w:rPr>
          <w:sz w:val="16"/>
        </w:rPr>
        <w:t xml:space="preserve">. With tensions high in the region and US expeditionary forces operating in close proximity to the borders of each country, </w:t>
      </w:r>
      <w:r w:rsidRPr="006D4A8E">
        <w:rPr>
          <w:rStyle w:val="Emphasis"/>
        </w:rPr>
        <w:t>the potential for misunderstanding would be significant.</w:t>
      </w:r>
      <w:r>
        <w:rPr>
          <w:rStyle w:val="Emphasis"/>
        </w:rPr>
        <w:t xml:space="preserve"> </w:t>
      </w:r>
      <w:r w:rsidRPr="006D4A8E">
        <w:rPr>
          <w:rStyle w:val="StyleUnderline"/>
        </w:rPr>
        <w:t>A nuclear counterforce strike would cause massive destruction in North Korea. A cloud of fallout would cover the peninsula and,</w:t>
      </w:r>
      <w:r w:rsidRPr="006D4A8E">
        <w:rPr>
          <w:sz w:val="16"/>
        </w:rPr>
        <w:t xml:space="preserve"> depending on wind patterns</w:t>
      </w:r>
      <w:r w:rsidRPr="006D4A8E">
        <w:rPr>
          <w:rStyle w:val="StyleUnderline"/>
        </w:rPr>
        <w:t xml:space="preserve">, large parts of Russia, China and Japan. In addition to hundreds of thousands of North Korean casualties, the strikes would cause widespread radiation poisoning in South Korea and </w:t>
      </w:r>
      <w:proofErr w:type="spellStart"/>
      <w:r w:rsidRPr="006D4A8E">
        <w:rPr>
          <w:rStyle w:val="StyleUnderline"/>
        </w:rPr>
        <w:t>neighbouring</w:t>
      </w:r>
      <w:proofErr w:type="spellEnd"/>
      <w:r w:rsidRPr="006D4A8E">
        <w:rPr>
          <w:rStyle w:val="StyleUnderline"/>
        </w:rPr>
        <w:t xml:space="preserve"> countries</w:t>
      </w:r>
      <w:r w:rsidRPr="006D4A8E">
        <w:rPr>
          <w:sz w:val="16"/>
        </w:rPr>
        <w:t>. An invasion of North Korea would be all but impossible.</w:t>
      </w:r>
    </w:p>
    <w:p w:rsidR="001E34E8" w:rsidRPr="00D37D38" w:rsidRDefault="001E34E8" w:rsidP="001E34E8">
      <w:pPr>
        <w:pStyle w:val="Heading4"/>
      </w:pPr>
      <w:r w:rsidRPr="00D37D38">
        <w:t xml:space="preserve">U.S modeling empowers new democracies </w:t>
      </w:r>
    </w:p>
    <w:p w:rsidR="001E34E8" w:rsidRPr="00D1307B" w:rsidRDefault="001E34E8" w:rsidP="001E34E8">
      <w:r w:rsidRPr="00D37D38">
        <w:rPr>
          <w:rFonts w:eastAsiaTheme="majorEastAsia" w:cstheme="majorBidi"/>
          <w:b/>
          <w:iCs/>
          <w:sz w:val="26"/>
        </w:rPr>
        <w:t>Lord &amp; Stein 08</w:t>
      </w:r>
      <w:r w:rsidRPr="00D37D38">
        <w:t xml:space="preserve"> </w:t>
      </w:r>
      <w:r w:rsidRPr="00D37D38">
        <w:rPr>
          <w:sz w:val="20"/>
          <w:szCs w:val="20"/>
        </w:rPr>
        <w:t xml:space="preserve">[ Janet E. Lord - Partner, </w:t>
      </w:r>
      <w:proofErr w:type="spellStart"/>
      <w:r w:rsidRPr="00D37D38">
        <w:rPr>
          <w:sz w:val="20"/>
          <w:szCs w:val="20"/>
        </w:rPr>
        <w:t>BlueLaw</w:t>
      </w:r>
      <w:proofErr w:type="spellEnd"/>
      <w:r w:rsidRPr="00D37D38">
        <w:rPr>
          <w:sz w:val="20"/>
          <w:szCs w:val="20"/>
        </w:rPr>
        <w:t xml:space="preserve"> International, LLP; Research Associate, Harvard Project on Disability., Michael A. Stein - Executive Director, Harvard Project on Disability; Visiting Professor, Harvard Law School; Cabell Research Professor, William &amp; Mary School of </w:t>
      </w:r>
      <w:proofErr w:type="spellStart"/>
      <w:r w:rsidRPr="00D37D38">
        <w:rPr>
          <w:sz w:val="20"/>
          <w:szCs w:val="20"/>
        </w:rPr>
        <w:t>Law.,“SYMPOSIUM</w:t>
      </w:r>
      <w:proofErr w:type="spellEnd"/>
      <w:r w:rsidRPr="00D37D38">
        <w:rPr>
          <w:sz w:val="20"/>
          <w:szCs w:val="20"/>
        </w:rPr>
        <w:t>: FRAMING LEGAL AND HUMAN RIGHTS STRATEGIES FOR CHANGE: A CASE STUDY OF DISABILITY RIGHTS IN ASIA: ARTICLE: THE DOMESTIC INCORPORATION OF HUMAN RIGHTS LAW AND THE UNITED NATIONS CONVENTION ON THE RIGHTS OF PERSONS WITH DISABILITIES”, November, 2008, Wash. L. Rev. 449]</w:t>
      </w:r>
    </w:p>
    <w:p w:rsidR="001E34E8" w:rsidRPr="00D37D38" w:rsidRDefault="001E34E8" w:rsidP="001E34E8">
      <w:pPr>
        <w:rPr>
          <w:sz w:val="16"/>
        </w:rPr>
      </w:pPr>
      <w:r w:rsidRPr="00D37D38">
        <w:rPr>
          <w:sz w:val="16"/>
        </w:rPr>
        <w:t xml:space="preserve"> Where applicable, </w:t>
      </w:r>
      <w:r w:rsidRPr="0033236C">
        <w:rPr>
          <w:u w:val="single"/>
        </w:rPr>
        <w:t>disability advocates have the opportunity to harness constitutional-reform processes and transpose international human rights standards into the constitutional frameworks</w:t>
      </w:r>
      <w:r w:rsidRPr="00D37D38">
        <w:rPr>
          <w:sz w:val="16"/>
        </w:rPr>
        <w:t xml:space="preserve">. n99 Such </w:t>
      </w:r>
      <w:r w:rsidRPr="0033236C">
        <w:rPr>
          <w:u w:val="single"/>
        </w:rPr>
        <w:t>processes are as important for their visibility-enhancing and constituency-broadening potential as for their capacity to lay the foundation for a solid legal framework for disability rights work</w:t>
      </w:r>
      <w:r w:rsidRPr="00D37D38">
        <w:rPr>
          <w:sz w:val="16"/>
        </w:rPr>
        <w:t xml:space="preserve">. n100 </w:t>
      </w:r>
      <w:r w:rsidRPr="0033236C">
        <w:rPr>
          <w:u w:val="single"/>
        </w:rPr>
        <w:t xml:space="preserve">The experiences of constitutional reform </w:t>
      </w:r>
      <w:r w:rsidRPr="0033236C">
        <w:rPr>
          <w:b/>
          <w:u w:val="single"/>
        </w:rPr>
        <w:t xml:space="preserve">in Uganda and South Africa </w:t>
      </w:r>
      <w:r w:rsidRPr="0033236C">
        <w:rPr>
          <w:u w:val="single"/>
        </w:rPr>
        <w:t xml:space="preserve">serve as salient examples of how marginalized constituencies </w:t>
      </w:r>
      <w:r w:rsidRPr="00700731">
        <w:rPr>
          <w:b/>
          <w:u w:val="single"/>
        </w:rPr>
        <w:t>can foment their political visibility</w:t>
      </w:r>
      <w:r w:rsidRPr="00D37D38">
        <w:rPr>
          <w:sz w:val="16"/>
        </w:rPr>
        <w:t xml:space="preserve"> and </w:t>
      </w:r>
      <w:r w:rsidRPr="0033236C">
        <w:rPr>
          <w:u w:val="single"/>
        </w:rPr>
        <w:t>power to strategic advantage. In both countries, DPOs raised their voices, resulting in both constitutional recognition of their human rights and a strengthening of their constituency as a potent political force.</w:t>
      </w:r>
      <w:r w:rsidRPr="00D37D38">
        <w:rPr>
          <w:sz w:val="16"/>
        </w:rPr>
        <w:t xml:space="preserve"> n101 </w:t>
      </w:r>
      <w:r w:rsidRPr="0033236C">
        <w:rPr>
          <w:u w:val="single"/>
        </w:rPr>
        <w:t>Ongoing constitutional-law reform in both Nepal and Zambia has DPOs working to ensure that drafting processes effectively include their voices</w:t>
      </w:r>
      <w:r w:rsidRPr="00D37D38">
        <w:rPr>
          <w:sz w:val="16"/>
        </w:rPr>
        <w:t>. n102 Constitution-building processes like these</w:t>
      </w:r>
      <w:r w:rsidRPr="005B0C06">
        <w:rPr>
          <w:u w:val="single"/>
        </w:rPr>
        <w:t xml:space="preserve"> offer both substantive and procedural change</w:t>
      </w:r>
      <w:r w:rsidRPr="00D37D38">
        <w:rPr>
          <w:sz w:val="16"/>
        </w:rPr>
        <w:t>. When constitutions</w:t>
      </w:r>
      <w:r w:rsidRPr="005B0C06">
        <w:rPr>
          <w:u w:val="single"/>
        </w:rPr>
        <w:t xml:space="preserve"> incorporate a disability rights perspective, they cement rights that may already have existed but were neglected, much as the CRPD does on the international level</w:t>
      </w:r>
      <w:r w:rsidRPr="00D37D38">
        <w:rPr>
          <w:sz w:val="16"/>
        </w:rPr>
        <w:t>.</w:t>
      </w:r>
      <w:r w:rsidRPr="005B0C06">
        <w:rPr>
          <w:u w:val="single"/>
        </w:rPr>
        <w:t xml:space="preserve"> Engaging persons with disabilities in these processes develops their civil-society capacities and establishes their place in future reform efforts.</w:t>
      </w:r>
      <w:r w:rsidRPr="00D37D38">
        <w:rPr>
          <w:sz w:val="16"/>
        </w:rPr>
        <w:t xml:space="preserve"> This advocacy </w:t>
      </w:r>
      <w:r w:rsidRPr="005B0C06">
        <w:rPr>
          <w:u w:val="single"/>
        </w:rPr>
        <w:t>fosters the building of stronger and more engaged [*469] disability rights coalitions, increases the visibility of disability groups, and fosters linkages between disability groups and other civil-society actors and allies</w:t>
      </w:r>
      <w:r w:rsidRPr="00D37D38">
        <w:rPr>
          <w:sz w:val="16"/>
        </w:rPr>
        <w:t xml:space="preserve">. The challenge of engaging effectively in such processes is substantial for disability communities worldwide, </w:t>
      </w:r>
      <w:r w:rsidRPr="005B0C06">
        <w:rPr>
          <w:u w:val="single"/>
        </w:rPr>
        <w:t>much as all marginalized communities face considerable barriers in securing social, political, and legal change for their constituencies.</w:t>
      </w:r>
      <w:r w:rsidRPr="00D37D38">
        <w:rPr>
          <w:sz w:val="16"/>
        </w:rPr>
        <w:t xml:space="preserve"> Coalition work is fraught with divisions, and </w:t>
      </w:r>
      <w:r w:rsidRPr="005B0C06">
        <w:rPr>
          <w:u w:val="single"/>
        </w:rPr>
        <w:t>organizational governance and capacity deficits further undermine the effectiveness of advocacy efforts,</w:t>
      </w:r>
      <w:r w:rsidRPr="00D37D38">
        <w:rPr>
          <w:sz w:val="16"/>
        </w:rPr>
        <w:t xml:space="preserve"> notwithstanding progress in the strengthening of disability advocacy in many countries. n103 </w:t>
      </w:r>
      <w:r w:rsidRPr="005B0C06">
        <w:rPr>
          <w:u w:val="single"/>
        </w:rPr>
        <w:t xml:space="preserve">Despite these challenges, a constitution-building process provides a focal point for coalition-building and the honing of advocacy techniques that can be strengthened and </w:t>
      </w:r>
      <w:r w:rsidRPr="005B0C06">
        <w:rPr>
          <w:b/>
          <w:u w:val="single"/>
        </w:rPr>
        <w:t>harnessed for long-term change in new democracies</w:t>
      </w:r>
      <w:r w:rsidRPr="00D37D38">
        <w:rPr>
          <w:sz w:val="16"/>
        </w:rPr>
        <w:t xml:space="preserve">. B. Human Rights and National Legislative Action Ensuring </w:t>
      </w:r>
      <w:r w:rsidRPr="00BE5AF4">
        <w:rPr>
          <w:u w:val="single"/>
        </w:rPr>
        <w:t xml:space="preserve">the domestic incorporation of human rights law </w:t>
      </w:r>
      <w:r w:rsidRPr="00BE5AF4">
        <w:rPr>
          <w:b/>
          <w:u w:val="single"/>
        </w:rPr>
        <w:t>through legislative change</w:t>
      </w:r>
      <w:r w:rsidRPr="00BE5AF4">
        <w:rPr>
          <w:u w:val="single"/>
        </w:rPr>
        <w:t xml:space="preserve"> - long a darling of human rights action and advocacy - is undoubtedly an important step in bringing international human rights law home.</w:t>
      </w:r>
      <w:r w:rsidRPr="00D37D38">
        <w:rPr>
          <w:sz w:val="16"/>
        </w:rPr>
        <w:t xml:space="preserve"> This is so not only due to the legislative result, but also because p</w:t>
      </w:r>
      <w:r w:rsidRPr="00BE5AF4">
        <w:rPr>
          <w:u w:val="single"/>
        </w:rPr>
        <w:t>articipating in the reform exercise has the potential to generate a stronger constituency and foster governmental awareness.</w:t>
      </w:r>
      <w:r w:rsidRPr="00D37D38">
        <w:rPr>
          <w:sz w:val="16"/>
        </w:rPr>
        <w:t xml:space="preserve"> Law reform that takes place within a robust democratic process </w:t>
      </w:r>
      <w:r w:rsidRPr="00BE5AF4">
        <w:rPr>
          <w:u w:val="single"/>
        </w:rPr>
        <w:t>will foment relationship-building among disability advocates and other civil-society allies.</w:t>
      </w:r>
      <w:r w:rsidRPr="00D37D38">
        <w:rPr>
          <w:sz w:val="16"/>
        </w:rPr>
        <w:t xml:space="preserve"> It will also create </w:t>
      </w:r>
      <w:r w:rsidRPr="00BE5AF4">
        <w:rPr>
          <w:u w:val="single"/>
        </w:rPr>
        <w:t xml:space="preserve">potential entry points for advocacy directed at monitoring governmental implementation. </w:t>
      </w:r>
      <w:r w:rsidRPr="00D37D38">
        <w:rPr>
          <w:sz w:val="16"/>
        </w:rPr>
        <w:t xml:space="preserve">The CRPD will trigger unprecedented national-level engagement with disability law and policy among States Parties. The CRPD will also encourage the vast majority of States that have yet to ratify the Convention to develop or substantially reform their domestic, legal, and social policies regarding persons with disabilities. n104 While the Convention will imbue lawmaking and law reform with a vigor that has had no parallel in modern human rights practice, n105 it likewise presents considerable challenges for [*470] effective national-level implementation through the mechanism of legislative action. n106 </w:t>
      </w:r>
    </w:p>
    <w:p w:rsidR="001E34E8" w:rsidRDefault="001E34E8" w:rsidP="001E34E8">
      <w:pPr>
        <w:pStyle w:val="Heading4"/>
      </w:pPr>
      <w:r>
        <w:t>Imperative to preserve democracy at all costs – prevents conflict and fosters peace</w:t>
      </w:r>
    </w:p>
    <w:p w:rsidR="001E34E8" w:rsidRDefault="001E34E8" w:rsidP="001E34E8">
      <w:r w:rsidRPr="00D37D38">
        <w:rPr>
          <w:rFonts w:eastAsiaTheme="majorEastAsia" w:cstheme="majorBidi"/>
          <w:b/>
          <w:iCs/>
          <w:sz w:val="26"/>
        </w:rPr>
        <w:t>Diamond 15</w:t>
      </w:r>
      <w:r>
        <w:t xml:space="preserve"> </w:t>
      </w:r>
      <w:r w:rsidRPr="00D37D38">
        <w:rPr>
          <w:sz w:val="18"/>
          <w:szCs w:val="18"/>
        </w:rPr>
        <w:t xml:space="preserve">[Larry Diamond - founding coeditor of the Journal of Democracy, senior fellow at the Hoover Institution and the Freeman </w:t>
      </w:r>
      <w:proofErr w:type="spellStart"/>
      <w:r w:rsidRPr="00D37D38">
        <w:rPr>
          <w:sz w:val="18"/>
          <w:szCs w:val="18"/>
        </w:rPr>
        <w:t>Spogli</w:t>
      </w:r>
      <w:proofErr w:type="spellEnd"/>
      <w:r w:rsidRPr="00D37D38">
        <w:rPr>
          <w:sz w:val="18"/>
          <w:szCs w:val="18"/>
        </w:rPr>
        <w:t xml:space="preserve"> Institute for International Studies at Stanford University, and director of Stanford’s Center on Democracy, Development, and the Rule of Law., “Facing Up to the Democratic Recession”, January 2015, Journal of Democracy Volume 26, Number 1, </w:t>
      </w:r>
      <w:hyperlink r:id="rId10" w:history="1">
        <w:r w:rsidRPr="00D37D38">
          <w:rPr>
            <w:rStyle w:val="Hyperlink"/>
            <w:sz w:val="18"/>
            <w:szCs w:val="18"/>
          </w:rPr>
          <w:t>http://www.journalofdemocracy.org/sites/default/files/Diamond-26-1_0.pdf</w:t>
        </w:r>
      </w:hyperlink>
      <w:r w:rsidRPr="00D37D38">
        <w:rPr>
          <w:sz w:val="18"/>
          <w:szCs w:val="18"/>
        </w:rPr>
        <w:t>]</w:t>
      </w:r>
    </w:p>
    <w:p w:rsidR="001E34E8" w:rsidRDefault="001E34E8" w:rsidP="001E34E8">
      <w:pPr>
        <w:rPr>
          <w:b/>
          <w:u w:val="single"/>
        </w:rPr>
      </w:pPr>
      <w:r w:rsidRPr="00674F90">
        <w:rPr>
          <w:sz w:val="16"/>
        </w:rPr>
        <w:t>Perhaps  t</w:t>
      </w:r>
      <w:r w:rsidRPr="00577418">
        <w:rPr>
          <w:u w:val="single"/>
        </w:rPr>
        <w:t>he most worrisome dimension of the democratic recession has been the decline of democratic efficacy, energy, and self-confidence in the West, including the United States.</w:t>
      </w:r>
      <w:r w:rsidRPr="00674F90">
        <w:rPr>
          <w:sz w:val="16"/>
        </w:rPr>
        <w:t xml:space="preserve"> There </w:t>
      </w:r>
      <w:r w:rsidRPr="00577418">
        <w:rPr>
          <w:b/>
          <w:u w:val="single"/>
        </w:rPr>
        <w:t>is a growing sense, both domestically and internationally, that democracy in the United States has not been functioning effectively enough to address the major challenges of governance</w:t>
      </w:r>
      <w:r w:rsidRPr="00674F90">
        <w:rPr>
          <w:sz w:val="16"/>
        </w:rPr>
        <w:t>. The diminished pace of legislation, the vanishing ability of Congress to pass a budget, and the 2013 shutdown of the federal government are only some of the indications of a political system (and a broader body politic) that appears increasingly polarized and deadlocked. As a result, b</w:t>
      </w:r>
      <w:r w:rsidRPr="00563122">
        <w:rPr>
          <w:u w:val="single"/>
        </w:rPr>
        <w:t>oth public approval of Congress and public trust in government are at historic lows</w:t>
      </w:r>
      <w:r w:rsidRPr="00674F90">
        <w:rPr>
          <w:sz w:val="16"/>
        </w:rPr>
        <w:t>. The ever-mounting cost of election campaigns, the surging role of nontransparent money in politics, and l</w:t>
      </w:r>
      <w:r w:rsidRPr="00563122">
        <w:rPr>
          <w:u w:val="single"/>
        </w:rPr>
        <w:t>ow rates of voter participation are additional signs of democratic ill health. Internationally, promoting democracy abroad scores close to the bottom of the public’s foreign-policy priorities.</w:t>
      </w:r>
      <w:r w:rsidRPr="00674F90">
        <w:rPr>
          <w:sz w:val="16"/>
        </w:rPr>
        <w:t xml:space="preserve"> And the </w:t>
      </w:r>
      <w:r w:rsidRPr="00563122">
        <w:rPr>
          <w:u w:val="single"/>
        </w:rPr>
        <w:t>international perception is that democracy promotion has already receded as an actual priority of U.S. foreign policy.</w:t>
      </w:r>
      <w:r w:rsidRPr="00674F90">
        <w:rPr>
          <w:sz w:val="16"/>
        </w:rPr>
        <w:t xml:space="preserve"> </w:t>
      </w:r>
      <w:r w:rsidRPr="00563122">
        <w:rPr>
          <w:u w:val="single"/>
        </w:rPr>
        <w:t xml:space="preserve">The world takes note of all this. </w:t>
      </w:r>
      <w:r w:rsidRPr="00563122">
        <w:rPr>
          <w:b/>
          <w:u w:val="single"/>
        </w:rPr>
        <w:t>Authoritarian state media gleefully publicize these travails of American democracy in order to discredit democracy in general and immunize authoritarian rule against U.S. pressure</w:t>
      </w:r>
      <w:r w:rsidRPr="00674F90">
        <w:rPr>
          <w:sz w:val="16"/>
        </w:rPr>
        <w:t xml:space="preserve">. </w:t>
      </w:r>
      <w:r w:rsidRPr="00563122">
        <w:rPr>
          <w:u w:val="single"/>
        </w:rPr>
        <w:t>Even in weak states, autocrats perceive that the pressure is now off: They can pretty much do whatever they want to censor the media, crush the opposition, and perpetuate their rule, and Europe and the United States will swallow it.</w:t>
      </w:r>
      <w:r w:rsidRPr="00674F90">
        <w:rPr>
          <w:sz w:val="16"/>
        </w:rPr>
        <w:t xml:space="preserve"> Meek verbal protests may ensue, but </w:t>
      </w:r>
      <w:r w:rsidRPr="00563122">
        <w:rPr>
          <w:u w:val="single"/>
        </w:rPr>
        <w:t xml:space="preserve">the aid will still flow and the dictators will still be welcome at the White House and the </w:t>
      </w:r>
      <w:proofErr w:type="spellStart"/>
      <w:r w:rsidRPr="00563122">
        <w:rPr>
          <w:u w:val="single"/>
        </w:rPr>
        <w:t>Elysée</w:t>
      </w:r>
      <w:proofErr w:type="spellEnd"/>
      <w:r w:rsidRPr="00563122">
        <w:rPr>
          <w:u w:val="single"/>
        </w:rPr>
        <w:t xml:space="preserve"> Palace</w:t>
      </w:r>
      <w:r w:rsidRPr="00674F90">
        <w:rPr>
          <w:sz w:val="16"/>
        </w:rPr>
        <w:t xml:space="preserve">. It is </w:t>
      </w:r>
      <w:r w:rsidRPr="00563122">
        <w:rPr>
          <w:b/>
          <w:u w:val="single"/>
        </w:rPr>
        <w:t>hard to overstate how important the vitality and self-confidence of U.S. democracy has been to the global expansion of democracy during the third wave</w:t>
      </w:r>
      <w:r w:rsidRPr="00674F90">
        <w:rPr>
          <w:sz w:val="16"/>
        </w:rPr>
        <w:t xml:space="preserve">. While </w:t>
      </w:r>
      <w:r w:rsidRPr="00563122">
        <w:rPr>
          <w:u w:val="single"/>
        </w:rPr>
        <w:t xml:space="preserve">each democratizing country made its own transition, pressure and solidarity from the United State and Europe often generated a significant and even crucial enabling environment that helped to tip finely balanced situations </w:t>
      </w:r>
      <w:r w:rsidRPr="00563122">
        <w:rPr>
          <w:b/>
          <w:u w:val="single"/>
        </w:rPr>
        <w:t>toward democratic change</w:t>
      </w:r>
      <w:r w:rsidRPr="00563122">
        <w:rPr>
          <w:u w:val="single"/>
        </w:rPr>
        <w:t>,</w:t>
      </w:r>
      <w:r w:rsidRPr="00674F90">
        <w:rPr>
          <w:sz w:val="16"/>
        </w:rPr>
        <w:t xml:space="preserve"> and </w:t>
      </w:r>
      <w:r w:rsidRPr="00563122">
        <w:rPr>
          <w:u w:val="single"/>
        </w:rPr>
        <w:t>then in some cases gradually toward democratic consolidation</w:t>
      </w:r>
      <w:r w:rsidRPr="00674F90">
        <w:rPr>
          <w:sz w:val="16"/>
        </w:rPr>
        <w:t>. If this solidarity is now greatly diminished, so will be the near-term global prospects for reviving and sustaining democratic progress. A Brighter Horizon? Democracy has been in a global recession for most of the last decade, and t</w:t>
      </w:r>
      <w:r w:rsidRPr="003A0EB2">
        <w:rPr>
          <w:b/>
          <w:u w:val="single"/>
        </w:rPr>
        <w:t>here is a growing danger that the recession could deepen and tip over into something much worse.</w:t>
      </w:r>
      <w:r w:rsidRPr="00674F90">
        <w:rPr>
          <w:sz w:val="16"/>
        </w:rPr>
        <w:t xml:space="preserve"> M</w:t>
      </w:r>
      <w:r w:rsidRPr="003A0EB2">
        <w:rPr>
          <w:u w:val="single"/>
        </w:rPr>
        <w:t>any more democracies could fail, not only in poor countries of marginal strategic significance, but also in big swing states such as Indonesia and Ukraine (again).</w:t>
      </w:r>
      <w:r w:rsidRPr="00674F90">
        <w:rPr>
          <w:sz w:val="16"/>
        </w:rPr>
        <w:t xml:space="preserve"> There is </w:t>
      </w:r>
      <w:r w:rsidRPr="003A0EB2">
        <w:rPr>
          <w:u w:val="single"/>
        </w:rPr>
        <w:t xml:space="preserve">little external recognition yet of the </w:t>
      </w:r>
      <w:r w:rsidRPr="003A0EB2">
        <w:rPr>
          <w:b/>
          <w:u w:val="single"/>
        </w:rPr>
        <w:t>grim state of democracy in Turkey</w:t>
      </w:r>
      <w:r w:rsidRPr="003A0EB2">
        <w:rPr>
          <w:u w:val="single"/>
        </w:rPr>
        <w:t xml:space="preserve">, and there is no guarantee that democracy will return any time soon to </w:t>
      </w:r>
      <w:r w:rsidRPr="003A0EB2">
        <w:rPr>
          <w:b/>
          <w:u w:val="single"/>
        </w:rPr>
        <w:t>Thailand or Bangladesh</w:t>
      </w:r>
      <w:r w:rsidRPr="00674F90">
        <w:rPr>
          <w:sz w:val="16"/>
        </w:rPr>
        <w:t xml:space="preserve">. Apathy and inertia in Europe and the United States could significantly lower the barriers to new democratic reversals and to authoritarian entrenchments in many more states. </w:t>
      </w:r>
      <w:r w:rsidRPr="003A0EB2">
        <w:rPr>
          <w:b/>
          <w:u w:val="single"/>
        </w:rPr>
        <w:t xml:space="preserve">Yet the picture is not entirely bleak. </w:t>
      </w:r>
      <w:r w:rsidRPr="00674F90">
        <w:rPr>
          <w:sz w:val="16"/>
        </w:rPr>
        <w:t>We have not seen “a third reverse wave.” Globally, av</w:t>
      </w:r>
      <w:r w:rsidRPr="003A0EB2">
        <w:rPr>
          <w:u w:val="single"/>
        </w:rPr>
        <w:t>erage levels of freedom have ebbed a little bit, but not calamitously.</w:t>
      </w:r>
      <w:r w:rsidRPr="00674F90">
        <w:rPr>
          <w:sz w:val="16"/>
        </w:rPr>
        <w:t xml:space="preserve"> Most important, there has </w:t>
      </w:r>
      <w:r w:rsidRPr="003A0EB2">
        <w:rPr>
          <w:u w:val="single"/>
        </w:rPr>
        <w:t>not been significant erosion in public support for democracy.</w:t>
      </w:r>
      <w:r w:rsidRPr="00674F90">
        <w:rPr>
          <w:sz w:val="16"/>
        </w:rPr>
        <w:t xml:space="preserve"> In fact, what the </w:t>
      </w:r>
      <w:proofErr w:type="spellStart"/>
      <w:r w:rsidRPr="00674F90">
        <w:rPr>
          <w:sz w:val="16"/>
        </w:rPr>
        <w:t>Afrobarometer</w:t>
      </w:r>
      <w:proofErr w:type="spellEnd"/>
      <w:r w:rsidRPr="00674F90">
        <w:rPr>
          <w:sz w:val="16"/>
        </w:rPr>
        <w:t xml:space="preserve"> has consistently shown is a gap—in some African countries, a chasm—between the popular demand for democracy and the supply of it provided by the regime. This is not based just on some shallow, vague notion that democracy is a good thing. </w:t>
      </w:r>
      <w:r w:rsidRPr="00C84275">
        <w:rPr>
          <w:u w:val="single"/>
        </w:rPr>
        <w:t>Many Africans understand the importance of political accountability, transparency, the rule of law, and restraint of power, and they would like to see their governments manifest these virtues</w:t>
      </w:r>
      <w:r w:rsidRPr="00674F90">
        <w:rPr>
          <w:sz w:val="16"/>
        </w:rPr>
        <w:t xml:space="preserve">. While the performance of democracy is failing to inspire, </w:t>
      </w:r>
      <w:r w:rsidRPr="00C84275">
        <w:rPr>
          <w:u w:val="single"/>
        </w:rPr>
        <w:t>authoritarianism faces its own steep challenges</w:t>
      </w:r>
      <w:r w:rsidRPr="00674F90">
        <w:rPr>
          <w:sz w:val="16"/>
        </w:rPr>
        <w:t xml:space="preserve">. There is </w:t>
      </w:r>
      <w:r w:rsidRPr="00C84275">
        <w:rPr>
          <w:u w:val="single"/>
        </w:rPr>
        <w:t>hardly a dictatorship in the world that looks stable for the long run.</w:t>
      </w:r>
      <w:r w:rsidRPr="00674F90">
        <w:rPr>
          <w:sz w:val="16"/>
        </w:rPr>
        <w:t xml:space="preserve"> The only truly reliable source of </w:t>
      </w:r>
      <w:r w:rsidRPr="00C84275">
        <w:rPr>
          <w:u w:val="single"/>
        </w:rPr>
        <w:t>regime stability is legitimacy, and the number of people in the world who believe in the intrinsic legitimacy of any form of authoritarianism is rapidly diminishing</w:t>
      </w:r>
      <w:r w:rsidRPr="00674F90">
        <w:rPr>
          <w:sz w:val="16"/>
        </w:rPr>
        <w:t>. Economic development, globalization, and the information revolution are undermining all forms of authority and empowering individuals.</w:t>
      </w:r>
      <w:r w:rsidRPr="00674F90">
        <w:rPr>
          <w:u w:val="single"/>
        </w:rPr>
        <w:t xml:space="preserve"> Values are changing, and while we should not assume any teleological path toward a global “enlightenment,” generally the movement is toward greater distrust of authority and more</w:t>
      </w:r>
      <w:r w:rsidRPr="00674F90">
        <w:rPr>
          <w:sz w:val="16"/>
        </w:rPr>
        <w:t xml:space="preserve">  desire for accountability, freedom, and political choice. In the coming two decades, </w:t>
      </w:r>
      <w:r w:rsidRPr="00674F90">
        <w:rPr>
          <w:u w:val="single"/>
        </w:rPr>
        <w:t>these trends will challenge the nature of rule in China, Vietnam, Iran, and the Arab states much more than they will in India, not to mention Europe and the United States.</w:t>
      </w:r>
      <w:r w:rsidRPr="00674F90">
        <w:rPr>
          <w:sz w:val="16"/>
        </w:rPr>
        <w:t xml:space="preserve"> Already, </w:t>
      </w:r>
      <w:r w:rsidRPr="00674F90">
        <w:rPr>
          <w:u w:val="single"/>
        </w:rPr>
        <w:t>democratization is visible on the horizon of Malaysia’s increasingly competitive electoral politics, and it will come in the next generation to Singapore as well.</w:t>
      </w:r>
      <w:r w:rsidRPr="00674F90">
        <w:rPr>
          <w:sz w:val="16"/>
        </w:rPr>
        <w:t xml:space="preserve"> The key imperative in the near term </w:t>
      </w:r>
      <w:r w:rsidRPr="00674F90">
        <w:rPr>
          <w:u w:val="single"/>
        </w:rPr>
        <w:t xml:space="preserve">is to work to reform and consolidate the democracies that have emerged during the third wave—the majority of which remain illiberal and unstable, if they remain democratic at all. </w:t>
      </w:r>
      <w:r w:rsidRPr="00674F90">
        <w:rPr>
          <w:sz w:val="16"/>
        </w:rPr>
        <w:t>With more focused, committed, and resourceful international engagement, it should be possible to h</w:t>
      </w:r>
      <w:r w:rsidRPr="00674F90">
        <w:rPr>
          <w:u w:val="single"/>
        </w:rPr>
        <w:t>elp democracy sink deeper and more enduring roots in countries such as Indonesia, the Philippines, South Africa, and Ghana</w:t>
      </w:r>
      <w:r w:rsidRPr="00674F90">
        <w:rPr>
          <w:sz w:val="16"/>
        </w:rPr>
        <w:t xml:space="preserve">. It is possible and urgently important to help stabilize the new democracies in Ukraine and Tunisia (whose success could gradually generate significant diffusion effects throughout the Arab world). It might be possible to nudge Thailand and Bangladesh back toward electoral democracy, though ways must be found to temper the awful levels of party polarization in each country. With time, the electoral authoritarian project in Turkey will discredit itself in the face of mounting corruption and abuse of power, which are already growing quite serious. And </w:t>
      </w:r>
      <w:r w:rsidRPr="00674F90">
        <w:rPr>
          <w:u w:val="single"/>
        </w:rPr>
        <w:t>the oil-based autocracies in Iran and Venezuela will face increasingly severe crises of economic performance and political legitimacy</w:t>
      </w:r>
      <w:r w:rsidRPr="00674F90">
        <w:rPr>
          <w:sz w:val="16"/>
        </w:rPr>
        <w:t xml:space="preserve">. It is vital that democrats in the established democracies not lose faith. Democrats have the better set of ideas. </w:t>
      </w:r>
      <w:r w:rsidRPr="00674F90">
        <w:rPr>
          <w:u w:val="single"/>
        </w:rPr>
        <w:t>Democracy may be receding somewhat in practice, but it is still globally ascendant in peoples’ values and aspirations.</w:t>
      </w:r>
      <w:r w:rsidRPr="00674F90">
        <w:rPr>
          <w:sz w:val="16"/>
        </w:rPr>
        <w:t xml:space="preserve"> This </w:t>
      </w:r>
      <w:r w:rsidRPr="00674F90">
        <w:rPr>
          <w:u w:val="single"/>
        </w:rPr>
        <w:t>creates significant new opportunities for democratic growth</w:t>
      </w:r>
      <w:r w:rsidRPr="00674F90">
        <w:rPr>
          <w:sz w:val="16"/>
        </w:rPr>
        <w:t>. If</w:t>
      </w:r>
      <w:r w:rsidRPr="00674F90">
        <w:rPr>
          <w:b/>
          <w:u w:val="single"/>
        </w:rPr>
        <w:t xml:space="preserve"> the current modest recession of democracy spirals into a depression, it will be because those of us in the established democracies were our own worst enemies.</w:t>
      </w:r>
    </w:p>
    <w:p w:rsidR="00C6319F" w:rsidRDefault="00582CA2" w:rsidP="00833446">
      <w:pPr>
        <w:pStyle w:val="Heading3"/>
      </w:pPr>
      <w:r>
        <w:t xml:space="preserve">Brink – </w:t>
      </w:r>
      <w:proofErr w:type="spellStart"/>
      <w:r>
        <w:t>NoKo</w:t>
      </w:r>
      <w:proofErr w:type="spellEnd"/>
      <w:r>
        <w:t xml:space="preserve"> War</w:t>
      </w:r>
    </w:p>
    <w:p w:rsidR="00C6319F" w:rsidRDefault="00C6319F" w:rsidP="00C6319F">
      <w:pPr>
        <w:pStyle w:val="Heading4"/>
      </w:pPr>
      <w:r>
        <w:t>South Korea and the US ratcheting up pressure now – limited amount of time before conflict sparks</w:t>
      </w:r>
    </w:p>
    <w:p w:rsidR="00C6319F" w:rsidRPr="00AD7A75" w:rsidRDefault="00C6319F" w:rsidP="00C6319F">
      <w:pPr>
        <w:rPr>
          <w:sz w:val="20"/>
          <w:szCs w:val="20"/>
        </w:rPr>
      </w:pPr>
      <w:r w:rsidRPr="008B611C">
        <w:rPr>
          <w:rFonts w:eastAsiaTheme="majorEastAsia" w:cstheme="majorBidi"/>
          <w:b/>
          <w:iCs/>
          <w:sz w:val="26"/>
        </w:rPr>
        <w:t>Diamond 6/30/17</w:t>
      </w:r>
      <w:r>
        <w:t xml:space="preserve"> </w:t>
      </w:r>
      <w:r w:rsidRPr="00AD7A75">
        <w:rPr>
          <w:sz w:val="20"/>
          <w:szCs w:val="20"/>
        </w:rPr>
        <w:t>[ Jeremy -  reporter for CNN Politics covering the White House and Trump Administration, “Trump: US patience with the North Korean regime 'is over'”, CNN, 6/30/17, http://www.cnn.com/2017/06/30/politics/trump-moon-jae-in-rose-garden/index.html]</w:t>
      </w:r>
    </w:p>
    <w:p w:rsidR="00C6319F" w:rsidRDefault="00C6319F" w:rsidP="00C6319F">
      <w:r>
        <w:t xml:space="preserve">Washington (CNN) </w:t>
      </w:r>
      <w:r w:rsidRPr="001320EA">
        <w:rPr>
          <w:u w:val="single"/>
        </w:rPr>
        <w:t>President Donald Trump</w:t>
      </w:r>
      <w:r>
        <w:t xml:space="preserve">, speaking alongside South Korean President Moon Jae-in, </w:t>
      </w:r>
      <w:r w:rsidRPr="001320EA">
        <w:rPr>
          <w:u w:val="single"/>
        </w:rPr>
        <w:t xml:space="preserve">declared Friday US patience with the North Korean regime "is over." </w:t>
      </w:r>
      <w:r>
        <w:t xml:space="preserve">"The </w:t>
      </w:r>
      <w:r w:rsidRPr="001320EA">
        <w:rPr>
          <w:u w:val="single"/>
        </w:rPr>
        <w:t xml:space="preserve">era of strategic patience with the North Korean regime has failed," </w:t>
      </w:r>
      <w:r>
        <w:t>Trump said in a statement from the Rose Garden. "And,</w:t>
      </w:r>
      <w:r w:rsidRPr="001320EA">
        <w:rPr>
          <w:u w:val="single"/>
        </w:rPr>
        <w:t xml:space="preserve"> frankly, that patience is over." The remarks were the latest sign that Trump is growing increasingly frustrated with the lack of progress in curbing North Korea's nuclear and ballistic missile programs</w:t>
      </w:r>
      <w:r>
        <w:t xml:space="preserve">, which top US officials have </w:t>
      </w:r>
      <w:r w:rsidRPr="001320EA">
        <w:rPr>
          <w:u w:val="single"/>
        </w:rPr>
        <w:t>eyed with increasing concern in recent months</w:t>
      </w:r>
      <w:r>
        <w:t xml:space="preserve">. The </w:t>
      </w:r>
      <w:r w:rsidRPr="001320EA">
        <w:rPr>
          <w:u w:val="single"/>
        </w:rPr>
        <w:t>South Korean President's visit to the White House came after Trump approved a series of measures designed to ratchet up pressure on North Korea</w:t>
      </w:r>
      <w:r>
        <w:t xml:space="preserve"> -- </w:t>
      </w:r>
      <w:r w:rsidRPr="001320EA">
        <w:rPr>
          <w:u w:val="single"/>
        </w:rPr>
        <w:t>while also sending signals to China about the US' shrinking patience.</w:t>
      </w:r>
      <w:r>
        <w:t xml:space="preserve">  The Treasury Department on Thursday</w:t>
      </w:r>
      <w:r w:rsidRPr="00B52023">
        <w:rPr>
          <w:u w:val="single"/>
        </w:rPr>
        <w:t xml:space="preserve"> imposed new sanctions on a Chinese bank and several Chinese nationals while the State Department approved a $1 billion arms deal with Taiwan.</w:t>
      </w:r>
      <w:r>
        <w:t xml:space="preserve"> Both moves </w:t>
      </w:r>
      <w:r w:rsidRPr="00B52023">
        <w:rPr>
          <w:u w:val="single"/>
        </w:rPr>
        <w:t>appeared aimed at unsettling China, which the US has repeatedly urged to pressure North Korea into changing its behavior, with little success</w:t>
      </w:r>
      <w:r>
        <w:t xml:space="preserve">. Trump on Friday </w:t>
      </w:r>
      <w:r w:rsidRPr="00B52023">
        <w:rPr>
          <w:u w:val="single"/>
        </w:rPr>
        <w:t xml:space="preserve">warned that the US is facing "the threat of the reckless and brutal regime in North Korea" that "has no regard for the safety and security of its people or its neighbors" </w:t>
      </w:r>
      <w:r>
        <w:t xml:space="preserve">and </w:t>
      </w:r>
      <w:r w:rsidRPr="00B52023">
        <w:rPr>
          <w:u w:val="single"/>
        </w:rPr>
        <w:t>vowed the US would continue to act to defend US interests and allies in the region</w:t>
      </w:r>
      <w:r>
        <w:t xml:space="preserve">. </w:t>
      </w:r>
      <w:r w:rsidRPr="00B52023">
        <w:rPr>
          <w:u w:val="single"/>
        </w:rPr>
        <w:t>Moon,</w:t>
      </w:r>
      <w:r>
        <w:t xml:space="preserve"> who was elected on a platform of increased engagement with North Korea, </w:t>
      </w:r>
      <w:r w:rsidRPr="00B52023">
        <w:rPr>
          <w:u w:val="single"/>
        </w:rPr>
        <w:t>also warned that "threats and provocations from the North will be met with a stern response" and vowed South Korea and the US will "strengthen" their joint deterrence capabilities.</w:t>
      </w:r>
      <w:r>
        <w:t xml:space="preserve"> But he also urged the North Korean regime "to promptly return to the negotiating table" to achieve a peaceful end to its nuclear program. Beyond its ongoing nuclear and ballistic missile activity, </w:t>
      </w:r>
      <w:r w:rsidRPr="00B52023">
        <w:rPr>
          <w:u w:val="single"/>
        </w:rPr>
        <w:t xml:space="preserve">the sense of alarm in the US has also grown after American student Otto </w:t>
      </w:r>
      <w:proofErr w:type="spellStart"/>
      <w:r w:rsidRPr="00B52023">
        <w:rPr>
          <w:u w:val="single"/>
        </w:rPr>
        <w:t>Warmbier</w:t>
      </w:r>
      <w:proofErr w:type="spellEnd"/>
      <w:r w:rsidRPr="00B52023">
        <w:rPr>
          <w:u w:val="single"/>
        </w:rPr>
        <w:t xml:space="preserve"> fell into a coma while in North Korean custody and died days after he was returned to the US. "The </w:t>
      </w:r>
      <w:r w:rsidRPr="00B52023">
        <w:rPr>
          <w:b/>
          <w:u w:val="single"/>
        </w:rPr>
        <w:t>North Korean dictatorship has no regard for the safety and security of its people or its neighbors and has no respect for human life -- and that's been proven over and over again</w:t>
      </w:r>
      <w:r w:rsidRPr="00B52023">
        <w:rPr>
          <w:u w:val="single"/>
        </w:rPr>
        <w:t>,"</w:t>
      </w:r>
      <w:r>
        <w:t xml:space="preserve"> Trump said, before also thanking Moon for expressing his condolences over </w:t>
      </w:r>
      <w:proofErr w:type="spellStart"/>
      <w:r>
        <w:t>Warmbier's</w:t>
      </w:r>
      <w:proofErr w:type="spellEnd"/>
      <w:r>
        <w:t xml:space="preserve"> death. </w:t>
      </w:r>
    </w:p>
    <w:p w:rsidR="00FD6BF5" w:rsidRDefault="00FD6BF5" w:rsidP="00FD6BF5">
      <w:pPr>
        <w:pStyle w:val="Heading3"/>
      </w:pPr>
      <w:r>
        <w:t xml:space="preserve">Judiciary Key </w:t>
      </w:r>
    </w:p>
    <w:p w:rsidR="00FD6BF5" w:rsidRDefault="00FD6BF5" w:rsidP="00FD6BF5">
      <w:pPr>
        <w:pStyle w:val="Heading4"/>
      </w:pPr>
      <w:r>
        <w:t xml:space="preserve">Judicial acceptance is key to broader public acceptance – current policies fail to recognize disabilities. </w:t>
      </w:r>
    </w:p>
    <w:p w:rsidR="00FD6BF5" w:rsidRPr="00015292" w:rsidRDefault="00FD6BF5" w:rsidP="00FD6BF5">
      <w:pPr>
        <w:rPr>
          <w:rStyle w:val="Style13ptBold"/>
          <w:b w:val="0"/>
        </w:rPr>
      </w:pPr>
      <w:r>
        <w:rPr>
          <w:rStyle w:val="Style13ptBold"/>
        </w:rPr>
        <w:t xml:space="preserve">Powell ’11 </w:t>
      </w:r>
      <w:r w:rsidRPr="00B6662B">
        <w:t>(</w:t>
      </w:r>
      <w:r w:rsidRPr="00EB71BD">
        <w:rPr>
          <w:sz w:val="16"/>
          <w:szCs w:val="16"/>
        </w:rPr>
        <w:t xml:space="preserve">Justin J.W.; Professor of Sociology of Education in the Institute of Education &amp; </w:t>
      </w:r>
      <w:proofErr w:type="spellStart"/>
      <w:r w:rsidRPr="00EB71BD">
        <w:rPr>
          <w:sz w:val="16"/>
          <w:szCs w:val="16"/>
        </w:rPr>
        <w:t>Societ</w:t>
      </w:r>
      <w:proofErr w:type="spellEnd"/>
      <w:r w:rsidRPr="00EB71BD">
        <w:rPr>
          <w:sz w:val="16"/>
          <w:szCs w:val="16"/>
        </w:rPr>
        <w:t xml:space="preserve">, PhD in Sociology from the Free University Berlin, MA in Political Science and Sociology from UNC and </w:t>
      </w:r>
      <w:proofErr w:type="spellStart"/>
      <w:r w:rsidRPr="00EB71BD">
        <w:rPr>
          <w:sz w:val="16"/>
          <w:szCs w:val="16"/>
        </w:rPr>
        <w:t>Humbold</w:t>
      </w:r>
      <w:proofErr w:type="spellEnd"/>
      <w:r w:rsidRPr="00EB71BD">
        <w:rPr>
          <w:sz w:val="16"/>
          <w:szCs w:val="16"/>
        </w:rPr>
        <w:t xml:space="preserve"> University; Routledge, 1</w:t>
      </w:r>
      <w:r w:rsidRPr="00EB71BD">
        <w:rPr>
          <w:sz w:val="16"/>
          <w:szCs w:val="16"/>
          <w:vertAlign w:val="superscript"/>
        </w:rPr>
        <w:t>st</w:t>
      </w:r>
      <w:r w:rsidRPr="00EB71BD">
        <w:rPr>
          <w:sz w:val="16"/>
          <w:szCs w:val="16"/>
        </w:rPr>
        <w:t xml:space="preserve"> edition, </w:t>
      </w:r>
      <w:r w:rsidRPr="00EB71BD">
        <w:rPr>
          <w:i/>
          <w:sz w:val="16"/>
          <w:szCs w:val="16"/>
        </w:rPr>
        <w:t>Barriers to Inclusion: Special Education in the United States and Germany</w:t>
      </w:r>
      <w:r w:rsidRPr="00EB71BD">
        <w:rPr>
          <w:sz w:val="16"/>
          <w:szCs w:val="16"/>
        </w:rPr>
        <w:t>, p. 120-121, ISBN: 978-1594512087)</w:t>
      </w:r>
    </w:p>
    <w:p w:rsidR="00FD6BF5" w:rsidRPr="003003EF" w:rsidRDefault="00FD6BF5" w:rsidP="00FD6BF5">
      <w:pPr>
        <w:rPr>
          <w:sz w:val="16"/>
        </w:rPr>
      </w:pPr>
      <w:r w:rsidRPr="003003EF">
        <w:rPr>
          <w:sz w:val="16"/>
        </w:rPr>
        <w:t xml:space="preserve">Despite the above delineated legislative acts, </w:t>
      </w:r>
      <w:r w:rsidRPr="00DE49C8">
        <w:rPr>
          <w:rStyle w:val="StyleUnderline"/>
        </w:rPr>
        <w:t>until</w:t>
      </w:r>
      <w:r w:rsidRPr="003003EF">
        <w:rPr>
          <w:sz w:val="16"/>
        </w:rPr>
        <w:t xml:space="preserve"> passage of </w:t>
      </w:r>
      <w:r w:rsidRPr="00DE49C8">
        <w:rPr>
          <w:rStyle w:val="StyleUnderline"/>
        </w:rPr>
        <w:t>the</w:t>
      </w:r>
      <w:r w:rsidRPr="003003EF">
        <w:rPr>
          <w:sz w:val="16"/>
        </w:rPr>
        <w:t xml:space="preserve"> Americans with Disabilities Act (</w:t>
      </w:r>
      <w:r w:rsidRPr="00DE49C8">
        <w:rPr>
          <w:rStyle w:val="StyleUnderline"/>
        </w:rPr>
        <w:t>ADA</w:t>
      </w:r>
      <w:r w:rsidRPr="003003EF">
        <w:rPr>
          <w:sz w:val="16"/>
        </w:rPr>
        <w:t xml:space="preserve">) in 1990, </w:t>
      </w:r>
      <w:r w:rsidRPr="00DE49C8">
        <w:rPr>
          <w:rStyle w:val="StyleUnderline"/>
        </w:rPr>
        <w:t>no federal law prohibited the majority of</w:t>
      </w:r>
      <w:r w:rsidRPr="003003EF">
        <w:rPr>
          <w:sz w:val="16"/>
        </w:rPr>
        <w:t xml:space="preserve"> </w:t>
      </w:r>
      <w:r w:rsidRPr="00DE49C8">
        <w:rPr>
          <w:rStyle w:val="StyleUnderline"/>
        </w:rPr>
        <w:t>employers</w:t>
      </w:r>
      <w:r w:rsidRPr="003003EF">
        <w:rPr>
          <w:sz w:val="16"/>
        </w:rPr>
        <w:t xml:space="preserve">, program administrations, or owners and managers of businesses from </w:t>
      </w:r>
      <w:r w:rsidRPr="00DE49C8">
        <w:rPr>
          <w:rStyle w:val="StyleUnderline"/>
        </w:rPr>
        <w:t>discriminating against disabled peoples</w:t>
      </w:r>
      <w:r w:rsidRPr="003003EF">
        <w:rPr>
          <w:sz w:val="16"/>
        </w:rPr>
        <w:t xml:space="preserve"> once they had left school. </w:t>
      </w:r>
      <w:r w:rsidRPr="00DE49C8">
        <w:rPr>
          <w:rStyle w:val="StyleUnderline"/>
        </w:rPr>
        <w:t>Disabled Americans had continued to suffer discrimination in all domains of life,</w:t>
      </w:r>
      <w:r w:rsidRPr="003003EF">
        <w:rPr>
          <w:sz w:val="16"/>
        </w:rPr>
        <w:t xml:space="preserve"> losing ground in their struggle for equal employment opportunities over the 1980’s: Employer discrimination was so common that estimates suggested that more than 8 million disabled Americans who wanted to work were denied jobs and thus were forced to depend on government subsidies (Smith 2001). </w:t>
      </w:r>
      <w:r w:rsidRPr="00A3071B">
        <w:rPr>
          <w:rStyle w:val="StyleUnderline"/>
        </w:rPr>
        <w:t>The ADA is significant, in particular, because it was designed to reduce barriers in advance, for example, by ensuring physical access to potential sites for education and work</w:t>
      </w:r>
      <w:r w:rsidRPr="003003EF">
        <w:rPr>
          <w:sz w:val="16"/>
        </w:rPr>
        <w:t xml:space="preserve">. </w:t>
      </w:r>
      <w:r w:rsidRPr="00A3071B">
        <w:rPr>
          <w:rStyle w:val="StyleUnderline"/>
        </w:rPr>
        <w:t>By giving disabled people the right to challenge discrimination,</w:t>
      </w:r>
      <w:r w:rsidRPr="003003EF">
        <w:rPr>
          <w:sz w:val="16"/>
        </w:rPr>
        <w:t xml:space="preserve"> the ADA also encourages future investment into the education and training of disabled children and youth—</w:t>
      </w:r>
      <w:r w:rsidRPr="00A3071B">
        <w:rPr>
          <w:rStyle w:val="StyleUnderline"/>
        </w:rPr>
        <w:t>at both institutional and individual levels</w:t>
      </w:r>
      <w:r w:rsidRPr="003003EF">
        <w:rPr>
          <w:sz w:val="16"/>
        </w:rPr>
        <w:t xml:space="preserve">. Such </w:t>
      </w:r>
      <w:r w:rsidRPr="00A3071B">
        <w:rPr>
          <w:rStyle w:val="StyleUnderline"/>
        </w:rPr>
        <w:t xml:space="preserve">laws not only help to </w:t>
      </w:r>
      <w:r w:rsidRPr="00A3071B">
        <w:rPr>
          <w:rStyle w:val="Emphasis"/>
        </w:rPr>
        <w:t>shift perceptions</w:t>
      </w:r>
      <w:r w:rsidRPr="00A3071B">
        <w:rPr>
          <w:rStyle w:val="StyleUnderline"/>
        </w:rPr>
        <w:t xml:space="preserve"> of disability but also can improve self-esteem and </w:t>
      </w:r>
      <w:r w:rsidRPr="00A3071B">
        <w:rPr>
          <w:rStyle w:val="Emphasis"/>
        </w:rPr>
        <w:t>enhance career aspirations</w:t>
      </w:r>
      <w:r w:rsidRPr="00A3071B">
        <w:rPr>
          <w:rStyle w:val="StyleUnderline"/>
        </w:rPr>
        <w:t xml:space="preserve"> of people with disabilities</w:t>
      </w:r>
      <w:r w:rsidRPr="003003EF">
        <w:rPr>
          <w:sz w:val="16"/>
        </w:rPr>
        <w:t xml:space="preserve"> (Engel &amp; Munger 2003). However, despite the guarantees promised, </w:t>
      </w:r>
      <w:r w:rsidRPr="00A3071B">
        <w:rPr>
          <w:rStyle w:val="StyleUnderline"/>
        </w:rPr>
        <w:t xml:space="preserve">disability policies aiming to increase access to employment by making the workplace more accommodating have </w:t>
      </w:r>
      <w:r w:rsidRPr="00A3071B">
        <w:rPr>
          <w:rStyle w:val="Emphasis"/>
        </w:rPr>
        <w:t>met with resistance</w:t>
      </w:r>
      <w:r w:rsidRPr="00A3071B">
        <w:rPr>
          <w:rStyle w:val="StyleUnderline"/>
        </w:rPr>
        <w:t xml:space="preserve"> both from employers and judges</w:t>
      </w:r>
      <w:r w:rsidRPr="003003EF">
        <w:rPr>
          <w:sz w:val="16"/>
        </w:rPr>
        <w:t xml:space="preserve"> called upon to interpret the ADA (O’Brien 2001). The justified high hopes for this groundbreaking law have subsided because, as Ruth </w:t>
      </w:r>
      <w:proofErr w:type="spellStart"/>
      <w:r w:rsidRPr="003003EF">
        <w:rPr>
          <w:sz w:val="16"/>
        </w:rPr>
        <w:t>Colker</w:t>
      </w:r>
      <w:proofErr w:type="spellEnd"/>
      <w:r w:rsidRPr="003003EF">
        <w:rPr>
          <w:sz w:val="16"/>
        </w:rPr>
        <w:t xml:space="preserve"> (2005) argues, </w:t>
      </w:r>
      <w:r w:rsidRPr="00A3071B">
        <w:rPr>
          <w:rStyle w:val="StyleUnderline"/>
        </w:rPr>
        <w:t xml:space="preserve">the </w:t>
      </w:r>
      <w:r w:rsidRPr="00A3071B">
        <w:rPr>
          <w:rStyle w:val="Emphasis"/>
        </w:rPr>
        <w:t>public acceptance</w:t>
      </w:r>
      <w:r w:rsidRPr="00A3071B">
        <w:rPr>
          <w:rStyle w:val="StyleUnderline"/>
        </w:rPr>
        <w:t xml:space="preserve"> of persons with disabilities and their participation </w:t>
      </w:r>
      <w:r w:rsidRPr="00A3071B">
        <w:rPr>
          <w:rStyle w:val="Emphasis"/>
        </w:rPr>
        <w:t>results not from just policies and laws</w:t>
      </w:r>
      <w:r w:rsidRPr="00A3071B">
        <w:rPr>
          <w:rStyle w:val="StyleUnderline"/>
        </w:rPr>
        <w:t xml:space="preserve"> but also from societal perspectives on disability in general and the </w:t>
      </w:r>
      <w:r w:rsidRPr="00A3071B">
        <w:rPr>
          <w:rStyle w:val="Emphasis"/>
        </w:rPr>
        <w:t>attitudes of judges and juries specifically</w:t>
      </w:r>
      <w:r w:rsidRPr="003003EF">
        <w:rPr>
          <w:sz w:val="16"/>
        </w:rPr>
        <w:t xml:space="preserve">. Increasingly </w:t>
      </w:r>
      <w:r w:rsidRPr="00A3071B">
        <w:rPr>
          <w:rStyle w:val="StyleUnderline"/>
        </w:rPr>
        <w:t>negative reactions to the ADA by federal judges and the press have amounted to significant retrenchment, even “</w:t>
      </w:r>
      <w:r w:rsidRPr="00A3071B">
        <w:rPr>
          <w:rStyle w:val="Emphasis"/>
        </w:rPr>
        <w:t>backlash</w:t>
      </w:r>
      <w:r w:rsidRPr="00A3071B">
        <w:rPr>
          <w:rStyle w:val="StyleUnderline"/>
        </w:rPr>
        <w:t>”</w:t>
      </w:r>
      <w:r w:rsidRPr="003003EF">
        <w:rPr>
          <w:sz w:val="16"/>
        </w:rPr>
        <w:t xml:space="preserve"> (Krieger 2003). If Congress had passed a broad statute to protect 43 million disabled Americans, then </w:t>
      </w:r>
      <w:r w:rsidRPr="003003EF">
        <w:rPr>
          <w:rStyle w:val="StyleUnderline"/>
        </w:rPr>
        <w:t>court rulings</w:t>
      </w:r>
      <w:r w:rsidRPr="003003EF">
        <w:rPr>
          <w:sz w:val="16"/>
        </w:rPr>
        <w:t xml:space="preserve">, especially those </w:t>
      </w:r>
      <w:r w:rsidRPr="003003EF">
        <w:rPr>
          <w:rStyle w:val="Emphasis"/>
        </w:rPr>
        <w:t xml:space="preserve">by the Supreme Court, </w:t>
      </w:r>
      <w:r w:rsidRPr="003003EF">
        <w:rPr>
          <w:rStyle w:val="StyleUnderline"/>
        </w:rPr>
        <w:t xml:space="preserve">have significantly narrowed the definition of disability and thus </w:t>
      </w:r>
      <w:r w:rsidRPr="003003EF">
        <w:rPr>
          <w:rStyle w:val="Emphasis"/>
        </w:rPr>
        <w:t>reduced the protection</w:t>
      </w:r>
      <w:r w:rsidRPr="003003EF">
        <w:rPr>
          <w:rStyle w:val="StyleUnderline"/>
        </w:rPr>
        <w:t xml:space="preserve"> enacted ADA intended to offer</w:t>
      </w:r>
      <w:r w:rsidRPr="003003EF">
        <w:rPr>
          <w:sz w:val="16"/>
        </w:rPr>
        <w:t xml:space="preserve"> (</w:t>
      </w:r>
      <w:proofErr w:type="spellStart"/>
      <w:r w:rsidRPr="003003EF">
        <w:rPr>
          <w:sz w:val="16"/>
        </w:rPr>
        <w:t>Colker</w:t>
      </w:r>
      <w:proofErr w:type="spellEnd"/>
      <w:r w:rsidRPr="003003EF">
        <w:rPr>
          <w:sz w:val="16"/>
        </w:rPr>
        <w:t xml:space="preserve"> 2005). </w:t>
      </w:r>
    </w:p>
    <w:p w:rsidR="00FD6BF5" w:rsidRPr="002B7F22" w:rsidRDefault="00FD6BF5" w:rsidP="00FD6BF5">
      <w:pPr>
        <w:pStyle w:val="Heading4"/>
        <w:spacing w:line="240" w:lineRule="auto"/>
        <w:ind w:left="720" w:hanging="720"/>
      </w:pPr>
      <w:r w:rsidRPr="002B7F22">
        <w:t xml:space="preserve">SCOTUS gets modelled globally </w:t>
      </w:r>
    </w:p>
    <w:p w:rsidR="00FD6BF5" w:rsidRPr="00E348F0" w:rsidRDefault="00FD6BF5" w:rsidP="00FD6BF5">
      <w:pPr>
        <w:rPr>
          <w:rStyle w:val="Style13ptBold"/>
        </w:rPr>
      </w:pPr>
      <w:r w:rsidRPr="00E348F0">
        <w:rPr>
          <w:rStyle w:val="Style13ptBold"/>
        </w:rPr>
        <w:t>Narasimhan</w:t>
      </w:r>
      <w:r>
        <w:rPr>
          <w:rStyle w:val="Style13ptBold"/>
        </w:rPr>
        <w:t xml:space="preserve"> ’8 </w:t>
      </w:r>
      <w:r w:rsidRPr="00800AFF">
        <w:rPr>
          <w:sz w:val="16"/>
          <w:szCs w:val="16"/>
        </w:rPr>
        <w:t xml:space="preserve">(Angela; Ph.D. from the Maxwell School of Citizenship and Public Affairs of Syracuse University, Assistant Professor of Political Science at Keuka College; 3/18/08, The Syracuse Institute for the Study of the Judiciary, Politics, and the Media, “Domestic Courts, Global Changes: International Influences On The Post-Cold War Supreme Court,” </w:t>
      </w:r>
      <w:hyperlink r:id="rId11" w:history="1">
        <w:r w:rsidRPr="00800AFF">
          <w:rPr>
            <w:rStyle w:val="Hyperlink"/>
            <w:sz w:val="16"/>
            <w:szCs w:val="16"/>
          </w:rPr>
          <w:t>http://jpm.syr.edu/wp-content/uploads/2012/04/15_a.pdf</w:t>
        </w:r>
      </w:hyperlink>
      <w:r w:rsidRPr="00800AFF">
        <w:rPr>
          <w:sz w:val="16"/>
          <w:szCs w:val="16"/>
        </w:rPr>
        <w:t>, DOA: 7/1/17)</w:t>
      </w:r>
    </w:p>
    <w:p w:rsidR="00FD6BF5" w:rsidRPr="00875F80" w:rsidRDefault="00FD6BF5" w:rsidP="00FD6BF5">
      <w:pPr>
        <w:rPr>
          <w:sz w:val="16"/>
        </w:rPr>
      </w:pPr>
      <w:r w:rsidRPr="00875F80">
        <w:rPr>
          <w:sz w:val="16"/>
        </w:rPr>
        <w:t xml:space="preserve">This summer, five of the nine current </w:t>
      </w:r>
      <w:r w:rsidRPr="005C21F6">
        <w:rPr>
          <w:rStyle w:val="StyleUnderline"/>
        </w:rPr>
        <w:t>Supreme Court justices spent time overseas teaching law and attending international legal conferences</w:t>
      </w:r>
      <w:r w:rsidRPr="00875F80">
        <w:rPr>
          <w:sz w:val="16"/>
        </w:rPr>
        <w:t xml:space="preserve">. Although these same individuals continue to clash over the place of foreign law in their decision making – the travelers included both Justice Antonin Scalia, who vehemently opposes its consideration in Supreme Court decision making, and a vocal supporter, Justice Anthony Kennedy – their </w:t>
      </w:r>
      <w:r w:rsidRPr="005C21F6">
        <w:rPr>
          <w:rStyle w:val="StyleUnderline"/>
        </w:rPr>
        <w:t>willingness to travel and interact with the global legal community was not seen as out of the ordinary.</w:t>
      </w:r>
      <w:r w:rsidRPr="00875F80">
        <w:rPr>
          <w:sz w:val="16"/>
        </w:rPr>
        <w:t xml:space="preserve"> Perhaps this is because, </w:t>
      </w:r>
      <w:r w:rsidRPr="005C21F6">
        <w:rPr>
          <w:rStyle w:val="StyleUnderline"/>
        </w:rPr>
        <w:t>as members of the most prominent national judiciary in the world, such interaction is considered a natural part of these justices’ job</w:t>
      </w:r>
      <w:r w:rsidRPr="00875F80">
        <w:rPr>
          <w:sz w:val="16"/>
        </w:rPr>
        <w:t xml:space="preserve">. Indeed, </w:t>
      </w:r>
      <w:r w:rsidRPr="005C21F6">
        <w:rPr>
          <w:rStyle w:val="StyleUnderline"/>
        </w:rPr>
        <w:t>the greater context in which the Court operates has changed in recent decades</w:t>
      </w:r>
      <w:r w:rsidRPr="00875F80">
        <w:rPr>
          <w:sz w:val="16"/>
        </w:rPr>
        <w:t xml:space="preserve">. Since the end of the Cold War, </w:t>
      </w:r>
      <w:r w:rsidRPr="005C21F6">
        <w:rPr>
          <w:rStyle w:val="StyleUnderline"/>
        </w:rPr>
        <w:t xml:space="preserve">the American legal system has </w:t>
      </w:r>
      <w:r w:rsidRPr="005C21F6">
        <w:rPr>
          <w:rStyle w:val="Emphasis"/>
        </w:rPr>
        <w:t>gained visibility abroad</w:t>
      </w:r>
      <w:r w:rsidRPr="005C21F6">
        <w:rPr>
          <w:rStyle w:val="StyleUnderline"/>
        </w:rPr>
        <w:t xml:space="preserve"> through the United States’ involvement in constitution drafting and judicial reform</w:t>
      </w:r>
      <w:r w:rsidRPr="00875F80">
        <w:rPr>
          <w:sz w:val="16"/>
        </w:rPr>
        <w:t xml:space="preserve">. </w:t>
      </w:r>
      <w:r w:rsidRPr="005C21F6">
        <w:rPr>
          <w:rStyle w:val="StyleUnderline"/>
        </w:rPr>
        <w:t xml:space="preserve">Although this involvement was originally a minor part of American foreign aid and concentrated primarily on the new democracies of Europe and the former Soviet Union, it has become </w:t>
      </w:r>
      <w:r w:rsidRPr="005C21F6">
        <w:rPr>
          <w:rStyle w:val="Emphasis"/>
        </w:rPr>
        <w:t>a primary focus of U.S. democracy assistance</w:t>
      </w:r>
      <w:r w:rsidRPr="005C21F6">
        <w:rPr>
          <w:rStyle w:val="StyleUnderline"/>
        </w:rPr>
        <w:t xml:space="preserve"> across the globe in the past decade as attention has turned to the importance of securing the rule of law in </w:t>
      </w:r>
      <w:r w:rsidRPr="005C21F6">
        <w:rPr>
          <w:rStyle w:val="Emphasis"/>
        </w:rPr>
        <w:t>transitional countries</w:t>
      </w:r>
      <w:r w:rsidRPr="00875F80">
        <w:rPr>
          <w:sz w:val="16"/>
        </w:rPr>
        <w:t xml:space="preserve"> (Carothers 2005). As a result, </w:t>
      </w:r>
      <w:r w:rsidRPr="005C21F6">
        <w:rPr>
          <w:rStyle w:val="StyleUnderline"/>
        </w:rPr>
        <w:t xml:space="preserve">the prominence of our national judicial system has grown and members of foreign and international courts have become more familiar with and </w:t>
      </w:r>
      <w:r w:rsidRPr="00875F80">
        <w:rPr>
          <w:rStyle w:val="Emphasis"/>
        </w:rPr>
        <w:t>likely to consider its decisions</w:t>
      </w:r>
      <w:r w:rsidRPr="00875F80">
        <w:rPr>
          <w:sz w:val="16"/>
        </w:rPr>
        <w:t xml:space="preserve"> (Slaughter 1998). </w:t>
      </w:r>
      <w:r w:rsidRPr="00875F80">
        <w:rPr>
          <w:rStyle w:val="StyleUnderline"/>
        </w:rPr>
        <w:t>Scholars</w:t>
      </w:r>
      <w:r w:rsidRPr="00875F80">
        <w:rPr>
          <w:sz w:val="16"/>
        </w:rPr>
        <w:t xml:space="preserve"> have also </w:t>
      </w:r>
      <w:r w:rsidRPr="00875F80">
        <w:rPr>
          <w:rStyle w:val="StyleUnderline"/>
        </w:rPr>
        <w:t>linked the universalization</w:t>
      </w:r>
      <w:r w:rsidRPr="00875F80">
        <w:rPr>
          <w:sz w:val="16"/>
        </w:rPr>
        <w:t xml:space="preserve"> of and widespread international convergence </w:t>
      </w:r>
      <w:r w:rsidRPr="00875F80">
        <w:rPr>
          <w:rStyle w:val="StyleUnderline"/>
        </w:rPr>
        <w:t>on human rights’ protections in recent decades to the active exportation and influence of the U.S. Bill of Rights</w:t>
      </w:r>
      <w:r w:rsidRPr="00875F80">
        <w:rPr>
          <w:sz w:val="16"/>
        </w:rPr>
        <w:t xml:space="preserve"> (</w:t>
      </w:r>
      <w:proofErr w:type="spellStart"/>
      <w:r w:rsidRPr="00875F80">
        <w:rPr>
          <w:sz w:val="16"/>
        </w:rPr>
        <w:t>Kelemen</w:t>
      </w:r>
      <w:proofErr w:type="spellEnd"/>
      <w:r w:rsidRPr="00875F80">
        <w:rPr>
          <w:sz w:val="16"/>
        </w:rPr>
        <w:t xml:space="preserve"> and </w:t>
      </w:r>
      <w:proofErr w:type="spellStart"/>
      <w:r w:rsidRPr="00875F80">
        <w:rPr>
          <w:sz w:val="16"/>
        </w:rPr>
        <w:t>Sibbitt</w:t>
      </w:r>
      <w:proofErr w:type="spellEnd"/>
      <w:r w:rsidRPr="00875F80">
        <w:rPr>
          <w:sz w:val="16"/>
        </w:rPr>
        <w:t xml:space="preserve"> 2004). On a global scale, </w:t>
      </w:r>
      <w:r w:rsidRPr="00875F80">
        <w:rPr>
          <w:rStyle w:val="StyleUnderline"/>
        </w:rPr>
        <w:t>a rise in both formal and informal interaction between the national judiciaries of the world has also been noted</w:t>
      </w:r>
      <w:r w:rsidRPr="00875F80">
        <w:rPr>
          <w:sz w:val="16"/>
        </w:rPr>
        <w:t xml:space="preserve">. </w:t>
      </w:r>
      <w:r w:rsidRPr="00875F80">
        <w:rPr>
          <w:rStyle w:val="StyleUnderline"/>
        </w:rPr>
        <w:t xml:space="preserve">The development of an active international community of judges and legal professionals has been part of what some scholars call </w:t>
      </w:r>
      <w:r w:rsidRPr="00875F80">
        <w:rPr>
          <w:rStyle w:val="Emphasis"/>
        </w:rPr>
        <w:t>judicial globalization</w:t>
      </w:r>
      <w:r w:rsidRPr="00875F80">
        <w:rPr>
          <w:sz w:val="16"/>
        </w:rPr>
        <w:t xml:space="preserve"> (Slaughter 2005), a process </w:t>
      </w:r>
      <w:r w:rsidRPr="00875F80">
        <w:rPr>
          <w:rStyle w:val="StyleUnderline"/>
        </w:rPr>
        <w:t xml:space="preserve">in which national courts have become increasingly </w:t>
      </w:r>
      <w:r w:rsidRPr="00875F80">
        <w:rPr>
          <w:rStyle w:val="Emphasis"/>
        </w:rPr>
        <w:t>likely to communicate and</w:t>
      </w:r>
      <w:r w:rsidRPr="00875F80">
        <w:rPr>
          <w:rStyle w:val="StyleUnderline"/>
        </w:rPr>
        <w:t xml:space="preserve"> consider </w:t>
      </w:r>
      <w:proofErr w:type="spellStart"/>
      <w:r w:rsidRPr="00875F80">
        <w:rPr>
          <w:rStyle w:val="StyleUnderline"/>
        </w:rPr>
        <w:t>each others’</w:t>
      </w:r>
      <w:proofErr w:type="spellEnd"/>
      <w:r w:rsidRPr="00875F80">
        <w:rPr>
          <w:rStyle w:val="StyleUnderline"/>
        </w:rPr>
        <w:t xml:space="preserve"> decisions</w:t>
      </w:r>
      <w:r w:rsidRPr="00875F80">
        <w:rPr>
          <w:sz w:val="16"/>
        </w:rPr>
        <w:t xml:space="preserve"> (Slaughter 1997). </w:t>
      </w:r>
      <w:r w:rsidRPr="00875F80">
        <w:rPr>
          <w:rStyle w:val="StyleUnderline"/>
        </w:rPr>
        <w:t>Transnational legal activism and the involvement of non-domestic actors in domestic legal issues and cases has also become prevalent</w:t>
      </w:r>
      <w:r w:rsidRPr="00875F80">
        <w:rPr>
          <w:sz w:val="16"/>
        </w:rPr>
        <w:t xml:space="preserve"> (Keck and </w:t>
      </w:r>
      <w:proofErr w:type="spellStart"/>
      <w:r w:rsidRPr="00875F80">
        <w:rPr>
          <w:sz w:val="16"/>
        </w:rPr>
        <w:t>Sikkink</w:t>
      </w:r>
      <w:proofErr w:type="spellEnd"/>
      <w:r w:rsidRPr="00875F80">
        <w:rPr>
          <w:sz w:val="16"/>
        </w:rPr>
        <w:t xml:space="preserve"> 1998). However, when considering the increasingly global network of legal norms and actors, </w:t>
      </w:r>
      <w:r w:rsidRPr="00875F80">
        <w:rPr>
          <w:rStyle w:val="StyleUnderline"/>
        </w:rPr>
        <w:t>the United States’ role is generally considered to be limited to that of an exporter</w:t>
      </w:r>
      <w:r w:rsidRPr="00875F80">
        <w:rPr>
          <w:sz w:val="16"/>
        </w:rPr>
        <w:t>, not an importer.</w:t>
      </w:r>
    </w:p>
    <w:p w:rsidR="00FD6BF5" w:rsidRDefault="00FD6BF5" w:rsidP="00FD6BF5">
      <w:pPr>
        <w:pStyle w:val="Heading3"/>
      </w:pPr>
      <w:r>
        <w:t>Plan modeled</w:t>
      </w:r>
    </w:p>
    <w:p w:rsidR="00FD6BF5" w:rsidRDefault="00FD6BF5" w:rsidP="00FD6BF5">
      <w:pPr>
        <w:pStyle w:val="Heading4"/>
      </w:pPr>
      <w:r>
        <w:t>By improving standards people with disabilities, the U.S can help diminish the stigma on mental health and provide an example to other States</w:t>
      </w:r>
    </w:p>
    <w:p w:rsidR="00FD6BF5" w:rsidRPr="00651E92" w:rsidRDefault="00FD6BF5" w:rsidP="00FD6BF5">
      <w:proofErr w:type="spellStart"/>
      <w:r w:rsidRPr="008C3CD5">
        <w:rPr>
          <w:rFonts w:eastAsiaTheme="majorEastAsia" w:cstheme="majorBidi"/>
          <w:b/>
          <w:iCs/>
          <w:sz w:val="26"/>
        </w:rPr>
        <w:t>Zarrett</w:t>
      </w:r>
      <w:proofErr w:type="spellEnd"/>
      <w:r w:rsidRPr="008C3CD5">
        <w:rPr>
          <w:rFonts w:eastAsiaTheme="majorEastAsia" w:cstheme="majorBidi"/>
          <w:b/>
          <w:iCs/>
          <w:sz w:val="26"/>
        </w:rPr>
        <w:t xml:space="preserve"> 16</w:t>
      </w:r>
      <w:r>
        <w:t xml:space="preserve"> [ J.D. Candidate, 2017, Fordham University School of Law; B.A., 2011, University of Rochester., “TO WORK AND TO LOVE: HOW INTERNATIONAL HUMAN RIGHTS LAW CAN BE USED TO IMPROVE MENTAL HEALTH IN THE UNITED STATES”, November,2016, Fordham International Law Journal, 40 Fordham Int'l L.J. 191]</w:t>
      </w:r>
    </w:p>
    <w:p w:rsidR="00FD6BF5" w:rsidRDefault="00FD6BF5" w:rsidP="00FD6BF5">
      <w:pPr>
        <w:rPr>
          <w:sz w:val="16"/>
        </w:rPr>
      </w:pPr>
      <w:r w:rsidRPr="008C3CD5">
        <w:rPr>
          <w:rStyle w:val="StyleUnderline"/>
        </w:rPr>
        <w:t>G</w:t>
      </w:r>
      <w:r w:rsidRPr="008F3F64">
        <w:rPr>
          <w:u w:val="single"/>
        </w:rPr>
        <w:t>lobally, persons suffering from mental illness are exposed to a range of human rights violations, such as a lack of adequate care, discrimination, and civil liberty infringements</w:t>
      </w:r>
      <w:r w:rsidRPr="008C3CD5">
        <w:rPr>
          <w:sz w:val="16"/>
        </w:rPr>
        <w:t>. n375 Many of</w:t>
      </w:r>
      <w:r w:rsidRPr="008F3F64">
        <w:rPr>
          <w:u w:val="single"/>
        </w:rPr>
        <w:t xml:space="preserve"> these violations are often motivated by stigmas, myths, and misconceptions [*245] associated with mental illness</w:t>
      </w:r>
      <w:r w:rsidRPr="008C3CD5">
        <w:rPr>
          <w:sz w:val="16"/>
        </w:rPr>
        <w:t>. n376 Nonetheless, a</w:t>
      </w:r>
      <w:r w:rsidRPr="008F3F64">
        <w:rPr>
          <w:u w:val="single"/>
        </w:rPr>
        <w:t>ttitudes towards people with mental illness have changed radically over time</w:t>
      </w:r>
      <w:r w:rsidRPr="008C3CD5">
        <w:rPr>
          <w:sz w:val="16"/>
        </w:rPr>
        <w:t xml:space="preserve">. n377 Beginning in the 1970s, with the ratification of the ICESCR, there emerged an international framework of law and principles dedicated to the protection of people with disabilities. n378 With </w:t>
      </w:r>
      <w:r w:rsidRPr="00EB308B">
        <w:rPr>
          <w:u w:val="single"/>
        </w:rPr>
        <w:t>the publication of the MI Principles in 1991, and the ratification of the CRPD in 2008, mental health is slowly becoming a global priority</w:t>
      </w:r>
      <w:r w:rsidRPr="008C3CD5">
        <w:rPr>
          <w:sz w:val="16"/>
        </w:rPr>
        <w:t xml:space="preserve">. n379 </w:t>
      </w:r>
      <w:r w:rsidRPr="00EB308B">
        <w:rPr>
          <w:b/>
          <w:u w:val="single"/>
        </w:rPr>
        <w:t>WHO synthesizes the laws and principles embodied in these instruments and produces guidelines that States can utilize to modify and update their mental health legislation</w:t>
      </w:r>
      <w:r w:rsidRPr="008C3CD5">
        <w:rPr>
          <w:sz w:val="16"/>
        </w:rPr>
        <w:t xml:space="preserve">. n380 For example, </w:t>
      </w:r>
      <w:r w:rsidRPr="00EB308B">
        <w:rPr>
          <w:u w:val="single"/>
        </w:rPr>
        <w:t>WHO case studies in Australia, South Africa, and the United Kingdom illustrate examples where integration, prison reform, and supervised community treatment can be used to increase access to mental health care</w:t>
      </w:r>
      <w:r w:rsidRPr="008C3CD5">
        <w:rPr>
          <w:sz w:val="16"/>
        </w:rPr>
        <w:t>. n381 E</w:t>
      </w:r>
      <w:r w:rsidRPr="00EB308B">
        <w:rPr>
          <w:u w:val="single"/>
        </w:rPr>
        <w:t xml:space="preserve">ven though the United States is not legally obligated to enforce the right to mental health in the ICESCR, underlying principles in the Convention, along with the MI Principles and CPRD </w:t>
      </w:r>
      <w:r w:rsidRPr="00EB308B">
        <w:rPr>
          <w:b/>
          <w:u w:val="single"/>
        </w:rPr>
        <w:t>can still influence reform.</w:t>
      </w:r>
      <w:r w:rsidRPr="00EB308B">
        <w:rPr>
          <w:u w:val="single"/>
        </w:rPr>
        <w:t xml:space="preserve"> </w:t>
      </w:r>
      <w:r w:rsidRPr="008C3CD5">
        <w:rPr>
          <w:sz w:val="16"/>
        </w:rPr>
        <w:t>n382 Despite some progress, h</w:t>
      </w:r>
      <w:r w:rsidRPr="00EB308B">
        <w:rPr>
          <w:u w:val="single"/>
        </w:rPr>
        <w:t>uman rights violations still occur repeatedly. n383 However, legislatures, mental health professionals, law enforcement, and individuals can begin working to evaluate how integration, education, uniform standards</w:t>
      </w:r>
      <w:r w:rsidRPr="008C3CD5">
        <w:rPr>
          <w:sz w:val="16"/>
        </w:rPr>
        <w:t xml:space="preserve"> across prisons, and modified outpatient treatment can start to tackle the mental health crisis. n384 Although </w:t>
      </w:r>
      <w:r w:rsidRPr="00EB308B">
        <w:rPr>
          <w:u w:val="single"/>
        </w:rPr>
        <w:t>there are legitimate barriers to reform-</w:t>
      </w:r>
      <w:r w:rsidRPr="008C3CD5">
        <w:rPr>
          <w:sz w:val="16"/>
        </w:rPr>
        <w:t xml:space="preserve">-such as funding, resources, and political divisiveness--it has the </w:t>
      </w:r>
      <w:r w:rsidRPr="00EB308B">
        <w:rPr>
          <w:u w:val="single"/>
        </w:rPr>
        <w:t>potential to save money in the long-term, and more importantly, can make lives remarkably better.</w:t>
      </w:r>
      <w:r w:rsidRPr="008C3CD5">
        <w:rPr>
          <w:sz w:val="16"/>
        </w:rPr>
        <w:t xml:space="preserve"> n385 For example,</w:t>
      </w:r>
      <w:r w:rsidRPr="008C3CD5">
        <w:rPr>
          <w:u w:val="single"/>
        </w:rPr>
        <w:t xml:space="preserve"> Billy-</w:t>
      </w:r>
      <w:r w:rsidRPr="008C3CD5">
        <w:rPr>
          <w:sz w:val="16"/>
        </w:rPr>
        <w:t xml:space="preserve">-an </w:t>
      </w:r>
      <w:r w:rsidRPr="008C3CD5">
        <w:rPr>
          <w:u w:val="single"/>
        </w:rPr>
        <w:t>individual suffering from schizophrenia</w:t>
      </w:r>
      <w:r w:rsidRPr="008C3CD5">
        <w:rPr>
          <w:sz w:val="16"/>
        </w:rPr>
        <w:t xml:space="preserve">--was </w:t>
      </w:r>
      <w:r w:rsidRPr="008C3CD5">
        <w:rPr>
          <w:u w:val="single"/>
        </w:rPr>
        <w:t xml:space="preserve">transferred from a prison to a treatment facility because the United Kingdom's infrastructure, attitude towards [*246] mental health, and interpretation of international law establishes a solid foundation to protect the rights of the mentally ill. n386 However, many stories unfold differently in the United States. n387 Tom Pelletier might still be </w:t>
      </w:r>
      <w:r w:rsidRPr="008C3CD5">
        <w:rPr>
          <w:sz w:val="16"/>
        </w:rPr>
        <w:t xml:space="preserve">living in the home where he raised his family had he and his wife not been intimidated by the stigma of mental illness. n388 Madison </w:t>
      </w:r>
      <w:proofErr w:type="spellStart"/>
      <w:r w:rsidRPr="008C3CD5">
        <w:rPr>
          <w:sz w:val="16"/>
        </w:rPr>
        <w:t>Holleran</w:t>
      </w:r>
      <w:proofErr w:type="spellEnd"/>
      <w:r w:rsidRPr="008C3CD5">
        <w:rPr>
          <w:sz w:val="16"/>
        </w:rPr>
        <w:t xml:space="preserve"> could have graduated with a degree from an Ivy League university. n389 Timothy Perry might still be alive.</w:t>
      </w:r>
    </w:p>
    <w:p w:rsidR="00FD6BF5" w:rsidRDefault="00FD6BF5" w:rsidP="00FD6BF5">
      <w:pPr>
        <w:pStyle w:val="Heading4"/>
      </w:pPr>
      <w:r>
        <w:t xml:space="preserve">CRPD is key to model human rights worldwide </w:t>
      </w:r>
    </w:p>
    <w:p w:rsidR="00FD6BF5" w:rsidRPr="00A0220C" w:rsidRDefault="00FD6BF5" w:rsidP="00FD6BF5">
      <w:r>
        <w:t xml:space="preserve">Theresia </w:t>
      </w:r>
      <w:proofErr w:type="spellStart"/>
      <w:r w:rsidRPr="004633D3">
        <w:rPr>
          <w:rStyle w:val="Style13ptBold"/>
        </w:rPr>
        <w:t>Degener</w:t>
      </w:r>
      <w:proofErr w:type="spellEnd"/>
      <w:r w:rsidRPr="004633D3">
        <w:rPr>
          <w:rStyle w:val="Style13ptBold"/>
        </w:rPr>
        <w:t xml:space="preserve"> 08/25/16</w:t>
      </w:r>
      <w:r>
        <w:t xml:space="preserve">  [Department of Social Work, Education and </w:t>
      </w:r>
      <w:proofErr w:type="spellStart"/>
      <w:r>
        <w:t>Diaconia</w:t>
      </w:r>
      <w:proofErr w:type="spellEnd"/>
      <w:r>
        <w:t xml:space="preserve">, Protestant University of Applied Sciences “Disability in a Human Rights Context” accessed 7/1/17 </w:t>
      </w:r>
      <w:hyperlink r:id="rId12" w:history="1">
        <w:r w:rsidRPr="00C9403A">
          <w:rPr>
            <w:rStyle w:val="Hyperlink"/>
          </w:rPr>
          <w:t>https://pdfs.semanticscholar.org/3aa1/a24b17619d10035aeebabbb16ca13d406001.pdf</w:t>
        </w:r>
      </w:hyperlink>
      <w:r>
        <w:t xml:space="preserve"> </w:t>
      </w:r>
      <w:proofErr w:type="spellStart"/>
      <w:r>
        <w:t>rs</w:t>
      </w:r>
      <w:proofErr w:type="spellEnd"/>
      <w:r>
        <w:t>]</w:t>
      </w:r>
    </w:p>
    <w:p w:rsidR="00FD6BF5" w:rsidRDefault="00FD6BF5" w:rsidP="00FD6BF5">
      <w:pPr>
        <w:rPr>
          <w:sz w:val="16"/>
        </w:rPr>
      </w:pPr>
      <w:r w:rsidRPr="00A0220C">
        <w:rPr>
          <w:rStyle w:val="StyleUnderline"/>
        </w:rPr>
        <w:t>The United Nations Convention on the Rights of Persons with Disabilities</w:t>
      </w:r>
      <w:r w:rsidRPr="004633D3">
        <w:rPr>
          <w:sz w:val="14"/>
        </w:rPr>
        <w:t xml:space="preserve"> (CRPD) [1] </w:t>
      </w:r>
      <w:r w:rsidRPr="00A0220C">
        <w:rPr>
          <w:rStyle w:val="StyleUnderline"/>
        </w:rPr>
        <w:t>of 2006 has had profound impact on disability law and human rights law globally.</w:t>
      </w:r>
      <w:r w:rsidRPr="004633D3">
        <w:rPr>
          <w:sz w:val="14"/>
        </w:rPr>
        <w:t xml:space="preserve"> With 162 State Parties the Convention has reached more than 80% universal ratification for its 10th anniversary. </w:t>
      </w:r>
      <w:r w:rsidRPr="00A0220C">
        <w:rPr>
          <w:rStyle w:val="StyleUnderline"/>
        </w:rPr>
        <w:t>Most State Parties have reviewed and revised domestic disability law and have established National Monitoring Mechanisms as prescribed by the Convention. The CRPD seeks to bring about a paradigm shift in disability policy that is based on a new understanding of disabled persons as right holders and human rights subjects</w:t>
      </w:r>
      <w:r w:rsidRPr="004633D3">
        <w:rPr>
          <w:sz w:val="14"/>
        </w:rPr>
        <w:t xml:space="preserve">. The theoretical background for this change is a modern model of disability as developed in disability studies and recent group oriented approaches in modern human rights law. </w:t>
      </w:r>
      <w:r w:rsidRPr="00A0220C">
        <w:rPr>
          <w:rStyle w:val="StyleUnderline"/>
        </w:rPr>
        <w:t>According to Article 1 the purpose of the CRPD “to promote, protect and ensure the full and equal enjoyment of all human rights and fundamental freedoms by all persons with disabilities, and to promote respect for their inherent dignity</w:t>
      </w:r>
      <w:r w:rsidRPr="004633D3">
        <w:rPr>
          <w:sz w:val="14"/>
        </w:rPr>
        <w:t>.” It is the first human rights instrument which acknowledges that all disabled persons are right holders and that impairment may not be used as a justification for denial or restrictions of human rights</w:t>
      </w:r>
      <w:r w:rsidRPr="00A0220C">
        <w:rPr>
          <w:rStyle w:val="StyleUnderline"/>
        </w:rPr>
        <w:t>. Such an approach recognizes that disability is a social construct which is created when impairment interacts with societal barriers. It is based on a new thinking about disability which is usually described as a paradigm shift from the medical to the social model of disability</w:t>
      </w:r>
      <w:r w:rsidRPr="004633D3">
        <w:rPr>
          <w:sz w:val="14"/>
        </w:rPr>
        <w:t xml:space="preserve">. The theoretical background is disability studies, a multidisciplinary research school that has emerged from disability rights movements in the UK and USA some 30 years ago. The debate about medical versus social model of disability has been the central focus during the first two decades and several scholars have emphasized that disability studies have moved on to new, less dichotomist Laws 2016, 5, 35; doi:10.3390/laws5030035 www.mdpi.com/journal/laws Laws 2016, 5, 35 2 of 24 models such as the political/relational approach of Alison </w:t>
      </w:r>
      <w:proofErr w:type="spellStart"/>
      <w:r w:rsidRPr="004633D3">
        <w:rPr>
          <w:sz w:val="14"/>
        </w:rPr>
        <w:t>Kafer</w:t>
      </w:r>
      <w:proofErr w:type="spellEnd"/>
      <w:r w:rsidRPr="004633D3">
        <w:rPr>
          <w:sz w:val="14"/>
        </w:rPr>
        <w:t xml:space="preserve"> ([2], p. 7). While it is true that the dichotomy between medical and social model of disability is an outdated subject for disability studies discourse, it has gained new attention within legal discourse. </w:t>
      </w:r>
      <w:r w:rsidRPr="00A0220C">
        <w:rPr>
          <w:rStyle w:val="StyleUnderline"/>
        </w:rPr>
        <w:t>During the negotiations of the CRPD the medical and social model played a pivotal role</w:t>
      </w:r>
      <w:r w:rsidRPr="004633D3">
        <w:rPr>
          <w:sz w:val="14"/>
        </w:rPr>
        <w:t xml:space="preserve">. During the first decade of its existence the CRPD has been the catalyst for many law and policy reforms, which relate to the shift from, medical to the social model of disability. </w:t>
      </w:r>
      <w:r w:rsidRPr="00A0220C">
        <w:rPr>
          <w:rStyle w:val="StyleUnderline"/>
        </w:rPr>
        <w:t xml:space="preserve">It is important to understand the new model of disability, which is supposed to be the foundation of modern disability law. </w:t>
      </w:r>
      <w:r w:rsidRPr="004633D3">
        <w:rPr>
          <w:sz w:val="14"/>
        </w:rPr>
        <w:t>Hence it is necessary to address the issue of disability model again. During the negotiations, reference was usually made to the social model of disability, which should replace the medical model of disability</w:t>
      </w:r>
      <w:r w:rsidRPr="00A0220C">
        <w:rPr>
          <w:rStyle w:val="StyleUnderline"/>
        </w:rPr>
        <w:t>. While the latter reduces disability to a medical phenomenon of impairment, the first takes a social-contextual approach to disability. Persons with disabilities are described as “those who have long-term physical, mental, intellectual or sensory impairments which in interaction with various barriers may hinder their full and effective participation in society on an equal basis with others.”([</w:t>
      </w:r>
      <w:r w:rsidRPr="004633D3">
        <w:rPr>
          <w:sz w:val="14"/>
        </w:rPr>
        <w:t xml:space="preserve">1], art. 1). Disability as a social construct is the main feature of the social model of disability. </w:t>
      </w:r>
      <w:r w:rsidRPr="00A0220C">
        <w:rPr>
          <w:rStyle w:val="StyleUnderline"/>
        </w:rPr>
        <w:t>However, it is opined that the CRPD is based on the human rights model of disability, which moves beyond the social model</w:t>
      </w:r>
      <w:r w:rsidRPr="004633D3">
        <w:rPr>
          <w:sz w:val="14"/>
        </w:rPr>
        <w:t xml:space="preserve">. </w:t>
      </w:r>
      <w:r w:rsidRPr="00A0220C">
        <w:rPr>
          <w:rStyle w:val="Emphasis"/>
        </w:rPr>
        <w:t>The CRPD also significantly impacts on international human rights law and its system.</w:t>
      </w:r>
      <w:r w:rsidRPr="004633D3">
        <w:rPr>
          <w:sz w:val="14"/>
        </w:rPr>
        <w:t xml:space="preserve"> </w:t>
      </w:r>
      <w:r w:rsidRPr="00A0220C">
        <w:rPr>
          <w:rStyle w:val="StyleUnderline"/>
        </w:rPr>
        <w:t>The CRPD Committee, established in 2009, consists of 18 independent experts of whom all but one, are disabled persons</w:t>
      </w:r>
      <w:r w:rsidRPr="00A0220C">
        <w:rPr>
          <w:rStyle w:val="Emphasis"/>
        </w:rPr>
        <w:t>. No other treaty body has had such a high number of experts with impairments. As a consequence accessibility of UN buildings and information and communication systems became an issue.</w:t>
      </w:r>
      <w:r w:rsidRPr="004633D3">
        <w:rPr>
          <w:sz w:val="14"/>
        </w:rPr>
        <w:t xml:space="preserve"> A Secretariat-Wide Inter-Departmental Task Force on Accessibility has been established and several resolutions on making the United Nations more accessible and inclusive for persons with disabilities have been adopted [3]. </w:t>
      </w:r>
      <w:r w:rsidRPr="00A0220C">
        <w:rPr>
          <w:rStyle w:val="StyleUnderline"/>
        </w:rPr>
        <w:t>The CRPD is a modern human rights treaty with many innovative provisions.</w:t>
      </w:r>
      <w:r w:rsidRPr="004633D3">
        <w:rPr>
          <w:sz w:val="14"/>
        </w:rPr>
        <w:t xml:space="preserve"> </w:t>
      </w:r>
      <w:r w:rsidRPr="00A0220C">
        <w:rPr>
          <w:rStyle w:val="StyleUnderline"/>
        </w:rPr>
        <w:t>For example, State Parties have to establish a national human rights mechanism, the Convention allowed the EU to become a member as a regional integration organization, it has two standalone development provisions, but most significantly it modernizes international equality law</w:t>
      </w:r>
      <w:r w:rsidRPr="004633D3">
        <w:rPr>
          <w:sz w:val="14"/>
        </w:rPr>
        <w:t xml:space="preserve"> ([1], art. 11, 32, 33, 42). As Andrea Broderick has analyzed recently: “</w:t>
      </w:r>
      <w:r w:rsidRPr="00A0220C">
        <w:rPr>
          <w:rStyle w:val="StyleUnderline"/>
        </w:rPr>
        <w:t>From a theoretical and comparative perspective, it can be said with certainty that the CRPD goes further in its approach to equality than previous international human rights instruments</w:t>
      </w:r>
      <w:r w:rsidRPr="004633D3">
        <w:rPr>
          <w:sz w:val="14"/>
        </w:rPr>
        <w:t>” ([4], p. 149).</w:t>
      </w:r>
      <w:r w:rsidRPr="004633D3">
        <w:rPr>
          <w:sz w:val="14"/>
        </w:rPr>
        <w:tab/>
      </w:r>
    </w:p>
    <w:p w:rsidR="00FD6BF5" w:rsidRPr="008C3CD5" w:rsidRDefault="00FD6BF5" w:rsidP="00FD6BF5">
      <w:pPr>
        <w:rPr>
          <w:sz w:val="16"/>
        </w:rPr>
      </w:pPr>
    </w:p>
    <w:p w:rsidR="00FD6BF5" w:rsidRPr="00C6319F" w:rsidRDefault="00FD6BF5" w:rsidP="00FD6BF5"/>
    <w:p w:rsidR="002C01B0" w:rsidRDefault="002C01B0" w:rsidP="00EF7142">
      <w:pPr>
        <w:pStyle w:val="Heading3"/>
      </w:pPr>
      <w:r>
        <w:t>AT: Alt Causes</w:t>
      </w:r>
    </w:p>
    <w:p w:rsidR="002C01B0" w:rsidRDefault="002C01B0" w:rsidP="002C01B0">
      <w:pPr>
        <w:pStyle w:val="Heading4"/>
      </w:pPr>
      <w:r>
        <w:t>US seclusion of student with disabilities in the status quo results in the US failing to abide by international human rights norms</w:t>
      </w:r>
    </w:p>
    <w:p w:rsidR="002C01B0" w:rsidRPr="001626C5" w:rsidRDefault="002C01B0" w:rsidP="002C01B0">
      <w:proofErr w:type="spellStart"/>
      <w:r w:rsidRPr="003D5CC0">
        <w:rPr>
          <w:rStyle w:val="Style13ptBold"/>
        </w:rPr>
        <w:t>Weissbrodtt</w:t>
      </w:r>
      <w:proofErr w:type="spellEnd"/>
      <w:r w:rsidRPr="003D5CC0">
        <w:rPr>
          <w:rStyle w:val="Style13ptBold"/>
        </w:rPr>
        <w:t xml:space="preserve"> et al. 12 –</w:t>
      </w:r>
      <w:r>
        <w:t xml:space="preserve"> Regents Professor of Law and </w:t>
      </w:r>
      <w:proofErr w:type="spellStart"/>
      <w:r>
        <w:t>Fredrikson</w:t>
      </w:r>
      <w:proofErr w:type="spellEnd"/>
      <w:r>
        <w:t xml:space="preserve"> &amp; Byron Professor of Law, University of Minnesota Law School; </w:t>
      </w:r>
      <w:r w:rsidRPr="007E09BC">
        <w:t>Willy Madeira</w:t>
      </w:r>
      <w:r>
        <w:t xml:space="preserve"> J.D.</w:t>
      </w:r>
      <w:r w:rsidRPr="007E09BC">
        <w:t xml:space="preserve"> University of Minnesota</w:t>
      </w:r>
      <w:r>
        <w:t xml:space="preserve">; </w:t>
      </w:r>
      <w:r w:rsidRPr="007E09BC">
        <w:t>Daniel Stewar</w:t>
      </w:r>
      <w:r>
        <w:t xml:space="preserve">t J.D. and Ph.D., Minnesota Disability Law Center, Minneapolis, Minnesota; </w:t>
      </w:r>
      <w:r w:rsidRPr="007E09BC">
        <w:t>William Dike</w:t>
      </w:r>
      <w:r>
        <w:t xml:space="preserve"> </w:t>
      </w:r>
      <w:r w:rsidRPr="007E09BC">
        <w:t>M.D., Independent Consulting Psychiatrist, Minneapolis, Minnesota</w:t>
      </w:r>
      <w:r>
        <w:br/>
      </w:r>
      <w:r w:rsidRPr="007E09BC">
        <w:t>David</w:t>
      </w:r>
      <w:r>
        <w:t>, “</w:t>
      </w:r>
      <w:r w:rsidRPr="00146177">
        <w:t>Applying International Human Rights Standards to the Restraint and Seclusion of Students with Disabilities</w:t>
      </w:r>
      <w:r>
        <w:t xml:space="preserve">,” </w:t>
      </w:r>
      <w:r w:rsidRPr="007E09BC">
        <w:t>http://scholarship.law.umn.edu/cgi/viewcontent.cgi?article=1369&amp;context=faculty_articles</w:t>
      </w:r>
    </w:p>
    <w:p w:rsidR="002C01B0" w:rsidRDefault="002C01B0" w:rsidP="002C01B0">
      <w:pPr>
        <w:rPr>
          <w:rStyle w:val="StyleUnderline"/>
        </w:rPr>
      </w:pPr>
      <w:r w:rsidRPr="001626C5">
        <w:rPr>
          <w:sz w:val="16"/>
        </w:rPr>
        <w:t xml:space="preserve">Conclusion and Recommendations </w:t>
      </w:r>
      <w:r w:rsidRPr="00A579AE">
        <w:rPr>
          <w:rStyle w:val="StyleUnderline"/>
        </w:rPr>
        <w:t>The United States</w:t>
      </w:r>
      <w:r w:rsidRPr="001626C5">
        <w:rPr>
          <w:sz w:val="16"/>
        </w:rPr>
        <w:t xml:space="preserve">, as a party to both the Civil and Political Covenant and Convention against Torture, </w:t>
      </w:r>
      <w:r w:rsidRPr="00A579AE">
        <w:rPr>
          <w:rStyle w:val="StyleUnderline"/>
        </w:rPr>
        <w:t>is obligated to guard against any restraint or seclusion of school children which violates their common prohibition on cruel, inhuman or degrading treatment or punishment.</w:t>
      </w:r>
      <w:r w:rsidRPr="001626C5">
        <w:rPr>
          <w:sz w:val="16"/>
        </w:rPr>
        <w:t xml:space="preserve">[132] International norms establish further expectations for protection of children in schools, particularly those with disabilities. </w:t>
      </w:r>
      <w:r w:rsidRPr="00A579AE">
        <w:rPr>
          <w:rStyle w:val="StyleUnderline"/>
        </w:rPr>
        <w:t>The Convention on the Rights of Persons with Disabilities imposes extensive obligations on the State to accommodate children with disabilities to prevent discrimination and provide them equal educational opportunities with other children.</w:t>
      </w:r>
      <w:r w:rsidRPr="001626C5">
        <w:rPr>
          <w:sz w:val="16"/>
        </w:rPr>
        <w:t xml:space="preserve">[133] Additionally, both </w:t>
      </w:r>
      <w:r w:rsidRPr="00A579AE">
        <w:rPr>
          <w:rStyle w:val="StyleUnderline"/>
        </w:rPr>
        <w:t>the Convention on the Rights of the Child</w:t>
      </w:r>
      <w:r w:rsidRPr="001626C5">
        <w:rPr>
          <w:sz w:val="16"/>
        </w:rPr>
        <w:t xml:space="preserve"> and the Covenant on Economic, Social and Cultural Rights </w:t>
      </w:r>
      <w:r w:rsidRPr="00A579AE">
        <w:rPr>
          <w:rStyle w:val="StyleUnderline"/>
        </w:rPr>
        <w:t>establish duties to accommodate students with disabilities and provide them the highest attainable standard of health</w:t>
      </w:r>
      <w:r w:rsidRPr="001626C5">
        <w:rPr>
          <w:sz w:val="16"/>
        </w:rPr>
        <w:t xml:space="preserve">.[134] </w:t>
      </w:r>
      <w:r w:rsidRPr="00A579AE">
        <w:rPr>
          <w:rStyle w:val="StyleUnderline"/>
        </w:rPr>
        <w:t xml:space="preserve">When, as in the U.S., physical restraints and seclusion are imposed disproportionately, repeatedly, or excessively on students with disabilities, </w:t>
      </w:r>
      <w:r w:rsidRPr="001626C5">
        <w:rPr>
          <w:rStyle w:val="Emphasis"/>
        </w:rPr>
        <w:t>the government is failing to meet the basic human rights of these students and thus violates international norms</w:t>
      </w:r>
      <w:r w:rsidRPr="00A579AE">
        <w:rPr>
          <w:rStyle w:val="StyleUnderline"/>
        </w:rPr>
        <w:t>.</w:t>
      </w:r>
      <w:r w:rsidRPr="001626C5">
        <w:rPr>
          <w:sz w:val="16"/>
        </w:rPr>
        <w:t xml:space="preserve">[135] The United States can rely on these international human rights norms, as well as current research literature, to develop legislation on a national level.[136] </w:t>
      </w:r>
      <w:r w:rsidRPr="00A579AE">
        <w:rPr>
          <w:rStyle w:val="StyleUnderline"/>
        </w:rPr>
        <w:t>To reflect such international standards and research, legislation should focus on accountability through required documentation and regular reviews of the use of restraint and seclusion on individual and systemic levels</w:t>
      </w:r>
      <w:r w:rsidRPr="001626C5">
        <w:rPr>
          <w:sz w:val="16"/>
        </w:rPr>
        <w:t xml:space="preserve">.[137] It should mandate appropriate training for school employees, </w:t>
      </w:r>
      <w:r w:rsidRPr="001626C5">
        <w:rPr>
          <w:rStyle w:val="Emphasis"/>
        </w:rPr>
        <w:t>stricter standards on when restraint or seclusion is permitted</w:t>
      </w:r>
      <w:r w:rsidRPr="001626C5">
        <w:rPr>
          <w:sz w:val="16"/>
        </w:rPr>
        <w:t xml:space="preserve">, procedures to ensure restraint or seclusion are being applied safely, and prevention and reduction strategies. </w:t>
      </w:r>
      <w:r w:rsidRPr="001626C5">
        <w:rPr>
          <w:rStyle w:val="StyleUnderline"/>
        </w:rPr>
        <w:t>This legislation must also prohibit unjustifiable procedures, require reasonable accommodations to ensure access to education, and prevent discrimination. By enacting such laws in defense of human rights, the United States can halt the disproportionate infliction of trauma and mistreatment on some of its most vulnerable citizens.</w:t>
      </w:r>
    </w:p>
    <w:p w:rsidR="002C01B0" w:rsidRDefault="002C01B0" w:rsidP="002C01B0">
      <w:pPr>
        <w:rPr>
          <w:rStyle w:val="StyleUnderline"/>
        </w:rPr>
      </w:pPr>
    </w:p>
    <w:p w:rsidR="002C01B0" w:rsidRDefault="002C01B0" w:rsidP="002C01B0">
      <w:pPr>
        <w:pStyle w:val="Heading4"/>
      </w:pPr>
      <w:r>
        <w:t xml:space="preserve">Over 100 nations have already ratified a convention that guarantees least restrictive environments, US failure to do so results in hypocrisy </w:t>
      </w:r>
    </w:p>
    <w:p w:rsidR="002C01B0" w:rsidRPr="001B2BB8" w:rsidRDefault="002C01B0" w:rsidP="002C01B0">
      <w:proofErr w:type="spellStart"/>
      <w:r w:rsidRPr="003D5CC0">
        <w:rPr>
          <w:rStyle w:val="Style13ptBold"/>
        </w:rPr>
        <w:t>Weissbrodtt</w:t>
      </w:r>
      <w:proofErr w:type="spellEnd"/>
      <w:r w:rsidRPr="003D5CC0">
        <w:rPr>
          <w:rStyle w:val="Style13ptBold"/>
        </w:rPr>
        <w:t xml:space="preserve"> et al. 12 –</w:t>
      </w:r>
      <w:r>
        <w:t xml:space="preserve"> Regents Professor of Law and </w:t>
      </w:r>
      <w:proofErr w:type="spellStart"/>
      <w:r>
        <w:t>Fredrikson</w:t>
      </w:r>
      <w:proofErr w:type="spellEnd"/>
      <w:r>
        <w:t xml:space="preserve"> &amp; Byron Professor of Law, University of Minnesota Law School; </w:t>
      </w:r>
      <w:r w:rsidRPr="007E09BC">
        <w:t>Willy Madeira</w:t>
      </w:r>
      <w:r>
        <w:t xml:space="preserve"> J.D.</w:t>
      </w:r>
      <w:r w:rsidRPr="007E09BC">
        <w:t xml:space="preserve"> University of Minnesota</w:t>
      </w:r>
      <w:r>
        <w:t xml:space="preserve">; </w:t>
      </w:r>
      <w:r w:rsidRPr="007E09BC">
        <w:t>Daniel Stewar</w:t>
      </w:r>
      <w:r>
        <w:t xml:space="preserve">t J.D. and Ph.D., Minnesota Disability Law Center, Minneapolis, Minnesota; </w:t>
      </w:r>
      <w:r w:rsidRPr="007E09BC">
        <w:t>William Dike</w:t>
      </w:r>
      <w:r>
        <w:t xml:space="preserve"> </w:t>
      </w:r>
      <w:r w:rsidRPr="007E09BC">
        <w:t>M.D., Independent Consulting Psychiatrist, Minneapolis, Minnesota</w:t>
      </w:r>
      <w:r>
        <w:br/>
      </w:r>
      <w:r w:rsidRPr="007E09BC">
        <w:t>David</w:t>
      </w:r>
      <w:r>
        <w:t>, “</w:t>
      </w:r>
      <w:r w:rsidRPr="00146177">
        <w:t>Applying International Human Rights Standards to the Restraint and Seclusion of Students with Disabilities</w:t>
      </w:r>
      <w:r>
        <w:t xml:space="preserve">,” </w:t>
      </w:r>
      <w:r w:rsidRPr="007E09BC">
        <w:t>http://scholarship.law.umn.edu/cgi/viewcontent.cgi?article=1369&amp;context=faculty_articles</w:t>
      </w:r>
    </w:p>
    <w:p w:rsidR="002C01B0" w:rsidRDefault="002C01B0" w:rsidP="002C01B0">
      <w:pPr>
        <w:rPr>
          <w:sz w:val="16"/>
        </w:rPr>
      </w:pPr>
      <w:r w:rsidRPr="001B2BB8">
        <w:rPr>
          <w:sz w:val="16"/>
        </w:rPr>
        <w:t xml:space="preserve">Convention on the Rights of Persons with Disabilities In December 2006 the </w:t>
      </w:r>
      <w:r w:rsidRPr="002632D4">
        <w:rPr>
          <w:rStyle w:val="StyleUnderline"/>
        </w:rPr>
        <w:t>United Nations adopted the Convention on the Rights of Persons with Disabilities</w:t>
      </w:r>
      <w:r w:rsidRPr="001B2BB8">
        <w:rPr>
          <w:sz w:val="16"/>
        </w:rPr>
        <w:t xml:space="preserve">,[73] </w:t>
      </w:r>
      <w:r w:rsidRPr="002632D4">
        <w:rPr>
          <w:rStyle w:val="StyleUnderline"/>
        </w:rPr>
        <w:t xml:space="preserve">which has </w:t>
      </w:r>
      <w:r w:rsidRPr="002632D4">
        <w:rPr>
          <w:rStyle w:val="Emphasis"/>
        </w:rPr>
        <w:t>since been ratified by 103 nations. The United States has</w:t>
      </w:r>
      <w:r w:rsidRPr="002632D4">
        <w:rPr>
          <w:rStyle w:val="StyleUnderline"/>
        </w:rPr>
        <w:t xml:space="preserve"> signed the Convention but not yet </w:t>
      </w:r>
      <w:r w:rsidRPr="002632D4">
        <w:rPr>
          <w:rStyle w:val="Emphasis"/>
        </w:rPr>
        <w:t>ratified it</w:t>
      </w:r>
      <w:r w:rsidRPr="002632D4">
        <w:rPr>
          <w:rStyle w:val="StyleUnderline"/>
        </w:rPr>
        <w:t>.</w:t>
      </w:r>
      <w:r>
        <w:rPr>
          <w:rStyle w:val="StyleUnderline"/>
        </w:rPr>
        <w:t xml:space="preserve"> </w:t>
      </w:r>
      <w:r w:rsidRPr="002632D4">
        <w:rPr>
          <w:rStyle w:val="StyleUnderline"/>
        </w:rPr>
        <w:t>Despite the U.S.’s reluctance to become a party, the Convention reflects a “‘paradigm shift’ in the way we think about and treat persons with disabilities.</w:t>
      </w:r>
      <w:r w:rsidRPr="001B2BB8">
        <w:rPr>
          <w:sz w:val="16"/>
        </w:rPr>
        <w:t xml:space="preserve">”[74] Its creation of a “universal standard” for the human rights of persons with disabilities advances international norms that have potential to increase the protection of students with disabilities in the U.S..[75] The convention marks the first treaty specifically focused on the rights of persons with disabilities that creates enforceable obligations for party governments.[76] The purpose of the Convention is to guarantee persons with disabilities the same rights enjoyed by others, including the right to health and the right to education.[77] As such, </w:t>
      </w:r>
      <w:r w:rsidRPr="002632D4">
        <w:rPr>
          <w:rStyle w:val="StyleUnderline"/>
        </w:rPr>
        <w:t>the Convention does not recognize any new rights of persons with disabilities, but rather seeks to clarify the duties of states to protect rights recognized in previous instrument – such as the Civil and Political Covenant and the Covenant on Economic, Social, and Cultural Rights – as they apply to persons with disabilities</w:t>
      </w:r>
      <w:r w:rsidRPr="001B2BB8">
        <w:rPr>
          <w:sz w:val="16"/>
        </w:rPr>
        <w:t xml:space="preserve">.[78] The Convention does not define “disability,” acknowledging that the concept of disability is evolving.[79] The convention, however, does say that “disabled persons” includes “those who have long-term physical, mental, intellectual or sensory impairments which in interaction with various barriers may hinder their full and effective participation in society on an equal basis with others.”[80] This approach differs from the definitions used in previous instruments in that it explicitly endorses the social model of disability, identifying disabled persons in terms of the obstacles they face to full participation in society, rather than in medical terms.[81] </w:t>
      </w:r>
      <w:r w:rsidRPr="001B2BB8">
        <w:rPr>
          <w:rStyle w:val="StyleUnderline"/>
        </w:rPr>
        <w:t>The Convention also “</w:t>
      </w:r>
      <w:proofErr w:type="spellStart"/>
      <w:r w:rsidRPr="001B2BB8">
        <w:rPr>
          <w:rStyle w:val="StyleUnderline"/>
        </w:rPr>
        <w:t>reconceptualizes</w:t>
      </w:r>
      <w:proofErr w:type="spellEnd"/>
      <w:r w:rsidRPr="001B2BB8">
        <w:rPr>
          <w:rStyle w:val="StyleUnderline"/>
        </w:rPr>
        <w:t>” mental health rights as disability rights, thereby including in its coverage children with mental disabilities who may be more prone to suffer restraints and seclusions in school</w:t>
      </w:r>
      <w:r w:rsidRPr="001B2BB8">
        <w:rPr>
          <w:sz w:val="16"/>
        </w:rPr>
        <w:t xml:space="preserve">.[82] </w:t>
      </w:r>
      <w:r w:rsidRPr="001B2BB8">
        <w:rPr>
          <w:rStyle w:val="StyleUnderline"/>
        </w:rPr>
        <w:t xml:space="preserve">The Convention contains a number of provisions which are implicated when a </w:t>
      </w:r>
      <w:r w:rsidRPr="001B2BB8">
        <w:rPr>
          <w:rStyle w:val="Emphasis"/>
        </w:rPr>
        <w:t>child with a disability is</w:t>
      </w:r>
      <w:r w:rsidRPr="001B2BB8">
        <w:rPr>
          <w:rStyle w:val="StyleUnderline"/>
        </w:rPr>
        <w:t xml:space="preserve"> restrained or </w:t>
      </w:r>
      <w:r w:rsidRPr="001B2BB8">
        <w:rPr>
          <w:rStyle w:val="Emphasis"/>
        </w:rPr>
        <w:t>secluded</w:t>
      </w:r>
      <w:r w:rsidRPr="001B2BB8">
        <w:rPr>
          <w:rStyle w:val="StyleUnderline"/>
        </w:rPr>
        <w:t xml:space="preserve"> in school </w:t>
      </w:r>
      <w:r w:rsidRPr="001B2BB8">
        <w:rPr>
          <w:rStyle w:val="Emphasis"/>
        </w:rPr>
        <w:t>instead of being given appropriate accommodations for his or her disability</w:t>
      </w:r>
      <w:r w:rsidRPr="001B2BB8">
        <w:rPr>
          <w:rStyle w:val="StyleUnderline"/>
        </w:rPr>
        <w:t>.</w:t>
      </w:r>
      <w:r w:rsidRPr="001B2BB8">
        <w:rPr>
          <w:sz w:val="16"/>
        </w:rPr>
        <w:t xml:space="preserve"> </w:t>
      </w:r>
      <w:r w:rsidRPr="001B2BB8">
        <w:rPr>
          <w:rStyle w:val="StyleUnderline"/>
        </w:rPr>
        <w:t>Article 5 requires States to take all appropriate steps to ensure that reasonable accommodations are provided to persons with disabilities</w:t>
      </w:r>
      <w:r w:rsidRPr="001B2BB8">
        <w:rPr>
          <w:sz w:val="16"/>
        </w:rPr>
        <w:t xml:space="preserve">.[83] Article 7 obligates States to take “all necessary measures to ensure the full enjoyment by children with disabilities of all human rights and fundamental freedoms on an equal basis with other children.”[84] </w:t>
      </w:r>
      <w:r w:rsidRPr="001B2BB8">
        <w:rPr>
          <w:rStyle w:val="StyleUnderline"/>
        </w:rPr>
        <w:t>Echoing a number of provisions from the Civil and Political Covenant, the Convention Against Torture, and the Convention on the Rights of the Child, Articles 14, 15 and 17 of the Convention on the Rights of Persons with Disabilities protect the liberty and security of the person, freedom from cruel, inhuman or degrading treatment and the integrity of the person, respectively</w:t>
      </w:r>
      <w:r w:rsidRPr="001B2BB8">
        <w:rPr>
          <w:sz w:val="16"/>
        </w:rPr>
        <w:t xml:space="preserve">.[85] Article 24 of the Convention addresses education, including a number of provisions that call upon States to take appropriate action to accommodate students’ disabilities, rather than resort to harmful practices like restraint and seclusion. The Convention instructs that States should ensure that children’s impairments are identified early and that interventions and services are provided to minimize further disabilities.[86] </w:t>
      </w:r>
      <w:r w:rsidRPr="001B2BB8">
        <w:rPr>
          <w:rStyle w:val="StyleUnderline"/>
        </w:rPr>
        <w:t>In order to ensure fulfillment of disabled persons’ right to education, Article 24 calls upon nations to avoid excluding disabled persons from compulsory education systems based on their disabilities and to provide “the support required, within the general education system, to facilitate their effective education.”</w:t>
      </w:r>
      <w:r w:rsidRPr="001B2BB8">
        <w:rPr>
          <w:sz w:val="16"/>
        </w:rPr>
        <w:t xml:space="preserve"> [87] </w:t>
      </w:r>
      <w:r w:rsidRPr="001B2BB8">
        <w:rPr>
          <w:rStyle w:val="StyleUnderline"/>
        </w:rPr>
        <w:t>Governments should also ensure that “</w:t>
      </w:r>
      <w:r w:rsidRPr="001B2BB8">
        <w:rPr>
          <w:rStyle w:val="Emphasis"/>
        </w:rPr>
        <w:t>effective individualized support measures are provided in environments that maximize academic and social development</w:t>
      </w:r>
      <w:r w:rsidRPr="001B2BB8">
        <w:rPr>
          <w:rStyle w:val="StyleUnderline"/>
        </w:rPr>
        <w:t>.”[</w:t>
      </w:r>
      <w:r w:rsidRPr="001B2BB8">
        <w:rPr>
          <w:sz w:val="16"/>
        </w:rPr>
        <w:t>88] These standards explicitly require states not only to provide mental health services to children with disabilities, but also to do so in conjunction with education. Exactly which services nations must provide, however, is subject to the caveat that each state is only required to “take measures to the maximum of its available resources.”[89]</w:t>
      </w:r>
    </w:p>
    <w:p w:rsidR="002C01B0" w:rsidRPr="001B2BB8" w:rsidRDefault="002C01B0" w:rsidP="002C01B0">
      <w:pPr>
        <w:rPr>
          <w:sz w:val="16"/>
        </w:rPr>
      </w:pPr>
    </w:p>
    <w:p w:rsidR="002C01B0" w:rsidRPr="002C01B0" w:rsidRDefault="002C01B0" w:rsidP="002C01B0"/>
    <w:p w:rsidR="00582CA2" w:rsidRPr="00582CA2" w:rsidRDefault="00582CA2" w:rsidP="00582CA2">
      <w:pPr>
        <w:pStyle w:val="Heading3"/>
      </w:pPr>
      <w:r>
        <w:t>AT: No International Perception</w:t>
      </w:r>
    </w:p>
    <w:p w:rsidR="00C6319F" w:rsidRPr="009C52B2" w:rsidRDefault="00C6319F" w:rsidP="00C6319F">
      <w:pPr>
        <w:pStyle w:val="Heading4"/>
      </w:pPr>
      <w:r w:rsidRPr="009C52B2">
        <w:t>Improving standards for those with disabilitie</w:t>
      </w:r>
      <w:r>
        <w:t xml:space="preserve">s aids the economy and models to other countries </w:t>
      </w:r>
    </w:p>
    <w:p w:rsidR="00C6319F" w:rsidRDefault="00C6319F" w:rsidP="00C6319F">
      <w:r w:rsidRPr="009C52B2">
        <w:rPr>
          <w:rFonts w:eastAsiaTheme="majorEastAsia" w:cstheme="majorBidi"/>
          <w:b/>
          <w:iCs/>
          <w:sz w:val="26"/>
        </w:rPr>
        <w:t>Grant 15</w:t>
      </w:r>
      <w:r>
        <w:t xml:space="preserve"> </w:t>
      </w:r>
      <w:r w:rsidRPr="00C05D5B">
        <w:rPr>
          <w:sz w:val="20"/>
          <w:szCs w:val="20"/>
        </w:rPr>
        <w:t xml:space="preserve">[Thomas D. - Research Associate, </w:t>
      </w:r>
      <w:proofErr w:type="spellStart"/>
      <w:r w:rsidRPr="00C05D5B">
        <w:rPr>
          <w:sz w:val="20"/>
          <w:szCs w:val="20"/>
        </w:rPr>
        <w:t>Lauterpacht</w:t>
      </w:r>
      <w:proofErr w:type="spellEnd"/>
      <w:r w:rsidRPr="00C05D5B">
        <w:rPr>
          <w:sz w:val="20"/>
          <w:szCs w:val="20"/>
        </w:rPr>
        <w:t xml:space="preserve"> Centre for International Law; Senior Research Fellow, Wolfson College, University of Cambridge; BA, Harvard; JD Yale; PhD, Cambridge; admitted, MA, NY, District of Columbia. The author in 2008 served as a policy advisor on the national campaign headquarters staff of Republican presidential nominee John S. McCain and, inter alia, briefed the campaign on the question of U.S. participation in the CRPD., “THE U.N. CONVENTION ON THE RIGHTS OF PERSONS WITH DISABILITIES (CRPD): SOME OBSERVATIONS ON U.S. PARTICIPATION”, 2015, Indiana International &amp; Comparative Law Review, 25 Ind. Int'l &amp; Comp. L. Rev. 171]</w:t>
      </w:r>
    </w:p>
    <w:p w:rsidR="00C6319F" w:rsidRDefault="00C6319F" w:rsidP="00C6319F">
      <w:pPr>
        <w:rPr>
          <w:b/>
          <w:u w:val="single"/>
        </w:rPr>
      </w:pPr>
      <w:r w:rsidRPr="009C52B2">
        <w:rPr>
          <w:sz w:val="16"/>
        </w:rPr>
        <w:t xml:space="preserve">The observations set out in the preceding sections are concerned chiefly with questions of legal interpretation, with a view to assessing the objections raised in 2012 against ratification of the CRPD by the United States. The </w:t>
      </w:r>
      <w:r w:rsidRPr="00C05D5B">
        <w:rPr>
          <w:u w:val="single"/>
        </w:rPr>
        <w:t>objections seem chiefly to have originated in policy concerns, but they were expressed by reference to law</w:t>
      </w:r>
      <w:r w:rsidRPr="009C52B2">
        <w:rPr>
          <w:sz w:val="16"/>
        </w:rPr>
        <w:t xml:space="preserve">. Policy analysis is not analysis of a text in isolation. It requires analysis of the legal effects of the text when States apply it in practice. So a necessary antecedent to the policy analysis is a clear understanding of the legal effects of the text. The </w:t>
      </w:r>
      <w:r w:rsidRPr="00C05D5B">
        <w:rPr>
          <w:u w:val="single"/>
        </w:rPr>
        <w:t>observations in the sections above have aimed to examine the critics' views as to the legal effects of the CRPD. It is submitted, that with the possible exception of the provisions of the CRPD that address situations of armed conflict, the text of the Convention does not justify the objections as a matter of law.</w:t>
      </w:r>
      <w:r w:rsidRPr="009C52B2">
        <w:rPr>
          <w:sz w:val="16"/>
        </w:rPr>
        <w:t xml:space="preserve"> As a matter of policy, it is not convincing, however, </w:t>
      </w:r>
      <w:r w:rsidRPr="00C05D5B">
        <w:rPr>
          <w:u w:val="single"/>
        </w:rPr>
        <w:t>to recommend adherence to a treaty simply on the ground that the treaty does no harm</w:t>
      </w:r>
      <w:r w:rsidRPr="009C52B2">
        <w:rPr>
          <w:sz w:val="16"/>
        </w:rPr>
        <w:t xml:space="preserve">. To make the case for adherence, it must be shown that adherence carries some advantage. It is not the aim of the present article to review the policy background of CRPD in depth, much less to evaluate U.S. or international policy in respect of disabilities </w:t>
      </w:r>
      <w:proofErr w:type="spellStart"/>
      <w:r w:rsidRPr="009C52B2">
        <w:rPr>
          <w:sz w:val="16"/>
        </w:rPr>
        <w:t>grosso</w:t>
      </w:r>
      <w:proofErr w:type="spellEnd"/>
      <w:r w:rsidRPr="009C52B2">
        <w:rPr>
          <w:sz w:val="16"/>
        </w:rPr>
        <w:t xml:space="preserve"> </w:t>
      </w:r>
      <w:proofErr w:type="spellStart"/>
      <w:r w:rsidRPr="009C52B2">
        <w:rPr>
          <w:sz w:val="16"/>
        </w:rPr>
        <w:t>modo</w:t>
      </w:r>
      <w:proofErr w:type="spellEnd"/>
      <w:r w:rsidRPr="009C52B2">
        <w:rPr>
          <w:sz w:val="16"/>
        </w:rPr>
        <w:t xml:space="preserve">. Nevertheless, </w:t>
      </w:r>
      <w:r w:rsidRPr="00C05D5B">
        <w:rPr>
          <w:u w:val="single"/>
        </w:rPr>
        <w:t>some policy considerations that support U.S. adherence to CRPD may be instanced briefly.</w:t>
      </w:r>
      <w:r w:rsidRPr="009C52B2">
        <w:rPr>
          <w:sz w:val="16"/>
        </w:rPr>
        <w:t xml:space="preserve"> </w:t>
      </w:r>
      <w:r w:rsidRPr="00C05D5B">
        <w:rPr>
          <w:u w:val="single"/>
        </w:rPr>
        <w:t>Adherence to CRPD would give the United States the chance to promote U.S.-defined best practices through participation in the international mechanisms that the CRPD establishes</w:t>
      </w:r>
      <w:r w:rsidRPr="009C52B2">
        <w:rPr>
          <w:sz w:val="16"/>
        </w:rPr>
        <w:t>. The United States numbers among the top producers of goods and services related to persons with disabilities. E</w:t>
      </w:r>
      <w:r w:rsidRPr="009430B8">
        <w:rPr>
          <w:u w:val="single"/>
        </w:rPr>
        <w:t>xport promotion therefore is one of the benefits that would result from participating in the CRPD. It is noteworthy in this connection that South Korea, a State that exports technological products, proposed that the CRPD include a provision to encourage adoption of technology to assist disabled persons.</w:t>
      </w:r>
      <w:r w:rsidRPr="009C52B2">
        <w:rPr>
          <w:sz w:val="16"/>
        </w:rPr>
        <w:t xml:space="preserve"> n275 The </w:t>
      </w:r>
      <w:r w:rsidRPr="009430B8">
        <w:rPr>
          <w:b/>
          <w:u w:val="single"/>
        </w:rPr>
        <w:t>international market for such technology well could grow,</w:t>
      </w:r>
      <w:r w:rsidRPr="009430B8">
        <w:rPr>
          <w:u w:val="single"/>
        </w:rPr>
        <w:t xml:space="preserve"> if </w:t>
      </w:r>
      <w:r w:rsidRPr="009C52B2">
        <w:rPr>
          <w:sz w:val="16"/>
        </w:rPr>
        <w:t>[*227]</w:t>
      </w:r>
      <w:r w:rsidRPr="009430B8">
        <w:rPr>
          <w:u w:val="single"/>
        </w:rPr>
        <w:t xml:space="preserve"> more States were to adopt high-level standards for the rights of persons with disabilities. </w:t>
      </w:r>
      <w:r w:rsidRPr="009C52B2">
        <w:rPr>
          <w:sz w:val="16"/>
        </w:rPr>
        <w:t xml:space="preserve">It also has been argued that the promotion of higher standards abroad would "level the playing field" for American businesses, which already are required to meet those standards but sometimes are placed at a disadvantage as against foreign competitors who are not. n276 The United States, as a </w:t>
      </w:r>
      <w:r w:rsidRPr="009430B8">
        <w:rPr>
          <w:u w:val="single"/>
        </w:rPr>
        <w:t>CRPD participant, would enhance its ability to promote disabilities legislation in other countries.</w:t>
      </w:r>
      <w:r w:rsidRPr="009C52B2">
        <w:rPr>
          <w:sz w:val="16"/>
        </w:rPr>
        <w:t xml:space="preserve"> This o</w:t>
      </w:r>
      <w:r w:rsidRPr="009430B8">
        <w:rPr>
          <w:u w:val="single"/>
        </w:rPr>
        <w:t>bjective is consistent with the U.S. commitment to promoting development in general.</w:t>
      </w:r>
      <w:r w:rsidRPr="009C52B2">
        <w:rPr>
          <w:sz w:val="16"/>
        </w:rPr>
        <w:t xml:space="preserve"> In the Senate proceedings prior to the vote on ratification, it was observed in particular that the goal of promoting women's rights in developing countries would be served by U.S. participation in the treaty. n277 U.S. participation would strengthen the CRPD as a means to promote the application of uniform standards in international organizations. The CRPD, as an instrument open to international organizations as well as to States, </w:t>
      </w:r>
      <w:r w:rsidRPr="009430B8">
        <w:rPr>
          <w:u w:val="single"/>
        </w:rPr>
        <w:t xml:space="preserve">could serve as a standard-setting mechanism for the internal rules of international organizations. </w:t>
      </w:r>
      <w:r w:rsidRPr="009C52B2">
        <w:rPr>
          <w:sz w:val="16"/>
        </w:rPr>
        <w:t xml:space="preserve">This </w:t>
      </w:r>
      <w:r w:rsidRPr="009430B8">
        <w:rPr>
          <w:u w:val="single"/>
        </w:rPr>
        <w:t>would protect the interests of disabled people, including U.S. nationals, who are employed in the international civil service</w:t>
      </w:r>
      <w:r w:rsidRPr="009C52B2">
        <w:rPr>
          <w:sz w:val="16"/>
        </w:rPr>
        <w:t xml:space="preserve">. It was noted in connection with the drafting work that U.N. facilities, for example, </w:t>
      </w:r>
      <w:r w:rsidRPr="0075664C">
        <w:rPr>
          <w:u w:val="single"/>
        </w:rPr>
        <w:t>did not meet the standard for accessibility, which the Convention would require its parties to implement</w:t>
      </w:r>
      <w:r w:rsidRPr="009C52B2">
        <w:rPr>
          <w:sz w:val="16"/>
        </w:rPr>
        <w:t>. n278 Since the entry into [*228] force of the CRPD, a number of international organizations have instituted intramural programs for the implementation of its standards. n279 Americans abroad more generally would also benefit as countries raise their disabilities standards to meet the international requirements, a point made in the Senate Report recommending ratification n280 and reiterated by Tammy Duckworth, an Illinois Congresswoman and Lieutenant Colonel of the Illinois Army National Guard. A</w:t>
      </w:r>
      <w:r w:rsidRPr="0075664C">
        <w:rPr>
          <w:u w:val="single"/>
        </w:rPr>
        <w:t>rticulating the veteran's perspective, Congresswoman Duckworth drew attention to the benefits that the CRPD may have for veterans wishing to travel abroad</w:t>
      </w:r>
      <w:r w:rsidRPr="009C52B2">
        <w:rPr>
          <w:sz w:val="16"/>
        </w:rPr>
        <w:t xml:space="preserve">. n281 The Department of State Special Advisor for International Disability Rights, Judith </w:t>
      </w:r>
      <w:proofErr w:type="spellStart"/>
      <w:r w:rsidRPr="009C52B2">
        <w:rPr>
          <w:sz w:val="16"/>
        </w:rPr>
        <w:t>Heumann</w:t>
      </w:r>
      <w:proofErr w:type="spellEnd"/>
      <w:r w:rsidRPr="009C52B2">
        <w:rPr>
          <w:sz w:val="16"/>
        </w:rPr>
        <w:t xml:space="preserve">, in addressing the Senate Committee on Foreign Relations, noted the significance of U.S. participation in the CRPD for American foreign policy overall. According to the Special Advisor, We will be a leading force in the drive to both improve lives and increase understanding and cooperation among States, as well as to impact the development of international standards on accessibility. </w:t>
      </w:r>
      <w:r w:rsidRPr="0075664C">
        <w:rPr>
          <w:b/>
          <w:u w:val="single"/>
        </w:rPr>
        <w:t>Disability diplomacy will have a positive effect on overall bilateral and regional diplomacy of the United States, by allowing us to leverage the shared value of disability rights to promote dialogue on other issues of importance to U.S. foreign policy.</w:t>
      </w:r>
      <w:r w:rsidRPr="009C52B2">
        <w:rPr>
          <w:sz w:val="16"/>
        </w:rPr>
        <w:t xml:space="preserve"> We have found that [*229] </w:t>
      </w:r>
      <w:r w:rsidRPr="0075664C">
        <w:rPr>
          <w:u w:val="single"/>
        </w:rPr>
        <w:t>inclusion of disability rights in the work of the State Department amplifies our ability to achieve our broader foreign policy objectives.</w:t>
      </w:r>
      <w:r w:rsidRPr="009C52B2">
        <w:rPr>
          <w:sz w:val="16"/>
        </w:rPr>
        <w:t xml:space="preserve"> However, this work is unduly hampered by our not having a seat at the table as a State Party. n282 There is </w:t>
      </w:r>
      <w:r w:rsidRPr="0075664C">
        <w:rPr>
          <w:u w:val="single"/>
        </w:rPr>
        <w:t>no doubt that the United States already exercises a major influence across the world in the field of the rights of persons with disabilities</w:t>
      </w:r>
      <w:r w:rsidRPr="009C52B2">
        <w:rPr>
          <w:sz w:val="16"/>
        </w:rPr>
        <w:t>. It is also the case that</w:t>
      </w:r>
      <w:r w:rsidRPr="0075664C">
        <w:rPr>
          <w:u w:val="single"/>
        </w:rPr>
        <w:t xml:space="preserve"> participation in CRPD would increase American influence in that field</w:t>
      </w:r>
      <w:r w:rsidRPr="009C52B2">
        <w:rPr>
          <w:sz w:val="16"/>
        </w:rPr>
        <w:t xml:space="preserve">. </w:t>
      </w:r>
      <w:r w:rsidRPr="0075664C">
        <w:rPr>
          <w:u w:val="single"/>
        </w:rPr>
        <w:t>Not all policymakers place the same value on the power of moral suasion in international affairs. Yet the United States has long sought to conduct itself as an international "good citizen,"</w:t>
      </w:r>
      <w:r w:rsidRPr="009C52B2">
        <w:rPr>
          <w:sz w:val="16"/>
        </w:rPr>
        <w:t xml:space="preserve"> promoting its own interests, as all States do, but doing so, to the extent possible, with a view to the benefits its policies may have for others and for the system of international relations in general. The </w:t>
      </w:r>
      <w:r w:rsidRPr="0075664C">
        <w:rPr>
          <w:b/>
          <w:u w:val="single"/>
        </w:rPr>
        <w:t>United States long has encouraged other States to model their conduct accordingly. Having "a seat at the table" by participating in the CRPD would continue this tradition of American foreign policy.</w:t>
      </w:r>
      <w:r>
        <w:rPr>
          <w:b/>
          <w:u w:val="single"/>
        </w:rPr>
        <w:t xml:space="preserve"> </w:t>
      </w:r>
    </w:p>
    <w:p w:rsidR="00833446" w:rsidRDefault="00833446" w:rsidP="00833446">
      <w:pPr>
        <w:pStyle w:val="Heading3"/>
      </w:pPr>
      <w:r>
        <w:t xml:space="preserve">AT: No Solve </w:t>
      </w:r>
      <w:proofErr w:type="spellStart"/>
      <w:r>
        <w:t>NoKo</w:t>
      </w:r>
      <w:proofErr w:type="spellEnd"/>
    </w:p>
    <w:p w:rsidR="00833446" w:rsidRDefault="00833446" w:rsidP="00833446">
      <w:pPr>
        <w:pStyle w:val="Heading4"/>
      </w:pPr>
      <w:r>
        <w:t xml:space="preserve">Current North Korean sanctions are based on proliferation --- new, </w:t>
      </w:r>
      <w:r>
        <w:rPr>
          <w:u w:val="single"/>
        </w:rPr>
        <w:t>UN driven,</w:t>
      </w:r>
      <w:r>
        <w:t xml:space="preserve"> </w:t>
      </w:r>
      <w:r>
        <w:rPr>
          <w:u w:val="single"/>
        </w:rPr>
        <w:t xml:space="preserve">human rights </w:t>
      </w:r>
      <w:r>
        <w:t>based approaches are key</w:t>
      </w:r>
    </w:p>
    <w:p w:rsidR="00833446" w:rsidRPr="00E90764" w:rsidRDefault="00833446" w:rsidP="00833446">
      <w:r>
        <w:t xml:space="preserve">John </w:t>
      </w:r>
      <w:proofErr w:type="spellStart"/>
      <w:r w:rsidRPr="00F049D8">
        <w:rPr>
          <w:b/>
        </w:rPr>
        <w:t>Sifton</w:t>
      </w:r>
      <w:proofErr w:type="spellEnd"/>
      <w:r>
        <w:t xml:space="preserve"> 6/26/</w:t>
      </w:r>
      <w:r w:rsidRPr="00F049D8">
        <w:rPr>
          <w:b/>
        </w:rPr>
        <w:t>17</w:t>
      </w:r>
      <w:r>
        <w:t xml:space="preserve"> (Asia Advocacy Director at Human Rights Watch, writer for CNN, New York University School of Law “How to put a stop to North Korea's brazen impunity” http://www.cnn.com/2017/06/26/opinions/north-korea-human-rights-opinion-sifton/index.html)//masw</w:t>
      </w:r>
    </w:p>
    <w:p w:rsidR="00833446" w:rsidRPr="00E90764" w:rsidRDefault="00833446" w:rsidP="00833446">
      <w:pPr>
        <w:rPr>
          <w:rStyle w:val="StyleUnderline"/>
        </w:rPr>
      </w:pPr>
      <w:r w:rsidRPr="00E90764">
        <w:rPr>
          <w:rStyle w:val="StyleUnderline"/>
        </w:rPr>
        <w:t>“How to put a stop to North Korea's brazen impunity”</w:t>
      </w:r>
    </w:p>
    <w:p w:rsidR="00833446" w:rsidRDefault="00833446" w:rsidP="00833446">
      <w:pPr>
        <w:rPr>
          <w:rStyle w:val="StyleUnderline"/>
        </w:rPr>
      </w:pPr>
      <w:r>
        <w:t>(CNN)</w:t>
      </w:r>
      <w:r w:rsidRPr="00E90764">
        <w:rPr>
          <w:rStyle w:val="StyleUnderline"/>
        </w:rPr>
        <w:t xml:space="preserve">The death of Otto </w:t>
      </w:r>
      <w:proofErr w:type="spellStart"/>
      <w:r w:rsidRPr="00E90764">
        <w:rPr>
          <w:rStyle w:val="StyleUnderline"/>
        </w:rPr>
        <w:t>Warmbier</w:t>
      </w:r>
      <w:proofErr w:type="spellEnd"/>
      <w:r w:rsidRPr="00E90764">
        <w:rPr>
          <w:rStyle w:val="StyleUnderline"/>
        </w:rPr>
        <w:t>, a 22-year-old student from Ohio imprisoned in North Korea since last year, should be a wake-up call to the international community</w:t>
      </w:r>
      <w:r>
        <w:t xml:space="preserve">. </w:t>
      </w:r>
      <w:proofErr w:type="spellStart"/>
      <w:r w:rsidRPr="00E90764">
        <w:rPr>
          <w:rStyle w:val="StyleUnderline"/>
        </w:rPr>
        <w:t>Warmbier</w:t>
      </w:r>
      <w:proofErr w:type="spellEnd"/>
      <w:r w:rsidRPr="00E90764">
        <w:rPr>
          <w:rStyle w:val="StyleUnderline"/>
        </w:rPr>
        <w:t>, who was arrested in January 2016 after attempting to remove a political banner from his hotel, was subject to a show trial and sentenced to 15 years forced labor.</w:t>
      </w:r>
    </w:p>
    <w:p w:rsidR="00833446" w:rsidRDefault="00833446" w:rsidP="00833446">
      <w:r w:rsidRPr="00E90764">
        <w:rPr>
          <w:rStyle w:val="StyleUnderline"/>
        </w:rPr>
        <w:t xml:space="preserve">There is, sadly, nothing unusual about the </w:t>
      </w:r>
      <w:proofErr w:type="spellStart"/>
      <w:r w:rsidRPr="00E90764">
        <w:rPr>
          <w:rStyle w:val="StyleUnderline"/>
        </w:rPr>
        <w:t>Warmbier</w:t>
      </w:r>
      <w:proofErr w:type="spellEnd"/>
      <w:r w:rsidRPr="00E90764">
        <w:rPr>
          <w:rStyle w:val="StyleUnderline"/>
        </w:rPr>
        <w:t xml:space="preserve"> case in the</w:t>
      </w:r>
      <w:r>
        <w:t xml:space="preserve"> </w:t>
      </w:r>
      <w:r w:rsidRPr="00E90764">
        <w:rPr>
          <w:rStyle w:val="StyleUnderline"/>
        </w:rPr>
        <w:t>abstract</w:t>
      </w:r>
      <w:r>
        <w:t xml:space="preserve">. </w:t>
      </w:r>
      <w:r w:rsidRPr="00E90764">
        <w:rPr>
          <w:rStyle w:val="StyleUnderline"/>
        </w:rPr>
        <w:t>North Korea citizens are regularly subjected to arrest for trifling crimes and sentenced to labor camps. As documented in harrowing detail by a recent UN report, many die in prison from beatings,</w:t>
      </w:r>
      <w:r>
        <w:t xml:space="preserve"> malnourishment, or untreated sickness, among other causes.</w:t>
      </w:r>
    </w:p>
    <w:p w:rsidR="00833446" w:rsidRDefault="00833446" w:rsidP="00833446">
      <w:r>
        <w:t xml:space="preserve">What was strange about North Korea's treatment of </w:t>
      </w:r>
      <w:proofErr w:type="spellStart"/>
      <w:r>
        <w:t>Warmbier</w:t>
      </w:r>
      <w:proofErr w:type="spellEnd"/>
      <w:r>
        <w:t xml:space="preserve"> was that it was meted out to a foreigner. The United States and its allies strongly objected to his arrest, and </w:t>
      </w:r>
      <w:proofErr w:type="spellStart"/>
      <w:r>
        <w:t>Warmbier</w:t>
      </w:r>
      <w:proofErr w:type="spellEnd"/>
      <w:r>
        <w:t xml:space="preserve"> pleaded for forgiveness at his trial, citing what he called the "worst mistake of my life." Most observers expected that after a period of isolation and interrogation, coupled with private diplomacy, </w:t>
      </w:r>
      <w:proofErr w:type="spellStart"/>
      <w:r>
        <w:t>Warmbier</w:t>
      </w:r>
      <w:proofErr w:type="spellEnd"/>
      <w:r>
        <w:t xml:space="preserve"> would be repatriated. That is what has happened with many Americans in the past.</w:t>
      </w:r>
    </w:p>
    <w:p w:rsidR="00833446" w:rsidRDefault="00833446" w:rsidP="00833446">
      <w:r>
        <w:t xml:space="preserve">Instead, </w:t>
      </w:r>
      <w:proofErr w:type="spellStart"/>
      <w:r w:rsidRPr="00E90764">
        <w:rPr>
          <w:rStyle w:val="StyleUnderline"/>
        </w:rPr>
        <w:t>Warmbier</w:t>
      </w:r>
      <w:proofErr w:type="spellEnd"/>
      <w:r w:rsidRPr="00E90764">
        <w:rPr>
          <w:rStyle w:val="StyleUnderline"/>
        </w:rPr>
        <w:t xml:space="preserve"> was soon subjected to some unknown kind of mistreatment or possibly brutality, and ended up in a coma — in which he appears to have languished for more than a year. And now, days after returning home, he is dead.</w:t>
      </w:r>
    </w:p>
    <w:p w:rsidR="00833446" w:rsidRDefault="00833446" w:rsidP="00833446">
      <w:r>
        <w:t xml:space="preserve">The North Korean government's explanation of his death, involving botulism and a </w:t>
      </w:r>
      <w:proofErr w:type="spellStart"/>
      <w:r>
        <w:t>misprescribed</w:t>
      </w:r>
      <w:proofErr w:type="spellEnd"/>
      <w:r>
        <w:t xml:space="preserve"> sleeping pill, is questionable. How did a healthy young man suffer such severe brain damage from a treatable illness? And if he fell into a coma in March 2016, why did the regime not say anything about it — even to Sweden, which usually acts as intermediary with US prisoners — until recently? It is not clear what exactly happened to </w:t>
      </w:r>
      <w:proofErr w:type="spellStart"/>
      <w:r>
        <w:t>Warmbier</w:t>
      </w:r>
      <w:proofErr w:type="spellEnd"/>
      <w:r>
        <w:t xml:space="preserve">, but it is possible that </w:t>
      </w:r>
      <w:proofErr w:type="spellStart"/>
      <w:r>
        <w:t>Warmbier</w:t>
      </w:r>
      <w:proofErr w:type="spellEnd"/>
      <w:r>
        <w:t xml:space="preserve"> suffered some of the kinds of abuses that befall North Koreans imprisoned in the regime's archipelago of prisoner camps.</w:t>
      </w:r>
    </w:p>
    <w:p w:rsidR="00833446" w:rsidRDefault="00833446" w:rsidP="00833446">
      <w:pPr>
        <w:rPr>
          <w:rStyle w:val="StyleUnderline"/>
        </w:rPr>
      </w:pPr>
      <w:r w:rsidRPr="00E90764">
        <w:rPr>
          <w:rStyle w:val="StyleUnderline"/>
        </w:rPr>
        <w:t>The North Korean government won't own up to its problematic record</w:t>
      </w:r>
      <w:r>
        <w:t xml:space="preserve">. </w:t>
      </w:r>
      <w:r w:rsidRPr="00E90764">
        <w:rPr>
          <w:rStyle w:val="StyleUnderline"/>
        </w:rPr>
        <w:t xml:space="preserve">For decades, it has refused to cooperate in good faith with UN mechanisms set up to address human rights issues, and it still routinely releases absurdly hyperbolic panegyrics and </w:t>
      </w:r>
      <w:proofErr w:type="spellStart"/>
      <w:r w:rsidRPr="00E90764">
        <w:rPr>
          <w:rStyle w:val="StyleUnderline"/>
        </w:rPr>
        <w:t>paens</w:t>
      </w:r>
      <w:proofErr w:type="spellEnd"/>
      <w:r w:rsidRPr="00E90764">
        <w:rPr>
          <w:rStyle w:val="StyleUnderline"/>
        </w:rPr>
        <w:t xml:space="preserve"> to their "Supreme Leader," Kim Jong Un.</w:t>
      </w:r>
    </w:p>
    <w:p w:rsidR="00833446" w:rsidRPr="00E90764" w:rsidRDefault="00833446" w:rsidP="00833446">
      <w:pPr>
        <w:rPr>
          <w:rStyle w:val="Emphasis"/>
        </w:rPr>
      </w:pPr>
      <w:r>
        <w:t xml:space="preserve">In dealing with North Korea, </w:t>
      </w:r>
      <w:r w:rsidRPr="00E90764">
        <w:rPr>
          <w:rStyle w:val="StyleUnderline"/>
        </w:rPr>
        <w:t xml:space="preserve">the international community has </w:t>
      </w:r>
      <w:r w:rsidRPr="00E90764">
        <w:rPr>
          <w:rStyle w:val="Emphasis"/>
        </w:rPr>
        <w:t>historically focused</w:t>
      </w:r>
      <w:r w:rsidRPr="00E90764">
        <w:rPr>
          <w:rStyle w:val="StyleUnderline"/>
        </w:rPr>
        <w:t xml:space="preserve"> on </w:t>
      </w:r>
      <w:r w:rsidRPr="00E90764">
        <w:rPr>
          <w:rStyle w:val="Emphasis"/>
        </w:rPr>
        <w:t>nonproliferation concerns</w:t>
      </w:r>
      <w:r w:rsidRPr="00E90764">
        <w:rPr>
          <w:rStyle w:val="StyleUnderline"/>
        </w:rPr>
        <w:t xml:space="preserve">, but in recent years </w:t>
      </w:r>
      <w:r w:rsidRPr="00E90764">
        <w:rPr>
          <w:rStyle w:val="Emphasis"/>
        </w:rPr>
        <w:t>North Korea's human rights record has been getting more scrutiny</w:t>
      </w:r>
      <w:r>
        <w:t xml:space="preserve">. Since 2014, </w:t>
      </w:r>
      <w:r w:rsidRPr="00E90764">
        <w:rPr>
          <w:rStyle w:val="StyleUnderline"/>
        </w:rPr>
        <w:t>the UN Security Council has even held debates about whether the situation in North Korea should be referred to the International Criminal Court. And the US Congress has passed legislation to tighten bilateral sanctions on North Korea —</w:t>
      </w:r>
      <w:r>
        <w:t xml:space="preserve"> </w:t>
      </w:r>
      <w:r w:rsidRPr="00E90764">
        <w:rPr>
          <w:rStyle w:val="Emphasis"/>
        </w:rPr>
        <w:t>not just in relation to their weapons program</w:t>
      </w:r>
      <w:r w:rsidRPr="00E90764">
        <w:rPr>
          <w:rStyle w:val="StyleUnderline"/>
        </w:rPr>
        <w:t xml:space="preserve"> </w:t>
      </w:r>
      <w:r w:rsidRPr="00E90764">
        <w:rPr>
          <w:rStyle w:val="Emphasis"/>
        </w:rPr>
        <w:t>but</w:t>
      </w:r>
      <w:r w:rsidRPr="00E90764">
        <w:rPr>
          <w:rStyle w:val="StyleUnderline"/>
        </w:rPr>
        <w:t xml:space="preserve"> </w:t>
      </w:r>
      <w:r w:rsidRPr="00E90764">
        <w:rPr>
          <w:rStyle w:val="Emphasis"/>
        </w:rPr>
        <w:t>also to address human rights abuses.</w:t>
      </w:r>
    </w:p>
    <w:p w:rsidR="00833446" w:rsidRPr="00E90764" w:rsidRDefault="00833446" w:rsidP="00833446">
      <w:pPr>
        <w:rPr>
          <w:rStyle w:val="StyleUnderline"/>
        </w:rPr>
      </w:pPr>
      <w:r>
        <w:t xml:space="preserve">Last December, for the first time, </w:t>
      </w:r>
      <w:r w:rsidRPr="00E90764">
        <w:rPr>
          <w:rStyle w:val="StyleUnderline"/>
        </w:rPr>
        <w:t>the US Treasury and State Departments specifically sanctioned several senior officials for complicity in human rights abuses</w:t>
      </w:r>
      <w:r>
        <w:t xml:space="preserve"> (not just for weapons proliferation), including Kim Jong Un himself. Currently, another newer set of names of North Korean officials is being considered by the Treasury Department for listing based on human rights grounds. </w:t>
      </w:r>
      <w:r w:rsidRPr="00E90764">
        <w:rPr>
          <w:rStyle w:val="StyleUnderline"/>
        </w:rPr>
        <w:t xml:space="preserve">In the wake of </w:t>
      </w:r>
      <w:proofErr w:type="spellStart"/>
      <w:r w:rsidRPr="00E90764">
        <w:rPr>
          <w:rStyle w:val="StyleUnderline"/>
        </w:rPr>
        <w:t>Warmbier's</w:t>
      </w:r>
      <w:proofErr w:type="spellEnd"/>
      <w:r w:rsidRPr="00E90764">
        <w:rPr>
          <w:rStyle w:val="StyleUnderline"/>
        </w:rPr>
        <w:t xml:space="preserve"> death, the US government should add those names to their list imposing travel and financial services restrictions.</w:t>
      </w:r>
    </w:p>
    <w:p w:rsidR="00833446" w:rsidRPr="00E90764" w:rsidRDefault="00833446" w:rsidP="00833446">
      <w:pPr>
        <w:rPr>
          <w:rStyle w:val="StyleUnderline"/>
        </w:rPr>
      </w:pPr>
      <w:r w:rsidRPr="00E90764">
        <w:rPr>
          <w:rStyle w:val="StyleUnderline"/>
        </w:rPr>
        <w:t xml:space="preserve">At the United Nations, the US ambassador to the Security Council, Nikki Haley, </w:t>
      </w:r>
      <w:r w:rsidRPr="00E90764">
        <w:rPr>
          <w:rStyle w:val="Emphasis"/>
        </w:rPr>
        <w:t>needs to press other UN member countries</w:t>
      </w:r>
      <w:r w:rsidRPr="00E90764">
        <w:rPr>
          <w:rStyle w:val="StyleUnderline"/>
        </w:rPr>
        <w:t xml:space="preserve"> to </w:t>
      </w:r>
      <w:r w:rsidRPr="00E90764">
        <w:rPr>
          <w:rStyle w:val="Emphasis"/>
        </w:rPr>
        <w:t>adopt</w:t>
      </w:r>
      <w:r w:rsidRPr="00E90764">
        <w:rPr>
          <w:rStyle w:val="StyleUnderline"/>
        </w:rPr>
        <w:t xml:space="preserve"> </w:t>
      </w:r>
      <w:r w:rsidRPr="00E90764">
        <w:rPr>
          <w:rStyle w:val="Emphasis"/>
        </w:rPr>
        <w:t>tougher sanctions on human rights</w:t>
      </w:r>
      <w:r w:rsidRPr="00E90764">
        <w:rPr>
          <w:rStyle w:val="StyleUnderline"/>
        </w:rPr>
        <w:t xml:space="preserve"> and </w:t>
      </w:r>
      <w:r w:rsidRPr="00E90764">
        <w:rPr>
          <w:rStyle w:val="Emphasis"/>
        </w:rPr>
        <w:t>better enforce the ones that already exist</w:t>
      </w:r>
      <w:r>
        <w:t xml:space="preserve">. </w:t>
      </w:r>
      <w:r w:rsidRPr="00E90764">
        <w:rPr>
          <w:rStyle w:val="StyleUnderline"/>
        </w:rPr>
        <w:t>It is often assumed that North Korea is already heavily sanctioned and under a tight embargo</w:t>
      </w:r>
      <w:r>
        <w:t xml:space="preserve">. </w:t>
      </w:r>
      <w:r w:rsidRPr="00E90764">
        <w:rPr>
          <w:rStyle w:val="StyleUnderline"/>
        </w:rPr>
        <w:t xml:space="preserve">The truth is that what </w:t>
      </w:r>
      <w:r w:rsidRPr="00E90764">
        <w:rPr>
          <w:rStyle w:val="Emphasis"/>
        </w:rPr>
        <w:t>UN sanctions exist are entirely based in the nuclear proliferation conte</w:t>
      </w:r>
      <w:r w:rsidRPr="00E90764">
        <w:rPr>
          <w:rStyle w:val="StyleUnderline"/>
        </w:rPr>
        <w:t>xt, and although the United States has pushed allies recently to better enforce them, they are weaker than most people realize, and often go unenforced.</w:t>
      </w:r>
    </w:p>
    <w:p w:rsidR="00833446" w:rsidRPr="00E90764" w:rsidRDefault="00833446" w:rsidP="00833446">
      <w:r w:rsidRPr="00E90764">
        <w:rPr>
          <w:rStyle w:val="StyleUnderline"/>
        </w:rPr>
        <w:t xml:space="preserve">What's </w:t>
      </w:r>
      <w:r w:rsidRPr="00E90764">
        <w:rPr>
          <w:rStyle w:val="Emphasis"/>
        </w:rPr>
        <w:t>needed now</w:t>
      </w:r>
      <w:r w:rsidRPr="00E90764">
        <w:rPr>
          <w:rStyle w:val="StyleUnderline"/>
        </w:rPr>
        <w:t xml:space="preserve"> are sanctions that are </w:t>
      </w:r>
      <w:r w:rsidRPr="00E90764">
        <w:rPr>
          <w:rStyle w:val="Emphasis"/>
        </w:rPr>
        <w:t>more specifically geared</w:t>
      </w:r>
      <w:r w:rsidRPr="00E90764">
        <w:rPr>
          <w:rStyle w:val="StyleUnderline"/>
        </w:rPr>
        <w:t xml:space="preserve"> toward </w:t>
      </w:r>
      <w:r w:rsidRPr="00E90764">
        <w:rPr>
          <w:rStyle w:val="Emphasis"/>
        </w:rPr>
        <w:t>addressing human rights abuses</w:t>
      </w:r>
      <w:r>
        <w:t xml:space="preserve"> </w:t>
      </w:r>
      <w:r w:rsidRPr="00E90764">
        <w:rPr>
          <w:rStyle w:val="StyleUnderline"/>
        </w:rPr>
        <w:t>and raising the cost of doing business for North Korean officials whose business is human rights abuses, like officials in the Ministry of Public Security, and prison wardens and other police officials.</w:t>
      </w:r>
      <w:r>
        <w:rPr>
          <w:rStyle w:val="StyleUnderline"/>
        </w:rPr>
        <w:t xml:space="preserve"> </w:t>
      </w:r>
      <w:r>
        <w:t xml:space="preserve">Follow CNN Opinion Join us on Twitter and Facebook It is impossible to know what North Korea's future holds, but one hope in the near term is to impose consequences on those responsible for the brutal treatment of prisoners like </w:t>
      </w:r>
      <w:proofErr w:type="spellStart"/>
      <w:r>
        <w:t>Warmbier</w:t>
      </w:r>
      <w:proofErr w:type="spellEnd"/>
      <w:r>
        <w:t xml:space="preserve">, and the hundreds of thousands of others in North Korea's gulags. This could create a shadow of fear in officials' minds about possible criminal liability in the future, and reduce the chances of others facing abuses like Otto </w:t>
      </w:r>
      <w:proofErr w:type="spellStart"/>
      <w:r>
        <w:t>Warmbier</w:t>
      </w:r>
      <w:proofErr w:type="spellEnd"/>
      <w:r>
        <w:t>.</w:t>
      </w:r>
    </w:p>
    <w:p w:rsidR="00833446" w:rsidRPr="00833446" w:rsidRDefault="00833446" w:rsidP="00833446"/>
    <w:p w:rsidR="00833446" w:rsidRPr="000D20B3" w:rsidRDefault="00833446" w:rsidP="00833446">
      <w:pPr>
        <w:pStyle w:val="Heading2"/>
      </w:pPr>
      <w:r>
        <w:t>AT: CPs</w:t>
      </w:r>
    </w:p>
    <w:p w:rsidR="00833446" w:rsidRDefault="00833446" w:rsidP="00833446">
      <w:pPr>
        <w:pStyle w:val="Heading3"/>
      </w:pPr>
      <w:r>
        <w:t xml:space="preserve">SCOTUS Key </w:t>
      </w:r>
    </w:p>
    <w:p w:rsidR="00DE1156" w:rsidRDefault="00DE1156" w:rsidP="00DE1156">
      <w:pPr>
        <w:pStyle w:val="Heading4"/>
      </w:pPr>
      <w:r>
        <w:t xml:space="preserve">Federal action is necessary to solve the </w:t>
      </w:r>
      <w:proofErr w:type="spellStart"/>
      <w:r>
        <w:t>aff</w:t>
      </w:r>
      <w:proofErr w:type="spellEnd"/>
      <w:r>
        <w:t xml:space="preserve">, only changes to IDEA can solve </w:t>
      </w:r>
    </w:p>
    <w:p w:rsidR="00DE1156" w:rsidRPr="00400BF2" w:rsidRDefault="00DE1156" w:rsidP="00DE1156">
      <w:r w:rsidRPr="00400BF2">
        <w:rPr>
          <w:rStyle w:val="Style13ptBold"/>
        </w:rPr>
        <w:t>Miles 2016</w:t>
      </w:r>
      <w:r>
        <w:t xml:space="preserve"> - JD Candidate @ Rutgers Law </w:t>
      </w:r>
      <w:r>
        <w:br/>
        <w:t>Alana, "Overrepresentation in Special Education: Does the IDEA Violate the Equal Protection Clause?," 17 Rutgers Race &amp; L. Rev. 245</w:t>
      </w:r>
    </w:p>
    <w:p w:rsidR="00DE1156" w:rsidRDefault="00DE1156" w:rsidP="00DE1156">
      <w:r>
        <w:t xml:space="preserve">That </w:t>
      </w:r>
      <w:r w:rsidRPr="00E01B7A">
        <w:rPr>
          <w:rStyle w:val="StyleUnderline"/>
        </w:rPr>
        <w:t>there remains a gap in the representation of minorities in special education leads one to conclude that a new legal angle should be used.</w:t>
      </w:r>
      <w:r>
        <w:t xml:space="preserve"> Determining what legal challenge to use is difficult considering the numerous prior attempts to remedy the issue. </w:t>
      </w:r>
      <w:r w:rsidRPr="00E01B7A">
        <w:rPr>
          <w:rStyle w:val="StyleUnderline"/>
        </w:rPr>
        <w:t>n172 Challenging the implementation of the IDEA in general</w:t>
      </w:r>
      <w:r>
        <w:t xml:space="preserve">, or specifically with the over classification of minorities in categories such as "learning disabled", </w:t>
      </w:r>
      <w:r w:rsidRPr="00E01B7A">
        <w:rPr>
          <w:rStyle w:val="StyleUnderline"/>
        </w:rPr>
        <w:t>may be a worthwhile endeavor</w:t>
      </w:r>
      <w:r>
        <w:t>.</w:t>
      </w:r>
    </w:p>
    <w:p w:rsidR="00DE1156" w:rsidRDefault="00DE1156" w:rsidP="00DE1156">
      <w:r w:rsidRPr="00E01B7A">
        <w:rPr>
          <w:rStyle w:val="StyleUnderline"/>
        </w:rPr>
        <w:t xml:space="preserve">The IDEA is a federal law, therefore </w:t>
      </w:r>
      <w:r w:rsidRPr="00DE1156">
        <w:rPr>
          <w:rStyle w:val="Emphasis"/>
        </w:rPr>
        <w:t>it can only be challenged under the Equal Protection Clause of the U.S. Constitution</w:t>
      </w:r>
      <w:r>
        <w:t xml:space="preserve">. n173 However, the Constitution does not explicitly guarantee the right to an education, therefore the law is constitutional. n174 Still, </w:t>
      </w:r>
      <w:r w:rsidRPr="00E01B7A">
        <w:rPr>
          <w:rStyle w:val="StyleUnderline"/>
        </w:rPr>
        <w:t>there are fundamental rights which are not explicit in the Constitution yet are afforded protection by it.</w:t>
      </w:r>
      <w:r>
        <w:t xml:space="preserve"> n175 While the U.S. Constitution does not recognize education as a fundamental right, many states do. n176 In fact, many, state constitutions have devoted an entire section to education. n177 This suggests how important it is. Therefore, I propose that education should be recognized as a fundamental right and argue that </w:t>
      </w:r>
      <w:r w:rsidRPr="00E01B7A">
        <w:rPr>
          <w:rStyle w:val="StyleUnderline"/>
        </w:rPr>
        <w:t>the IDEA has violated that right where black students specifically, are overrepresented in special education</w:t>
      </w:r>
      <w:r>
        <w:t>.</w:t>
      </w:r>
    </w:p>
    <w:p w:rsidR="00833446" w:rsidRDefault="00652E9A" w:rsidP="00833446">
      <w:pPr>
        <w:pStyle w:val="Heading4"/>
      </w:pPr>
      <w:r>
        <w:t>Only rhetoric from the Supreme Court reverberates globally</w:t>
      </w:r>
    </w:p>
    <w:p w:rsidR="00833446" w:rsidRPr="00017DF0" w:rsidRDefault="00833446" w:rsidP="00833446">
      <w:r w:rsidRPr="00017DF0">
        <w:rPr>
          <w:b/>
        </w:rPr>
        <w:t>O'Malley 2016</w:t>
      </w:r>
      <w:r>
        <w:t xml:space="preserve"> - JD Candidate @ U of Richmond </w:t>
      </w:r>
      <w:r w:rsidR="00652E9A">
        <w:br/>
      </w:r>
      <w:r>
        <w:t>Kerrigan, "FEDERAL ROLE IN THE GOVERNANCE OF PUBLIC SCHOOLS: FROM MAINSTREAMING TO MARGINALIZATION? - IDEA'S DE FACTO SEGREGATION CONSEQUENCES AND PROSPECTS FOR RESTORING EQUITY IN SPECIAL EDUCATION," 50 U. Rich. L. Rev. 9510//</w:t>
      </w:r>
      <w:proofErr w:type="spellStart"/>
      <w:r>
        <w:t>masw</w:t>
      </w:r>
      <w:proofErr w:type="spellEnd"/>
    </w:p>
    <w:p w:rsidR="00833446" w:rsidRPr="00AF424A" w:rsidRDefault="00833446" w:rsidP="00833446">
      <w:pPr>
        <w:rPr>
          <w:sz w:val="16"/>
        </w:rPr>
      </w:pPr>
      <w:r w:rsidRPr="00AF424A">
        <w:rPr>
          <w:sz w:val="16"/>
        </w:rPr>
        <w:t xml:space="preserve">"We conclude that in the field of public education, the doctrine of "separate but equal' has no place. </w:t>
      </w:r>
      <w:r w:rsidRPr="00AF2BC2">
        <w:rPr>
          <w:rStyle w:val="StyleUnderline"/>
        </w:rPr>
        <w:t>Separate educational facilities are inherently unequal."</w:t>
      </w:r>
      <w:r w:rsidRPr="00AF424A">
        <w:rPr>
          <w:sz w:val="16"/>
        </w:rPr>
        <w:t xml:space="preserve"> n1</w:t>
      </w:r>
      <w:r>
        <w:rPr>
          <w:rStyle w:val="StyleUnderline"/>
        </w:rPr>
        <w:t xml:space="preserve"> </w:t>
      </w:r>
      <w:r w:rsidRPr="00B4025E">
        <w:rPr>
          <w:rStyle w:val="StyleUnderline"/>
        </w:rPr>
        <w:t>Brown v. Board of Education</w:t>
      </w:r>
      <w:r w:rsidRPr="00AF424A">
        <w:rPr>
          <w:sz w:val="16"/>
        </w:rPr>
        <w:t xml:space="preserve"> </w:t>
      </w:r>
      <w:r w:rsidRPr="00B4025E">
        <w:rPr>
          <w:rStyle w:val="StyleUnderline"/>
        </w:rPr>
        <w:t xml:space="preserve">Some judicial opinions are so </w:t>
      </w:r>
      <w:r w:rsidRPr="00B4025E">
        <w:rPr>
          <w:rStyle w:val="Emphasis"/>
        </w:rPr>
        <w:t>iconic</w:t>
      </w:r>
      <w:r w:rsidRPr="00B4025E">
        <w:rPr>
          <w:rStyle w:val="StyleUnderline"/>
        </w:rPr>
        <w:t xml:space="preserve"> in their sentiment and </w:t>
      </w:r>
      <w:r w:rsidRPr="00B4025E">
        <w:rPr>
          <w:rStyle w:val="Emphasis"/>
        </w:rPr>
        <w:t>pervasive</w:t>
      </w:r>
      <w:r w:rsidRPr="00B4025E">
        <w:rPr>
          <w:rStyle w:val="StyleUnderline"/>
        </w:rPr>
        <w:t xml:space="preserve"> in their reach as to become</w:t>
      </w:r>
      <w:r w:rsidRPr="00AF424A">
        <w:rPr>
          <w:sz w:val="16"/>
        </w:rPr>
        <w:t xml:space="preserve"> </w:t>
      </w:r>
      <w:r w:rsidRPr="00B4025E">
        <w:rPr>
          <w:rStyle w:val="Emphasis"/>
        </w:rPr>
        <w:t>imprinted</w:t>
      </w:r>
      <w:r w:rsidRPr="00B4025E">
        <w:rPr>
          <w:rStyle w:val="StyleUnderline"/>
        </w:rPr>
        <w:t xml:space="preserve"> on the </w:t>
      </w:r>
      <w:r w:rsidRPr="00B4025E">
        <w:rPr>
          <w:rStyle w:val="Emphasis"/>
        </w:rPr>
        <w:t>nation's collective conscience</w:t>
      </w:r>
      <w:r w:rsidRPr="00AF424A">
        <w:rPr>
          <w:sz w:val="16"/>
        </w:rPr>
        <w:t xml:space="preserve">. </w:t>
      </w:r>
      <w:r w:rsidRPr="00B4025E">
        <w:rPr>
          <w:rStyle w:val="StyleUnderline"/>
        </w:rPr>
        <w:t>Such is the case with these words from Chief Justice Warren in the Supreme Court's 1954 Brown v. Board of Education decision</w:t>
      </w:r>
      <w:r w:rsidRPr="00AF424A">
        <w:rPr>
          <w:sz w:val="16"/>
        </w:rPr>
        <w:t xml:space="preserve">, holding that racially segregated education-al facilities violate an individual's rights under the Fourteenth Amendment's Equal Protection Clause. n2 In the broader context, these words represent an enduring aspiration that continues to inform policy and signals the need for course correction when legal or judicial discourse strays from equality principles. In contrast to Brown's powerful sentiments, other </w:t>
      </w:r>
      <w:r w:rsidRPr="00B4025E">
        <w:rPr>
          <w:rStyle w:val="Emphasis"/>
        </w:rPr>
        <w:t>judicial rhetoric</w:t>
      </w:r>
      <w:r w:rsidRPr="00AF424A">
        <w:rPr>
          <w:sz w:val="16"/>
        </w:rPr>
        <w:t xml:space="preserve"> </w:t>
      </w:r>
      <w:r w:rsidRPr="00B4025E">
        <w:rPr>
          <w:rStyle w:val="StyleUnderline"/>
        </w:rPr>
        <w:t xml:space="preserve">intended to invoke </w:t>
      </w:r>
      <w:r w:rsidRPr="00B4025E">
        <w:rPr>
          <w:rStyle w:val="Emphasis"/>
        </w:rPr>
        <w:t>similar principles</w:t>
      </w:r>
      <w:r w:rsidRPr="00B4025E">
        <w:rPr>
          <w:rStyle w:val="StyleUnderline"/>
        </w:rPr>
        <w:t xml:space="preserve"> of equality and </w:t>
      </w:r>
      <w:r w:rsidRPr="00B4025E">
        <w:rPr>
          <w:rStyle w:val="Emphasis"/>
        </w:rPr>
        <w:t>human dignity</w:t>
      </w:r>
      <w:r w:rsidRPr="00AF424A">
        <w:rPr>
          <w:sz w:val="16"/>
        </w:rPr>
        <w:t xml:space="preserve"> has been readily forgotten or invalidated by practical circumstances and situational realities. A sim-</w:t>
      </w:r>
      <w:proofErr w:type="spellStart"/>
      <w:r w:rsidRPr="00AF424A">
        <w:rPr>
          <w:sz w:val="16"/>
        </w:rPr>
        <w:t>ple</w:t>
      </w:r>
      <w:proofErr w:type="spellEnd"/>
      <w:r w:rsidRPr="00AF424A">
        <w:rPr>
          <w:sz w:val="16"/>
        </w:rPr>
        <w:t xml:space="preserve"> observation from a 1980 Second Circuit Court of Appeals ruling belongs to this latter category: "This case is about Amy." n3 [*952] </w:t>
      </w:r>
      <w:r w:rsidRPr="00006C13">
        <w:rPr>
          <w:rStyle w:val="StyleUnderline"/>
        </w:rPr>
        <w:t xml:space="preserve">With these five simple words, the Second Circuit introduced its opinion affirming a lower court </w:t>
      </w:r>
      <w:proofErr w:type="spellStart"/>
      <w:r w:rsidRPr="00006C13">
        <w:rPr>
          <w:rStyle w:val="StyleUnderline"/>
        </w:rPr>
        <w:t>judg-ment</w:t>
      </w:r>
      <w:proofErr w:type="spellEnd"/>
      <w:r w:rsidRPr="00006C13">
        <w:rPr>
          <w:rStyle w:val="StyleUnderline"/>
        </w:rPr>
        <w:t xml:space="preserve"> that directed a New York school district to provide a sign language interpreter to an eight-year-old deaf girl</w:t>
      </w:r>
      <w:r w:rsidRPr="00AF424A">
        <w:rPr>
          <w:sz w:val="16"/>
        </w:rPr>
        <w:t xml:space="preserve">, Amy Rowley. n4 The court's pronouncement was intended to be powerful in its simplicity and similarly influential in its call to take account of the individual rights at stake. Yet in the ensuing legal narrative stemming from Board of Education v. Rowley, which culminated in the Supreme Court's consideration of standards for service entitlements under federal disability education law, n5 these words were dismissively ignored. The Supreme Court's decision in what had begun as a "case about Amy" accorded virtually no consideration to Amy's specific educational needs or achievement potential. The resulting minimalistic Rowley standard for determining when a school district meets its obligation to provide </w:t>
      </w:r>
      <w:proofErr w:type="spellStart"/>
      <w:r w:rsidRPr="00AF424A">
        <w:rPr>
          <w:sz w:val="16"/>
        </w:rPr>
        <w:t>spe-cial</w:t>
      </w:r>
      <w:proofErr w:type="spellEnd"/>
      <w:r w:rsidRPr="00AF424A">
        <w:rPr>
          <w:sz w:val="16"/>
        </w:rPr>
        <w:t xml:space="preserve"> needs students with appropriate educational services now stands as one of many legal, judicial, and social </w:t>
      </w:r>
      <w:proofErr w:type="spellStart"/>
      <w:r w:rsidRPr="00AF424A">
        <w:rPr>
          <w:sz w:val="16"/>
        </w:rPr>
        <w:t>influ-ences</w:t>
      </w:r>
      <w:proofErr w:type="spellEnd"/>
      <w:r w:rsidRPr="00AF424A">
        <w:rPr>
          <w:sz w:val="16"/>
        </w:rPr>
        <w:t xml:space="preserve"> that compromised the original equity goals of disability education law, to the disadvantage of Amy and countless other special needs students. </w:t>
      </w:r>
      <w:r w:rsidRPr="00006C13">
        <w:rPr>
          <w:rStyle w:val="StyleUnderline"/>
        </w:rPr>
        <w:t>Despite the vast difference in resonance of the two judicial pronouncements</w:t>
      </w:r>
      <w:r w:rsidRPr="00AF424A">
        <w:rPr>
          <w:sz w:val="16"/>
        </w:rPr>
        <w:t xml:space="preserve"> introduced above - one enduring, one essentially forgotten - </w:t>
      </w:r>
      <w:r w:rsidRPr="00006C13">
        <w:rPr>
          <w:rStyle w:val="StyleUnderline"/>
        </w:rPr>
        <w:t>they are linked at the complex and conflicting intersection of race, class, and special education rights</w:t>
      </w:r>
      <w:r w:rsidRPr="00AF424A">
        <w:rPr>
          <w:sz w:val="16"/>
        </w:rPr>
        <w:t>. They reveal the inherent tensions that arise when commitments to equality and commitments to individual inter-</w:t>
      </w:r>
      <w:proofErr w:type="spellStart"/>
      <w:r w:rsidRPr="00AF424A">
        <w:rPr>
          <w:sz w:val="16"/>
        </w:rPr>
        <w:t>ests</w:t>
      </w:r>
      <w:proofErr w:type="spellEnd"/>
      <w:r w:rsidRPr="00AF424A">
        <w:rPr>
          <w:sz w:val="16"/>
        </w:rPr>
        <w:t xml:space="preserve"> struggle to find common ground. The resulting conflict provides an ironic subtext to an ongoing crisis of con-science in special education, which is provoked by statutory procedural requirements, judicial interpretations, and social forces that fail to reinforce the equality goals on which disability education rights were founded. The inequities that now compromise special education are all the more disturbing because special education policy originated as "one of the many equity-oriented legacies of Brown." n6 </w:t>
      </w:r>
      <w:r w:rsidRPr="003B3CBA">
        <w:rPr>
          <w:rStyle w:val="StyleUnderline"/>
        </w:rPr>
        <w:t>The Supreme Court's Brown decision resonated with families of disabled children who responded by challenging practices that segrega</w:t>
      </w:r>
      <w:r>
        <w:rPr>
          <w:rStyle w:val="StyleUnderline"/>
        </w:rPr>
        <w:t>ted the disabled student popula</w:t>
      </w:r>
      <w:r w:rsidRPr="003B3CBA">
        <w:rPr>
          <w:rStyle w:val="StyleUnderline"/>
        </w:rPr>
        <w:t>tion</w:t>
      </w:r>
      <w:r w:rsidRPr="00AF424A">
        <w:rPr>
          <w:sz w:val="16"/>
        </w:rPr>
        <w:t xml:space="preserve"> n7 or deprived such children of educational [*953] opportunities altogether. n8 The ruling cast a spotlight on the extreme disparity in educational services for disabled children, prompted federal disability education rights lawsuits, n9 and provoked expansive lobbying efforts by families of disabled students to improve educational resources available to them. Collectively, these initiatives resulted in the enactment of comprehensive federal disability education legislation, first in the form of the Education for All Handicapped Children Act ("EAHCA") in 1975, n10 and subsequently in a </w:t>
      </w:r>
      <w:proofErr w:type="spellStart"/>
      <w:r w:rsidRPr="00AF424A">
        <w:rPr>
          <w:sz w:val="16"/>
        </w:rPr>
        <w:t>se</w:t>
      </w:r>
      <w:proofErr w:type="spellEnd"/>
      <w:r w:rsidRPr="00AF424A">
        <w:rPr>
          <w:sz w:val="16"/>
        </w:rPr>
        <w:t>-</w:t>
      </w:r>
      <w:proofErr w:type="spellStart"/>
      <w:r w:rsidRPr="00AF424A">
        <w:rPr>
          <w:sz w:val="16"/>
        </w:rPr>
        <w:t>ries</w:t>
      </w:r>
      <w:proofErr w:type="spellEnd"/>
      <w:r w:rsidRPr="00AF424A">
        <w:rPr>
          <w:sz w:val="16"/>
        </w:rPr>
        <w:t xml:space="preserve"> of reauthorization measures [*954] known currently as the Individuals with Disabilities Education Act ("IDEA"). n11 Clearly, </w:t>
      </w:r>
      <w:r w:rsidRPr="00D60540">
        <w:rPr>
          <w:rStyle w:val="StyleUnderline"/>
        </w:rPr>
        <w:t>both Brown and IDEA were dedicated to the successful integration of groups historically excluded from mainstream</w:t>
      </w:r>
      <w:r w:rsidRPr="00AF424A">
        <w:rPr>
          <w:sz w:val="16"/>
        </w:rPr>
        <w:t xml:space="preserve"> </w:t>
      </w:r>
      <w:r w:rsidRPr="00D60540">
        <w:rPr>
          <w:rStyle w:val="StyleUnderline"/>
        </w:rPr>
        <w:t>educational opportunities</w:t>
      </w:r>
      <w:r w:rsidRPr="00AF424A">
        <w:rPr>
          <w:sz w:val="16"/>
        </w:rPr>
        <w:t xml:space="preserve">. n12 Yet, while both can be read as landmark measures in furtherance of social justice, they must also be recognized as symbols of the practical limitations of judicially led social reform. </w:t>
      </w:r>
      <w:r w:rsidRPr="004D2FAA">
        <w:rPr>
          <w:rStyle w:val="StyleUnderline"/>
        </w:rPr>
        <w:t>n13 In the case of Brown's ultimate impact on public school integration, a strong argument can be made that although the ruling pre-</w:t>
      </w:r>
      <w:proofErr w:type="spellStart"/>
      <w:r w:rsidRPr="004D2FAA">
        <w:rPr>
          <w:rStyle w:val="StyleUnderline"/>
        </w:rPr>
        <w:t>cluded</w:t>
      </w:r>
      <w:proofErr w:type="spellEnd"/>
      <w:r w:rsidRPr="004D2FAA">
        <w:rPr>
          <w:rStyle w:val="StyleUnderline"/>
        </w:rPr>
        <w:t xml:space="preserve"> state-sponsored segregation measures</w:t>
      </w:r>
      <w:r>
        <w:rPr>
          <w:rStyle w:val="StyleUnderline"/>
        </w:rPr>
        <w:t xml:space="preserve"> </w:t>
      </w:r>
      <w:r w:rsidRPr="00AF424A">
        <w:rPr>
          <w:sz w:val="16"/>
        </w:rPr>
        <w:t xml:space="preserve">, "it did not mandate implementation of meaningful equality." n14 Since Brown, measures to enforce the prohibition against de jure segregation by preventing government-endorsed separation of races in public schools have continued to coexist alongside practices that encourage race-based subordination. n15 De facto school segregation continues to be tolerated and even promoted in many communities as an outgrowth of </w:t>
      </w:r>
      <w:proofErr w:type="spellStart"/>
      <w:r w:rsidRPr="00AF424A">
        <w:rPr>
          <w:sz w:val="16"/>
        </w:rPr>
        <w:t>individ-ual</w:t>
      </w:r>
      <w:proofErr w:type="spellEnd"/>
      <w:r w:rsidRPr="00AF424A">
        <w:rPr>
          <w:sz w:val="16"/>
        </w:rPr>
        <w:t xml:space="preserve"> choices, entrenched social norms, or demographic patterns. n16</w:t>
      </w:r>
    </w:p>
    <w:p w:rsidR="00833446" w:rsidRDefault="00833446" w:rsidP="00DE1156">
      <w:pPr>
        <w:pStyle w:val="Heading3"/>
        <w:tabs>
          <w:tab w:val="left" w:pos="9990"/>
        </w:tabs>
        <w:ind w:left="720" w:firstLine="720"/>
      </w:pPr>
      <w:r>
        <w:t xml:space="preserve">AT: CP </w:t>
      </w:r>
      <w:r w:rsidR="00DE1156">
        <w:t>– Federal Expansion Key</w:t>
      </w:r>
    </w:p>
    <w:p w:rsidR="00833446" w:rsidRDefault="00353585" w:rsidP="00833446">
      <w:pPr>
        <w:pStyle w:val="Heading4"/>
      </w:pPr>
      <w:r>
        <w:t>Current court readings prevent vast numbers of students from IDEA eligibility, the plan sets a standard to ensure that students are provided non-academic resources, this sets a national precedent. The CP will be overrode by other court cases.</w:t>
      </w:r>
    </w:p>
    <w:p w:rsidR="00833446" w:rsidRPr="009B348A" w:rsidRDefault="00833446" w:rsidP="00833446">
      <w:proofErr w:type="spellStart"/>
      <w:r w:rsidRPr="009B348A">
        <w:rPr>
          <w:rStyle w:val="Style13ptBold"/>
        </w:rPr>
        <w:t>Golembiewski</w:t>
      </w:r>
      <w:proofErr w:type="spellEnd"/>
      <w:r w:rsidRPr="009B348A">
        <w:rPr>
          <w:rStyle w:val="Style13ptBold"/>
        </w:rPr>
        <w:t xml:space="preserve"> 2016</w:t>
      </w:r>
      <w:r w:rsidRPr="009B348A">
        <w:t xml:space="preserve"> - Law Clerk to the Honorable Charles R. Wilson, U.S. Court of Appeals for the Eleventh Circuit </w:t>
      </w:r>
      <w:r>
        <w:br/>
      </w:r>
      <w:r w:rsidRPr="009B348A">
        <w:t>Kevin, “DISPARATE TREATMENT AND LOST OPPORTUNITY: COURTS' APPROACH TO STUDENTS WITH MENTAL HEALTH DISABILITIES UNDER THE IDEA," 88 Temp. L. Rev. 473</w:t>
      </w:r>
    </w:p>
    <w:p w:rsidR="00833446" w:rsidRPr="00E97339" w:rsidRDefault="00833446" w:rsidP="00833446">
      <w:pPr>
        <w:rPr>
          <w:rStyle w:val="StyleUnderline"/>
        </w:rPr>
      </w:pPr>
      <w:r w:rsidRPr="00F56AB1">
        <w:rPr>
          <w:rStyle w:val="StyleUnderline"/>
        </w:rPr>
        <w:t>Courts' interpretation of the term "educational" is critical to students with mental health disabilities accessing IDEA services</w:t>
      </w:r>
      <w:r>
        <w:t xml:space="preserve">. In order to be eligible for services under the Act, a student must have a disability that "adversely affects  [*485]  [her] educational performance." n78 Additionally, the IDEA requires only that an eligible student be afforded meaningful educational benefit. n79 Hence, </w:t>
      </w:r>
      <w:r w:rsidRPr="00E97339">
        <w:rPr>
          <w:rStyle w:val="StyleUnderline"/>
        </w:rPr>
        <w:t>if a student is struggling in areas deemed noneducational but is making educational progress, her school district has no obligation to provide her special education supports and services</w:t>
      </w:r>
      <w:r>
        <w:t xml:space="preserve">; or, </w:t>
      </w:r>
      <w:r w:rsidRPr="00E97339">
        <w:rPr>
          <w:rStyle w:val="StyleUnderline"/>
        </w:rPr>
        <w:t>in cases where the student is already eligible for special education, the school district has no obligation to provide any additional supports and services.</w:t>
      </w:r>
    </w:p>
    <w:p w:rsidR="00833446" w:rsidRDefault="00833446" w:rsidP="00833446">
      <w:r w:rsidRPr="00353585">
        <w:rPr>
          <w:rStyle w:val="StyleUnderline"/>
        </w:rPr>
        <w:t>Students with mental health disabilities are routinely denied access to the special education services they need because many courts have adopted a narrow interpretation of "educational" that excludes the types of deficits associated with mental health issues</w:t>
      </w:r>
      <w:r>
        <w:t xml:space="preserve">. n80 </w:t>
      </w:r>
      <w:r w:rsidRPr="00353585">
        <w:rPr>
          <w:rStyle w:val="StyleUnderline"/>
        </w:rPr>
        <w:t xml:space="preserve">Courts frequently interpret "educational" to mean "academic." </w:t>
      </w:r>
      <w:r>
        <w:t xml:space="preserve">n81 Consequently, as long as a student is able to make progress in traditional academic areas, such as reading, writing, and arithmetic, she will be denied services even if she is not making progress in a number of areas that are critical to self-sufficiency. </w:t>
      </w:r>
      <w:r w:rsidRPr="00353585">
        <w:rPr>
          <w:rStyle w:val="StyleUnderline"/>
        </w:rPr>
        <w:t>This approach has a disparate impact on students with mental health disabilities because their disabilities often affect areas of development that are nonacademic, such as forming interpersonal relationships, regulating behavior, and interacting in community settings</w:t>
      </w:r>
      <w:r>
        <w:t xml:space="preserve">. n82 Specifically, </w:t>
      </w:r>
      <w:r w:rsidRPr="00353585">
        <w:rPr>
          <w:rStyle w:val="StyleUnderline"/>
        </w:rPr>
        <w:t>narrow court readings deny students with mental health disabilities (1) IDEA eligibility</w:t>
      </w:r>
      <w:r>
        <w:t xml:space="preserve">,  [*486]  (2) </w:t>
      </w:r>
      <w:r w:rsidRPr="00353585">
        <w:rPr>
          <w:rStyle w:val="StyleUnderline"/>
        </w:rPr>
        <w:t xml:space="preserve">access to needed services even when they are IDEA eligible, and </w:t>
      </w:r>
      <w:r>
        <w:t xml:space="preserve">(3) </w:t>
      </w:r>
      <w:r w:rsidRPr="00353585">
        <w:rPr>
          <w:rStyle w:val="StyleUnderline"/>
        </w:rPr>
        <w:t>access to placements that specialize in addressing mental health issues</w:t>
      </w:r>
      <w:r>
        <w:t>.</w:t>
      </w:r>
    </w:p>
    <w:p w:rsidR="00833446" w:rsidRDefault="00833446" w:rsidP="00833446">
      <w:pPr>
        <w:pStyle w:val="Heading3"/>
      </w:pPr>
      <w:r>
        <w:t>AT: States – No Uniformity</w:t>
      </w:r>
    </w:p>
    <w:p w:rsidR="00833446" w:rsidRDefault="00833446" w:rsidP="00833446">
      <w:pPr>
        <w:pStyle w:val="Heading4"/>
      </w:pPr>
      <w:r>
        <w:t>States fail --- even with enforcement mechanisms, they won’t use them --- and lack of uniformity</w:t>
      </w:r>
    </w:p>
    <w:p w:rsidR="00833446" w:rsidRPr="00D02ECF" w:rsidRDefault="00833446" w:rsidP="00833446">
      <w:r w:rsidRPr="00D02ECF">
        <w:t>Natasha M.</w:t>
      </w:r>
      <w:r>
        <w:rPr>
          <w:b/>
        </w:rPr>
        <w:t xml:space="preserve"> </w:t>
      </w:r>
      <w:proofErr w:type="spellStart"/>
      <w:r>
        <w:rPr>
          <w:b/>
        </w:rPr>
        <w:t>Strassfeld</w:t>
      </w:r>
      <w:proofErr w:type="spellEnd"/>
      <w:r>
        <w:rPr>
          <w:b/>
        </w:rPr>
        <w:t xml:space="preserve"> </w:t>
      </w:r>
      <w:r w:rsidRPr="00D02ECF">
        <w:t>6/28/</w:t>
      </w:r>
      <w:r>
        <w:rPr>
          <w:b/>
        </w:rPr>
        <w:t>17</w:t>
      </w:r>
      <w:r w:rsidRPr="00D02ECF">
        <w:t>, Assistant Professor of Special Education, New York University Steinhardt School of Culture, Education, and Human Development, The Future of Idea: Monitoring Disproportionate Representation of Minority Students in Special Education and Intentional Discrimination Claims , 67 Case Western Reserve Law R</w:t>
      </w:r>
      <w:r>
        <w:t>eview 1121 – 1151 Summer, 2017 page 1121)//</w:t>
      </w:r>
      <w:proofErr w:type="spellStart"/>
      <w:r>
        <w:t>masw</w:t>
      </w:r>
      <w:proofErr w:type="spellEnd"/>
    </w:p>
    <w:p w:rsidR="00833446" w:rsidRPr="00D02ECF" w:rsidRDefault="00833446" w:rsidP="00833446">
      <w:pPr>
        <w:rPr>
          <w:sz w:val="16"/>
        </w:rPr>
      </w:pPr>
      <w:r w:rsidRPr="00D02ECF">
        <w:rPr>
          <w:sz w:val="16"/>
        </w:rPr>
        <w:t xml:space="preserve">Following the progress made by the civil rights movement to secure educational opportunities for racial and ethnic minority students in landmark decisions such as Brown v. Board of Education, civil rights advocates and policymakers were able to use prior successful legal strategies and challenges to secure educational rights for students with disabilities. Several of the earliest legal challenges to school segregation involved separate classrooms and instruction for students with a disability or the disproportionate representation of racial and ethnic minority students with disabilities within the most restrictive special education settings in public schools. In the decades following the Brown decision, racial and ethnic minority students gained access to integrated classrooms. Over time, however, student placement by factors such as ability-level grouping, disability category, and academic achievement produced patterns of internal </w:t>
      </w:r>
      <w:proofErr w:type="spellStart"/>
      <w:r w:rsidRPr="00D02ECF">
        <w:rPr>
          <w:sz w:val="16"/>
        </w:rPr>
        <w:t>resegregation</w:t>
      </w:r>
      <w:proofErr w:type="spellEnd"/>
      <w:r w:rsidRPr="00D02ECF">
        <w:rPr>
          <w:sz w:val="16"/>
        </w:rPr>
        <w:t xml:space="preserve"> for racial and ethnic minority students in desegregated schools. Even though students with disabilities and students without disabilities share a vibrant civil rights legacy in regards to securing educational rights and opportunities, the achievement gap between students with and without disabilities persists. Moreover, decades of research affirms that racial and ethnic minority students have often been reported to be both under- and over-identified for special education and related services. </w:t>
      </w:r>
      <w:r w:rsidRPr="00ED6116">
        <w:rPr>
          <w:rStyle w:val="StyleUnderline"/>
        </w:rPr>
        <w:t>Disproportionality is a complex phenomenon, but it can best be defined as the overrepresentation or underrepresentation of a racial or ethnic minority group in special education relative to the presence of this group within the overall student population</w:t>
      </w:r>
      <w:r w:rsidRPr="00D02ECF">
        <w:rPr>
          <w:sz w:val="16"/>
        </w:rPr>
        <w:t xml:space="preserve">. </w:t>
      </w:r>
      <w:r w:rsidRPr="00ED6116">
        <w:rPr>
          <w:rStyle w:val="StyleUnderline"/>
        </w:rPr>
        <w:t xml:space="preserve">According to a 2016 report issued by the National Center for Education Statistics, </w:t>
      </w:r>
      <w:r w:rsidRPr="00D02ECF">
        <w:rPr>
          <w:sz w:val="16"/>
        </w:rPr>
        <w:t xml:space="preserve">approximately 13.5% (6.5 million) of all students in K-12 public schools receive special education and related services. </w:t>
      </w:r>
      <w:r w:rsidRPr="00ED6116">
        <w:rPr>
          <w:rStyle w:val="StyleUnderline"/>
        </w:rPr>
        <w:t>The percentage of students served under the Individuals with Disabilities Education Act (IDEA) is highest for American Indian/Alaska Native students (seventeen percent), followed by African American/Black students (fifteen percent), White/Caucasian students (thirteen percent),</w:t>
      </w:r>
      <w:r w:rsidRPr="00D02ECF">
        <w:rPr>
          <w:sz w:val="16"/>
        </w:rPr>
        <w:t xml:space="preserve"> students of two or more races (twelve percent), Hispanic students (twelve percent), Pacific Islander students (</w:t>
      </w:r>
      <w:proofErr w:type="spellStart"/>
      <w:r w:rsidRPr="00D02ECF">
        <w:rPr>
          <w:sz w:val="16"/>
        </w:rPr>
        <w:t>elevent</w:t>
      </w:r>
      <w:proofErr w:type="spellEnd"/>
      <w:r w:rsidRPr="00D02ECF">
        <w:rPr>
          <w:sz w:val="16"/>
        </w:rPr>
        <w:t xml:space="preserve"> percent), and Asian students (six percent). Studies that have examined disproportionate representation in special education have identified various factors to explain the presence of disproportionate representation including teachers' race and ethnicity bias, school-level characteristics such as student population size, rural/urban school district classification, or student- and parent-level characteristics such as family-level income, parental education attainment, or disability category of the student. However, studies have had inconclusive or contradictory findings as to which of these factors predominately account for disproportionality within a district. A criticism of studies in this area is that some studies are only correlational in nature or have not adequately addressed causal factors such as discriminatory practices, procedures, or racial, ethnic, and gender bias in the referral and evaluation process. Because of the uncertainty regarding the underlying causal factors for disproportionate representation within special education, federal law has required that local educational agencies (LEAs) monitor, report, and identify ways to address disproportionate representation of racial and ethnic minority students in special education. </w:t>
      </w:r>
      <w:r w:rsidRPr="00ED6116">
        <w:rPr>
          <w:rStyle w:val="Emphasis"/>
        </w:rPr>
        <w:t>Even with monitoring and enforcement</w:t>
      </w:r>
      <w:r w:rsidRPr="00ED6116">
        <w:rPr>
          <w:rStyle w:val="StyleUnderline"/>
        </w:rPr>
        <w:t xml:space="preserve"> provisions in place, there are concerns that </w:t>
      </w:r>
      <w:r w:rsidRPr="00ED6116">
        <w:rPr>
          <w:rStyle w:val="Emphasis"/>
        </w:rPr>
        <w:t>states</w:t>
      </w:r>
      <w:r w:rsidRPr="00ED6116">
        <w:rPr>
          <w:rStyle w:val="StyleUnderline"/>
        </w:rPr>
        <w:t xml:space="preserve"> fail to </w:t>
      </w:r>
      <w:r w:rsidRPr="00ED6116">
        <w:rPr>
          <w:rStyle w:val="Emphasis"/>
        </w:rPr>
        <w:t>adequately monitor</w:t>
      </w:r>
      <w:r w:rsidRPr="00ED6116">
        <w:rPr>
          <w:rStyle w:val="StyleUnderline"/>
        </w:rPr>
        <w:t xml:space="preserve"> and identify the disproportionate representation of racial and ethnic minority students in special education</w:t>
      </w:r>
      <w:r w:rsidRPr="00D02ECF">
        <w:rPr>
          <w:sz w:val="16"/>
        </w:rPr>
        <w:t xml:space="preserve">. In 2013, the </w:t>
      </w:r>
      <w:r w:rsidRPr="00ED6116">
        <w:rPr>
          <w:rStyle w:val="StyleUnderline"/>
        </w:rPr>
        <w:t>U.S. Government Accountability Office issued a report on racial and ethnic overrepresentation in special education in U.S. public schools</w:t>
      </w:r>
      <w:r w:rsidRPr="00D02ECF">
        <w:rPr>
          <w:sz w:val="16"/>
        </w:rPr>
        <w:t xml:space="preserve">. </w:t>
      </w:r>
      <w:r w:rsidRPr="00ED6116">
        <w:rPr>
          <w:rStyle w:val="StyleUnderline"/>
        </w:rPr>
        <w:t>The report examined the characteristics and extent to which LEAs provide coordinated early intervening services (CEIs) when overrepresentation is found, how states determine which LEAs are required to provide CEIs, the types of CEIs provided, and what constituted oversight by the State Department of Education. The report found that</w:t>
      </w:r>
      <w:r w:rsidRPr="00D02ECF">
        <w:rPr>
          <w:sz w:val="16"/>
        </w:rPr>
        <w:t xml:space="preserve">, </w:t>
      </w:r>
      <w:r w:rsidRPr="00ED6116">
        <w:rPr>
          <w:rStyle w:val="Emphasis"/>
        </w:rPr>
        <w:t>even though overrepresentation</w:t>
      </w:r>
      <w:r w:rsidRPr="00D02ECF">
        <w:rPr>
          <w:sz w:val="16"/>
        </w:rPr>
        <w:t xml:space="preserve"> </w:t>
      </w:r>
      <w:r w:rsidRPr="00ED6116">
        <w:rPr>
          <w:rStyle w:val="StyleUnderline"/>
        </w:rPr>
        <w:t xml:space="preserve">is </w:t>
      </w:r>
      <w:r w:rsidRPr="00ED6116">
        <w:rPr>
          <w:rStyle w:val="Emphasis"/>
        </w:rPr>
        <w:t>consistently cited as an education practice concern</w:t>
      </w:r>
      <w:r w:rsidRPr="00D02ECF">
        <w:rPr>
          <w:sz w:val="16"/>
        </w:rPr>
        <w:t xml:space="preserve"> </w:t>
      </w:r>
      <w:r w:rsidRPr="00ED6116">
        <w:rPr>
          <w:rStyle w:val="StyleUnderline"/>
        </w:rPr>
        <w:t xml:space="preserve">by education researchers, </w:t>
      </w:r>
      <w:r w:rsidRPr="00ED6116">
        <w:rPr>
          <w:rStyle w:val="Emphasis"/>
        </w:rPr>
        <w:t>most states actually do not identify problems</w:t>
      </w:r>
      <w:r w:rsidRPr="00D02ECF">
        <w:rPr>
          <w:sz w:val="16"/>
        </w:rPr>
        <w:t xml:space="preserve"> </w:t>
      </w:r>
      <w:r w:rsidRPr="00ED6116">
        <w:rPr>
          <w:rStyle w:val="StyleUnderline"/>
        </w:rPr>
        <w:t>in their districts regarding over-identification of minority students in special education</w:t>
      </w:r>
      <w:r w:rsidRPr="00D02ECF">
        <w:rPr>
          <w:sz w:val="16"/>
        </w:rPr>
        <w:t xml:space="preserve">. The report concluded that </w:t>
      </w:r>
      <w:r w:rsidRPr="00ED6116">
        <w:rPr>
          <w:rStyle w:val="StyleUnderline"/>
        </w:rPr>
        <w:t>some of the examined states did have some instances of district-level and state-level overrepresentation within the oversight process</w:t>
      </w:r>
      <w:r w:rsidRPr="00D02ECF">
        <w:rPr>
          <w:sz w:val="16"/>
        </w:rPr>
        <w:t xml:space="preserve">. However, </w:t>
      </w:r>
      <w:r w:rsidRPr="00ED6116">
        <w:rPr>
          <w:rStyle w:val="Emphasis"/>
        </w:rPr>
        <w:t>a lack of uniformity</w:t>
      </w:r>
      <w:r w:rsidRPr="00D02ECF">
        <w:rPr>
          <w:sz w:val="16"/>
        </w:rPr>
        <w:t xml:space="preserve"> </w:t>
      </w:r>
      <w:r w:rsidRPr="00ED6116">
        <w:rPr>
          <w:rStyle w:val="StyleUnderline"/>
        </w:rPr>
        <w:t>across states' disproportionality monitoring and measures made it more difficult to make state comparisons or interpret findings of disproportionate representation.</w:t>
      </w:r>
      <w:r>
        <w:rPr>
          <w:rStyle w:val="StyleUnderline"/>
        </w:rPr>
        <w:t xml:space="preserve"> </w:t>
      </w:r>
      <w:r w:rsidRPr="00D02ECF">
        <w:rPr>
          <w:sz w:val="16"/>
        </w:rPr>
        <w:t>In 2014, the Department of Education submitted a Request for Information to address significant disproportionality under section 618(d) of IDEA, which included a specific request to the public to submit comments for recommendations for how to best address significant disproportionality based on race and ethnicity in the identification of children for special education, placements, and disciplinary actions. After an impassioned public comment period, the final Department of Education regulations to guide states and LEAs regarding special education practices were released in December 2016.</w:t>
      </w:r>
    </w:p>
    <w:p w:rsidR="00833446" w:rsidRDefault="00833446" w:rsidP="00833446">
      <w:pPr>
        <w:pStyle w:val="Heading3"/>
      </w:pPr>
      <w:r>
        <w:t>AT: States – No Reporting</w:t>
      </w:r>
    </w:p>
    <w:p w:rsidR="00833446" w:rsidRDefault="00833446" w:rsidP="00833446">
      <w:pPr>
        <w:pStyle w:val="Heading4"/>
      </w:pPr>
      <w:r>
        <w:t>Autonomy is bad --- even if all states act uniformly, reporting isn’t possible</w:t>
      </w:r>
    </w:p>
    <w:p w:rsidR="00833446" w:rsidRPr="000E540A" w:rsidRDefault="00833446" w:rsidP="00833446">
      <w:r w:rsidRPr="00D02ECF">
        <w:t>Natasha M.</w:t>
      </w:r>
      <w:r>
        <w:rPr>
          <w:b/>
        </w:rPr>
        <w:t xml:space="preserve"> </w:t>
      </w:r>
      <w:proofErr w:type="spellStart"/>
      <w:r>
        <w:rPr>
          <w:b/>
        </w:rPr>
        <w:t>Strassfeld</w:t>
      </w:r>
      <w:proofErr w:type="spellEnd"/>
      <w:r>
        <w:rPr>
          <w:b/>
        </w:rPr>
        <w:t xml:space="preserve"> </w:t>
      </w:r>
      <w:r w:rsidRPr="00D02ECF">
        <w:t>6/28/</w:t>
      </w:r>
      <w:r>
        <w:rPr>
          <w:b/>
        </w:rPr>
        <w:t>17</w:t>
      </w:r>
      <w:r w:rsidRPr="00D02ECF">
        <w:t>, Assistant Professor of Special Education, New York University Steinhardt School of Culture, Education, and Human Development, The Future of Idea: Monitoring Disproportionate Representation of Minority Students in Special Education and Intentional Discrimination Claims , 67 Case Western Reserve Law R</w:t>
      </w:r>
      <w:r>
        <w:t>eview 1121 – 1151 Summer, 2017 page 1126)//</w:t>
      </w:r>
      <w:proofErr w:type="spellStart"/>
      <w:r>
        <w:t>masw</w:t>
      </w:r>
      <w:proofErr w:type="spellEnd"/>
    </w:p>
    <w:p w:rsidR="00833446" w:rsidRDefault="00833446" w:rsidP="00833446">
      <w:pPr>
        <w:rPr>
          <w:sz w:val="14"/>
        </w:rPr>
      </w:pPr>
      <w:r w:rsidRPr="004929FE">
        <w:rPr>
          <w:rStyle w:val="StyleUnderline"/>
        </w:rPr>
        <w:t>While the revised regulations aim to provide greater uniformity for</w:t>
      </w:r>
      <w:r>
        <w:rPr>
          <w:rStyle w:val="StyleUnderline"/>
        </w:rPr>
        <w:t xml:space="preserve"> </w:t>
      </w:r>
      <w:r w:rsidRPr="004929FE">
        <w:rPr>
          <w:rStyle w:val="StyleUnderline"/>
        </w:rPr>
        <w:t>states</w:t>
      </w:r>
      <w:r w:rsidRPr="005B0C2D">
        <w:rPr>
          <w:sz w:val="14"/>
        </w:rPr>
        <w:t xml:space="preserve"> on the reporting of both over- and under-identification of students with disabilities by race and ethnicity, the systemic identification of students with disabilities into special education and related services by race and ethnicity must be examined not only as a policy-based issue, but also as a legal concern for parents, school districts, and states. That is, </w:t>
      </w:r>
      <w:r w:rsidRPr="004929FE">
        <w:rPr>
          <w:rStyle w:val="Emphasis"/>
        </w:rPr>
        <w:t>even</w:t>
      </w:r>
      <w:r w:rsidRPr="005B0C2D">
        <w:rPr>
          <w:sz w:val="14"/>
        </w:rPr>
        <w:t xml:space="preserve"> </w:t>
      </w:r>
      <w:r w:rsidRPr="004929FE">
        <w:rPr>
          <w:rStyle w:val="Emphasis"/>
        </w:rPr>
        <w:t>though states are</w:t>
      </w:r>
      <w:r w:rsidRPr="005B0C2D">
        <w:rPr>
          <w:sz w:val="14"/>
        </w:rPr>
        <w:t xml:space="preserve">, </w:t>
      </w:r>
      <w:r w:rsidRPr="004929FE">
        <w:rPr>
          <w:rStyle w:val="StyleUnderline"/>
        </w:rPr>
        <w:t>increasingly, under greater pressure to</w:t>
      </w:r>
      <w:r>
        <w:rPr>
          <w:rStyle w:val="StyleUnderline"/>
        </w:rPr>
        <w:t xml:space="preserve"> </w:t>
      </w:r>
      <w:r w:rsidRPr="004929FE">
        <w:rPr>
          <w:rStyle w:val="StyleUnderline"/>
        </w:rPr>
        <w:t>identify and address significant disproportionality in the placement of</w:t>
      </w:r>
      <w:r>
        <w:rPr>
          <w:rStyle w:val="StyleUnderline"/>
        </w:rPr>
        <w:t xml:space="preserve"> </w:t>
      </w:r>
      <w:r w:rsidRPr="004929FE">
        <w:rPr>
          <w:rStyle w:val="StyleUnderline"/>
        </w:rPr>
        <w:t xml:space="preserve">minority children into special education, </w:t>
      </w:r>
      <w:r w:rsidRPr="004929FE">
        <w:rPr>
          <w:rStyle w:val="Emphasis"/>
        </w:rPr>
        <w:t>current reports</w:t>
      </w:r>
      <w:r w:rsidRPr="004929FE">
        <w:rPr>
          <w:rStyle w:val="StyleUnderline"/>
        </w:rPr>
        <w:t xml:space="preserve"> indicate that</w:t>
      </w:r>
      <w:r>
        <w:rPr>
          <w:rStyle w:val="StyleUnderline"/>
        </w:rPr>
        <w:t xml:space="preserve"> </w:t>
      </w:r>
      <w:r w:rsidRPr="004929FE">
        <w:rPr>
          <w:rStyle w:val="StyleUnderline"/>
        </w:rPr>
        <w:t xml:space="preserve">states </w:t>
      </w:r>
      <w:r w:rsidRPr="004929FE">
        <w:rPr>
          <w:rStyle w:val="Emphasis"/>
        </w:rPr>
        <w:t>under-report, fail to report, or face a lack of severe penalties</w:t>
      </w:r>
      <w:r w:rsidRPr="005B0C2D">
        <w:rPr>
          <w:sz w:val="14"/>
        </w:rPr>
        <w:t xml:space="preserve"> or</w:t>
      </w:r>
      <w:r>
        <w:rPr>
          <w:rStyle w:val="StyleUnderline"/>
        </w:rPr>
        <w:t xml:space="preserve"> </w:t>
      </w:r>
      <w:r w:rsidRPr="004929FE">
        <w:rPr>
          <w:rStyle w:val="StyleUnderline"/>
        </w:rPr>
        <w:t>sanctions when found to have significant disproportionality within the</w:t>
      </w:r>
      <w:r>
        <w:rPr>
          <w:rStyle w:val="StyleUnderline"/>
        </w:rPr>
        <w:t xml:space="preserve"> </w:t>
      </w:r>
      <w:r w:rsidRPr="004929FE">
        <w:rPr>
          <w:rStyle w:val="StyleUnderline"/>
        </w:rPr>
        <w:t>state.</w:t>
      </w:r>
      <w:r w:rsidRPr="005B0C2D">
        <w:rPr>
          <w:sz w:val="14"/>
        </w:rPr>
        <w:t xml:space="preserve">28 For racial or ethnic minority parents who have a child with a disability enrolled in an LEA that has been found to have significant disproportionality under IDEA, there is a growing interest in pursuing legal action with the limited number of legal remedies for plaintiff parents and children that are available. The pursuit of equity regarding proportional placement for minority students with disabilities must also be placed within the broader provision of civil rights for racial and ethnic minority students. The continuing difficulties faced by parents of racial and ethnic minority students who reside in districts that have run afoul of IDEA regulations must be viewed as a continuing civil rights concern where civil rights continue to be at stake. This Article proceeds in three parts. Part I focuses on the history of the Individuals with Disabilities Education Act, specifically analyzing how the Act has been reauthorized over time to include provisions that address the disproportionate representation of minority students in special education. Part II examines how states currently use different measures to frame and, ultimately, address the problem of disproportionate representation and the Department of Education’s role in preventing over-identification. It also explores how education federalism, </w:t>
      </w:r>
      <w:r w:rsidRPr="000E540A">
        <w:rPr>
          <w:rStyle w:val="StyleUnderline"/>
        </w:rPr>
        <w:t xml:space="preserve">the practice of </w:t>
      </w:r>
      <w:r w:rsidRPr="000E540A">
        <w:rPr>
          <w:rStyle w:val="Emphasis"/>
        </w:rPr>
        <w:t>favoring</w:t>
      </w:r>
      <w:r w:rsidRPr="000E540A">
        <w:rPr>
          <w:rStyle w:val="StyleUnderline"/>
        </w:rPr>
        <w:t xml:space="preserve"> significant </w:t>
      </w:r>
      <w:r w:rsidRPr="000E540A">
        <w:rPr>
          <w:rStyle w:val="Emphasis"/>
        </w:rPr>
        <w:t>autonomy</w:t>
      </w:r>
      <w:r w:rsidRPr="005B0C2D">
        <w:rPr>
          <w:sz w:val="14"/>
        </w:rPr>
        <w:t xml:space="preserve"> </w:t>
      </w:r>
      <w:r w:rsidRPr="000E540A">
        <w:rPr>
          <w:rStyle w:val="StyleUnderline"/>
        </w:rPr>
        <w:t>for states and local</w:t>
      </w:r>
      <w:r>
        <w:rPr>
          <w:rStyle w:val="StyleUnderline"/>
        </w:rPr>
        <w:t xml:space="preserve"> </w:t>
      </w:r>
      <w:r w:rsidRPr="000E540A">
        <w:rPr>
          <w:rStyle w:val="StyleUnderline"/>
        </w:rPr>
        <w:t>school boards</w:t>
      </w:r>
      <w:r w:rsidRPr="005B0C2D">
        <w:rPr>
          <w:sz w:val="14"/>
        </w:rPr>
        <w:t xml:space="preserve">, even in instances where constitutional or federal statutory rights are involved, </w:t>
      </w:r>
      <w:r w:rsidRPr="000E540A">
        <w:rPr>
          <w:rStyle w:val="StyleUnderline"/>
        </w:rPr>
        <w:t>causes</w:t>
      </w:r>
      <w:r w:rsidRPr="005B0C2D">
        <w:rPr>
          <w:sz w:val="14"/>
        </w:rPr>
        <w:t xml:space="preserve"> </w:t>
      </w:r>
      <w:r w:rsidRPr="000E540A">
        <w:rPr>
          <w:rStyle w:val="Emphasis"/>
        </w:rPr>
        <w:t>inconsistent definitions of disproportionality</w:t>
      </w:r>
      <w:r>
        <w:rPr>
          <w:rStyle w:val="Emphasis"/>
        </w:rPr>
        <w:t xml:space="preserve"> </w:t>
      </w:r>
      <w:r w:rsidRPr="000E540A">
        <w:rPr>
          <w:rStyle w:val="StyleUnderline"/>
        </w:rPr>
        <w:t xml:space="preserve">and </w:t>
      </w:r>
      <w:r w:rsidRPr="005B0C2D">
        <w:rPr>
          <w:rStyle w:val="Emphasis"/>
        </w:rPr>
        <w:t>under-enforcement</w:t>
      </w:r>
      <w:r w:rsidRPr="000E540A">
        <w:rPr>
          <w:rStyle w:val="StyleUnderline"/>
        </w:rPr>
        <w:t xml:space="preserve"> </w:t>
      </w:r>
      <w:r w:rsidRPr="005B0C2D">
        <w:rPr>
          <w:sz w:val="14"/>
        </w:rPr>
        <w:t>of IDEA’s protection against disproportionate placement. Part III examines Blunt v. Lower Merion School District29 and the high bar that courts set for plaintiffs who assert that their school district discriminated against racial and ethnic minority students with disabilities and allege intentional discrimination claims against school districts. Finally, this Article concludes by examining the potential impact of new regulatory changes and offering recommendations for future best practices.</w:t>
      </w:r>
    </w:p>
    <w:p w:rsidR="00833446" w:rsidRDefault="00833446" w:rsidP="00833446">
      <w:pPr>
        <w:pStyle w:val="Heading3"/>
      </w:pPr>
      <w:r>
        <w:t>AT: States – No monitoring</w:t>
      </w:r>
    </w:p>
    <w:p w:rsidR="00833446" w:rsidRDefault="00833446" w:rsidP="00833446">
      <w:pPr>
        <w:pStyle w:val="Heading4"/>
      </w:pPr>
      <w:r>
        <w:t>Federal government policy sends a strong signal that reverberates across districts --- states bad for monitoring</w:t>
      </w:r>
    </w:p>
    <w:p w:rsidR="00833446" w:rsidRPr="005B335B" w:rsidRDefault="00833446" w:rsidP="00833446">
      <w:r w:rsidRPr="00D02ECF">
        <w:t>Natasha M.</w:t>
      </w:r>
      <w:r>
        <w:rPr>
          <w:b/>
        </w:rPr>
        <w:t xml:space="preserve"> </w:t>
      </w:r>
      <w:proofErr w:type="spellStart"/>
      <w:r>
        <w:rPr>
          <w:b/>
        </w:rPr>
        <w:t>Strassfeld</w:t>
      </w:r>
      <w:proofErr w:type="spellEnd"/>
      <w:r>
        <w:rPr>
          <w:b/>
        </w:rPr>
        <w:t xml:space="preserve"> </w:t>
      </w:r>
      <w:r w:rsidRPr="00D02ECF">
        <w:t>6/28/</w:t>
      </w:r>
      <w:r>
        <w:rPr>
          <w:b/>
        </w:rPr>
        <w:t>17</w:t>
      </w:r>
      <w:r w:rsidRPr="00D02ECF">
        <w:t>, Assistant Professor of Special Education, New York University Steinhardt School of Culture, Education, and Human Development, The Future of Idea: Monitoring Disproportionate Representation of Minority Students in Special Education and Intentional Discrimination Claims , 67 Case Western Reserve Law R</w:t>
      </w:r>
      <w:r>
        <w:t>eview 1121 – 1151 Summer, 2017 page 1133)//</w:t>
      </w:r>
      <w:proofErr w:type="spellStart"/>
      <w:r>
        <w:t>masw</w:t>
      </w:r>
      <w:proofErr w:type="spellEnd"/>
    </w:p>
    <w:p w:rsidR="00833446" w:rsidRPr="005B335B" w:rsidRDefault="00833446" w:rsidP="00833446">
      <w:pPr>
        <w:rPr>
          <w:sz w:val="12"/>
        </w:rPr>
      </w:pPr>
      <w:r w:rsidRPr="005B335B">
        <w:rPr>
          <w:sz w:val="12"/>
        </w:rPr>
        <w:t xml:space="preserve">II. Disproportionality Policy Monitoring and Enforcement Under IDEA As the previous Part describes, the IDEA amendments and the 2004 reauthorization reserved </w:t>
      </w:r>
      <w:r w:rsidRPr="006A2BFC">
        <w:rPr>
          <w:rStyle w:val="StyleUnderline"/>
        </w:rPr>
        <w:t xml:space="preserve">considerable discretion to the states </w:t>
      </w:r>
      <w:r w:rsidRPr="005B335B">
        <w:rPr>
          <w:sz w:val="12"/>
        </w:rPr>
        <w:t xml:space="preserve">pertaining to the implementation of its requirements regarding disproportionality. This is </w:t>
      </w:r>
      <w:r w:rsidRPr="006A2BFC">
        <w:rPr>
          <w:rStyle w:val="StyleUnderline"/>
        </w:rPr>
        <w:t>consistent with a strong tradition of regarding education as</w:t>
      </w:r>
      <w:r>
        <w:rPr>
          <w:rStyle w:val="StyleUnderline"/>
        </w:rPr>
        <w:t xml:space="preserve"> </w:t>
      </w:r>
      <w:r w:rsidRPr="006A2BFC">
        <w:rPr>
          <w:rStyle w:val="StyleUnderline"/>
        </w:rPr>
        <w:t>largely a state and local matter.</w:t>
      </w:r>
      <w:r w:rsidRPr="005B335B">
        <w:rPr>
          <w:sz w:val="12"/>
        </w:rPr>
        <w:t xml:space="preserve"> Because statutes like IDEA, along with the Equal Protection Clause of the Fourteenth Amendment, are sources of federal rights, education creates a terrain for shifting balances between federal and state control. Some commentators have described this tug of war between the federal government and the states in terms of education federalism.68 Professor Kimberly Robinson has defined education federalism as “a balance of power between the federal, state, and local governments that emphasizes substantial state autonomy over education.”69 </w:t>
      </w:r>
      <w:r w:rsidRPr="006A2BFC">
        <w:rPr>
          <w:rStyle w:val="StyleUnderline"/>
        </w:rPr>
        <w:t>The strong preference for state and local control of education is not</w:t>
      </w:r>
      <w:r>
        <w:rPr>
          <w:rStyle w:val="StyleUnderline"/>
        </w:rPr>
        <w:t xml:space="preserve"> </w:t>
      </w:r>
      <w:r w:rsidRPr="006A2BFC">
        <w:rPr>
          <w:rStyle w:val="StyleUnderline"/>
        </w:rPr>
        <w:t>surprising.</w:t>
      </w:r>
      <w:r w:rsidRPr="005B335B">
        <w:rPr>
          <w:sz w:val="12"/>
        </w:rPr>
        <w:t xml:space="preserve"> To begin, education has historically been a matter that fell within the ambit of what states and local governments did. There are good reasons for a predisposition for local autonomy, ranging from a belief that local authorities are more likely to understand the idiosyncratic needs of their residents, to a belief that local control is likely to be more democratic control. History regarding such matters as school desegregation has demonstrated, however, that complete abdication to local control can undermine important federal rights. Desegregation has, indeed, been an area where federal rights have been aggressively imposed upon resistant states.70 Brown v. Board of Education represented a rebalancing of the federalism equilibrium in asserting that neither the law nor mores of states with compulsory school segregation could stand in the face of the Fourteenth Amendment’s Equal Protection Clause.71 Indeed, the history of school desegregation after Brown is something of a cautionary tale about the perils of education federalism. A year after Brown in its implementation decision, Brown II, 72 the Court tilted strongly toward local autonomy. Writing for the Court, Chief Justice Warren hailed what he saw as significant progress that some school districts had already made since Brown. 73 He added that schools might face particular local issues in moving toward desegregation. Consequently, he added, “[s]</w:t>
      </w:r>
      <w:proofErr w:type="spellStart"/>
      <w:r w:rsidRPr="005B335B">
        <w:rPr>
          <w:sz w:val="12"/>
        </w:rPr>
        <w:t>chool</w:t>
      </w:r>
      <w:proofErr w:type="spellEnd"/>
      <w:r w:rsidRPr="005B335B">
        <w:rPr>
          <w:sz w:val="12"/>
        </w:rPr>
        <w:t xml:space="preserve"> authorities have the primary responsibility for elucidating, assessing, and solving these problems . . . .”74 In turn, local federal district courts, which often were sympathetic to school district efforts to slow down or impede desegregation, would retain jurisdiction over the cases. This was to be accomplished with “all deliberate speed.”75 Yet, ten years after Brown, a mere 2.3% of African American children attended integrated southern schools.76 Only when the full force of the federal government intervened to rebalance federal and local authority by coupling the 1964 Civil Rights Act and the Elementary and Secondary Education Act (ESEA) in 196577 did progress begin to happen regarding desegregation of southern schools. Title VI of the Civil Rights Act prohibited discrimination by government agencies that received federal money.78 </w:t>
      </w:r>
      <w:r w:rsidRPr="006A2BFC">
        <w:rPr>
          <w:rStyle w:val="StyleUnderline"/>
        </w:rPr>
        <w:t>The threat of losing federal funding</w:t>
      </w:r>
      <w:r>
        <w:rPr>
          <w:rStyle w:val="StyleUnderline"/>
        </w:rPr>
        <w:t xml:space="preserve"> </w:t>
      </w:r>
      <w:r w:rsidRPr="006A2BFC">
        <w:rPr>
          <w:rStyle w:val="StyleUnderline"/>
        </w:rPr>
        <w:t>became much more potent</w:t>
      </w:r>
      <w:r w:rsidRPr="005B335B">
        <w:rPr>
          <w:sz w:val="12"/>
        </w:rPr>
        <w:t xml:space="preserve"> in 1965 with the enactment of ESEA which provided for a major flow of federal funding to schools.79 The judiciary’s patience with the delaying tactics of school districts also ran out. That growing impatience, and willingness to displace local autonomy with federal command, culminated in Green v. County School Board of New Kent County, Virginia. 80 There the Court rejected the county’s “freedom of choice” plan, which nominally permitted African American children to choose to attend any school in the district, but practically continued segregation.81 Instead, it ordered the county to speedily adopt plans that would create a unitary school system.82 </w:t>
      </w:r>
      <w:r w:rsidRPr="006A2BFC">
        <w:rPr>
          <w:rStyle w:val="StyleUnderline"/>
        </w:rPr>
        <w:t xml:space="preserve">This </w:t>
      </w:r>
      <w:r w:rsidRPr="006A2BFC">
        <w:rPr>
          <w:rStyle w:val="Emphasis"/>
        </w:rPr>
        <w:t>confluence</w:t>
      </w:r>
      <w:r w:rsidRPr="006A2BFC">
        <w:rPr>
          <w:rStyle w:val="StyleUnderline"/>
        </w:rPr>
        <w:t xml:space="preserve"> of</w:t>
      </w:r>
      <w:r>
        <w:rPr>
          <w:rStyle w:val="StyleUnderline"/>
        </w:rPr>
        <w:t xml:space="preserve"> </w:t>
      </w:r>
      <w:r w:rsidRPr="006A2BFC">
        <w:rPr>
          <w:rStyle w:val="Emphasis"/>
        </w:rPr>
        <w:t>agreement</w:t>
      </w:r>
      <w:r w:rsidRPr="006A2BFC">
        <w:rPr>
          <w:rStyle w:val="StyleUnderline"/>
        </w:rPr>
        <w:t xml:space="preserve"> among the </w:t>
      </w:r>
      <w:r w:rsidRPr="006A2BFC">
        <w:rPr>
          <w:rStyle w:val="Emphasis"/>
        </w:rPr>
        <w:t>three branches of federal government</w:t>
      </w:r>
      <w:r w:rsidRPr="006A2BFC">
        <w:rPr>
          <w:rStyle w:val="StyleUnderline"/>
        </w:rPr>
        <w:t xml:space="preserve"> that local</w:t>
      </w:r>
      <w:r>
        <w:rPr>
          <w:rStyle w:val="StyleUnderline"/>
        </w:rPr>
        <w:t xml:space="preserve"> </w:t>
      </w:r>
      <w:r w:rsidRPr="006A2BFC">
        <w:rPr>
          <w:rStyle w:val="StyleUnderline"/>
        </w:rPr>
        <w:t xml:space="preserve">school autonomy must give way to an </w:t>
      </w:r>
      <w:r w:rsidRPr="006A2BFC">
        <w:rPr>
          <w:rStyle w:val="Emphasis"/>
        </w:rPr>
        <w:t>aggressive assertion of federal</w:t>
      </w:r>
      <w:r>
        <w:rPr>
          <w:rStyle w:val="Emphasis"/>
        </w:rPr>
        <w:t xml:space="preserve"> </w:t>
      </w:r>
      <w:r w:rsidRPr="006A2BFC">
        <w:rPr>
          <w:rStyle w:val="Emphasis"/>
        </w:rPr>
        <w:t>rights</w:t>
      </w:r>
      <w:r w:rsidRPr="006A2BFC">
        <w:rPr>
          <w:rStyle w:val="StyleUnderline"/>
        </w:rPr>
        <w:t xml:space="preserve"> regarding education had a </w:t>
      </w:r>
      <w:r w:rsidRPr="006A2BFC">
        <w:rPr>
          <w:rStyle w:val="Emphasis"/>
        </w:rPr>
        <w:t>powerful impact on southern schools</w:t>
      </w:r>
      <w:r w:rsidRPr="006A2BFC">
        <w:rPr>
          <w:rStyle w:val="StyleUnderline"/>
        </w:rPr>
        <w:t>,</w:t>
      </w:r>
      <w:r>
        <w:rPr>
          <w:rStyle w:val="StyleUnderline"/>
        </w:rPr>
        <w:t xml:space="preserve"> </w:t>
      </w:r>
      <w:r w:rsidRPr="006A2BFC">
        <w:rPr>
          <w:rStyle w:val="StyleUnderline"/>
        </w:rPr>
        <w:t>but the retreat to state autonomy began not long after the Green decision.</w:t>
      </w:r>
      <w:r w:rsidRPr="005B335B">
        <w:rPr>
          <w:sz w:val="12"/>
        </w:rPr>
        <w:t xml:space="preserve"> </w:t>
      </w:r>
      <w:r w:rsidRPr="005B335B">
        <w:rPr>
          <w:rStyle w:val="StyleUnderline"/>
          <w:b/>
        </w:rPr>
        <w:t>The impulse to defer to state and local authority in education</w:t>
      </w:r>
      <w:r w:rsidRPr="005B335B">
        <w:rPr>
          <w:sz w:val="12"/>
        </w:rPr>
        <w:t xml:space="preserve">, even when constitutional or other federally created rights are at stake, </w:t>
      </w:r>
      <w:r w:rsidRPr="005B335B">
        <w:rPr>
          <w:rStyle w:val="StyleUnderline"/>
          <w:b/>
        </w:rPr>
        <w:t>continues to play out</w:t>
      </w:r>
      <w:r w:rsidRPr="006A2BFC">
        <w:rPr>
          <w:rStyle w:val="StyleUnderline"/>
        </w:rPr>
        <w:t>.</w:t>
      </w:r>
      <w:r w:rsidRPr="005B335B">
        <w:rPr>
          <w:sz w:val="12"/>
        </w:rPr>
        <w:t xml:space="preserve"> The No Child Left Behind Act of 200183 (NCLB) represented a major federal effort to reform education nationwide.84 The Act was intended to promote educational excellence and equity by providing for high standards of performance and creating incentives to achieve those standards.85 While NCLB called for setting rigorous standards in core subjects and testing to monitor those standards with reporting requirements for schools and consequences for poorly performing schools, it also, in deference to education federalism, let each state set its own academic standards</w:t>
      </w:r>
      <w:r w:rsidRPr="00C24029">
        <w:rPr>
          <w:rStyle w:val="Emphasis"/>
        </w:rPr>
        <w:t>. The results have been largely</w:t>
      </w:r>
      <w:r>
        <w:rPr>
          <w:rStyle w:val="Emphasis"/>
        </w:rPr>
        <w:t xml:space="preserve"> </w:t>
      </w:r>
      <w:r w:rsidRPr="00C24029">
        <w:rPr>
          <w:rStyle w:val="Emphasis"/>
        </w:rPr>
        <w:t>regarded as disappointing</w:t>
      </w:r>
      <w:r w:rsidRPr="005B335B">
        <w:rPr>
          <w:sz w:val="12"/>
        </w:rPr>
        <w:t xml:space="preserve">.86 </w:t>
      </w:r>
      <w:r w:rsidRPr="00C24029">
        <w:rPr>
          <w:rStyle w:val="StyleUnderline"/>
        </w:rPr>
        <w:t xml:space="preserve">The </w:t>
      </w:r>
      <w:r w:rsidRPr="00C24029">
        <w:rPr>
          <w:rStyle w:val="Emphasis"/>
        </w:rPr>
        <w:t>impact</w:t>
      </w:r>
      <w:r w:rsidRPr="00C24029">
        <w:rPr>
          <w:rStyle w:val="StyleUnderline"/>
        </w:rPr>
        <w:t xml:space="preserve"> of </w:t>
      </w:r>
      <w:r w:rsidRPr="00C24029">
        <w:rPr>
          <w:rStyle w:val="Emphasis"/>
        </w:rPr>
        <w:t>education federalism</w:t>
      </w:r>
      <w:r w:rsidRPr="00C24029">
        <w:rPr>
          <w:rStyle w:val="StyleUnderline"/>
        </w:rPr>
        <w:t xml:space="preserve"> can</w:t>
      </w:r>
      <w:r>
        <w:rPr>
          <w:rStyle w:val="StyleUnderline"/>
        </w:rPr>
        <w:t xml:space="preserve"> </w:t>
      </w:r>
      <w:r w:rsidRPr="00C24029">
        <w:rPr>
          <w:rStyle w:val="StyleUnderline"/>
        </w:rPr>
        <w:t xml:space="preserve">also be seen in </w:t>
      </w:r>
      <w:r w:rsidRPr="00C24029">
        <w:rPr>
          <w:rStyle w:val="Emphasis"/>
        </w:rPr>
        <w:t>IDEA’s treatment of disproportionality monitoring</w:t>
      </w:r>
      <w:r w:rsidRPr="005B335B">
        <w:rPr>
          <w:sz w:val="12"/>
        </w:rPr>
        <w:t xml:space="preserve">, perhaps </w:t>
      </w:r>
      <w:r w:rsidRPr="00C24029">
        <w:rPr>
          <w:rStyle w:val="StyleUnderline"/>
        </w:rPr>
        <w:t xml:space="preserve">with </w:t>
      </w:r>
      <w:r w:rsidRPr="00C24029">
        <w:rPr>
          <w:rStyle w:val="Emphasis"/>
        </w:rPr>
        <w:t>similarly disappointing consequences</w:t>
      </w:r>
      <w:r w:rsidRPr="00C24029">
        <w:rPr>
          <w:rStyle w:val="StyleUnderline"/>
        </w:rPr>
        <w:t>.</w:t>
      </w:r>
      <w:r>
        <w:rPr>
          <w:rStyle w:val="StyleUnderline"/>
        </w:rPr>
        <w:t xml:space="preserve"> </w:t>
      </w:r>
      <w:r w:rsidRPr="005B335B">
        <w:rPr>
          <w:sz w:val="12"/>
        </w:rPr>
        <w:t xml:space="preserve">Since the 1997 amendments to the IDEA, Congress has made a concerted effort to maintain a balance of federal and state oversight of special education programs by including specific provisions for the U.S. Department of Education and the Office of Special Education Programs to monitor and enforce equitable practices for placing students, particularly racial and ethnic minority students, into special education.87 Research conducted since the most recent reauthorization, however, strongly suggests that states vary widely in how they interpret and enforce the federal provisions.88 This is mostly due to </w:t>
      </w:r>
      <w:r w:rsidRPr="00C24029">
        <w:rPr>
          <w:rStyle w:val="StyleUnderline"/>
        </w:rPr>
        <w:t>changes in the</w:t>
      </w:r>
      <w:r>
        <w:rPr>
          <w:rStyle w:val="StyleUnderline"/>
        </w:rPr>
        <w:t xml:space="preserve"> </w:t>
      </w:r>
      <w:r w:rsidRPr="00C24029">
        <w:rPr>
          <w:rStyle w:val="StyleUnderline"/>
        </w:rPr>
        <w:t>methods used to measure disproportionate representation at the district</w:t>
      </w:r>
      <w:r>
        <w:rPr>
          <w:rStyle w:val="StyleUnderline"/>
        </w:rPr>
        <w:t xml:space="preserve"> </w:t>
      </w:r>
      <w:r w:rsidRPr="00C24029">
        <w:rPr>
          <w:rStyle w:val="StyleUnderline"/>
        </w:rPr>
        <w:t xml:space="preserve">level and </w:t>
      </w:r>
      <w:r w:rsidRPr="00C24029">
        <w:rPr>
          <w:rStyle w:val="Emphasis"/>
        </w:rPr>
        <w:t>state variation</w:t>
      </w:r>
      <w:r w:rsidRPr="00C24029">
        <w:rPr>
          <w:rStyle w:val="StyleUnderline"/>
        </w:rPr>
        <w:t xml:space="preserve"> regarding what constitutes significant disproportionality.</w:t>
      </w:r>
      <w:r>
        <w:rPr>
          <w:rStyle w:val="StyleUnderline"/>
        </w:rPr>
        <w:t xml:space="preserve"> </w:t>
      </w:r>
      <w:r w:rsidRPr="005B335B">
        <w:rPr>
          <w:sz w:val="12"/>
        </w:rPr>
        <w:t xml:space="preserve">The IDEA amendment and reauthorization ushered in systemic state monitoring and enforcement practices with a significant focus on numerical criteria, and this moved policymakers and school- and </w:t>
      </w:r>
      <w:proofErr w:type="spellStart"/>
      <w:r w:rsidRPr="005B335B">
        <w:rPr>
          <w:sz w:val="12"/>
        </w:rPr>
        <w:t>statelevel</w:t>
      </w:r>
      <w:proofErr w:type="spellEnd"/>
      <w:r w:rsidRPr="005B335B">
        <w:rPr>
          <w:sz w:val="12"/>
        </w:rPr>
        <w:t xml:space="preserve"> district leaders away from using qualitative indicators of disproportionate representation to making primary use of quantitative indicators. While these quantitative indicators shape problem identification and state response across states, they have also served to signal which components of the disproportionate representation monitoring and enforcement process under the IDEA are most relevant to any policy sanctions. In 2004, the OSEP/</w:t>
      </w:r>
      <w:proofErr w:type="spellStart"/>
      <w:r w:rsidRPr="005B335B">
        <w:rPr>
          <w:sz w:val="12"/>
        </w:rPr>
        <w:t>Westat</w:t>
      </w:r>
      <w:proofErr w:type="spellEnd"/>
      <w:r w:rsidRPr="005B335B">
        <w:rPr>
          <w:sz w:val="12"/>
        </w:rPr>
        <w:t xml:space="preserve"> Disproportionality task force issued guidelines concurrent with the 2004 IDEA reauthorization that “recommended that states use a risk ratio as a means for comparing the </w:t>
      </w:r>
    </w:p>
    <w:p w:rsidR="00833446" w:rsidRDefault="00833446" w:rsidP="00833446">
      <w:pPr>
        <w:rPr>
          <w:sz w:val="14"/>
        </w:rPr>
      </w:pPr>
    </w:p>
    <w:p w:rsidR="00833446" w:rsidRDefault="00833446" w:rsidP="00833446">
      <w:pPr>
        <w:pStyle w:val="Heading4"/>
      </w:pPr>
      <w:r>
        <w:t>Lack of data kills litigation</w:t>
      </w:r>
    </w:p>
    <w:p w:rsidR="00833446" w:rsidRPr="005B335B" w:rsidRDefault="00833446" w:rsidP="00833446">
      <w:r w:rsidRPr="00D02ECF">
        <w:t>Natasha M.</w:t>
      </w:r>
      <w:r>
        <w:rPr>
          <w:b/>
        </w:rPr>
        <w:t xml:space="preserve"> </w:t>
      </w:r>
      <w:proofErr w:type="spellStart"/>
      <w:r>
        <w:rPr>
          <w:b/>
        </w:rPr>
        <w:t>Strassfeld</w:t>
      </w:r>
      <w:proofErr w:type="spellEnd"/>
      <w:r>
        <w:rPr>
          <w:b/>
        </w:rPr>
        <w:t xml:space="preserve"> </w:t>
      </w:r>
      <w:r w:rsidRPr="00D02ECF">
        <w:t>6/28/</w:t>
      </w:r>
      <w:r>
        <w:rPr>
          <w:b/>
        </w:rPr>
        <w:t>17</w:t>
      </w:r>
      <w:r w:rsidRPr="00D02ECF">
        <w:t>, Assistant Professor of Special Education, New York University Steinhardt School of Culture, Education, and Human Development, The Future of Idea: Monitoring Disproportionate Representation of Minority Students in Special Education and Intentional Discrimination Claims , 67 Case Western Reserve Law R</w:t>
      </w:r>
      <w:r>
        <w:t>eview 1121 – 1151 Summer, 2017 page 1140)//</w:t>
      </w:r>
      <w:proofErr w:type="spellStart"/>
      <w:r>
        <w:t>masw</w:t>
      </w:r>
      <w:proofErr w:type="spellEnd"/>
    </w:p>
    <w:p w:rsidR="00833446" w:rsidRDefault="00833446" w:rsidP="00833446">
      <w:pPr>
        <w:rPr>
          <w:sz w:val="14"/>
        </w:rPr>
      </w:pPr>
      <w:r>
        <w:rPr>
          <w:sz w:val="14"/>
        </w:rPr>
        <w:t xml:space="preserve">While IDEA includes monitoring and enforcement provisions, </w:t>
      </w:r>
      <w:r w:rsidRPr="0095649B">
        <w:rPr>
          <w:rStyle w:val="StyleUnderline"/>
        </w:rPr>
        <w:t>there</w:t>
      </w:r>
      <w:r>
        <w:rPr>
          <w:rStyle w:val="StyleUnderline"/>
        </w:rPr>
        <w:t xml:space="preserve"> </w:t>
      </w:r>
      <w:r w:rsidRPr="0095649B">
        <w:rPr>
          <w:rStyle w:val="StyleUnderline"/>
        </w:rPr>
        <w:t>are ways for states to</w:t>
      </w:r>
      <w:r>
        <w:rPr>
          <w:sz w:val="14"/>
        </w:rPr>
        <w:t xml:space="preserve"> skirt federal policy and </w:t>
      </w:r>
      <w:r w:rsidRPr="0095649B">
        <w:rPr>
          <w:rStyle w:val="Emphasis"/>
        </w:rPr>
        <w:t>under-</w:t>
      </w:r>
      <w:r w:rsidRPr="0095649B">
        <w:rPr>
          <w:rStyle w:val="StyleUnderline"/>
        </w:rPr>
        <w:t>report or fail to</w:t>
      </w:r>
      <w:r>
        <w:rPr>
          <w:rStyle w:val="StyleUnderline"/>
        </w:rPr>
        <w:t xml:space="preserve"> </w:t>
      </w:r>
      <w:r w:rsidRPr="0095649B">
        <w:rPr>
          <w:rStyle w:val="StyleUnderline"/>
        </w:rPr>
        <w:t>report disproportionate representation. This is a troubling consequence</w:t>
      </w:r>
      <w:r>
        <w:rPr>
          <w:rStyle w:val="StyleUnderline"/>
        </w:rPr>
        <w:t xml:space="preserve"> </w:t>
      </w:r>
      <w:r w:rsidRPr="0095649B">
        <w:rPr>
          <w:rStyle w:val="StyleUnderline"/>
        </w:rPr>
        <w:t>of gaps within IDEA. Current policy fails to adequately address disproportionality</w:t>
      </w:r>
      <w:r>
        <w:rPr>
          <w:rStyle w:val="StyleUnderline"/>
        </w:rPr>
        <w:t xml:space="preserve"> </w:t>
      </w:r>
      <w:r w:rsidRPr="0095649B">
        <w:rPr>
          <w:rStyle w:val="StyleUnderline"/>
        </w:rPr>
        <w:t>as</w:t>
      </w:r>
      <w:r>
        <w:rPr>
          <w:sz w:val="14"/>
        </w:rPr>
        <w:t xml:space="preserve"> </w:t>
      </w:r>
      <w:r w:rsidRPr="0095649B">
        <w:rPr>
          <w:rStyle w:val="StyleUnderline"/>
        </w:rPr>
        <w:t>a civil rights issue with accompanying remedies for traditionally</w:t>
      </w:r>
      <w:r>
        <w:rPr>
          <w:sz w:val="14"/>
        </w:rPr>
        <w:t xml:space="preserve"> </w:t>
      </w:r>
      <w:r w:rsidRPr="0095649B">
        <w:rPr>
          <w:rStyle w:val="StyleUnderline"/>
        </w:rPr>
        <w:t>under-represented racial and ethnic minority groups who are</w:t>
      </w:r>
      <w:r>
        <w:rPr>
          <w:rStyle w:val="StyleUnderline"/>
        </w:rPr>
        <w:t xml:space="preserve"> </w:t>
      </w:r>
      <w:r w:rsidRPr="0095649B">
        <w:rPr>
          <w:rStyle w:val="StyleUnderline"/>
        </w:rPr>
        <w:t>at-risk for discrimination within special education placements</w:t>
      </w:r>
      <w:r w:rsidRPr="0095649B">
        <w:t>. This is</w:t>
      </w:r>
      <w:r>
        <w:t xml:space="preserve"> </w:t>
      </w:r>
      <w:r w:rsidRPr="0095649B">
        <w:t>true despite repeated calls for federal policy and guidelines for administrative</w:t>
      </w:r>
      <w:r>
        <w:t xml:space="preserve"> </w:t>
      </w:r>
      <w:r>
        <w:rPr>
          <w:sz w:val="14"/>
        </w:rPr>
        <w:t xml:space="preserve">practices to “align, resulting in consistent and effective actions by the states to eliminate the long-standing and still prevalent problem of racial and ethnic disproportionality.”109 Moreover, it also signals to parents of students with disabilities that IDEA’s monitoring and enforcement provisions for disproportionate representation lack substantive sanctions at the state- and district-level when LEAs fail to comply. III. “Significant Disproportionality” and Intentional </w:t>
      </w:r>
      <w:r w:rsidRPr="0095649B">
        <w:rPr>
          <w:rStyle w:val="StyleUnderline"/>
        </w:rPr>
        <w:t>Discrimination Claims</w:t>
      </w:r>
      <w:r>
        <w:rPr>
          <w:rStyle w:val="StyleUnderline"/>
        </w:rPr>
        <w:t xml:space="preserve"> </w:t>
      </w:r>
      <w:r w:rsidRPr="0095649B">
        <w:rPr>
          <w:rStyle w:val="StyleUnderline"/>
        </w:rPr>
        <w:t>As state policy monitoring has been found to either inadequately</w:t>
      </w:r>
      <w:r>
        <w:rPr>
          <w:rStyle w:val="StyleUnderline"/>
        </w:rPr>
        <w:t xml:space="preserve"> </w:t>
      </w:r>
      <w:r w:rsidRPr="0095649B">
        <w:rPr>
          <w:rStyle w:val="StyleUnderline"/>
        </w:rPr>
        <w:t>define or find evidence of significant disproportionality across states,</w:t>
      </w:r>
      <w:r>
        <w:rPr>
          <w:rStyle w:val="StyleUnderline"/>
        </w:rPr>
        <w:t xml:space="preserve"> </w:t>
      </w:r>
      <w:r>
        <w:rPr>
          <w:sz w:val="14"/>
        </w:rPr>
        <w:t xml:space="preserve">potential claimants have relied on litigation to show intentional discrimination. </w:t>
      </w:r>
      <w:r w:rsidRPr="0095649B">
        <w:rPr>
          <w:rStyle w:val="StyleUnderline"/>
        </w:rPr>
        <w:t>Plaintiffs</w:t>
      </w:r>
      <w:r>
        <w:rPr>
          <w:sz w:val="14"/>
        </w:rPr>
        <w:t xml:space="preserve">, however, </w:t>
      </w:r>
      <w:r w:rsidRPr="0095649B">
        <w:rPr>
          <w:rStyle w:val="Emphasis"/>
        </w:rPr>
        <w:t xml:space="preserve">face an uphill battle </w:t>
      </w:r>
      <w:r w:rsidRPr="0095649B">
        <w:rPr>
          <w:rStyle w:val="StyleUnderline"/>
        </w:rPr>
        <w:t>in using school</w:t>
      </w:r>
      <w:r>
        <w:rPr>
          <w:rStyle w:val="StyleUnderline"/>
        </w:rPr>
        <w:t xml:space="preserve"> </w:t>
      </w:r>
      <w:r w:rsidRPr="0095649B">
        <w:rPr>
          <w:rStyle w:val="StyleUnderline"/>
        </w:rPr>
        <w:t>and</w:t>
      </w:r>
      <w:r>
        <w:rPr>
          <w:sz w:val="14"/>
        </w:rPr>
        <w:t xml:space="preserve"> </w:t>
      </w:r>
      <w:r w:rsidRPr="0095649B">
        <w:rPr>
          <w:rStyle w:val="Emphasis"/>
        </w:rPr>
        <w:t>district-level placement data</w:t>
      </w:r>
      <w:r>
        <w:rPr>
          <w:sz w:val="14"/>
        </w:rPr>
        <w:t xml:space="preserve"> </w:t>
      </w:r>
      <w:r w:rsidRPr="0095649B">
        <w:rPr>
          <w:rStyle w:val="StyleUnderline"/>
        </w:rPr>
        <w:t>to prove intentional discrimination,</w:t>
      </w:r>
      <w:r>
        <w:rPr>
          <w:rStyle w:val="StyleUnderline"/>
        </w:rPr>
        <w:t xml:space="preserve"> </w:t>
      </w:r>
      <w:r>
        <w:rPr>
          <w:sz w:val="14"/>
        </w:rPr>
        <w:t>even when policy monitoring under IDEA has led to a finding that significant disproportionality by race or ethnicity in special education and related services has occurred within the plaintiff’s district</w:t>
      </w:r>
    </w:p>
    <w:p w:rsidR="00833446" w:rsidRPr="00371B81" w:rsidRDefault="00833446" w:rsidP="00833446">
      <w:pPr>
        <w:pStyle w:val="Heading3"/>
      </w:pPr>
      <w:r>
        <w:t xml:space="preserve">AT: States – Federal Modeling </w:t>
      </w:r>
    </w:p>
    <w:p w:rsidR="00833446" w:rsidRDefault="00833446" w:rsidP="00833446">
      <w:pPr>
        <w:pStyle w:val="Heading4"/>
      </w:pPr>
      <w:r>
        <w:t xml:space="preserve">Only federal law is modeled --- </w:t>
      </w:r>
      <w:r w:rsidRPr="002B7F14">
        <w:rPr>
          <w:u w:val="single"/>
        </w:rPr>
        <w:t>federal expertise</w:t>
      </w:r>
      <w:r>
        <w:t xml:space="preserve"> means states defer</w:t>
      </w:r>
    </w:p>
    <w:p w:rsidR="00833446" w:rsidRPr="002B7F14" w:rsidRDefault="00833446" w:rsidP="00833446">
      <w:r>
        <w:t xml:space="preserve">Scott </w:t>
      </w:r>
      <w:r>
        <w:rPr>
          <w:b/>
        </w:rPr>
        <w:t xml:space="preserve">Dodson </w:t>
      </w:r>
      <w:r w:rsidRPr="002B7F14">
        <w:t>20</w:t>
      </w:r>
      <w:r w:rsidRPr="002B7F14">
        <w:rPr>
          <w:b/>
        </w:rPr>
        <w:t>16</w:t>
      </w:r>
      <w:r w:rsidRPr="002B7F14">
        <w:t xml:space="preserve"> (Harry &amp; Lillian Hastings Research Chair and Professor of Law, UC Hastings College of the Law</w:t>
      </w:r>
      <w:r>
        <w:t xml:space="preserve"> </w:t>
      </w:r>
      <w:r w:rsidRPr="002B7F14">
        <w:t>Scott, "The Gravitational Force of Feder</w:t>
      </w:r>
      <w:r>
        <w:t>al Law," 164 U. Pa. L. Rev. 703 page 736)//</w:t>
      </w:r>
      <w:proofErr w:type="spellStart"/>
      <w:r>
        <w:t>masw</w:t>
      </w:r>
      <w:proofErr w:type="spellEnd"/>
    </w:p>
    <w:p w:rsidR="00833446" w:rsidRPr="004C5A51" w:rsidRDefault="00833446" w:rsidP="00833446">
      <w:pPr>
        <w:rPr>
          <w:rStyle w:val="StyleUnderline"/>
        </w:rPr>
      </w:pPr>
      <w:r w:rsidRPr="004C5A51">
        <w:rPr>
          <w:rStyle w:val="StyleUnderline"/>
        </w:rPr>
        <w:t>C. Familiarity and Focus</w:t>
      </w:r>
      <w:r>
        <w:rPr>
          <w:rStyle w:val="StyleUnderline"/>
        </w:rPr>
        <w:t xml:space="preserve"> </w:t>
      </w:r>
      <w:r w:rsidRPr="004C5A51">
        <w:rPr>
          <w:rStyle w:val="StyleUnderline"/>
        </w:rPr>
        <w:t>American legal traditions historically have focused on federal law at the</w:t>
      </w:r>
      <w:r>
        <w:rPr>
          <w:rStyle w:val="StyleUnderline"/>
        </w:rPr>
        <w:t xml:space="preserve"> </w:t>
      </w:r>
      <w:r w:rsidRPr="004C5A51">
        <w:rPr>
          <w:rStyle w:val="StyleUnderline"/>
        </w:rPr>
        <w:t>expense of state law</w:t>
      </w:r>
      <w:r w:rsidRPr="004A4926">
        <w:rPr>
          <w:sz w:val="16"/>
        </w:rPr>
        <w:t xml:space="preserve">. </w:t>
      </w:r>
      <w:r w:rsidRPr="004C5A51">
        <w:rPr>
          <w:rStyle w:val="StyleUnderline"/>
        </w:rPr>
        <w:t>This</w:t>
      </w:r>
      <w:r w:rsidRPr="004A4926">
        <w:rPr>
          <w:sz w:val="16"/>
        </w:rPr>
        <w:t xml:space="preserve"> skewed focus toward federal law </w:t>
      </w:r>
      <w:r w:rsidRPr="004C5A51">
        <w:rPr>
          <w:rStyle w:val="StyleUnderline"/>
        </w:rPr>
        <w:t>manifests itself in</w:t>
      </w:r>
      <w:r>
        <w:rPr>
          <w:rStyle w:val="StyleUnderline"/>
        </w:rPr>
        <w:t xml:space="preserve"> </w:t>
      </w:r>
      <w:r w:rsidRPr="004C5A51">
        <w:rPr>
          <w:rStyle w:val="StyleUnderline"/>
        </w:rPr>
        <w:t>several ways.</w:t>
      </w:r>
    </w:p>
    <w:p w:rsidR="00833446" w:rsidRPr="00FD09F5" w:rsidRDefault="00833446" w:rsidP="00833446">
      <w:pPr>
        <w:rPr>
          <w:rStyle w:val="StyleUnderline"/>
        </w:rPr>
      </w:pPr>
      <w:r w:rsidRPr="004A4926">
        <w:rPr>
          <w:sz w:val="16"/>
        </w:rPr>
        <w:t xml:space="preserve">First, </w:t>
      </w:r>
      <w:r w:rsidRPr="007236FD">
        <w:rPr>
          <w:rStyle w:val="StyleUnderline"/>
        </w:rPr>
        <w:t>judges and lawyers are trained in federal law</w:t>
      </w:r>
      <w:r w:rsidRPr="004A4926">
        <w:rPr>
          <w:sz w:val="16"/>
        </w:rPr>
        <w:t xml:space="preserve">.181 Outside doctrinal areas without federal analogues like contract law and tort law, </w:t>
      </w:r>
      <w:r w:rsidRPr="007236FD">
        <w:rPr>
          <w:rStyle w:val="StyleUnderline"/>
        </w:rPr>
        <w:t>law schools</w:t>
      </w:r>
      <w:r>
        <w:rPr>
          <w:rStyle w:val="StyleUnderline"/>
        </w:rPr>
        <w:t xml:space="preserve"> </w:t>
      </w:r>
      <w:r w:rsidRPr="007236FD">
        <w:rPr>
          <w:rStyle w:val="StyleUnderline"/>
        </w:rPr>
        <w:t>typically require or emphasize federal law courses. Schools require federal</w:t>
      </w:r>
      <w:r>
        <w:rPr>
          <w:rStyle w:val="StyleUnderline"/>
        </w:rPr>
        <w:t xml:space="preserve"> </w:t>
      </w:r>
      <w:r w:rsidRPr="007236FD">
        <w:rPr>
          <w:rStyle w:val="StyleUnderline"/>
        </w:rPr>
        <w:t>civil procedure and federal constitutional law</w:t>
      </w:r>
      <w:r w:rsidRPr="004A4926">
        <w:rPr>
          <w:sz w:val="16"/>
        </w:rPr>
        <w:t xml:space="preserve">, </w:t>
      </w:r>
      <w:r w:rsidRPr="00FD09F5">
        <w:rPr>
          <w:rStyle w:val="StyleUnderline"/>
        </w:rPr>
        <w:t>and offer courses in</w:t>
      </w:r>
      <w:r>
        <w:rPr>
          <w:rStyle w:val="StyleUnderline"/>
        </w:rPr>
        <w:t xml:space="preserve"> </w:t>
      </w:r>
      <w:r w:rsidRPr="00FD09F5">
        <w:rPr>
          <w:rStyle w:val="StyleUnderline"/>
        </w:rPr>
        <w:t>employment discrimination, tax, evidence, administrative law, environmental</w:t>
      </w:r>
      <w:r>
        <w:rPr>
          <w:rStyle w:val="StyleUnderline"/>
        </w:rPr>
        <w:t xml:space="preserve"> </w:t>
      </w:r>
      <w:r w:rsidRPr="00FD09F5">
        <w:rPr>
          <w:rStyle w:val="StyleUnderline"/>
        </w:rPr>
        <w:t>law, and many other areas focus on federal law.</w:t>
      </w:r>
      <w:r w:rsidRPr="004A4926">
        <w:rPr>
          <w:sz w:val="16"/>
        </w:rPr>
        <w:t xml:space="preserve">182 </w:t>
      </w:r>
      <w:r w:rsidRPr="00FD09F5">
        <w:rPr>
          <w:rStyle w:val="StyleUnderline"/>
        </w:rPr>
        <w:t>The</w:t>
      </w:r>
      <w:r w:rsidRPr="004A4926">
        <w:rPr>
          <w:sz w:val="16"/>
        </w:rPr>
        <w:t xml:space="preserve"> multistate </w:t>
      </w:r>
      <w:r w:rsidRPr="004D7F59">
        <w:rPr>
          <w:rStyle w:val="Emphasis"/>
        </w:rPr>
        <w:t>bar exam</w:t>
      </w:r>
      <w:r w:rsidRPr="004A4926">
        <w:rPr>
          <w:sz w:val="16"/>
        </w:rPr>
        <w:t xml:space="preserve"> </w:t>
      </w:r>
      <w:r w:rsidRPr="00FD09F5">
        <w:rPr>
          <w:rStyle w:val="StyleUnderline"/>
        </w:rPr>
        <w:t>requires knowledge of federal civil procedure, federal evidence, and federal</w:t>
      </w:r>
      <w:r>
        <w:rPr>
          <w:rStyle w:val="StyleUnderline"/>
        </w:rPr>
        <w:t xml:space="preserve"> </w:t>
      </w:r>
      <w:r w:rsidRPr="00FD09F5">
        <w:rPr>
          <w:rStyle w:val="StyleUnderline"/>
        </w:rPr>
        <w:t xml:space="preserve">constitutional </w:t>
      </w:r>
      <w:r w:rsidRPr="004D7F59">
        <w:rPr>
          <w:rStyle w:val="StyleUnderline"/>
        </w:rPr>
        <w:t>law</w:t>
      </w:r>
      <w:r w:rsidRPr="004A4926">
        <w:rPr>
          <w:sz w:val="16"/>
        </w:rPr>
        <w:t xml:space="preserve">,183 and more than a dozen states have adopted the Uniform Bar Exam to reduce or even replace the need to test state-specific law.184 </w:t>
      </w:r>
      <w:r w:rsidRPr="00FD09F5">
        <w:rPr>
          <w:rStyle w:val="StyleUnderline"/>
        </w:rPr>
        <w:t>Federal judges hire students and recent graduates as interns and judicial</w:t>
      </w:r>
      <w:r>
        <w:rPr>
          <w:rStyle w:val="StyleUnderline"/>
        </w:rPr>
        <w:t xml:space="preserve"> </w:t>
      </w:r>
      <w:r w:rsidRPr="00FD09F5">
        <w:rPr>
          <w:rStyle w:val="StyleUnderline"/>
        </w:rPr>
        <w:t>clerks.</w:t>
      </w:r>
      <w:r w:rsidRPr="004A4926">
        <w:rPr>
          <w:sz w:val="16"/>
        </w:rPr>
        <w:t xml:space="preserve"> Once in practice, </w:t>
      </w:r>
      <w:r w:rsidRPr="00FD09F5">
        <w:rPr>
          <w:rStyle w:val="StyleUnderline"/>
        </w:rPr>
        <w:t>all but the most local practices have interactions with</w:t>
      </w:r>
      <w:r>
        <w:rPr>
          <w:rStyle w:val="StyleUnderline"/>
        </w:rPr>
        <w:t xml:space="preserve"> </w:t>
      </w:r>
      <w:r w:rsidRPr="00FD09F5">
        <w:rPr>
          <w:rStyle w:val="StyleUnderline"/>
        </w:rPr>
        <w:t>federal law, and even attorneys focusing solely on state law continue to receive</w:t>
      </w:r>
      <w:r w:rsidRPr="004A4926">
        <w:rPr>
          <w:sz w:val="16"/>
        </w:rPr>
        <w:t xml:space="preserve"> </w:t>
      </w:r>
      <w:r w:rsidRPr="00FD09F5">
        <w:rPr>
          <w:rStyle w:val="StyleUnderline"/>
        </w:rPr>
        <w:t>federal-law schooling through continuing legal education courses and</w:t>
      </w:r>
      <w:r>
        <w:rPr>
          <w:rStyle w:val="StyleUnderline"/>
        </w:rPr>
        <w:t xml:space="preserve"> </w:t>
      </w:r>
      <w:r w:rsidRPr="00FD09F5">
        <w:rPr>
          <w:rStyle w:val="StyleUnderline"/>
        </w:rPr>
        <w:t>interactions with federal practition</w:t>
      </w:r>
      <w:r w:rsidRPr="004A4926">
        <w:rPr>
          <w:sz w:val="16"/>
        </w:rPr>
        <w:t xml:space="preserve">ers and federal judges in their local bar associations.185 In short, </w:t>
      </w:r>
      <w:r w:rsidRPr="00FD09F5">
        <w:rPr>
          <w:rStyle w:val="StyleUnderline"/>
        </w:rPr>
        <w:t xml:space="preserve">few members of the state bench and bar are not </w:t>
      </w:r>
      <w:proofErr w:type="spellStart"/>
      <w:r w:rsidRPr="00FD09F5">
        <w:rPr>
          <w:rStyle w:val="StyleUnderline"/>
        </w:rPr>
        <w:t>wellversed</w:t>
      </w:r>
      <w:proofErr w:type="spellEnd"/>
      <w:r>
        <w:rPr>
          <w:rStyle w:val="StyleUnderline"/>
        </w:rPr>
        <w:t xml:space="preserve"> </w:t>
      </w:r>
      <w:r w:rsidRPr="00FD09F5">
        <w:rPr>
          <w:rStyle w:val="StyleUnderline"/>
        </w:rPr>
        <w:t>in the federal law analogues of state law.</w:t>
      </w:r>
      <w:r w:rsidRPr="004A4926">
        <w:rPr>
          <w:sz w:val="16"/>
        </w:rPr>
        <w:t>186</w:t>
      </w:r>
    </w:p>
    <w:p w:rsidR="00833446" w:rsidRPr="004A4926" w:rsidRDefault="00833446" w:rsidP="00833446">
      <w:pPr>
        <w:rPr>
          <w:sz w:val="16"/>
        </w:rPr>
      </w:pPr>
      <w:r w:rsidRPr="00FD09F5">
        <w:rPr>
          <w:rStyle w:val="StyleUnderline"/>
        </w:rPr>
        <w:t>Second</w:t>
      </w:r>
      <w:r w:rsidRPr="004A4926">
        <w:rPr>
          <w:sz w:val="16"/>
        </w:rPr>
        <w:t xml:space="preserve">, </w:t>
      </w:r>
      <w:r w:rsidRPr="00FD09F5">
        <w:rPr>
          <w:rStyle w:val="StyleUnderline"/>
        </w:rPr>
        <w:t>lawyers often frame claims under federal law rather than state law</w:t>
      </w:r>
      <w:r w:rsidRPr="004A4926">
        <w:rPr>
          <w:sz w:val="16"/>
        </w:rPr>
        <w:t xml:space="preserve"> </w:t>
      </w:r>
      <w:r w:rsidRPr="00FD09F5">
        <w:rPr>
          <w:rStyle w:val="StyleUnderline"/>
        </w:rPr>
        <w:t>in order to take advantage of the national application</w:t>
      </w:r>
      <w:r w:rsidRPr="004A4926">
        <w:rPr>
          <w:sz w:val="16"/>
        </w:rPr>
        <w:t xml:space="preserve"> of federal law</w:t>
      </w:r>
      <w:r w:rsidRPr="00FD09F5">
        <w:rPr>
          <w:rStyle w:val="StyleUnderline"/>
        </w:rPr>
        <w:t>. It is a</w:t>
      </w:r>
      <w:r>
        <w:rPr>
          <w:rStyle w:val="StyleUnderline"/>
        </w:rPr>
        <w:t xml:space="preserve"> </w:t>
      </w:r>
      <w:r w:rsidRPr="00FD09F5">
        <w:rPr>
          <w:rStyle w:val="Emphasis"/>
        </w:rPr>
        <w:t>bigger</w:t>
      </w:r>
      <w:r w:rsidRPr="00FD09F5">
        <w:rPr>
          <w:rStyle w:val="StyleUnderline"/>
        </w:rPr>
        <w:t xml:space="preserve">, and </w:t>
      </w:r>
      <w:r w:rsidRPr="00FD09F5">
        <w:rPr>
          <w:rStyle w:val="Emphasis"/>
        </w:rPr>
        <w:t>potentially easier</w:t>
      </w:r>
      <w:r w:rsidRPr="004A4926">
        <w:rPr>
          <w:sz w:val="16"/>
        </w:rPr>
        <w:t xml:space="preserve">, </w:t>
      </w:r>
      <w:r w:rsidRPr="00FD09F5">
        <w:rPr>
          <w:rStyle w:val="StyleUnderline"/>
        </w:rPr>
        <w:t>win for a cause to succeed at the national level</w:t>
      </w:r>
      <w:r>
        <w:rPr>
          <w:rStyle w:val="StyleUnderline"/>
        </w:rPr>
        <w:t xml:space="preserve"> </w:t>
      </w:r>
      <w:r w:rsidRPr="00FD09F5">
        <w:rPr>
          <w:rStyle w:val="StyleUnderline"/>
        </w:rPr>
        <w:t xml:space="preserve">in one fell swoop than to have to </w:t>
      </w:r>
      <w:r w:rsidRPr="00FD09F5">
        <w:rPr>
          <w:rStyle w:val="Emphasis"/>
        </w:rPr>
        <w:t>litigate state claims in all fifty states</w:t>
      </w:r>
      <w:r w:rsidRPr="004A4926">
        <w:rPr>
          <w:sz w:val="16"/>
        </w:rPr>
        <w:t xml:space="preserve">.187 For example, disability-rights groups have focused on federal statutory law, to the marginalization of state law.188 The result of this focus is that </w:t>
      </w:r>
      <w:r w:rsidRPr="008E2C20">
        <w:rPr>
          <w:rStyle w:val="StyleUnderline"/>
        </w:rPr>
        <w:t>both state and</w:t>
      </w:r>
      <w:r>
        <w:rPr>
          <w:rStyle w:val="StyleUnderline"/>
        </w:rPr>
        <w:t xml:space="preserve"> </w:t>
      </w:r>
      <w:r w:rsidRPr="008E2C20">
        <w:rPr>
          <w:rStyle w:val="StyleUnderline"/>
        </w:rPr>
        <w:t xml:space="preserve">federal judges become </w:t>
      </w:r>
      <w:r w:rsidRPr="008E2C20">
        <w:rPr>
          <w:rStyle w:val="Emphasis"/>
        </w:rPr>
        <w:t>more accustomed</w:t>
      </w:r>
      <w:r w:rsidRPr="008E2C20">
        <w:rPr>
          <w:rStyle w:val="StyleUnderline"/>
        </w:rPr>
        <w:t xml:space="preserve"> to </w:t>
      </w:r>
      <w:r w:rsidRPr="008E2C20">
        <w:rPr>
          <w:rStyle w:val="Emphasis"/>
        </w:rPr>
        <w:t>construing controversial matters</w:t>
      </w:r>
      <w:r w:rsidRPr="008E2C20">
        <w:rPr>
          <w:rStyle w:val="StyleUnderline"/>
        </w:rPr>
        <w:t xml:space="preserve"> of</w:t>
      </w:r>
      <w:r>
        <w:rPr>
          <w:rStyle w:val="StyleUnderline"/>
        </w:rPr>
        <w:t xml:space="preserve"> </w:t>
      </w:r>
      <w:r w:rsidRPr="008E2C20">
        <w:rPr>
          <w:rStyle w:val="Emphasis"/>
        </w:rPr>
        <w:t>federal law than state law</w:t>
      </w:r>
      <w:r w:rsidRPr="008E2C20">
        <w:rPr>
          <w:rStyle w:val="StyleUnderline"/>
        </w:rPr>
        <w:t>.</w:t>
      </w:r>
      <w:r w:rsidRPr="004A4926">
        <w:rPr>
          <w:sz w:val="16"/>
        </w:rPr>
        <w:t>189 Any state law issues that arise enter a conversation so steeped in federal terms that lawyers and jurists tend to raise and address those state issues in federal terms.190</w:t>
      </w:r>
    </w:p>
    <w:p w:rsidR="00833446" w:rsidRDefault="00833446" w:rsidP="00833446">
      <w:pPr>
        <w:rPr>
          <w:rStyle w:val="StyleUnderline"/>
        </w:rPr>
      </w:pPr>
      <w:r w:rsidRPr="008E2C20">
        <w:rPr>
          <w:rStyle w:val="StyleUnderline"/>
        </w:rPr>
        <w:t>Third, expansive doctrines of federal subject-matter jurisdiction give</w:t>
      </w:r>
      <w:r>
        <w:rPr>
          <w:rStyle w:val="StyleUnderline"/>
        </w:rPr>
        <w:t xml:space="preserve"> </w:t>
      </w:r>
      <w:r w:rsidRPr="008E2C20">
        <w:rPr>
          <w:rStyle w:val="StyleUnderline"/>
        </w:rPr>
        <w:t>federal judges ample</w:t>
      </w:r>
      <w:r w:rsidRPr="004A4926">
        <w:rPr>
          <w:sz w:val="16"/>
        </w:rPr>
        <w:t xml:space="preserve">, at times </w:t>
      </w:r>
      <w:r w:rsidRPr="008E2C20">
        <w:rPr>
          <w:rStyle w:val="StyleUnderline"/>
        </w:rPr>
        <w:t>even primary, opportunity to interpret state</w:t>
      </w:r>
      <w:r>
        <w:rPr>
          <w:rStyle w:val="StyleUnderline"/>
        </w:rPr>
        <w:t xml:space="preserve"> </w:t>
      </w:r>
      <w:r w:rsidRPr="008E2C20">
        <w:rPr>
          <w:rStyle w:val="StyleUnderline"/>
        </w:rPr>
        <w:t xml:space="preserve">law from a federal-law focus. </w:t>
      </w:r>
      <w:r w:rsidRPr="004A4926">
        <w:rPr>
          <w:sz w:val="16"/>
        </w:rPr>
        <w:t xml:space="preserve">I have already discussed the efficiency and cognitive-simplicity pressures on judges to decide analogous claims similarly. Federal judges are particularly likely to approach analogous state claims with federal law in mind, and the law gives them much opportunity to do so. The Supreme Court’s Grable doctrine makes state claims with certain embedded federal issues eligible for federal-question jurisdiction.191 Supplemental jurisdiction gives federal courts subject-matter jurisdiction over any state claim that is substantially related to a joined federal claim.192 And if plaintiffs do not file such mixed cases in federal court, defendants are likely to remove them to federal court.193 </w:t>
      </w:r>
      <w:r w:rsidRPr="008E2C20">
        <w:rPr>
          <w:rStyle w:val="StyleUnderline"/>
        </w:rPr>
        <w:t>Siphoning state claims away from state</w:t>
      </w:r>
      <w:r>
        <w:rPr>
          <w:rStyle w:val="StyleUnderline"/>
        </w:rPr>
        <w:t xml:space="preserve"> </w:t>
      </w:r>
      <w:r w:rsidRPr="008E2C20">
        <w:rPr>
          <w:rStyle w:val="StyleUnderline"/>
        </w:rPr>
        <w:t xml:space="preserve">courts has the additional effect of placing the </w:t>
      </w:r>
      <w:r w:rsidRPr="008E2C20">
        <w:rPr>
          <w:rStyle w:val="Emphasis"/>
        </w:rPr>
        <w:t>primary burd</w:t>
      </w:r>
      <w:r w:rsidRPr="008E2C20">
        <w:rPr>
          <w:rStyle w:val="StyleUnderline"/>
        </w:rPr>
        <w:t>en of developing</w:t>
      </w:r>
      <w:r w:rsidRPr="004A4926">
        <w:rPr>
          <w:sz w:val="16"/>
        </w:rPr>
        <w:t xml:space="preserve"> precedent </w:t>
      </w:r>
      <w:r w:rsidRPr="008E2C20">
        <w:rPr>
          <w:rStyle w:val="StyleUnderline"/>
        </w:rPr>
        <w:t xml:space="preserve">for those claims </w:t>
      </w:r>
      <w:r w:rsidRPr="008E2C20">
        <w:rPr>
          <w:rStyle w:val="Emphasis"/>
        </w:rPr>
        <w:t>on federal courts</w:t>
      </w:r>
      <w:r w:rsidRPr="004A4926">
        <w:rPr>
          <w:sz w:val="16"/>
        </w:rPr>
        <w:t xml:space="preserve">, </w:t>
      </w:r>
      <w:r w:rsidRPr="007154C2">
        <w:rPr>
          <w:rStyle w:val="StyleUnderline"/>
        </w:rPr>
        <w:t xml:space="preserve">leaving </w:t>
      </w:r>
      <w:r w:rsidRPr="007154C2">
        <w:rPr>
          <w:rStyle w:val="Emphasis"/>
        </w:rPr>
        <w:t>state court precedent</w:t>
      </w:r>
      <w:r>
        <w:rPr>
          <w:rStyle w:val="StyleUnderline"/>
        </w:rPr>
        <w:t xml:space="preserve"> </w:t>
      </w:r>
      <w:r w:rsidRPr="007154C2">
        <w:rPr>
          <w:rStyle w:val="Emphasis"/>
        </w:rPr>
        <w:t>underdeveloped</w:t>
      </w:r>
      <w:r w:rsidRPr="007154C2">
        <w:rPr>
          <w:rStyle w:val="StyleUnderline"/>
        </w:rPr>
        <w:t xml:space="preserve"> and </w:t>
      </w:r>
      <w:r w:rsidRPr="007154C2">
        <w:rPr>
          <w:rStyle w:val="Emphasis"/>
        </w:rPr>
        <w:t>dependent upon federal court precedent</w:t>
      </w:r>
      <w:r w:rsidRPr="007154C2">
        <w:rPr>
          <w:rStyle w:val="StyleUnderline"/>
        </w:rPr>
        <w:t>.</w:t>
      </w:r>
      <w:r>
        <w:rPr>
          <w:rStyle w:val="StyleUnderline"/>
        </w:rPr>
        <w:t xml:space="preserve"> </w:t>
      </w:r>
      <w:r w:rsidRPr="004A4926">
        <w:rPr>
          <w:sz w:val="16"/>
        </w:rPr>
        <w:t xml:space="preserve">Fourth, federal law gets attention because it is viewed as more prestigious. News agencies cover federal law. </w:t>
      </w:r>
      <w:r w:rsidRPr="00C7678F">
        <w:rPr>
          <w:rStyle w:val="StyleUnderline"/>
        </w:rPr>
        <w:t xml:space="preserve">Legal </w:t>
      </w:r>
      <w:r w:rsidRPr="00C7678F">
        <w:rPr>
          <w:rStyle w:val="Emphasis"/>
        </w:rPr>
        <w:t>academics</w:t>
      </w:r>
      <w:r w:rsidRPr="00C7678F">
        <w:rPr>
          <w:rStyle w:val="StyleUnderline"/>
        </w:rPr>
        <w:t xml:space="preserve"> </w:t>
      </w:r>
      <w:r w:rsidRPr="00C7678F">
        <w:rPr>
          <w:rStyle w:val="Emphasis"/>
        </w:rPr>
        <w:t>focus on federal law</w:t>
      </w:r>
      <w:r w:rsidRPr="00C7678F">
        <w:rPr>
          <w:rStyle w:val="StyleUnderline"/>
        </w:rPr>
        <w:t>, to the</w:t>
      </w:r>
      <w:r>
        <w:rPr>
          <w:rStyle w:val="StyleUnderline"/>
        </w:rPr>
        <w:t xml:space="preserve"> </w:t>
      </w:r>
      <w:r w:rsidRPr="00C7678F">
        <w:rPr>
          <w:rStyle w:val="StyleUnderline"/>
        </w:rPr>
        <w:t>scholarly impoverishment of state law</w:t>
      </w:r>
      <w:r w:rsidRPr="004A4926">
        <w:rPr>
          <w:sz w:val="16"/>
        </w:rPr>
        <w:t xml:space="preserve">.194 State judges position themselves for appointment to the federal bench. State legislators run for Congress. Governors hope to be President. Practitioner prestige centers around big, interstate firms with national practices. Law students prefer federal clerkships to state clerkships. Today, </w:t>
      </w:r>
      <w:r w:rsidRPr="008C5C4B">
        <w:rPr>
          <w:rStyle w:val="StyleUnderline"/>
        </w:rPr>
        <w:t>in virtually every legal position, state-focused lawyers look to move up</w:t>
      </w:r>
      <w:r>
        <w:rPr>
          <w:rStyle w:val="StyleUnderline"/>
        </w:rPr>
        <w:t xml:space="preserve"> </w:t>
      </w:r>
      <w:r w:rsidRPr="008C5C4B">
        <w:rPr>
          <w:rStyle w:val="StyleUnderline"/>
        </w:rPr>
        <w:t>to federal-focused positions.</w:t>
      </w:r>
      <w:r w:rsidRPr="004A4926">
        <w:rPr>
          <w:sz w:val="16"/>
        </w:rPr>
        <w:t xml:space="preserve"> </w:t>
      </w:r>
      <w:r w:rsidRPr="008C5C4B">
        <w:rPr>
          <w:rStyle w:val="StyleUnderline"/>
        </w:rPr>
        <w:t xml:space="preserve">The U.S. Constitution has achieved </w:t>
      </w:r>
      <w:r w:rsidRPr="008C5C4B">
        <w:rPr>
          <w:rStyle w:val="StyleUnderline"/>
          <w:b/>
        </w:rPr>
        <w:t>almost religious</w:t>
      </w:r>
      <w:r>
        <w:rPr>
          <w:rStyle w:val="StyleUnderline"/>
          <w:b/>
        </w:rPr>
        <w:t xml:space="preserve"> </w:t>
      </w:r>
      <w:r w:rsidRPr="008C5C4B">
        <w:rPr>
          <w:rStyle w:val="StyleUnderline"/>
          <w:b/>
        </w:rPr>
        <w:t>significance</w:t>
      </w:r>
      <w:r w:rsidRPr="008C5C4B">
        <w:rPr>
          <w:rStyle w:val="StyleUnderline"/>
        </w:rPr>
        <w:t>.195</w:t>
      </w:r>
      <w:r w:rsidRPr="004A4926">
        <w:rPr>
          <w:sz w:val="16"/>
        </w:rPr>
        <w:t xml:space="preserve"> And at the pinnacle of legal prestige is the U.S. Supreme Court, which commands the utmost gravitas.196 </w:t>
      </w:r>
      <w:r w:rsidRPr="008C5C4B">
        <w:rPr>
          <w:rStyle w:val="StyleUnderline"/>
        </w:rPr>
        <w:t xml:space="preserve">Federal law is </w:t>
      </w:r>
      <w:r w:rsidRPr="008C5C4B">
        <w:rPr>
          <w:rStyle w:val="Emphasis"/>
        </w:rPr>
        <w:t>prestigious, pervasive,</w:t>
      </w:r>
      <w:r>
        <w:rPr>
          <w:rStyle w:val="Emphasis"/>
        </w:rPr>
        <w:t xml:space="preserve"> </w:t>
      </w:r>
      <w:r w:rsidRPr="008C5C4B">
        <w:rPr>
          <w:rStyle w:val="Emphasis"/>
        </w:rPr>
        <w:t>and highly visible.</w:t>
      </w:r>
      <w:r w:rsidRPr="004A4926">
        <w:rPr>
          <w:sz w:val="16"/>
        </w:rPr>
        <w:t xml:space="preserve">197 </w:t>
      </w:r>
      <w:r w:rsidRPr="008C5C4B">
        <w:rPr>
          <w:rStyle w:val="StyleUnderline"/>
        </w:rPr>
        <w:t xml:space="preserve">It exhibits high </w:t>
      </w:r>
      <w:r w:rsidRPr="008C5C4B">
        <w:rPr>
          <w:rStyle w:val="Emphasis"/>
        </w:rPr>
        <w:t>expressive value.</w:t>
      </w:r>
      <w:r w:rsidRPr="008C5C4B">
        <w:rPr>
          <w:rStyle w:val="StyleUnderline"/>
        </w:rPr>
        <w:t>198 It is no wonder then</w:t>
      </w:r>
      <w:r>
        <w:rPr>
          <w:rStyle w:val="StyleUnderline"/>
        </w:rPr>
        <w:t xml:space="preserve"> </w:t>
      </w:r>
      <w:r w:rsidRPr="008C5C4B">
        <w:rPr>
          <w:rStyle w:val="StyleUnderline"/>
        </w:rPr>
        <w:t>that state actors are drawn to it</w:t>
      </w:r>
    </w:p>
    <w:p w:rsidR="00EF7142" w:rsidRDefault="00EF7142" w:rsidP="00833446">
      <w:pPr>
        <w:pStyle w:val="Heading3"/>
      </w:pPr>
      <w:r>
        <w:t xml:space="preserve">AT: States – Uniformity DA </w:t>
      </w:r>
    </w:p>
    <w:p w:rsidR="00EF7142" w:rsidRDefault="00EF7142" w:rsidP="00EF7142">
      <w:pPr>
        <w:pStyle w:val="Heading4"/>
      </w:pPr>
      <w:r>
        <w:t>States all have different interpretations of the IDEA – clarification from SCOTUS is key.</w:t>
      </w:r>
    </w:p>
    <w:p w:rsidR="00EF7142" w:rsidRPr="00AB42B2" w:rsidRDefault="00EF7142" w:rsidP="00EF7142">
      <w:pPr>
        <w:rPr>
          <w:sz w:val="16"/>
          <w:szCs w:val="16"/>
        </w:rPr>
      </w:pPr>
      <w:proofErr w:type="spellStart"/>
      <w:r w:rsidRPr="00F27554">
        <w:rPr>
          <w:rStyle w:val="Style13ptBold"/>
        </w:rPr>
        <w:t>Strassfeld</w:t>
      </w:r>
      <w:proofErr w:type="spellEnd"/>
      <w:r w:rsidRPr="00F27554">
        <w:rPr>
          <w:rStyle w:val="Style13ptBold"/>
        </w:rPr>
        <w:t xml:space="preserve"> ’17</w:t>
      </w:r>
      <w:r>
        <w:t xml:space="preserve"> </w:t>
      </w:r>
      <w:r w:rsidRPr="00F27554">
        <w:rPr>
          <w:sz w:val="16"/>
          <w:szCs w:val="16"/>
        </w:rPr>
        <w:t xml:space="preserve">(Natasha M; Assistant Professor of Special Education in the Department of Teaching and Learning, J.D. from the University of Wisconsin School of Law, Ph.D. in Special Education from the Pennsylvania State University; 2017, Case Western Reserve Law Review, Vol. 67, </w:t>
      </w:r>
      <w:proofErr w:type="spellStart"/>
      <w:r w:rsidRPr="00F27554">
        <w:rPr>
          <w:sz w:val="16"/>
          <w:szCs w:val="16"/>
        </w:rPr>
        <w:t>Iss</w:t>
      </w:r>
      <w:proofErr w:type="spellEnd"/>
      <w:r w:rsidRPr="00F27554">
        <w:rPr>
          <w:sz w:val="16"/>
          <w:szCs w:val="16"/>
        </w:rPr>
        <w:t xml:space="preserve">. 4, “The Future of IDEA: Monitoring Disproportionate Representation of Minority Students in Special Education and Intentional Discrimination Claims,” </w:t>
      </w:r>
      <w:hyperlink r:id="rId13" w:history="1">
        <w:r w:rsidRPr="00F27554">
          <w:rPr>
            <w:rStyle w:val="Hyperlink"/>
            <w:sz w:val="16"/>
            <w:szCs w:val="16"/>
          </w:rPr>
          <w:t>http://scholarlycommons.law.case.edu/cgi/viewcontent.cgi?article=4721&amp;context=caselrev</w:t>
        </w:r>
      </w:hyperlink>
      <w:r w:rsidRPr="00F27554">
        <w:rPr>
          <w:sz w:val="16"/>
          <w:szCs w:val="16"/>
        </w:rPr>
        <w:t>, DOA: 6/30/17)</w:t>
      </w:r>
    </w:p>
    <w:p w:rsidR="00EF7142" w:rsidRPr="001137C8" w:rsidRDefault="00EF7142" w:rsidP="00EF7142">
      <w:pPr>
        <w:rPr>
          <w:rStyle w:val="StyleUnderline"/>
        </w:rPr>
      </w:pPr>
      <w:r w:rsidRPr="002A51B2">
        <w:rPr>
          <w:rStyle w:val="StyleUnderline"/>
        </w:rPr>
        <w:t xml:space="preserve">Under IDEA, each state must also monitor and collect data regarding disproportionate representation that is the result of inappropriate identification. However, “inappropriate identification”105 </w:t>
      </w:r>
      <w:r w:rsidRPr="003C6CFA">
        <w:rPr>
          <w:rStyle w:val="Emphasis"/>
        </w:rPr>
        <w:t>is not defined within IDEA,</w:t>
      </w:r>
      <w:r w:rsidRPr="002A51B2">
        <w:rPr>
          <w:rStyle w:val="StyleUnderline"/>
        </w:rPr>
        <w:t xml:space="preserve"> and </w:t>
      </w:r>
      <w:r w:rsidRPr="003C6CFA">
        <w:rPr>
          <w:rStyle w:val="Emphasis"/>
        </w:rPr>
        <w:t>each state</w:t>
      </w:r>
      <w:r w:rsidRPr="002A51B2">
        <w:rPr>
          <w:rStyle w:val="StyleUnderline"/>
        </w:rPr>
        <w:t xml:space="preserve"> or LEA </w:t>
      </w:r>
      <w:r w:rsidRPr="003C6CFA">
        <w:rPr>
          <w:rStyle w:val="Emphasis"/>
        </w:rPr>
        <w:t>has discretion</w:t>
      </w:r>
      <w:r w:rsidRPr="002A51B2">
        <w:rPr>
          <w:rStyle w:val="StyleUnderline"/>
        </w:rPr>
        <w:t xml:space="preserve"> to determine which aspects of the identification process are practices that can be held as “inappropriate.”</w:t>
      </w:r>
      <w:r w:rsidRPr="001137C8">
        <w:rPr>
          <w:sz w:val="16"/>
        </w:rPr>
        <w:t xml:space="preserve">106 Some research has found that, since the 2004 reauthorization, the number of districts that have reported disproportionate representation due to “inappropriate identification” has drastically decreased.107 Most states currently report that there are no districts within each state that have been flagged as a district with disproportionality due to “inappropriate identification” by the district. One possible reason for the decline in “inappropriate identification” flags may be due to additional scrutiny that comes with the flag. That is, the “inappropriate identification” flag serves as an automatic trigger which requires a state to achieve compliance within one year and to set aside funds for CEIs, and this may discourage states from using the “inappropriate identification” flag as a check against any LEAs within the state that might be engaging in “inappropriate identification.”108 </w:t>
      </w:r>
      <w:r w:rsidRPr="001137C8">
        <w:rPr>
          <w:rStyle w:val="StyleUnderline"/>
        </w:rPr>
        <w:t xml:space="preserve">While IDEA includes monitoring and enforcement provisions, there are ways for states to </w:t>
      </w:r>
      <w:r w:rsidRPr="001137C8">
        <w:rPr>
          <w:rStyle w:val="Emphasis"/>
        </w:rPr>
        <w:t>skirt federal policy</w:t>
      </w:r>
      <w:r w:rsidRPr="001137C8">
        <w:rPr>
          <w:rStyle w:val="StyleUnderline"/>
        </w:rPr>
        <w:t xml:space="preserve"> and under-report or fail to report disproportionate representation</w:t>
      </w:r>
      <w:r w:rsidRPr="001137C8">
        <w:rPr>
          <w:sz w:val="16"/>
        </w:rPr>
        <w:t xml:space="preserve">. This is a troubling consequence of gaps within IDEA. </w:t>
      </w:r>
      <w:r w:rsidRPr="001137C8">
        <w:rPr>
          <w:rStyle w:val="StyleUnderline"/>
        </w:rPr>
        <w:t>Current policy fails to adequately address disproportionality as a civil rights issue with accompanying remedies for traditionally under-represented racial and ethnic minority groups who are at-risk for discrimination within special education placements</w:t>
      </w:r>
      <w:r w:rsidRPr="001137C8">
        <w:rPr>
          <w:sz w:val="16"/>
        </w:rPr>
        <w:t xml:space="preserve">. This is true despite repeated calls for federal policy and guidelines for administrative practices to “align, resulting in consistent and effective actions by the states to eliminate the long-standing and still prevalent problem of racial and ethnic disproportionality.”109 Moreover, </w:t>
      </w:r>
      <w:r w:rsidRPr="001137C8">
        <w:rPr>
          <w:rStyle w:val="StyleUnderline"/>
        </w:rPr>
        <w:t>it also signals to parents of students with disabilities that IDEA’s monitoring and enforcement provisions for disproportionate representation lack substantive sanctions at the state- and district-level when LEAs fail to comply.</w:t>
      </w:r>
    </w:p>
    <w:p w:rsidR="00833446" w:rsidRPr="00612199" w:rsidRDefault="00833446" w:rsidP="00833446">
      <w:pPr>
        <w:pStyle w:val="Heading3"/>
      </w:pPr>
      <w:r>
        <w:t>AT: States – CP rolled back</w:t>
      </w:r>
    </w:p>
    <w:p w:rsidR="00833446" w:rsidRPr="00A1607B" w:rsidRDefault="00833446" w:rsidP="00833446">
      <w:pPr>
        <w:pStyle w:val="Heading4"/>
      </w:pPr>
      <w:r>
        <w:t>Policies are overturned absent federal action</w:t>
      </w:r>
    </w:p>
    <w:p w:rsidR="00833446" w:rsidRPr="00EC0DA5" w:rsidRDefault="00833446" w:rsidP="00833446">
      <w:r>
        <w:t xml:space="preserve">Scott </w:t>
      </w:r>
      <w:r>
        <w:rPr>
          <w:b/>
        </w:rPr>
        <w:t xml:space="preserve">Dodson </w:t>
      </w:r>
      <w:r>
        <w:t>20</w:t>
      </w:r>
      <w:r>
        <w:rPr>
          <w:b/>
        </w:rPr>
        <w:t xml:space="preserve">16 </w:t>
      </w:r>
      <w:r w:rsidRPr="00EC0DA5">
        <w:t>(Harry &amp; Lillian Hastings Research Chair and Professor of Law, UC Hastings College of the Law</w:t>
      </w:r>
      <w:r>
        <w:t xml:space="preserve"> </w:t>
      </w:r>
      <w:r w:rsidRPr="00EC0DA5">
        <w:t>Scott, "The Gravitational Force of Federal Law," 164 U. Pa. L. Rev. 703</w:t>
      </w:r>
      <w:r>
        <w:t xml:space="preserve"> page 739)//</w:t>
      </w:r>
      <w:proofErr w:type="spellStart"/>
      <w:r>
        <w:t>masw</w:t>
      </w:r>
      <w:proofErr w:type="spellEnd"/>
    </w:p>
    <w:p w:rsidR="00833446" w:rsidRPr="005316A2" w:rsidRDefault="00833446" w:rsidP="00833446">
      <w:pPr>
        <w:rPr>
          <w:rStyle w:val="StyleUnderline"/>
        </w:rPr>
      </w:pPr>
      <w:r w:rsidRPr="005316A2">
        <w:rPr>
          <w:rStyle w:val="StyleUnderline"/>
        </w:rPr>
        <w:t>D. Political Cover</w:t>
      </w:r>
      <w:r>
        <w:rPr>
          <w:rStyle w:val="StyleUnderline"/>
        </w:rPr>
        <w:t xml:space="preserve"> </w:t>
      </w:r>
      <w:r w:rsidRPr="005316A2">
        <w:rPr>
          <w:rStyle w:val="StyleUnderline"/>
        </w:rPr>
        <w:t>Compared to the justices on the Supreme Court, state judges are in a</w:t>
      </w:r>
      <w:r>
        <w:rPr>
          <w:rStyle w:val="StyleUnderline"/>
        </w:rPr>
        <w:t xml:space="preserve"> </w:t>
      </w:r>
      <w:r w:rsidRPr="005316A2">
        <w:rPr>
          <w:rStyle w:val="Emphasis"/>
        </w:rPr>
        <w:t>precarious position</w:t>
      </w:r>
      <w:r w:rsidRPr="005316A2">
        <w:rPr>
          <w:rStyle w:val="StyleUnderline"/>
        </w:rPr>
        <w:t>.</w:t>
      </w:r>
      <w:r w:rsidRPr="00A1607B">
        <w:rPr>
          <w:sz w:val="16"/>
        </w:rPr>
        <w:t xml:space="preserve"> </w:t>
      </w:r>
      <w:r w:rsidRPr="005316A2">
        <w:rPr>
          <w:rStyle w:val="StyleUnderline"/>
        </w:rPr>
        <w:t xml:space="preserve">State court opinions can be </w:t>
      </w:r>
      <w:r w:rsidRPr="005316A2">
        <w:rPr>
          <w:rStyle w:val="StyleUnderline"/>
          <w:b/>
        </w:rPr>
        <w:t>overturned by the Supreme</w:t>
      </w:r>
      <w:r>
        <w:rPr>
          <w:rStyle w:val="StyleUnderline"/>
          <w:b/>
        </w:rPr>
        <w:t xml:space="preserve"> </w:t>
      </w:r>
      <w:r w:rsidRPr="005316A2">
        <w:rPr>
          <w:rStyle w:val="StyleUnderline"/>
          <w:b/>
        </w:rPr>
        <w:t>Court</w:t>
      </w:r>
      <w:r w:rsidRPr="00A1607B">
        <w:rPr>
          <w:sz w:val="16"/>
        </w:rPr>
        <w:t xml:space="preserve">, by federal law, or by state law. </w:t>
      </w:r>
      <w:r w:rsidRPr="005316A2">
        <w:rPr>
          <w:rStyle w:val="StyleUnderline"/>
        </w:rPr>
        <w:t>Most state constitutions are easier to</w:t>
      </w:r>
      <w:r>
        <w:rPr>
          <w:rStyle w:val="StyleUnderline"/>
        </w:rPr>
        <w:t xml:space="preserve"> </w:t>
      </w:r>
      <w:r w:rsidRPr="005316A2">
        <w:rPr>
          <w:rStyle w:val="StyleUnderline"/>
        </w:rPr>
        <w:t>amend than the U.S. Constitution, and some are notoriously easier.</w:t>
      </w:r>
      <w:r w:rsidRPr="00A1607B">
        <w:rPr>
          <w:sz w:val="16"/>
        </w:rPr>
        <w:t xml:space="preserve">199 </w:t>
      </w:r>
      <w:r w:rsidRPr="005316A2">
        <w:rPr>
          <w:rStyle w:val="StyleUnderline"/>
        </w:rPr>
        <w:t>These</w:t>
      </w:r>
      <w:r>
        <w:rPr>
          <w:rStyle w:val="StyleUnderline"/>
        </w:rPr>
        <w:t xml:space="preserve"> </w:t>
      </w:r>
      <w:r w:rsidRPr="005316A2">
        <w:rPr>
          <w:rStyle w:val="StyleUnderline"/>
        </w:rPr>
        <w:t xml:space="preserve">situations present a </w:t>
      </w:r>
      <w:r w:rsidRPr="005316A2">
        <w:rPr>
          <w:rStyle w:val="Emphasis"/>
        </w:rPr>
        <w:t>substantial risk</w:t>
      </w:r>
      <w:r w:rsidRPr="005316A2">
        <w:rPr>
          <w:rStyle w:val="StyleUnderline"/>
        </w:rPr>
        <w:t xml:space="preserve"> that a state judge’s decision will be</w:t>
      </w:r>
      <w:r>
        <w:rPr>
          <w:rStyle w:val="StyleUnderline"/>
        </w:rPr>
        <w:t xml:space="preserve"> </w:t>
      </w:r>
      <w:r w:rsidRPr="005316A2">
        <w:rPr>
          <w:rStyle w:val="Emphasis"/>
        </w:rPr>
        <w:t>nullified</w:t>
      </w:r>
      <w:r w:rsidRPr="00A1607B">
        <w:rPr>
          <w:sz w:val="16"/>
        </w:rPr>
        <w:t xml:space="preserve"> </w:t>
      </w:r>
      <w:r w:rsidRPr="005316A2">
        <w:rPr>
          <w:rStyle w:val="StyleUnderline"/>
        </w:rPr>
        <w:t>or</w:t>
      </w:r>
      <w:r w:rsidRPr="00A1607B">
        <w:rPr>
          <w:sz w:val="16"/>
        </w:rPr>
        <w:t xml:space="preserve">, worse, </w:t>
      </w:r>
      <w:r w:rsidRPr="005316A2">
        <w:rPr>
          <w:rStyle w:val="Emphasis"/>
        </w:rPr>
        <w:t>reversed</w:t>
      </w:r>
      <w:r w:rsidRPr="00A1607B">
        <w:rPr>
          <w:sz w:val="16"/>
        </w:rPr>
        <w:t xml:space="preserve"> as wrongly decided.200 Further, </w:t>
      </w:r>
      <w:r w:rsidRPr="005316A2">
        <w:rPr>
          <w:rStyle w:val="StyleUnderline"/>
        </w:rPr>
        <w:t>state court decisions</w:t>
      </w:r>
      <w:r>
        <w:rPr>
          <w:rStyle w:val="StyleUnderline"/>
        </w:rPr>
        <w:t xml:space="preserve"> </w:t>
      </w:r>
      <w:r w:rsidRPr="005316A2">
        <w:rPr>
          <w:rStyle w:val="StyleUnderline"/>
        </w:rPr>
        <w:t>on state-law matters tend to implicate state-law concerns that resonate with</w:t>
      </w:r>
      <w:r>
        <w:rPr>
          <w:rStyle w:val="StyleUnderline"/>
        </w:rPr>
        <w:t xml:space="preserve"> </w:t>
      </w:r>
      <w:r w:rsidRPr="005316A2">
        <w:rPr>
          <w:rStyle w:val="StyleUnderline"/>
        </w:rPr>
        <w:t>state citizens and state officials</w:t>
      </w:r>
      <w:r w:rsidRPr="00A1607B">
        <w:rPr>
          <w:sz w:val="16"/>
        </w:rPr>
        <w:t xml:space="preserve">. Even if not overturned, </w:t>
      </w:r>
      <w:r w:rsidRPr="005316A2">
        <w:rPr>
          <w:rStyle w:val="StyleUnderline"/>
        </w:rPr>
        <w:t>state court decisions</w:t>
      </w:r>
      <w:r>
        <w:rPr>
          <w:rStyle w:val="StyleUnderline"/>
        </w:rPr>
        <w:t xml:space="preserve"> </w:t>
      </w:r>
      <w:r w:rsidRPr="005316A2">
        <w:rPr>
          <w:rStyle w:val="Emphasis"/>
        </w:rPr>
        <w:t>may face intense criticism</w:t>
      </w:r>
      <w:r w:rsidRPr="005316A2">
        <w:rPr>
          <w:rStyle w:val="StyleUnderline"/>
        </w:rPr>
        <w:t xml:space="preserve"> from these </w:t>
      </w:r>
      <w:r w:rsidRPr="005316A2">
        <w:rPr>
          <w:rStyle w:val="Emphasis"/>
        </w:rPr>
        <w:t>constituencies</w:t>
      </w:r>
      <w:r w:rsidRPr="005316A2">
        <w:rPr>
          <w:rStyle w:val="StyleUnderline"/>
        </w:rPr>
        <w:t>.</w:t>
      </w:r>
    </w:p>
    <w:p w:rsidR="00833446" w:rsidRPr="00A1607B" w:rsidRDefault="00833446" w:rsidP="00833446">
      <w:pPr>
        <w:rPr>
          <w:sz w:val="16"/>
        </w:rPr>
      </w:pPr>
      <w:r w:rsidRPr="005316A2">
        <w:rPr>
          <w:rStyle w:val="StyleUnderline"/>
        </w:rPr>
        <w:t>Were state judges to hold life tenure like federal judges, they might not care</w:t>
      </w:r>
      <w:r>
        <w:rPr>
          <w:rStyle w:val="StyleUnderline"/>
        </w:rPr>
        <w:t xml:space="preserve"> </w:t>
      </w:r>
      <w:r w:rsidRPr="00A1607B">
        <w:rPr>
          <w:sz w:val="16"/>
        </w:rPr>
        <w:t xml:space="preserve">so tangibly about reactions to their decisions. But </w:t>
      </w:r>
      <w:r w:rsidRPr="005316A2">
        <w:rPr>
          <w:rStyle w:val="StyleUnderline"/>
        </w:rPr>
        <w:t>state judges do not have such</w:t>
      </w:r>
      <w:r>
        <w:rPr>
          <w:rStyle w:val="StyleUnderline"/>
        </w:rPr>
        <w:t xml:space="preserve"> </w:t>
      </w:r>
      <w:r w:rsidRPr="005316A2">
        <w:rPr>
          <w:rStyle w:val="Emphasis"/>
        </w:rPr>
        <w:t>job security</w:t>
      </w:r>
      <w:r w:rsidRPr="005316A2">
        <w:rPr>
          <w:rStyle w:val="StyleUnderline"/>
        </w:rPr>
        <w:t>.</w:t>
      </w:r>
      <w:r w:rsidRPr="00A1607B">
        <w:rPr>
          <w:sz w:val="16"/>
        </w:rPr>
        <w:t xml:space="preserve"> </w:t>
      </w:r>
      <w:r w:rsidRPr="00EE0FEF">
        <w:rPr>
          <w:rStyle w:val="StyleUnderline"/>
        </w:rPr>
        <w:t>Political and institutional conditions keep them close to state</w:t>
      </w:r>
      <w:r>
        <w:rPr>
          <w:rStyle w:val="StyleUnderline"/>
        </w:rPr>
        <w:t xml:space="preserve"> </w:t>
      </w:r>
      <w:r w:rsidRPr="00EE0FEF">
        <w:rPr>
          <w:rStyle w:val="StyleUnderline"/>
        </w:rPr>
        <w:t>politic</w:t>
      </w:r>
      <w:r w:rsidRPr="00A1607B">
        <w:rPr>
          <w:sz w:val="16"/>
        </w:rPr>
        <w:t xml:space="preserve">s.201 </w:t>
      </w:r>
      <w:r w:rsidRPr="00EE0FEF">
        <w:rPr>
          <w:rStyle w:val="StyleUnderline"/>
        </w:rPr>
        <w:t>Most state judges are elected by state voters</w:t>
      </w:r>
      <w:r w:rsidRPr="00A1607B">
        <w:rPr>
          <w:sz w:val="16"/>
        </w:rPr>
        <w:t xml:space="preserve">; </w:t>
      </w:r>
      <w:r w:rsidRPr="00C31DC0">
        <w:rPr>
          <w:rStyle w:val="StyleUnderline"/>
        </w:rPr>
        <w:t>others are term</w:t>
      </w:r>
      <w:r>
        <w:rPr>
          <w:rStyle w:val="StyleUnderline"/>
        </w:rPr>
        <w:t xml:space="preserve"> </w:t>
      </w:r>
      <w:r w:rsidRPr="00C31DC0">
        <w:rPr>
          <w:rStyle w:val="StyleUnderline"/>
        </w:rPr>
        <w:t>appointed and reappointed</w:t>
      </w:r>
      <w:r w:rsidRPr="00A1607B">
        <w:rPr>
          <w:sz w:val="16"/>
        </w:rPr>
        <w:t xml:space="preserve"> by elected state officials.202 From a career standpoint, </w:t>
      </w:r>
      <w:r w:rsidRPr="00C31DC0">
        <w:rPr>
          <w:rStyle w:val="StyleUnderline"/>
        </w:rPr>
        <w:t>state judges</w:t>
      </w:r>
      <w:r w:rsidRPr="00A1607B">
        <w:rPr>
          <w:sz w:val="16"/>
        </w:rPr>
        <w:t xml:space="preserve"> may </w:t>
      </w:r>
      <w:r w:rsidRPr="00C31DC0">
        <w:rPr>
          <w:rStyle w:val="Emphasis"/>
        </w:rPr>
        <w:t>care</w:t>
      </w:r>
      <w:r w:rsidRPr="00A1607B">
        <w:rPr>
          <w:sz w:val="16"/>
        </w:rPr>
        <w:t xml:space="preserve"> </w:t>
      </w:r>
      <w:r w:rsidRPr="00C31DC0">
        <w:rPr>
          <w:rStyle w:val="Emphasis"/>
        </w:rPr>
        <w:t>very deeply about</w:t>
      </w:r>
      <w:r w:rsidRPr="00A1607B">
        <w:rPr>
          <w:sz w:val="16"/>
        </w:rPr>
        <w:t xml:space="preserve"> </w:t>
      </w:r>
      <w:r w:rsidRPr="00C31DC0">
        <w:rPr>
          <w:rStyle w:val="StyleUnderline"/>
        </w:rPr>
        <w:t>how their decisions are perceived</w:t>
      </w:r>
      <w:r w:rsidRPr="00A1607B">
        <w:rPr>
          <w:sz w:val="16"/>
        </w:rPr>
        <w:t xml:space="preserve">. </w:t>
      </w:r>
      <w:r w:rsidRPr="00C31DC0">
        <w:rPr>
          <w:rStyle w:val="StyleUnderline"/>
        </w:rPr>
        <w:t>State</w:t>
      </w:r>
      <w:r>
        <w:rPr>
          <w:rStyle w:val="StyleUnderline"/>
        </w:rPr>
        <w:t xml:space="preserve"> </w:t>
      </w:r>
      <w:r w:rsidRPr="00C31DC0">
        <w:rPr>
          <w:rStyle w:val="StyleUnderline"/>
        </w:rPr>
        <w:t xml:space="preserve">judges have been </w:t>
      </w:r>
      <w:r w:rsidRPr="00C31DC0">
        <w:rPr>
          <w:rStyle w:val="Emphasis"/>
        </w:rPr>
        <w:t>voted off the bench</w:t>
      </w:r>
      <w:r w:rsidRPr="00C31DC0">
        <w:rPr>
          <w:rStyle w:val="StyleUnderline"/>
        </w:rPr>
        <w:t xml:space="preserve"> because of the opinions they signed.</w:t>
      </w:r>
      <w:r w:rsidRPr="00A1607B">
        <w:rPr>
          <w:sz w:val="16"/>
        </w:rPr>
        <w:t xml:space="preserve">203 </w:t>
      </w:r>
      <w:r w:rsidRPr="00C31DC0">
        <w:rPr>
          <w:rStyle w:val="Emphasis"/>
        </w:rPr>
        <w:t>Political and public backlash</w:t>
      </w:r>
      <w:r w:rsidRPr="00A1607B">
        <w:rPr>
          <w:sz w:val="16"/>
        </w:rPr>
        <w:t xml:space="preserve">, then, </w:t>
      </w:r>
      <w:r w:rsidRPr="00C31DC0">
        <w:rPr>
          <w:rStyle w:val="StyleUnderline"/>
        </w:rPr>
        <w:t xml:space="preserve">is a real concern </w:t>
      </w:r>
      <w:r w:rsidRPr="00A1607B">
        <w:rPr>
          <w:sz w:val="16"/>
        </w:rPr>
        <w:t xml:space="preserve">for many state judges.204 </w:t>
      </w:r>
      <w:r w:rsidRPr="00C31DC0">
        <w:rPr>
          <w:rStyle w:val="StyleUnderline"/>
        </w:rPr>
        <w:t>Following federal law and federal courts</w:t>
      </w:r>
      <w:r w:rsidRPr="00A1607B">
        <w:rPr>
          <w:sz w:val="16"/>
        </w:rPr>
        <w:t xml:space="preserve"> </w:t>
      </w:r>
      <w:r w:rsidRPr="00C31DC0">
        <w:rPr>
          <w:rStyle w:val="StyleUnderline"/>
        </w:rPr>
        <w:t>offers</w:t>
      </w:r>
      <w:r w:rsidRPr="00A1607B">
        <w:rPr>
          <w:sz w:val="16"/>
        </w:rPr>
        <w:t xml:space="preserve"> some </w:t>
      </w:r>
      <w:r w:rsidRPr="00C31DC0">
        <w:rPr>
          <w:rStyle w:val="Emphasis"/>
        </w:rPr>
        <w:t>cover</w:t>
      </w:r>
      <w:r w:rsidRPr="00A1607B">
        <w:rPr>
          <w:sz w:val="16"/>
        </w:rPr>
        <w:t xml:space="preserve"> against potential backlash.205 </w:t>
      </w:r>
      <w:r w:rsidRPr="00C31DC0">
        <w:rPr>
          <w:rStyle w:val="StyleUnderline"/>
        </w:rPr>
        <w:t>Deciding</w:t>
      </w:r>
      <w:r w:rsidRPr="00A1607B">
        <w:rPr>
          <w:sz w:val="16"/>
        </w:rPr>
        <w:t xml:space="preserve"> an issue </w:t>
      </w:r>
      <w:r w:rsidRPr="00C31DC0">
        <w:rPr>
          <w:rStyle w:val="StyleUnderline"/>
        </w:rPr>
        <w:t>in tune with federal law allows state courts to</w:t>
      </w:r>
      <w:r>
        <w:rPr>
          <w:rStyle w:val="StyleUnderline"/>
        </w:rPr>
        <w:t xml:space="preserve"> </w:t>
      </w:r>
      <w:r w:rsidRPr="00C31DC0">
        <w:rPr>
          <w:rStyle w:val="Emphasis"/>
        </w:rPr>
        <w:t>shift responsibility to federal law</w:t>
      </w:r>
      <w:r w:rsidRPr="00A1607B">
        <w:rPr>
          <w:sz w:val="16"/>
        </w:rPr>
        <w:t xml:space="preserve"> or the U.S. Supreme Court.206 State law decisions that deviate from federal law are more likely to be overruled than those that conform to federal law.207 Part of the reason may be the belief among state courts that the Supreme Court’s decision on an important or policy-laden matter of </w:t>
      </w:r>
      <w:r w:rsidRPr="00C31DC0">
        <w:rPr>
          <w:rStyle w:val="StyleUnderline"/>
        </w:rPr>
        <w:t xml:space="preserve">federal law can reflect </w:t>
      </w:r>
      <w:r w:rsidRPr="00C31DC0">
        <w:rPr>
          <w:rStyle w:val="Emphasis"/>
        </w:rPr>
        <w:t xml:space="preserve">public sentiment </w:t>
      </w:r>
      <w:r w:rsidRPr="00A1607B">
        <w:rPr>
          <w:sz w:val="16"/>
        </w:rPr>
        <w:t xml:space="preserve">in a way </w:t>
      </w:r>
      <w:r w:rsidRPr="00C31DC0">
        <w:rPr>
          <w:rStyle w:val="StyleUnderline"/>
        </w:rPr>
        <w:t>that gives state courts</w:t>
      </w:r>
      <w:r>
        <w:rPr>
          <w:rStyle w:val="StyleUnderline"/>
        </w:rPr>
        <w:t xml:space="preserve"> </w:t>
      </w:r>
      <w:r w:rsidRPr="00A1607B">
        <w:rPr>
          <w:sz w:val="16"/>
        </w:rPr>
        <w:t xml:space="preserve">confronted with a similar issue </w:t>
      </w:r>
      <w:r w:rsidRPr="00C31DC0">
        <w:rPr>
          <w:rStyle w:val="Emphasis"/>
        </w:rPr>
        <w:t>comfort</w:t>
      </w:r>
      <w:r w:rsidRPr="00A1607B">
        <w:rPr>
          <w:sz w:val="16"/>
        </w:rPr>
        <w:t xml:space="preserve"> </w:t>
      </w:r>
      <w:r w:rsidRPr="00C31DC0">
        <w:rPr>
          <w:rStyle w:val="StyleUnderline"/>
        </w:rPr>
        <w:t>that their analogous resolution of state</w:t>
      </w:r>
      <w:r>
        <w:rPr>
          <w:rStyle w:val="StyleUnderline"/>
        </w:rPr>
        <w:t xml:space="preserve"> </w:t>
      </w:r>
      <w:r w:rsidRPr="00C31DC0">
        <w:rPr>
          <w:rStyle w:val="StyleUnderline"/>
        </w:rPr>
        <w:t xml:space="preserve">law will be </w:t>
      </w:r>
      <w:r w:rsidRPr="00C31DC0">
        <w:rPr>
          <w:rStyle w:val="Emphasis"/>
        </w:rPr>
        <w:t>politically safe</w:t>
      </w:r>
      <w:r w:rsidRPr="00C31DC0">
        <w:rPr>
          <w:rStyle w:val="StyleUnderline"/>
        </w:rPr>
        <w:t>.</w:t>
      </w:r>
      <w:r w:rsidRPr="00A1607B">
        <w:rPr>
          <w:sz w:val="16"/>
        </w:rPr>
        <w:t xml:space="preserve"> This explanation is especially powerful if the national sentiments reflected in the Supreme Court’s opinion are mirrored in the particular state in which the state court sits.</w:t>
      </w:r>
    </w:p>
    <w:p w:rsidR="00833446" w:rsidRPr="005A6C86" w:rsidRDefault="00833446" w:rsidP="00833446">
      <w:pPr>
        <w:rPr>
          <w:rStyle w:val="StyleUnderline"/>
        </w:rPr>
      </w:pPr>
      <w:r w:rsidRPr="005A6C86">
        <w:rPr>
          <w:rStyle w:val="StyleUnderline"/>
        </w:rPr>
        <w:t xml:space="preserve">Another part of the reason may be the </w:t>
      </w:r>
      <w:r w:rsidRPr="005A6C86">
        <w:rPr>
          <w:rStyle w:val="Emphasis"/>
        </w:rPr>
        <w:t xml:space="preserve">political cost </w:t>
      </w:r>
      <w:r w:rsidRPr="005A6C86">
        <w:rPr>
          <w:rStyle w:val="StyleUnderline"/>
        </w:rPr>
        <w:t xml:space="preserve">of </w:t>
      </w:r>
      <w:r w:rsidRPr="005A6C86">
        <w:rPr>
          <w:rStyle w:val="Emphasis"/>
        </w:rPr>
        <w:t>rejecting</w:t>
      </w:r>
      <w:r w:rsidRPr="005A6C86">
        <w:rPr>
          <w:rStyle w:val="StyleUnderline"/>
        </w:rPr>
        <w:t xml:space="preserve"> the</w:t>
      </w:r>
      <w:r>
        <w:rPr>
          <w:rStyle w:val="StyleUnderline"/>
        </w:rPr>
        <w:t xml:space="preserve"> </w:t>
      </w:r>
      <w:r w:rsidRPr="005A6C86">
        <w:rPr>
          <w:rStyle w:val="Emphasis"/>
        </w:rPr>
        <w:t>Supreme Court’s view</w:t>
      </w:r>
      <w:r w:rsidRPr="00A1607B">
        <w:rPr>
          <w:sz w:val="16"/>
        </w:rPr>
        <w:t xml:space="preserve">. In other words, </w:t>
      </w:r>
      <w:r w:rsidRPr="005A6C86">
        <w:rPr>
          <w:rStyle w:val="Emphasis"/>
        </w:rPr>
        <w:t>even</w:t>
      </w:r>
      <w:r w:rsidRPr="005A6C86">
        <w:rPr>
          <w:rStyle w:val="StyleUnderline"/>
        </w:rPr>
        <w:t xml:space="preserve"> when the Supreme Court does</w:t>
      </w:r>
      <w:r>
        <w:rPr>
          <w:rStyle w:val="StyleUnderline"/>
        </w:rPr>
        <w:t xml:space="preserve"> </w:t>
      </w:r>
      <w:r w:rsidRPr="005A6C86">
        <w:rPr>
          <w:rStyle w:val="Emphasis"/>
        </w:rPr>
        <w:t>not reflect public opinion</w:t>
      </w:r>
      <w:r w:rsidRPr="00A1607B">
        <w:rPr>
          <w:sz w:val="16"/>
        </w:rPr>
        <w:t>—or at least the public opinion of a particular state court’s state—</w:t>
      </w:r>
      <w:r w:rsidRPr="005A6C86">
        <w:rPr>
          <w:rStyle w:val="StyleUnderline"/>
        </w:rPr>
        <w:t xml:space="preserve">the Supreme </w:t>
      </w:r>
      <w:r w:rsidRPr="00A1607B">
        <w:rPr>
          <w:rStyle w:val="StyleUnderline"/>
        </w:rPr>
        <w:t xml:space="preserve">Court commands a </w:t>
      </w:r>
      <w:r w:rsidRPr="00A1607B">
        <w:rPr>
          <w:rStyle w:val="Emphasis"/>
        </w:rPr>
        <w:t>level of gravitas</w:t>
      </w:r>
      <w:r w:rsidRPr="00A1607B">
        <w:rPr>
          <w:sz w:val="16"/>
        </w:rPr>
        <w:t xml:space="preserve"> </w:t>
      </w:r>
      <w:r w:rsidRPr="00A1607B">
        <w:rPr>
          <w:rStyle w:val="StyleUnderline"/>
        </w:rPr>
        <w:t>that seems to generate an expectation of following absent compelling reasons for deviation</w:t>
      </w:r>
      <w:r w:rsidRPr="00A1607B">
        <w:rPr>
          <w:sz w:val="16"/>
        </w:rPr>
        <w:t xml:space="preserve">. If a dropped rock falls to the ground, one needs no explanation, but if it defies gravity, one wonders what the hell is going on. Similarly, </w:t>
      </w:r>
      <w:r w:rsidRPr="00A1607B">
        <w:rPr>
          <w:rStyle w:val="StyleUnderline"/>
        </w:rPr>
        <w:t>it is far easier for a state judge to tell voters that her opinion follows the reasoning of the Supreme Court than to try to explain why she diverg</w:t>
      </w:r>
      <w:r w:rsidRPr="005A6C86">
        <w:rPr>
          <w:rStyle w:val="StyleUnderline"/>
        </w:rPr>
        <w:t>ed.208</w:t>
      </w:r>
    </w:p>
    <w:p w:rsidR="00833446" w:rsidRPr="005A6C86" w:rsidRDefault="00833446" w:rsidP="00833446">
      <w:pPr>
        <w:rPr>
          <w:rStyle w:val="StyleUnderline"/>
        </w:rPr>
      </w:pPr>
      <w:r w:rsidRPr="00A1607B">
        <w:rPr>
          <w:sz w:val="16"/>
        </w:rPr>
        <w:t xml:space="preserve">These explanations seem to fit particularly well in certain matters of constitutional and statutory law. Recall the story of gay rights and Bowers v. Hardwick told in Part I.209 Following Bowers—a rights-restrictive decision holding a state statute criminalizing consensual, private, adult sodomy valid under the Due Process Clause of the U.S. Constitution210—many state courts interpreted their state constitutions accordingly.211 Indeed, </w:t>
      </w:r>
      <w:r w:rsidRPr="005A6C86">
        <w:rPr>
          <w:rStyle w:val="StyleUnderline"/>
        </w:rPr>
        <w:t>despite its</w:t>
      </w:r>
      <w:r>
        <w:rPr>
          <w:rStyle w:val="StyleUnderline"/>
        </w:rPr>
        <w:t xml:space="preserve"> </w:t>
      </w:r>
      <w:proofErr w:type="spellStart"/>
      <w:r w:rsidRPr="005A6C86">
        <w:rPr>
          <w:rStyle w:val="StyleUnderline"/>
        </w:rPr>
        <w:t>nonpreemptive</w:t>
      </w:r>
      <w:proofErr w:type="spellEnd"/>
      <w:r w:rsidRPr="005A6C86">
        <w:rPr>
          <w:rStyle w:val="StyleUnderline"/>
        </w:rPr>
        <w:t xml:space="preserve"> and narrow holding,212 Bowers was a major factor in the</w:t>
      </w:r>
      <w:r>
        <w:rPr>
          <w:rStyle w:val="StyleUnderline"/>
        </w:rPr>
        <w:t xml:space="preserve"> </w:t>
      </w:r>
      <w:r w:rsidRPr="005A6C86">
        <w:rPr>
          <w:rStyle w:val="StyleUnderline"/>
        </w:rPr>
        <w:t>stagnation of gay rights over the next ten years</w:t>
      </w:r>
      <w:r w:rsidRPr="00A1607B">
        <w:rPr>
          <w:sz w:val="16"/>
        </w:rPr>
        <w:t xml:space="preserve">.213 In 1996, </w:t>
      </w:r>
      <w:r w:rsidRPr="005A6C86">
        <w:rPr>
          <w:rStyle w:val="StyleUnderline"/>
        </w:rPr>
        <w:t>Congress passed,</w:t>
      </w:r>
      <w:r>
        <w:rPr>
          <w:rStyle w:val="StyleUnderline"/>
        </w:rPr>
        <w:t xml:space="preserve"> </w:t>
      </w:r>
      <w:r w:rsidRPr="00A1607B">
        <w:rPr>
          <w:sz w:val="16"/>
        </w:rPr>
        <w:t xml:space="preserve">and President Bill Clinton signed, </w:t>
      </w:r>
      <w:r w:rsidRPr="005A6C86">
        <w:rPr>
          <w:rStyle w:val="StyleUnderline"/>
        </w:rPr>
        <w:t>the Defense of Marriage Act (DOMA),</w:t>
      </w:r>
      <w:r>
        <w:rPr>
          <w:rStyle w:val="StyleUnderline"/>
        </w:rPr>
        <w:t xml:space="preserve"> </w:t>
      </w:r>
      <w:r w:rsidRPr="00A1607B">
        <w:rPr>
          <w:sz w:val="16"/>
        </w:rPr>
        <w:t xml:space="preserve">which defined marriage for purposes of federal law as between one man and one woman and allowed states to refuse to recognize same-sex marriages validated elsewhere.214 </w:t>
      </w:r>
      <w:r w:rsidRPr="005A6C86">
        <w:rPr>
          <w:rStyle w:val="StyleUnderline"/>
        </w:rPr>
        <w:t>Immediately following the federal government’s lead,</w:t>
      </w:r>
      <w:r>
        <w:rPr>
          <w:rStyle w:val="StyleUnderline"/>
        </w:rPr>
        <w:t xml:space="preserve"> </w:t>
      </w:r>
      <w:r w:rsidRPr="005A6C86">
        <w:rPr>
          <w:rStyle w:val="StyleUnderline"/>
        </w:rPr>
        <w:t xml:space="preserve">most </w:t>
      </w:r>
      <w:r w:rsidRPr="005A6C86">
        <w:rPr>
          <w:rStyle w:val="Emphasis"/>
        </w:rPr>
        <w:t>states enacted mini-DOMAs</w:t>
      </w:r>
      <w:r w:rsidRPr="005A6C86">
        <w:rPr>
          <w:rStyle w:val="StyleUnderline"/>
        </w:rPr>
        <w:t xml:space="preserve"> restricting marriage under state law to</w:t>
      </w:r>
      <w:r>
        <w:rPr>
          <w:rStyle w:val="StyleUnderline"/>
        </w:rPr>
        <w:t xml:space="preserve"> </w:t>
      </w:r>
      <w:r w:rsidRPr="005A6C86">
        <w:rPr>
          <w:rStyle w:val="StyleUnderline"/>
        </w:rPr>
        <w:t>opposite-sex couples.215</w:t>
      </w:r>
    </w:p>
    <w:p w:rsidR="00833446" w:rsidRPr="00A1607B" w:rsidRDefault="00833446" w:rsidP="00833446">
      <w:pPr>
        <w:rPr>
          <w:sz w:val="16"/>
        </w:rPr>
      </w:pPr>
      <w:r w:rsidRPr="00A1607B">
        <w:rPr>
          <w:sz w:val="16"/>
        </w:rPr>
        <w:t xml:space="preserve">States that diverged by expanding gay rights under state law tended to be quickly reined in,216 and, until very recently, significant popular backlash, both generalized and targeted, to state advances of gay rights was a real threat.217 For example, in a widely reported retention </w:t>
      </w:r>
      <w:r w:rsidRPr="003E7086">
        <w:rPr>
          <w:rStyle w:val="StyleUnderline"/>
        </w:rPr>
        <w:t>election, three justices</w:t>
      </w:r>
      <w:r>
        <w:rPr>
          <w:rStyle w:val="StyleUnderline"/>
        </w:rPr>
        <w:t xml:space="preserve"> </w:t>
      </w:r>
      <w:r w:rsidRPr="003E7086">
        <w:rPr>
          <w:rStyle w:val="StyleUnderline"/>
        </w:rPr>
        <w:t xml:space="preserve">of the Iowa Supreme Court were voted down for retention </w:t>
      </w:r>
      <w:r w:rsidRPr="00A1607B">
        <w:rPr>
          <w:sz w:val="16"/>
        </w:rPr>
        <w:t xml:space="preserve">primarily </w:t>
      </w:r>
      <w:r w:rsidRPr="003E7086">
        <w:rPr>
          <w:rStyle w:val="StyleUnderline"/>
        </w:rPr>
        <w:t>on the</w:t>
      </w:r>
      <w:r>
        <w:rPr>
          <w:rStyle w:val="StyleUnderline"/>
        </w:rPr>
        <w:t xml:space="preserve"> </w:t>
      </w:r>
      <w:r w:rsidRPr="003E7086">
        <w:rPr>
          <w:rStyle w:val="StyleUnderline"/>
        </w:rPr>
        <w:t>basis of an opinion they joined that required Iowa to recognize same-sex</w:t>
      </w:r>
      <w:r>
        <w:rPr>
          <w:rStyle w:val="StyleUnderline"/>
        </w:rPr>
        <w:t xml:space="preserve"> </w:t>
      </w:r>
      <w:r w:rsidRPr="003E7086">
        <w:rPr>
          <w:rStyle w:val="StyleUnderline"/>
        </w:rPr>
        <w:t>marriage.</w:t>
      </w:r>
      <w:r w:rsidRPr="00A1607B">
        <w:rPr>
          <w:sz w:val="16"/>
        </w:rPr>
        <w:t xml:space="preserve"> This was the first time an Iowa Supreme Court justice had ever been rejected for retention.218</w:t>
      </w:r>
    </w:p>
    <w:p w:rsidR="00833446" w:rsidRPr="002B101D" w:rsidRDefault="00833446" w:rsidP="00833446">
      <w:pPr>
        <w:rPr>
          <w:rStyle w:val="StyleUnderline"/>
        </w:rPr>
      </w:pPr>
      <w:r w:rsidRPr="002B101D">
        <w:rPr>
          <w:rStyle w:val="StyleUnderline"/>
        </w:rPr>
        <w:t>It was not until</w:t>
      </w:r>
      <w:r w:rsidRPr="00A1607B">
        <w:rPr>
          <w:sz w:val="16"/>
        </w:rPr>
        <w:t xml:space="preserve"> </w:t>
      </w:r>
      <w:r w:rsidRPr="002B101D">
        <w:rPr>
          <w:rStyle w:val="StyleUnderline"/>
        </w:rPr>
        <w:t>the Supreme Court decided United States v. Windsor</w:t>
      </w:r>
      <w:r w:rsidRPr="00A1607B">
        <w:rPr>
          <w:sz w:val="16"/>
        </w:rPr>
        <w:t xml:space="preserve">,219 holding the federal Defense of Marriage Act unconstitutional under the Fifth Amendment, </w:t>
      </w:r>
      <w:r w:rsidRPr="002B101D">
        <w:rPr>
          <w:rStyle w:val="StyleUnderline"/>
        </w:rPr>
        <w:t>that states felt protected enough to begin advancing gay-marriage</w:t>
      </w:r>
      <w:r w:rsidRPr="00A1607B">
        <w:rPr>
          <w:sz w:val="16"/>
        </w:rPr>
        <w:t xml:space="preserve"> </w:t>
      </w:r>
      <w:r w:rsidRPr="002B101D">
        <w:rPr>
          <w:rStyle w:val="StyleUnderline"/>
        </w:rPr>
        <w:t>equality</w:t>
      </w:r>
      <w:r w:rsidRPr="00A1607B">
        <w:rPr>
          <w:sz w:val="16"/>
        </w:rPr>
        <w:t xml:space="preserve"> with vigor.220 Windsor, of course, was purely an interpretation of federal law and went out of its way to note the federalism underpinnings that give states different prerogatives on defining marriage.221 Yet even when not controlling, Supreme Court decisions offer states political cover. The Supreme Court of New Mexico, for example, relied on Windsor (and Romer, Lawrence, and Loving222) in construing its own state constitution to guarantee marriage equality.223 Those Supreme Court cases did not demand the result the state court reached—indeed, they expressly disavowed any implications for it—but, </w:t>
      </w:r>
      <w:r w:rsidRPr="002B101D">
        <w:rPr>
          <w:rStyle w:val="StyleUnderline"/>
        </w:rPr>
        <w:t>as high-profile Supreme Court decisions, they no doubt gave the state court</w:t>
      </w:r>
      <w:r>
        <w:rPr>
          <w:rStyle w:val="StyleUnderline"/>
        </w:rPr>
        <w:t xml:space="preserve"> </w:t>
      </w:r>
      <w:r w:rsidRPr="002B101D">
        <w:rPr>
          <w:rStyle w:val="StyleUnderline"/>
        </w:rPr>
        <w:t>more security in reaching it.</w:t>
      </w:r>
    </w:p>
    <w:p w:rsidR="00833446" w:rsidRPr="00A1607B" w:rsidRDefault="00833446" w:rsidP="00833446">
      <w:pPr>
        <w:rPr>
          <w:sz w:val="16"/>
        </w:rPr>
      </w:pPr>
      <w:r w:rsidRPr="00A1607B">
        <w:rPr>
          <w:sz w:val="16"/>
        </w:rPr>
        <w:t xml:space="preserve">The same scenario plays out in matters of statutory law that focus on sensitive policy issues. As one commentator has argued, Simply stated, a </w:t>
      </w:r>
      <w:r w:rsidRPr="002B101D">
        <w:rPr>
          <w:rStyle w:val="StyleUnderline"/>
        </w:rPr>
        <w:t>state judge, despite having the inherent authority</w:t>
      </w:r>
      <w:r w:rsidRPr="00A1607B">
        <w:rPr>
          <w:sz w:val="16"/>
        </w:rPr>
        <w:t xml:space="preserve"> to construe a state statute in a manner inconsistent with federal law, </w:t>
      </w:r>
      <w:r w:rsidRPr="002B101D">
        <w:rPr>
          <w:rStyle w:val="StyleUnderline"/>
        </w:rPr>
        <w:t>may</w:t>
      </w:r>
      <w:r>
        <w:rPr>
          <w:rStyle w:val="StyleUnderline"/>
        </w:rPr>
        <w:t xml:space="preserve"> </w:t>
      </w:r>
      <w:r w:rsidRPr="002B101D">
        <w:rPr>
          <w:rStyle w:val="Emphasis"/>
        </w:rPr>
        <w:t>hesitate to announce to the world that a majority of the country’s</w:t>
      </w:r>
      <w:r>
        <w:rPr>
          <w:rStyle w:val="Emphasis"/>
        </w:rPr>
        <w:t xml:space="preserve"> </w:t>
      </w:r>
      <w:r w:rsidRPr="002B101D">
        <w:rPr>
          <w:rStyle w:val="Emphasis"/>
        </w:rPr>
        <w:t>highest court got the issue wrong</w:t>
      </w:r>
      <w:r w:rsidRPr="002B101D">
        <w:rPr>
          <w:rStyle w:val="StyleUnderline"/>
        </w:rPr>
        <w:t>, either because the judge wants to</w:t>
      </w:r>
      <w:r>
        <w:rPr>
          <w:rStyle w:val="StyleUnderline"/>
        </w:rPr>
        <w:t xml:space="preserve"> </w:t>
      </w:r>
      <w:r w:rsidRPr="002B101D">
        <w:rPr>
          <w:rStyle w:val="StyleUnderline"/>
        </w:rPr>
        <w:t>avoid charges of judicial activism or out of respect for the reputation</w:t>
      </w:r>
      <w:r>
        <w:rPr>
          <w:rStyle w:val="StyleUnderline"/>
        </w:rPr>
        <w:t xml:space="preserve"> </w:t>
      </w:r>
      <w:r w:rsidRPr="002B101D">
        <w:rPr>
          <w:rStyle w:val="StyleUnderline"/>
        </w:rPr>
        <w:t>of the Supreme Court.224</w:t>
      </w:r>
      <w:r>
        <w:rPr>
          <w:rStyle w:val="StyleUnderline"/>
        </w:rPr>
        <w:t xml:space="preserve"> </w:t>
      </w:r>
      <w:r w:rsidRPr="00A1607B">
        <w:rPr>
          <w:sz w:val="16"/>
        </w:rPr>
        <w:t xml:space="preserve">Procedure cases offer a counterpoint. Much of procedure is apolitical.225 Procedural choices often escape the attention of the lay public—and often of legislators. </w:t>
      </w:r>
      <w:proofErr w:type="spellStart"/>
      <w:r w:rsidRPr="00A1607B">
        <w:rPr>
          <w:sz w:val="16"/>
        </w:rPr>
        <w:t>Rulemakers</w:t>
      </w:r>
      <w:proofErr w:type="spellEnd"/>
      <w:r w:rsidRPr="00A1607B">
        <w:rPr>
          <w:sz w:val="16"/>
        </w:rPr>
        <w:t xml:space="preserve"> have, at least until very recently, been insulated from the kind of politics that dominate legislation.226 States were procedural leaders for centuries before the adoption of the 1938 Federal Rules of Civil Procedure, so political cover is not a strong impetus for state following of federal procedure.227 Of course, where federal procedure takes a decidedly provocative turn, such as through the revolutionary changes of 1938 or the widely maligned Twombly and Iqbal decisions, acceptance of those federal changes can offer political cover for states that follow them.228 Political cover may thus offer some explanatory value for the following of replica states or those that have adopted Twombly and Iqbal. In the run-of-the-mill procedure choices, however, there is far less political effect. Federal procedural law has no preemptive effect, and the Supreme Court cannot reverse a state court on an issue of state procedural law.229 Procedural choices do not often generate front-page news.230 I thus infer only weak explanatory power of political cover for the gravitational pull of federal procedure on states. </w:t>
      </w:r>
    </w:p>
    <w:p w:rsidR="00833446" w:rsidRPr="00612199" w:rsidRDefault="00833446" w:rsidP="00833446"/>
    <w:p w:rsidR="00833446" w:rsidRDefault="00833446" w:rsidP="00833446">
      <w:pPr>
        <w:pStyle w:val="Heading2"/>
      </w:pPr>
      <w:r>
        <w:t>AT: Disability K</w:t>
      </w:r>
    </w:p>
    <w:p w:rsidR="00833446" w:rsidRDefault="00833446" w:rsidP="00833446">
      <w:pPr>
        <w:pStyle w:val="Heading3"/>
      </w:pPr>
      <w:r>
        <w:t xml:space="preserve">2AC - Framework </w:t>
      </w:r>
    </w:p>
    <w:p w:rsidR="00833446" w:rsidRDefault="00833446" w:rsidP="00833446">
      <w:pPr>
        <w:pStyle w:val="Heading4"/>
      </w:pPr>
      <w:r>
        <w:t>Focus on policy matters – only through understanding how the law impacts students with disabilities are we capable of begging to understand the discrimination those students face</w:t>
      </w:r>
    </w:p>
    <w:p w:rsidR="00833446" w:rsidRPr="006A72C4" w:rsidRDefault="00833446" w:rsidP="00833446">
      <w:proofErr w:type="spellStart"/>
      <w:r w:rsidRPr="006A72C4">
        <w:rPr>
          <w:rStyle w:val="Style13ptBold"/>
        </w:rPr>
        <w:t>Ryndak</w:t>
      </w:r>
      <w:proofErr w:type="spellEnd"/>
      <w:r w:rsidRPr="006A72C4">
        <w:rPr>
          <w:rStyle w:val="Style13ptBold"/>
        </w:rPr>
        <w:t xml:space="preserve"> 2014</w:t>
      </w:r>
      <w:r>
        <w:t xml:space="preserve"> - PhD, is professor and Chair of the Department of Specialized Education Services at the University of North Carolina at Greensboro</w:t>
      </w:r>
      <w:r>
        <w:br/>
        <w:t xml:space="preserve">Diane Lea, Debbie Taub, Cheryl M Jorgensen, Jean </w:t>
      </w:r>
      <w:proofErr w:type="spellStart"/>
      <w:r>
        <w:t>Gonsier-Gerdin</w:t>
      </w:r>
      <w:proofErr w:type="spellEnd"/>
      <w:r>
        <w:t xml:space="preserve">, Katrina Arndt, Janet Sauer, Andrea L </w:t>
      </w:r>
      <w:proofErr w:type="spellStart"/>
      <w:r>
        <w:t>Ruppar</w:t>
      </w:r>
      <w:proofErr w:type="spellEnd"/>
      <w:r>
        <w:t xml:space="preserve">, Mary E Morningstar, and Heather </w:t>
      </w:r>
      <w:proofErr w:type="spellStart"/>
      <w:r>
        <w:t>Allock</w:t>
      </w:r>
      <w:proofErr w:type="spellEnd"/>
      <w:r>
        <w:t>, "Policy and the Impact on Placement, Involvement, and Progress in General Education: Critical Issues That Require Rectification," Research and Practice for Persons with Severe Disabilities 2014, Vol. 39(1) 65–74</w:t>
      </w:r>
    </w:p>
    <w:p w:rsidR="00833446" w:rsidRDefault="00833446" w:rsidP="00833446">
      <w:pPr>
        <w:rPr>
          <w:sz w:val="16"/>
        </w:rPr>
      </w:pPr>
      <w:r w:rsidRPr="00E530BC">
        <w:rPr>
          <w:rStyle w:val="StyleUnderline"/>
        </w:rPr>
        <w:t>The policies and procedural interpretations of involvement</w:t>
      </w:r>
      <w:r w:rsidRPr="00E37F07">
        <w:rPr>
          <w:sz w:val="16"/>
        </w:rPr>
        <w:t xml:space="preserve"> and progress </w:t>
      </w:r>
      <w:r w:rsidRPr="00E530BC">
        <w:rPr>
          <w:rStyle w:val="StyleUnderline"/>
        </w:rPr>
        <w:t>in the general curriculum have</w:t>
      </w:r>
      <w:r>
        <w:rPr>
          <w:rStyle w:val="StyleUnderline"/>
        </w:rPr>
        <w:t xml:space="preserve"> </w:t>
      </w:r>
      <w:r w:rsidRPr="00E530BC">
        <w:rPr>
          <w:rStyle w:val="StyleUnderline"/>
        </w:rPr>
        <w:t>at their core a</w:t>
      </w:r>
      <w:r w:rsidRPr="00E37F07">
        <w:rPr>
          <w:sz w:val="16"/>
        </w:rPr>
        <w:t xml:space="preserve"> perhaps </w:t>
      </w:r>
      <w:r w:rsidRPr="00E530BC">
        <w:rPr>
          <w:rStyle w:val="StyleUnderline"/>
        </w:rPr>
        <w:t>unintended,</w:t>
      </w:r>
      <w:r w:rsidRPr="00E37F07">
        <w:rPr>
          <w:sz w:val="16"/>
        </w:rPr>
        <w:t xml:space="preserve"> but no less detrimental, </w:t>
      </w:r>
      <w:r w:rsidRPr="00E530BC">
        <w:rPr>
          <w:rStyle w:val="StyleUnderline"/>
        </w:rPr>
        <w:t>effect on students with significant disabilities.</w:t>
      </w:r>
      <w:r w:rsidRPr="00E37F07">
        <w:rPr>
          <w:sz w:val="16"/>
        </w:rPr>
        <w:t xml:space="preserve"> Certainly, the accountability shifts of both IDEA and ESEA have required schools to include all students, including students with significant disabilities, in their accountability systems; identify how the progress in the general curriculum will be measured for all students; and report assessment results for all subpopulations in schools,. </w:t>
      </w:r>
      <w:r w:rsidRPr="00E530BC">
        <w:rPr>
          <w:rStyle w:val="StyleUnderline"/>
        </w:rPr>
        <w:t>The concepts of involvement and progress in the general curriculum often are not well</w:t>
      </w:r>
      <w:r>
        <w:rPr>
          <w:rStyle w:val="StyleUnderline"/>
        </w:rPr>
        <w:t>-</w:t>
      </w:r>
      <w:r w:rsidRPr="00E530BC">
        <w:rPr>
          <w:rStyle w:val="StyleUnderline"/>
        </w:rPr>
        <w:t>understood</w:t>
      </w:r>
      <w:r>
        <w:rPr>
          <w:rStyle w:val="StyleUnderline"/>
        </w:rPr>
        <w:t xml:space="preserve"> </w:t>
      </w:r>
      <w:r w:rsidRPr="00E530BC">
        <w:rPr>
          <w:rStyle w:val="StyleUnderline"/>
        </w:rPr>
        <w:t>and few districts have developed clear policies or procedures for effective implementation</w:t>
      </w:r>
      <w:r>
        <w:rPr>
          <w:rStyle w:val="StyleUnderline"/>
        </w:rPr>
        <w:t xml:space="preserve"> </w:t>
      </w:r>
      <w:r w:rsidRPr="00E37F07">
        <w:rPr>
          <w:sz w:val="16"/>
        </w:rPr>
        <w:t>(</w:t>
      </w:r>
      <w:proofErr w:type="spellStart"/>
      <w:r w:rsidRPr="00E37F07">
        <w:rPr>
          <w:sz w:val="16"/>
        </w:rPr>
        <w:t>Agran</w:t>
      </w:r>
      <w:proofErr w:type="spellEnd"/>
      <w:r w:rsidRPr="00E37F07">
        <w:rPr>
          <w:sz w:val="16"/>
        </w:rPr>
        <w:t xml:space="preserve"> et al., 2002). This has led to specialized curriculum historically taught in segregated settings being emphasized in general education contexts, thus replacing some of the general curriculum, rather than education teams identifying and providing accommodations and modifications on general curriculum content within the general education contexts. For instance, </w:t>
      </w:r>
      <w:proofErr w:type="spellStart"/>
      <w:r w:rsidRPr="00E37F07">
        <w:rPr>
          <w:sz w:val="16"/>
        </w:rPr>
        <w:t>Wehmeyer</w:t>
      </w:r>
      <w:proofErr w:type="spellEnd"/>
      <w:r w:rsidRPr="00E37F07">
        <w:rPr>
          <w:sz w:val="16"/>
        </w:rPr>
        <w:t xml:space="preserve"> et al. (2003) reached this conclusion in a study in which students with intellectual disabilities were observed in both inclusive general education and segregated special education settings to determine their level of access to the general curriculum. These researchers found that </w:t>
      </w:r>
      <w:r w:rsidRPr="00E530BC">
        <w:rPr>
          <w:rStyle w:val="StyleUnderline"/>
        </w:rPr>
        <w:t>classroom setting and ecological variables substantially affected access, with students</w:t>
      </w:r>
      <w:r>
        <w:rPr>
          <w:rStyle w:val="StyleUnderline"/>
        </w:rPr>
        <w:t xml:space="preserve"> </w:t>
      </w:r>
      <w:r w:rsidRPr="00E530BC">
        <w:rPr>
          <w:rStyle w:val="StyleUnderline"/>
        </w:rPr>
        <w:t>in segregated settings engaged in tasks related to a state or district curriculum content standard at</w:t>
      </w:r>
      <w:r>
        <w:rPr>
          <w:rStyle w:val="StyleUnderline"/>
        </w:rPr>
        <w:t xml:space="preserve"> </w:t>
      </w:r>
      <w:r w:rsidRPr="00E530BC">
        <w:rPr>
          <w:rStyle w:val="StyleUnderline"/>
        </w:rPr>
        <w:t>approximately half the rate of matched sample peers in general educational settings</w:t>
      </w:r>
      <w:r w:rsidRPr="00E37F07">
        <w:rPr>
          <w:sz w:val="16"/>
        </w:rPr>
        <w:t>. These results have been supported by more recent research with similar findings, that inclusive general education settings lead to substantially greater levels of access to content (</w:t>
      </w:r>
      <w:proofErr w:type="spellStart"/>
      <w:r w:rsidRPr="00E37F07">
        <w:rPr>
          <w:sz w:val="16"/>
        </w:rPr>
        <w:t>Soukup</w:t>
      </w:r>
      <w:proofErr w:type="spellEnd"/>
      <w:r w:rsidRPr="00E37F07">
        <w:rPr>
          <w:sz w:val="16"/>
        </w:rPr>
        <w:t xml:space="preserve">, </w:t>
      </w:r>
      <w:proofErr w:type="spellStart"/>
      <w:r w:rsidRPr="00E37F07">
        <w:rPr>
          <w:sz w:val="16"/>
        </w:rPr>
        <w:t>Wehmeyer</w:t>
      </w:r>
      <w:proofErr w:type="spellEnd"/>
      <w:r w:rsidRPr="00E37F07">
        <w:rPr>
          <w:sz w:val="16"/>
        </w:rPr>
        <w:t xml:space="preserve">, </w:t>
      </w:r>
      <w:proofErr w:type="spellStart"/>
      <w:r w:rsidRPr="00E37F07">
        <w:rPr>
          <w:sz w:val="16"/>
        </w:rPr>
        <w:t>Bashinski</w:t>
      </w:r>
      <w:proofErr w:type="spellEnd"/>
      <w:r w:rsidRPr="00E37F07">
        <w:rPr>
          <w:sz w:val="16"/>
        </w:rPr>
        <w:t xml:space="preserve">, &amp; Bovaird, 2007). Unquestionably, </w:t>
      </w:r>
      <w:r w:rsidRPr="00E530BC">
        <w:rPr>
          <w:rStyle w:val="StyleUnderline"/>
        </w:rPr>
        <w:t>both general and special education policy substantially affect educational placements of</w:t>
      </w:r>
      <w:r>
        <w:rPr>
          <w:rStyle w:val="StyleUnderline"/>
        </w:rPr>
        <w:t xml:space="preserve"> </w:t>
      </w:r>
      <w:r w:rsidRPr="00E530BC">
        <w:rPr>
          <w:rStyle w:val="StyleUnderline"/>
        </w:rPr>
        <w:t>students with disabilities, as well as their involvement and progress in the general curriculum</w:t>
      </w:r>
      <w:r w:rsidRPr="00E37F07">
        <w:rPr>
          <w:sz w:val="16"/>
        </w:rPr>
        <w:t xml:space="preserve">. While states and district have made much progress in moving students with high incidence disabilities to general education settings and ensuring their participation in state and district large-N assessments, the same cannot yet be said related to students with significant disabilities. </w:t>
      </w:r>
      <w:r w:rsidRPr="00E530BC">
        <w:rPr>
          <w:rStyle w:val="StyleUnderline"/>
        </w:rPr>
        <w:t>Their stagnation in segregated special education</w:t>
      </w:r>
      <w:r>
        <w:rPr>
          <w:rStyle w:val="StyleUnderline"/>
        </w:rPr>
        <w:t xml:space="preserve"> </w:t>
      </w:r>
      <w:r w:rsidRPr="00E530BC">
        <w:rPr>
          <w:rStyle w:val="StyleUnderline"/>
        </w:rPr>
        <w:t>settings and</w:t>
      </w:r>
      <w:r w:rsidRPr="00E37F07">
        <w:rPr>
          <w:sz w:val="16"/>
        </w:rPr>
        <w:t xml:space="preserve">, thus, </w:t>
      </w:r>
      <w:r w:rsidRPr="008F3558">
        <w:rPr>
          <w:rStyle w:val="StyleUnderline"/>
        </w:rPr>
        <w:t>their lack of involvement in the general curriculum, in general education instructional</w:t>
      </w:r>
      <w:r>
        <w:rPr>
          <w:rStyle w:val="StyleUnderline"/>
        </w:rPr>
        <w:t xml:space="preserve"> </w:t>
      </w:r>
      <w:r w:rsidRPr="008F3558">
        <w:rPr>
          <w:rStyle w:val="StyleUnderline"/>
        </w:rPr>
        <w:t>activities, with general education contexts, and with general education grade-level peers has been perpetuated,</w:t>
      </w:r>
      <w:r>
        <w:rPr>
          <w:rStyle w:val="StyleUnderline"/>
        </w:rPr>
        <w:t xml:space="preserve"> </w:t>
      </w:r>
      <w:r w:rsidRPr="008F3558">
        <w:rPr>
          <w:rStyle w:val="StyleUnderline"/>
        </w:rPr>
        <w:t>despite changes in the laws and policies</w:t>
      </w:r>
      <w:r w:rsidRPr="00E37F07">
        <w:rPr>
          <w:sz w:val="16"/>
        </w:rPr>
        <w:t xml:space="preserve">. In addition, there remain numerous concerns about the potential for accurately reflecting the progress of students with significant disabilities with the use of alternate assessments that currently are being developed. </w:t>
      </w:r>
      <w:r w:rsidRPr="00E37F07">
        <w:rPr>
          <w:rStyle w:val="StyleUnderline"/>
        </w:rPr>
        <w:t>The overarching concern is that positive systemic and</w:t>
      </w:r>
      <w:r>
        <w:rPr>
          <w:rStyle w:val="StyleUnderline"/>
        </w:rPr>
        <w:t xml:space="preserve"> </w:t>
      </w:r>
      <w:r w:rsidRPr="00E37F07">
        <w:rPr>
          <w:rStyle w:val="StyleUnderline"/>
        </w:rPr>
        <w:t>sustainable educational reform will occur for both general and special education students, but without effectively</w:t>
      </w:r>
      <w:r>
        <w:rPr>
          <w:rStyle w:val="StyleUnderline"/>
        </w:rPr>
        <w:t xml:space="preserve"> </w:t>
      </w:r>
      <w:r w:rsidRPr="00E37F07">
        <w:rPr>
          <w:rStyle w:val="StyleUnderline"/>
        </w:rPr>
        <w:t>addressing the needs of students with significant disabilities</w:t>
      </w:r>
      <w:r w:rsidRPr="00E37F07">
        <w:rPr>
          <w:sz w:val="16"/>
        </w:rPr>
        <w:t xml:space="preserve">. We have described the rationale for these concerns and identified critical policy-driven issues related to placement, curriculum and instruction, and measuring progress, and suggest </w:t>
      </w:r>
      <w:r w:rsidRPr="00E37F07">
        <w:rPr>
          <w:rStyle w:val="StyleUnderline"/>
        </w:rPr>
        <w:t>these issues require rectification if students with significant disabilities</w:t>
      </w:r>
      <w:r>
        <w:rPr>
          <w:rStyle w:val="StyleUnderline"/>
        </w:rPr>
        <w:t xml:space="preserve"> </w:t>
      </w:r>
      <w:r w:rsidRPr="00E37F07">
        <w:rPr>
          <w:rStyle w:val="StyleUnderline"/>
        </w:rPr>
        <w:t>truly are to be seen as equal participants in our educational system, and are to receive services that are</w:t>
      </w:r>
      <w:r>
        <w:rPr>
          <w:rStyle w:val="StyleUnderline"/>
        </w:rPr>
        <w:t xml:space="preserve"> </w:t>
      </w:r>
      <w:r w:rsidRPr="00E37F07">
        <w:rPr>
          <w:rStyle w:val="StyleUnderline"/>
        </w:rPr>
        <w:t>both excellent and equitable to the services received by their grade-level peers</w:t>
      </w:r>
      <w:r w:rsidRPr="00E37F07">
        <w:rPr>
          <w:sz w:val="16"/>
        </w:rPr>
        <w:t>.</w:t>
      </w:r>
    </w:p>
    <w:p w:rsidR="00833446" w:rsidRDefault="00833446" w:rsidP="00833446">
      <w:pPr>
        <w:pStyle w:val="Heading3"/>
      </w:pPr>
      <w:r>
        <w:t>--</w:t>
      </w:r>
      <w:proofErr w:type="spellStart"/>
      <w:r>
        <w:t>xt</w:t>
      </w:r>
      <w:proofErr w:type="spellEnd"/>
      <w:r>
        <w:t xml:space="preserve"> Policy Focus Key</w:t>
      </w:r>
    </w:p>
    <w:p w:rsidR="00833446" w:rsidRDefault="00833446" w:rsidP="00833446">
      <w:pPr>
        <w:pStyle w:val="Heading4"/>
      </w:pPr>
      <w:r>
        <w:t xml:space="preserve">We must examine the way that policy impacts students with special needs, the alternative ensures a continuation of the </w:t>
      </w:r>
      <w:proofErr w:type="spellStart"/>
      <w:r>
        <w:t>squo</w:t>
      </w:r>
      <w:proofErr w:type="spellEnd"/>
    </w:p>
    <w:p w:rsidR="00833446" w:rsidRPr="006A72C4" w:rsidRDefault="00833446" w:rsidP="00833446">
      <w:proofErr w:type="spellStart"/>
      <w:r w:rsidRPr="006A72C4">
        <w:rPr>
          <w:rStyle w:val="Style13ptBold"/>
        </w:rPr>
        <w:t>Ryndak</w:t>
      </w:r>
      <w:proofErr w:type="spellEnd"/>
      <w:r w:rsidRPr="006A72C4">
        <w:rPr>
          <w:rStyle w:val="Style13ptBold"/>
        </w:rPr>
        <w:t xml:space="preserve"> 2014</w:t>
      </w:r>
      <w:r>
        <w:t xml:space="preserve"> - PhD, is professor and Chair of the Department of Specialized Education Services at the University of North Carolina at Greensboro</w:t>
      </w:r>
      <w:r>
        <w:br/>
        <w:t xml:space="preserve">Diane Lea, Debbie Taub, Cheryl M Jorgensen, Jean </w:t>
      </w:r>
      <w:proofErr w:type="spellStart"/>
      <w:r>
        <w:t>Gonsier-Gerdin</w:t>
      </w:r>
      <w:proofErr w:type="spellEnd"/>
      <w:r>
        <w:t xml:space="preserve">, Katrina Arndt, Janet Sauer, Andrea L </w:t>
      </w:r>
      <w:proofErr w:type="spellStart"/>
      <w:r>
        <w:t>Ruppar</w:t>
      </w:r>
      <w:proofErr w:type="spellEnd"/>
      <w:r>
        <w:t xml:space="preserve">, Mary E Morningstar, and Heather </w:t>
      </w:r>
      <w:proofErr w:type="spellStart"/>
      <w:r>
        <w:t>Allock</w:t>
      </w:r>
      <w:proofErr w:type="spellEnd"/>
      <w:r>
        <w:t>, "Policy and the Impact on Placement, Involvement, and Progress in General Education: Critical Issues That Require Rectification," Research and Practice for Persons with Severe Disabilities 2014, Vol. 39(1) 65–74</w:t>
      </w:r>
    </w:p>
    <w:p w:rsidR="00833446" w:rsidRDefault="00833446" w:rsidP="00833446">
      <w:r w:rsidRPr="00FE6FE8">
        <w:rPr>
          <w:sz w:val="16"/>
        </w:rPr>
        <w:t xml:space="preserve">With the passage of legislation that mandates involvement and progress in the general curriculum and contexts for all students, the field has been poised on the brink of enacting practices that are consistent with evidence-based practices resulting in equitable and excellent involvement and progress for students with significant disabilities. We contend, however, that </w:t>
      </w:r>
      <w:r w:rsidRPr="00FE6FE8">
        <w:rPr>
          <w:rStyle w:val="StyleUnderline"/>
        </w:rPr>
        <w:t>policy makers and administrators from both general and</w:t>
      </w:r>
      <w:r>
        <w:rPr>
          <w:rStyle w:val="StyleUnderline"/>
        </w:rPr>
        <w:t xml:space="preserve"> </w:t>
      </w:r>
      <w:r w:rsidRPr="00FE6FE8">
        <w:rPr>
          <w:rStyle w:val="StyleUnderline"/>
        </w:rPr>
        <w:t>special education have not sufficiently developed the policies and procedures to enact such practices in</w:t>
      </w:r>
      <w:r>
        <w:rPr>
          <w:rStyle w:val="StyleUnderline"/>
        </w:rPr>
        <w:t xml:space="preserve"> </w:t>
      </w:r>
      <w:r w:rsidRPr="00FE6FE8">
        <w:rPr>
          <w:rStyle w:val="StyleUnderline"/>
        </w:rPr>
        <w:t>classrooms across the country</w:t>
      </w:r>
      <w:r w:rsidRPr="00FE6FE8">
        <w:rPr>
          <w:sz w:val="16"/>
        </w:rPr>
        <w:t xml:space="preserve"> (</w:t>
      </w:r>
      <w:proofErr w:type="spellStart"/>
      <w:r w:rsidRPr="00FE6FE8">
        <w:rPr>
          <w:sz w:val="16"/>
        </w:rPr>
        <w:t>Sommerstein</w:t>
      </w:r>
      <w:proofErr w:type="spellEnd"/>
      <w:r w:rsidRPr="00FE6FE8">
        <w:rPr>
          <w:sz w:val="16"/>
        </w:rPr>
        <w:t xml:space="preserve">, </w:t>
      </w:r>
      <w:proofErr w:type="spellStart"/>
      <w:r w:rsidRPr="00FE6FE8">
        <w:rPr>
          <w:sz w:val="16"/>
        </w:rPr>
        <w:t>Sommerstein</w:t>
      </w:r>
      <w:proofErr w:type="spellEnd"/>
      <w:r w:rsidRPr="00FE6FE8">
        <w:rPr>
          <w:sz w:val="16"/>
        </w:rPr>
        <w:t xml:space="preserve">, </w:t>
      </w:r>
      <w:proofErr w:type="spellStart"/>
      <w:r w:rsidRPr="00FE6FE8">
        <w:rPr>
          <w:sz w:val="16"/>
        </w:rPr>
        <w:t>Sommerstein</w:t>
      </w:r>
      <w:proofErr w:type="spellEnd"/>
      <w:r w:rsidRPr="00FE6FE8">
        <w:rPr>
          <w:sz w:val="16"/>
        </w:rPr>
        <w:t xml:space="preserve">, </w:t>
      </w:r>
      <w:proofErr w:type="spellStart"/>
      <w:r w:rsidRPr="00FE6FE8">
        <w:rPr>
          <w:sz w:val="16"/>
        </w:rPr>
        <w:t>Sommerstein</w:t>
      </w:r>
      <w:proofErr w:type="spellEnd"/>
      <w:r w:rsidRPr="00FE6FE8">
        <w:rPr>
          <w:sz w:val="16"/>
        </w:rPr>
        <w:t xml:space="preserve">, &amp; </w:t>
      </w:r>
      <w:proofErr w:type="spellStart"/>
      <w:r w:rsidRPr="00FE6FE8">
        <w:rPr>
          <w:sz w:val="16"/>
        </w:rPr>
        <w:t>Ryndak</w:t>
      </w:r>
      <w:proofErr w:type="spellEnd"/>
      <w:r w:rsidRPr="00FE6FE8">
        <w:rPr>
          <w:sz w:val="16"/>
        </w:rPr>
        <w:t xml:space="preserve">, in press). In addition, </w:t>
      </w:r>
      <w:r w:rsidRPr="00FE6FE8">
        <w:rPr>
          <w:rStyle w:val="StyleUnderline"/>
        </w:rPr>
        <w:t>researchers have not adequately answered questions that compel change of current policies regarding what and where to teach students with significant disabilities</w:t>
      </w:r>
      <w:r w:rsidRPr="00FE6FE8">
        <w:rPr>
          <w:sz w:val="16"/>
        </w:rPr>
        <w:t xml:space="preserve">. </w:t>
      </w:r>
      <w:r w:rsidRPr="00FE6FE8">
        <w:rPr>
          <w:rStyle w:val="StyleUnderline"/>
        </w:rPr>
        <w:t>Educational systems inherently</w:t>
      </w:r>
      <w:r>
        <w:rPr>
          <w:rStyle w:val="StyleUnderline"/>
        </w:rPr>
        <w:t xml:space="preserve"> </w:t>
      </w:r>
      <w:r w:rsidRPr="00FE6FE8">
        <w:rPr>
          <w:rStyle w:val="StyleUnderline"/>
        </w:rPr>
        <w:t>resist systemic changes in services, leading to substantial lags between what we know about educating</w:t>
      </w:r>
      <w:r>
        <w:rPr>
          <w:rStyle w:val="StyleUnderline"/>
        </w:rPr>
        <w:t xml:space="preserve"> </w:t>
      </w:r>
      <w:r w:rsidRPr="00FE6FE8">
        <w:rPr>
          <w:rStyle w:val="StyleUnderline"/>
        </w:rPr>
        <w:t xml:space="preserve">students with significant disabilities in general education contexts and what occurs in practice </w:t>
      </w:r>
      <w:r w:rsidRPr="00FE6FE8">
        <w:rPr>
          <w:sz w:val="16"/>
        </w:rPr>
        <w:t>(</w:t>
      </w:r>
      <w:proofErr w:type="spellStart"/>
      <w:r w:rsidRPr="00FE6FE8">
        <w:rPr>
          <w:sz w:val="16"/>
        </w:rPr>
        <w:t>Ryndak</w:t>
      </w:r>
      <w:proofErr w:type="spellEnd"/>
      <w:r w:rsidRPr="00FE6FE8">
        <w:rPr>
          <w:sz w:val="16"/>
        </w:rPr>
        <w:t>, Jackson, &amp; White, 2013). Unfortunately, practitioners have not questioned the efficacy of services through rigorous methods that include collecting data on students’ long-term and post-school outcomes from instruction on both general curriculum content and ecologically based person-centered content, as well as general education and special education contexts. Such data would allow practitioners and policy makers to reflect on how services should change to achieve better academic and functional outcomes, which is necessary to identify and implement effective systems change efforts (</w:t>
      </w:r>
      <w:proofErr w:type="spellStart"/>
      <w:r w:rsidRPr="00FE6FE8">
        <w:rPr>
          <w:sz w:val="16"/>
        </w:rPr>
        <w:t>Ryndak</w:t>
      </w:r>
      <w:proofErr w:type="spellEnd"/>
      <w:r w:rsidRPr="00FE6FE8">
        <w:rPr>
          <w:sz w:val="16"/>
        </w:rPr>
        <w:t xml:space="preserve">, Reardon, Benner, &amp; Ward, 2007). Finally, </w:t>
      </w:r>
      <w:r w:rsidRPr="00FE6FE8">
        <w:rPr>
          <w:rStyle w:val="StyleUnderline"/>
        </w:rPr>
        <w:t>parents have struggled with ensuring equitable involvement and progress in the general curriculum and</w:t>
      </w:r>
      <w:r>
        <w:rPr>
          <w:rStyle w:val="StyleUnderline"/>
        </w:rPr>
        <w:t xml:space="preserve"> </w:t>
      </w:r>
      <w:r w:rsidRPr="00FE6FE8">
        <w:rPr>
          <w:rStyle w:val="StyleUnderline"/>
        </w:rPr>
        <w:t>contexts for their children with significant disabilities</w:t>
      </w:r>
      <w:r w:rsidRPr="00FE6FE8">
        <w:rPr>
          <w:sz w:val="16"/>
        </w:rPr>
        <w:t xml:space="preserve"> (</w:t>
      </w:r>
      <w:proofErr w:type="spellStart"/>
      <w:r w:rsidRPr="00FE6FE8">
        <w:rPr>
          <w:sz w:val="16"/>
        </w:rPr>
        <w:t>Obiakor</w:t>
      </w:r>
      <w:proofErr w:type="spellEnd"/>
      <w:r w:rsidRPr="00FE6FE8">
        <w:rPr>
          <w:sz w:val="16"/>
        </w:rPr>
        <w:t xml:space="preserve">, Harris, </w:t>
      </w:r>
      <w:proofErr w:type="spellStart"/>
      <w:r w:rsidRPr="00FE6FE8">
        <w:rPr>
          <w:sz w:val="16"/>
        </w:rPr>
        <w:t>Mutua</w:t>
      </w:r>
      <w:proofErr w:type="spellEnd"/>
      <w:r w:rsidRPr="00FE6FE8">
        <w:rPr>
          <w:sz w:val="16"/>
        </w:rPr>
        <w:t xml:space="preserve">, </w:t>
      </w:r>
      <w:proofErr w:type="spellStart"/>
      <w:r w:rsidRPr="00FE6FE8">
        <w:rPr>
          <w:sz w:val="16"/>
        </w:rPr>
        <w:t>Rotatori</w:t>
      </w:r>
      <w:proofErr w:type="spellEnd"/>
      <w:r w:rsidRPr="00FE6FE8">
        <w:rPr>
          <w:sz w:val="16"/>
        </w:rPr>
        <w:t xml:space="preserve">, &amp; </w:t>
      </w:r>
      <w:proofErr w:type="spellStart"/>
      <w:r w:rsidRPr="00FE6FE8">
        <w:rPr>
          <w:sz w:val="16"/>
        </w:rPr>
        <w:t>Algozzine</w:t>
      </w:r>
      <w:proofErr w:type="spellEnd"/>
      <w:r w:rsidRPr="00FE6FE8">
        <w:rPr>
          <w:sz w:val="16"/>
        </w:rPr>
        <w:t xml:space="preserve">, 2012). We contend that </w:t>
      </w:r>
      <w:r w:rsidRPr="00FE6FE8">
        <w:rPr>
          <w:rStyle w:val="StyleUnderline"/>
        </w:rPr>
        <w:t>the lack of attention to these issues</w:t>
      </w:r>
      <w:r w:rsidRPr="00FE6FE8">
        <w:rPr>
          <w:sz w:val="16"/>
        </w:rPr>
        <w:t>, both individually and collectively, h</w:t>
      </w:r>
      <w:r w:rsidRPr="00FE6FE8">
        <w:rPr>
          <w:rStyle w:val="StyleUnderline"/>
        </w:rPr>
        <w:t>as resulted</w:t>
      </w:r>
      <w:r>
        <w:rPr>
          <w:rStyle w:val="StyleUnderline"/>
        </w:rPr>
        <w:t xml:space="preserve"> </w:t>
      </w:r>
      <w:r w:rsidRPr="00FE6FE8">
        <w:rPr>
          <w:rStyle w:val="StyleUnderline"/>
        </w:rPr>
        <w:t>in the stagnation of students with significant disabilities in segregated special education settings, with little</w:t>
      </w:r>
      <w:r>
        <w:rPr>
          <w:rStyle w:val="StyleUnderline"/>
        </w:rPr>
        <w:t xml:space="preserve"> </w:t>
      </w:r>
      <w:r w:rsidRPr="00FE6FE8">
        <w:rPr>
          <w:rStyle w:val="StyleUnderline"/>
        </w:rPr>
        <w:t xml:space="preserve">progress toward their inclusion in the full range of general education contexts </w:t>
      </w:r>
      <w:r w:rsidRPr="00FE6FE8">
        <w:rPr>
          <w:sz w:val="16"/>
        </w:rPr>
        <w:t>(e.g., classrooms, lunch rooms, field trips, clubs) with their grade-level classmates, and little progress toward both sets of students engaged together in instruction in general education content.</w:t>
      </w:r>
    </w:p>
    <w:p w:rsidR="00833446" w:rsidRDefault="00833446" w:rsidP="00833446">
      <w:pPr>
        <w:pStyle w:val="Heading3"/>
      </w:pPr>
      <w:r>
        <w:t>2AC - Pragmatism</w:t>
      </w:r>
    </w:p>
    <w:p w:rsidR="00833446" w:rsidRDefault="00833446" w:rsidP="00833446">
      <w:pPr>
        <w:pStyle w:val="Heading4"/>
      </w:pPr>
      <w:r>
        <w:t>Legal action is key to solve concrete solutions disabled people face because law promotes social change and inclusion.</w:t>
      </w:r>
    </w:p>
    <w:p w:rsidR="00833446" w:rsidRPr="00087CE3" w:rsidRDefault="00833446" w:rsidP="00833446">
      <w:pPr>
        <w:rPr>
          <w:rStyle w:val="Style13ptBold"/>
        </w:rPr>
      </w:pPr>
      <w:proofErr w:type="spellStart"/>
      <w:r>
        <w:rPr>
          <w:rStyle w:val="Style13ptBold"/>
        </w:rPr>
        <w:t>Kanter</w:t>
      </w:r>
      <w:proofErr w:type="spellEnd"/>
      <w:r>
        <w:rPr>
          <w:rStyle w:val="Style13ptBold"/>
        </w:rPr>
        <w:t xml:space="preserve"> 11 </w:t>
      </w:r>
      <w:r w:rsidRPr="00502D6D">
        <w:rPr>
          <w:rStyle w:val="Style13ptBold"/>
          <w:sz w:val="20"/>
          <w:szCs w:val="20"/>
        </w:rPr>
        <w:t>–</w:t>
      </w:r>
      <w:r w:rsidRPr="00502D6D">
        <w:rPr>
          <w:rStyle w:val="Style13ptBold"/>
          <w:b w:val="0"/>
          <w:sz w:val="20"/>
          <w:szCs w:val="20"/>
        </w:rPr>
        <w:t xml:space="preserve"> Arlene S. is the founder and Director of the College of Law’s Disability Law and Policy Program (DLPP) at Syracuse College of Law (“THE LAW: WHAT’S DISABILITY STUDIES GOT TO DO WITH IT OR AN INTRODUCTION TO DISABILITY LEGAL STUDIES”, pg. 446-9, COLUMBIA HUMAN RIGHTS LAW REVIEW, </w:t>
      </w:r>
      <w:hyperlink r:id="rId14" w:history="1">
        <w:r w:rsidRPr="00502D6D">
          <w:rPr>
            <w:rStyle w:val="Hyperlink"/>
            <w:sz w:val="20"/>
            <w:szCs w:val="20"/>
          </w:rPr>
          <w:t>https://poseidon01.ssrn.com/delivery.php?ID=184115094024082078126090113106091006016013058034039018119003020101067017105011020066026061025058112027043064119083086102066001114006023055020020102083125013070077056078048092110065113069000097099121118067113082067064074091018102107005115095001106004&amp;EXT=pdf</w:t>
        </w:r>
      </w:hyperlink>
      <w:r>
        <w:rPr>
          <w:rStyle w:val="Style13ptBold"/>
        </w:rPr>
        <w:t>)</w:t>
      </w:r>
    </w:p>
    <w:p w:rsidR="00833446" w:rsidRDefault="00833446" w:rsidP="00833446">
      <w:pPr>
        <w:rPr>
          <w:sz w:val="16"/>
        </w:rPr>
      </w:pPr>
      <w:r w:rsidRPr="00087CE3">
        <w:rPr>
          <w:sz w:val="16"/>
        </w:rPr>
        <w:t xml:space="preserve">As I will explain below, to the extent that </w:t>
      </w:r>
      <w:r w:rsidRPr="00087CE3">
        <w:rPr>
          <w:rStyle w:val="StyleUnderline"/>
        </w:rPr>
        <w:t>law reflects society’s norms, values, and intolerances, it is an arbiter of power relations.</w:t>
      </w:r>
      <w:r w:rsidRPr="00087CE3">
        <w:rPr>
          <w:sz w:val="16"/>
        </w:rPr>
        <w:t xml:space="preserve"> As such, law itself can become part of the problem by creating social barriers and classifications based on competency or abilities. As Jones and Marks have observed, “even very many well intentioned protective laws may undermine the rights of people with disabilities.”141 However, they also admit that “</w:t>
      </w:r>
      <w:r w:rsidRPr="00087CE3">
        <w:rPr>
          <w:rStyle w:val="StyleUnderline"/>
        </w:rPr>
        <w:t xml:space="preserve">law is an important tool </w:t>
      </w:r>
      <w:r w:rsidRPr="00087CE3">
        <w:rPr>
          <w:sz w:val="16"/>
        </w:rPr>
        <w:t xml:space="preserve">. . . </w:t>
      </w:r>
      <w:r w:rsidRPr="00087CE3">
        <w:rPr>
          <w:rStyle w:val="StyleUnderline"/>
        </w:rPr>
        <w:t>[whose] educative and symbolic value is not to be underestimated</w:t>
      </w:r>
      <w:r w:rsidRPr="00087CE3">
        <w:rPr>
          <w:sz w:val="16"/>
        </w:rPr>
        <w:t xml:space="preserve">.” 142 Just as </w:t>
      </w:r>
      <w:r w:rsidRPr="00087CE3">
        <w:rPr>
          <w:rStyle w:val="StyleUnderline"/>
        </w:rPr>
        <w:t>the law</w:t>
      </w:r>
      <w:r w:rsidRPr="00087CE3">
        <w:rPr>
          <w:sz w:val="16"/>
        </w:rPr>
        <w:t xml:space="preserve"> can create social barriers by creating classifications based on competency or abilities, therefore, it </w:t>
      </w:r>
      <w:r w:rsidRPr="00087CE3">
        <w:rPr>
          <w:rStyle w:val="StyleUnderline"/>
        </w:rPr>
        <w:t>can also foster equality and inclusion</w:t>
      </w:r>
      <w:r w:rsidRPr="00087CE3">
        <w:rPr>
          <w:sz w:val="16"/>
        </w:rPr>
        <w:t xml:space="preserve">. Stated differently, </w:t>
      </w:r>
      <w:r w:rsidRPr="00087CE3">
        <w:rPr>
          <w:rStyle w:val="StyleUnderline"/>
        </w:rPr>
        <w:t>law can be a source of social change through the enactment and implementation of progressive laws and inclusive interpretation of laws by attorneys and the courts. The law can inform Disability Studies with respect to how a given society includes or excludes people with disabilities. It provides a framework with which to assess the infusion of Disability Studies values into society. Disability Legal Studies provides the tools to explore such regenerative aspects of law.</w:t>
      </w:r>
      <w:r w:rsidRPr="00087CE3">
        <w:rPr>
          <w:sz w:val="16"/>
        </w:rPr>
        <w:t xml:space="preserve">143 Within law, </w:t>
      </w:r>
      <w:r w:rsidRPr="00087CE3">
        <w:rPr>
          <w:rStyle w:val="StyleUnderline"/>
        </w:rPr>
        <w:t>a shift has already begun to take place from</w:t>
      </w:r>
      <w:r w:rsidRPr="00087CE3">
        <w:rPr>
          <w:sz w:val="16"/>
        </w:rPr>
        <w:t xml:space="preserve"> the traditional doctrinal analysis </w:t>
      </w:r>
      <w:r w:rsidRPr="00087CE3">
        <w:rPr>
          <w:rStyle w:val="StyleUnderline"/>
        </w:rPr>
        <w:t>forbidding discrimination on the basis of disability</w:t>
      </w:r>
      <w:r w:rsidRPr="00087CE3">
        <w:rPr>
          <w:sz w:val="16"/>
        </w:rPr>
        <w:t xml:space="preserve"> 144 to a more textured understanding of people with disabilities as a minority group and growing attention to disability as a social construct. 145 But even within this understanding, law is perceived as an instrument for social change through established mechanisms, such as statutes and court decisions. The law is still viewed “as separate from society, [and] as a reflection of social relations and cultural meanings.” 146 A Disability Legal Studies analysis would ask instead how and in what ways the law has participated in forming those hierarchies and how they are related to the overall exclusion and marginalization of people with disabilities.147 If we were then to examine law through the Disability Legal Studies lens, the emphasis would be on how people with disabilities are excluded within the law, and how inclusion may occur. As Colin Barnes, </w:t>
      </w:r>
      <w:proofErr w:type="spellStart"/>
      <w:r w:rsidRPr="00087CE3">
        <w:rPr>
          <w:sz w:val="16"/>
        </w:rPr>
        <w:t>Geof</w:t>
      </w:r>
      <w:proofErr w:type="spellEnd"/>
      <w:r w:rsidRPr="00087CE3">
        <w:rPr>
          <w:sz w:val="16"/>
        </w:rPr>
        <w:t xml:space="preserve"> Mercer, and Tom Shakespeare have written, While the voice of disabled people and their organizations is being heard more often and more distinctly than before, the struggle for improved socioeconomic conditions, for a better quality of life, and for citizenship rights generally goes on. Recent policy debates ranging across welfare benefits and services to abortion and euthanasia have increased the suspicions of disabled people. There is generally a much-changed political rhetoric responding to disabled people’s claims, and in considering research evidence and making policy proposals, but promised improvements all too often fail to materialize.148 From a practical view, it is true. </w:t>
      </w:r>
      <w:r w:rsidRPr="00087CE3">
        <w:rPr>
          <w:rStyle w:val="StyleUnderline"/>
        </w:rPr>
        <w:t>Most people with disabilities believe that things have not gotten much better for them over the past twenty years</w:t>
      </w:r>
      <w:r w:rsidRPr="00087CE3">
        <w:rPr>
          <w:sz w:val="16"/>
        </w:rPr>
        <w:t xml:space="preserve">, even with the enactment of the Americans with Disabilities Act.149 Why is this so? What are the root causes of these problems? And most importantly, </w:t>
      </w:r>
      <w:r w:rsidRPr="00087CE3">
        <w:rPr>
          <w:rStyle w:val="StyleUnderline"/>
        </w:rPr>
        <w:t>what can we do to alter this situation?</w:t>
      </w:r>
      <w:r w:rsidRPr="00087CE3">
        <w:rPr>
          <w:sz w:val="16"/>
        </w:rPr>
        <w:t xml:space="preserve"> Such </w:t>
      </w:r>
      <w:r w:rsidRPr="00087CE3">
        <w:rPr>
          <w:rStyle w:val="StyleUnderline"/>
        </w:rPr>
        <w:t>questions are (or should be) central to the study of law.</w:t>
      </w:r>
      <w:r w:rsidRPr="00087CE3">
        <w:rPr>
          <w:sz w:val="16"/>
        </w:rPr>
        <w:t xml:space="preserve"> These questions raise important issues regarding the concepts of justice, power, equality, and liberty. Indeed, </w:t>
      </w:r>
      <w:r w:rsidRPr="00087CE3">
        <w:rPr>
          <w:rStyle w:val="StyleUnderline"/>
        </w:rPr>
        <w:t>the relationship between citizen and society is essential to legal education</w:t>
      </w:r>
      <w:r w:rsidRPr="00087CE3">
        <w:rPr>
          <w:sz w:val="16"/>
        </w:rPr>
        <w:t xml:space="preserve">, although different law schools give priority to different subject areas or skills. In most law schools today, there are some courses that focus primarily on law that affects the daily lives of all people, including criminal and civil law. Other courses focus on fundamental legal concepts and principles, including those principles’ origin and contemporary influence and impact. Other courses stress the application of legal principles and skills in specific real-world situations, through clinics and externship experiences. And other law schools highlight courses that examine law as an institution that provides its government with power and authority that can bring both order and the risk of abuse, as well as the relationship between power and law, as was the focus of the critical legal studies movement. In so doing, </w:t>
      </w:r>
      <w:r w:rsidRPr="00087CE3">
        <w:rPr>
          <w:rStyle w:val="StyleUnderline"/>
        </w:rPr>
        <w:t>legal education has the potential to understand how law</w:t>
      </w:r>
      <w:r w:rsidRPr="00087CE3">
        <w:rPr>
          <w:sz w:val="16"/>
        </w:rPr>
        <w:t xml:space="preserve"> can and </w:t>
      </w:r>
      <w:r w:rsidRPr="00087CE3">
        <w:rPr>
          <w:rStyle w:val="StyleUnderline"/>
        </w:rPr>
        <w:t>has promoted inclusion</w:t>
      </w:r>
      <w:r w:rsidRPr="00087CE3">
        <w:rPr>
          <w:sz w:val="16"/>
        </w:rPr>
        <w:t xml:space="preserve">, social cohesion, </w:t>
      </w:r>
      <w:r w:rsidRPr="00087CE3">
        <w:rPr>
          <w:rStyle w:val="StyleUnderline"/>
        </w:rPr>
        <w:t>and social change.</w:t>
      </w:r>
      <w:r w:rsidRPr="00087CE3">
        <w:rPr>
          <w:sz w:val="16"/>
        </w:rPr>
        <w:t xml:space="preserve"> Disability Legal Studies is relevant to our law school curriculum and the legal academy in general for the following reasons.150</w:t>
      </w:r>
    </w:p>
    <w:p w:rsidR="00833446" w:rsidRDefault="00833446" w:rsidP="00833446">
      <w:pPr>
        <w:pStyle w:val="Heading3"/>
      </w:pPr>
      <w:r>
        <w:t>2AC - Perm</w:t>
      </w:r>
    </w:p>
    <w:p w:rsidR="00833446" w:rsidRDefault="00833446" w:rsidP="00833446">
      <w:pPr>
        <w:pStyle w:val="Heading4"/>
      </w:pPr>
      <w:r>
        <w:t>Only the perm, with its combination of critique and policy changes, solves effectively.</w:t>
      </w:r>
    </w:p>
    <w:p w:rsidR="00833446" w:rsidRPr="00D81236" w:rsidRDefault="00833446" w:rsidP="00833446">
      <w:r w:rsidRPr="00D81236">
        <w:rPr>
          <w:rStyle w:val="Style13ptBold"/>
        </w:rPr>
        <w:t>Giroux 15</w:t>
      </w:r>
      <w:r>
        <w:t xml:space="preserve"> </w:t>
      </w:r>
      <w:r w:rsidRPr="00D81236">
        <w:t xml:space="preserve">– Chair for Scholarship in the Public Interest at McMaster University, former Director of the Waterbury Forum in Education and Cultural Studies (Henry A., “Orwell, Huxley and the Scourge of the Surveillance State”, 6/30, </w:t>
      </w:r>
      <w:proofErr w:type="spellStart"/>
      <w:r w:rsidRPr="00D81236">
        <w:t>truthout</w:t>
      </w:r>
      <w:proofErr w:type="spellEnd"/>
      <w:r w:rsidRPr="00D81236">
        <w:t>, http://www.truth-out.org/news/item/31639-orwell-huxley-and-the-scourge-of-the-surveillance-state)</w:t>
      </w:r>
    </w:p>
    <w:p w:rsidR="00833446" w:rsidRPr="00D81236" w:rsidRDefault="00833446" w:rsidP="00833446">
      <w:pPr>
        <w:rPr>
          <w:sz w:val="16"/>
        </w:rPr>
      </w:pPr>
      <w:r w:rsidRPr="00D81236">
        <w:rPr>
          <w:rStyle w:val="StyleUnderline"/>
        </w:rPr>
        <w:t>Developing a Language of Critique and Possibility</w:t>
      </w:r>
      <w:r w:rsidRPr="00D81236">
        <w:rPr>
          <w:sz w:val="16"/>
        </w:rPr>
        <w:t xml:space="preserve"> Lastly, </w:t>
      </w:r>
      <w:r w:rsidRPr="00D81236">
        <w:rPr>
          <w:rStyle w:val="StyleUnderline"/>
        </w:rPr>
        <w:t>any attempt to make clear the massive misery, exploitation, corruption and suffering</w:t>
      </w:r>
      <w:r w:rsidRPr="00D81236">
        <w:rPr>
          <w:sz w:val="16"/>
        </w:rPr>
        <w:t xml:space="preserve"> produced under casino capitalism </w:t>
      </w:r>
      <w:r w:rsidRPr="00D81236">
        <w:rPr>
          <w:rStyle w:val="StyleUnderline"/>
        </w:rPr>
        <w:t>must develop both a language of critique and possibility. It is not enough to simply register what is wrong with US society; it is also crucial to do so in a way that enables people to recognize themselves in such discourses in a way that both inspires them to be more critical and energizes them to do something about it.</w:t>
      </w:r>
      <w:r w:rsidRPr="00D81236">
        <w:rPr>
          <w:sz w:val="16"/>
        </w:rPr>
        <w:t xml:space="preserve"> In part, </w:t>
      </w:r>
      <w:r w:rsidRPr="00D81236">
        <w:rPr>
          <w:rStyle w:val="StyleUnderline"/>
        </w:rPr>
        <w:t>this suggests a politics that is capable of developing a comprehensive vision of analysis and struggle that "does not rely on single issues."</w:t>
      </w:r>
      <w:r w:rsidRPr="00D81236">
        <w:rPr>
          <w:sz w:val="16"/>
        </w:rPr>
        <w:t xml:space="preserve"> (47) It is only through an understanding of the wider relations and connections of power that the US public can overcome uninformed practice, isolated struggles and modes of singular politics that become insular and self-sabotaging. This means </w:t>
      </w:r>
      <w:r w:rsidRPr="00D81236">
        <w:rPr>
          <w:rStyle w:val="StyleUnderline"/>
        </w:rPr>
        <w:t>developing modes of analyses capable of connecting isolated and individualized issues to more generalized notions of freedom, and developing theoretical frameworks in which it becomes possible to translate private troubles into broader more systemic conditions</w:t>
      </w:r>
      <w:r w:rsidRPr="00D81236">
        <w:rPr>
          <w:sz w:val="16"/>
        </w:rPr>
        <w:t xml:space="preserve">. In short, this suggests developing modes of analyses that connect the dots historically and relationally. It also means </w:t>
      </w:r>
      <w:r w:rsidRPr="00D81236">
        <w:rPr>
          <w:rStyle w:val="StyleUnderline"/>
        </w:rPr>
        <w:t>developing a more comprehensive vision of politics and change.</w:t>
      </w:r>
      <w:r w:rsidRPr="00D81236">
        <w:rPr>
          <w:sz w:val="16"/>
        </w:rPr>
        <w:t xml:space="preserve"> The key here is the notion of translation, that is, the need to translate private troubles into broader public issues and understand how systemic modes of analyses can be helpful in connecting a range of issues so as to be able to build a united front in the call for a radical democracy. This is a particularly important goal given that the fragmentation of the left has been partly responsible for its inability to develop a wide political and ideological umbrella to address a range of problems extending from extreme poverty, the assault on the environment, the emergence of the permanent warfare state, the rollback of voting rights, the assault on public servants, women's rights and social provisions, and a range of other issues that erode the possibilities for a radical democracy. The dominating mechanisms of casino capitalism in both their symbolic and material registers reach deep into every aspect of US society. Any successful movement for a radical democracy will have to wage a struggle against the totality of this new mode of authoritarianism rather than isolating and attacking specific elements of its anti-democratic ethos. </w:t>
      </w:r>
    </w:p>
    <w:p w:rsidR="00833446" w:rsidRDefault="00833446" w:rsidP="00833446">
      <w:pPr>
        <w:pStyle w:val="Heading3"/>
      </w:pPr>
      <w:r>
        <w:t>2AC – Perm Double-Bind</w:t>
      </w:r>
    </w:p>
    <w:p w:rsidR="00833446" w:rsidRPr="00BE04ED" w:rsidRDefault="00833446" w:rsidP="00833446">
      <w:pPr>
        <w:pStyle w:val="Heading4"/>
      </w:pPr>
      <w:r>
        <w:t>The alternative makes assumptions about disabled bodies too, if they can overcome this then so can the perm</w:t>
      </w:r>
    </w:p>
    <w:p w:rsidR="00833446" w:rsidRPr="000509BB" w:rsidRDefault="00833446" w:rsidP="00833446">
      <w:pPr>
        <w:rPr>
          <w:sz w:val="20"/>
          <w:szCs w:val="20"/>
        </w:rPr>
      </w:pPr>
      <w:proofErr w:type="spellStart"/>
      <w:r>
        <w:rPr>
          <w:rStyle w:val="Style13ptBold"/>
        </w:rPr>
        <w:t>Liasidou</w:t>
      </w:r>
      <w:proofErr w:type="spellEnd"/>
      <w:r>
        <w:rPr>
          <w:rStyle w:val="Style13ptBold"/>
        </w:rPr>
        <w:t xml:space="preserve">, Ph.D., 8 – </w:t>
      </w:r>
      <w:r w:rsidRPr="00644CD9">
        <w:rPr>
          <w:sz w:val="20"/>
          <w:szCs w:val="20"/>
        </w:rPr>
        <w:t xml:space="preserve">Anastasia obtained PhD in Special and Inclusive Education from the UCL Institute of Education, University College London and is a Senior Lecturer at St Mary’s University in London (“Critical discourse analysis and inclusive educational policies: the power to exclude”, </w:t>
      </w:r>
      <w:r>
        <w:rPr>
          <w:sz w:val="20"/>
          <w:szCs w:val="20"/>
        </w:rPr>
        <w:t xml:space="preserve">September, </w:t>
      </w:r>
      <w:proofErr w:type="spellStart"/>
      <w:r w:rsidRPr="00644CD9">
        <w:rPr>
          <w:sz w:val="20"/>
          <w:szCs w:val="20"/>
        </w:rPr>
        <w:t>pg</w:t>
      </w:r>
      <w:proofErr w:type="spellEnd"/>
      <w:r w:rsidRPr="00644CD9">
        <w:rPr>
          <w:sz w:val="20"/>
          <w:szCs w:val="20"/>
        </w:rPr>
        <w:t xml:space="preserve"> 485-9, Journal of Education Policy, via Taylor and Francis)</w:t>
      </w:r>
    </w:p>
    <w:p w:rsidR="00833446" w:rsidRPr="000509BB" w:rsidRDefault="00833446" w:rsidP="00833446">
      <w:pPr>
        <w:rPr>
          <w:sz w:val="16"/>
        </w:rPr>
      </w:pPr>
      <w:r w:rsidRPr="005E3BC8">
        <w:rPr>
          <w:rStyle w:val="StyleUnderline"/>
        </w:rPr>
        <w:t>CDA has been criticized</w:t>
      </w:r>
      <w:r w:rsidRPr="000509BB">
        <w:rPr>
          <w:sz w:val="16"/>
        </w:rPr>
        <w:t xml:space="preserve"> on the grounds </w:t>
      </w:r>
      <w:r w:rsidRPr="005E3BC8">
        <w:rPr>
          <w:rStyle w:val="StyleUnderline"/>
        </w:rPr>
        <w:t>that it is merely an ideological interpretation and not an analysis. An ideological representation entails a biased and a selective interpretation of the text</w:t>
      </w:r>
      <w:r w:rsidRPr="000509BB">
        <w:rPr>
          <w:sz w:val="16"/>
        </w:rPr>
        <w:t xml:space="preserve"> (Widdowson 1995; Wood and Kroger 2000). Similarly, </w:t>
      </w:r>
      <w:proofErr w:type="spellStart"/>
      <w:r w:rsidRPr="000509BB">
        <w:rPr>
          <w:sz w:val="16"/>
        </w:rPr>
        <w:t>Schegloff</w:t>
      </w:r>
      <w:proofErr w:type="spellEnd"/>
      <w:r w:rsidRPr="000509BB">
        <w:rPr>
          <w:sz w:val="16"/>
        </w:rPr>
        <w:t xml:space="preserve"> (1999) argues that CDA entails a potential and actual bias in the sense that the analysis is pre-determined by the researcher (cited in </w:t>
      </w:r>
      <w:proofErr w:type="spellStart"/>
      <w:r w:rsidRPr="000509BB">
        <w:rPr>
          <w:sz w:val="16"/>
        </w:rPr>
        <w:t>Wetherell</w:t>
      </w:r>
      <w:proofErr w:type="spellEnd"/>
      <w:r w:rsidRPr="000509BB">
        <w:rPr>
          <w:sz w:val="16"/>
        </w:rPr>
        <w:t xml:space="preserve"> 2001). What is argued, therefore, is that the researcher’s assumptive world is not only intertwined with the authors’ assumptive words, but it also supersedes their assumptive worlds, thus leading to a biased version of ‘discursive reality’. Thus, </w:t>
      </w:r>
      <w:r w:rsidRPr="000509BB">
        <w:rPr>
          <w:rStyle w:val="StyleUnderline"/>
        </w:rPr>
        <w:t>whilst using CDA to tease out the subtle interrelations of power, the researcher is, paradoxically, implicated in exactly the same power relations that she aims to disentangle, and thereby becomes an integral constituent of power.</w:t>
      </w:r>
      <w:r w:rsidRPr="000509BB">
        <w:rPr>
          <w:sz w:val="16"/>
        </w:rPr>
        <w:t xml:space="preserve"> As Blommaert (2005, 33) puts it so succinctly, ‘Less than careful CDA may thus result, not in an empowered subject speaking with a more audible voice, but a stentorian analyst voice’. (1996), in </w:t>
      </w:r>
      <w:proofErr w:type="spellStart"/>
      <w:r w:rsidRPr="000509BB">
        <w:rPr>
          <w:sz w:val="16"/>
        </w:rPr>
        <w:t>defence</w:t>
      </w:r>
      <w:proofErr w:type="spellEnd"/>
      <w:r w:rsidRPr="000509BB">
        <w:rPr>
          <w:sz w:val="16"/>
        </w:rPr>
        <w:t xml:space="preserve"> to CDA, focuses on the fact that the principles upon which CDA is predicated call for multiple interpretations, and similarly, Kress (1990, 85) points out that the advocators of CDA acknowledge and consider unproblematic the fact that it is a political and, therefore, a ‘potentially contentious activity’. Simultaneously, CDA is an approach that unambiguously states its orientation and commitment (Kress 1990; </w:t>
      </w:r>
      <w:proofErr w:type="spellStart"/>
      <w:r w:rsidRPr="000509BB">
        <w:rPr>
          <w:sz w:val="16"/>
        </w:rPr>
        <w:t>Titscher</w:t>
      </w:r>
      <w:proofErr w:type="spellEnd"/>
      <w:r w:rsidRPr="000509BB">
        <w:rPr>
          <w:sz w:val="16"/>
        </w:rPr>
        <w:t xml:space="preserve"> et al. 2000). To quote Van Dijk (1993, 252): Unlike other discourse analysts, critical discourse analysts (should) take an explicit socio-political stance: they spell out their point of view, perspective, principles and aims, both within their discipline and within society at large. Although not in each stage of theory formation and analysis, their work is admittedly and ultimately political … Their perspective, if possible, is that of those who suffer most from dominance and inequality. (Cited in </w:t>
      </w:r>
      <w:proofErr w:type="spellStart"/>
      <w:r w:rsidRPr="000509BB">
        <w:rPr>
          <w:sz w:val="16"/>
        </w:rPr>
        <w:t>Wetherell</w:t>
      </w:r>
      <w:proofErr w:type="spellEnd"/>
      <w:r w:rsidRPr="000509BB">
        <w:rPr>
          <w:sz w:val="16"/>
        </w:rPr>
        <w:t xml:space="preserve"> 2001, 383) Obviously, CDA is in alignment, if not emanating from, a post-modern approach, whereby reality is contextual and historically specific: therefore subjected to contingent and not absolutistic interpretations. Social reality is thus regarded as being incessantly reformulated by the elements of the ‘ideological complex’, which ‘come to be structured and restructured, articulated and rearticulated, in processes of ideological struggle’ (Gramsci 1971, 195, cited in Fairclough 1999, 76). In much the same way, Bowe, Ball, and Gold (1992, 22) contend that ‘practitioners do not confront policy texts as passive readers, they come with histories, with experience, with values and purposes of their own, they have vested interests in the meaning of policy …’. Failure to recognize these elements in relation to CDA might constitute an important source of bias, which therefore needs to be critically examined. It should be noted, however, that despite the fact that the conventional modes of validity and reliability cannot be applied in CDA, </w:t>
      </w:r>
      <w:r w:rsidRPr="000509BB">
        <w:rPr>
          <w:rStyle w:val="StyleUnderline"/>
        </w:rPr>
        <w:t xml:space="preserve">there are other issues that the analysts should bear in mind in order to ensure the warrantability and soundness of their </w:t>
      </w:r>
      <w:proofErr w:type="spellStart"/>
      <w:r w:rsidRPr="000509BB">
        <w:rPr>
          <w:rStyle w:val="StyleUnderline"/>
        </w:rPr>
        <w:t>endeavour</w:t>
      </w:r>
      <w:proofErr w:type="spellEnd"/>
      <w:r w:rsidRPr="000509BB">
        <w:rPr>
          <w:sz w:val="16"/>
        </w:rPr>
        <w:t xml:space="preserve">. In other words, </w:t>
      </w:r>
      <w:r w:rsidRPr="000509BB">
        <w:rPr>
          <w:rStyle w:val="StyleUnderline"/>
        </w:rPr>
        <w:t xml:space="preserve">it is important ‘to show that our analyses are “sound; </w:t>
      </w:r>
      <w:proofErr w:type="spellStart"/>
      <w:r w:rsidRPr="000509BB">
        <w:rPr>
          <w:rStyle w:val="StyleUnderline"/>
        </w:rPr>
        <w:t>well grounded</w:t>
      </w:r>
      <w:proofErr w:type="spellEnd"/>
      <w:r w:rsidRPr="000509BB">
        <w:rPr>
          <w:rStyle w:val="StyleUnderline"/>
        </w:rPr>
        <w:t xml:space="preserve"> on principles or evidence; able to withstand criticism and objection”</w:t>
      </w:r>
      <w:r w:rsidRPr="000509BB">
        <w:rPr>
          <w:sz w:val="16"/>
        </w:rPr>
        <w:t xml:space="preserve">, effective, effectual, cogent’ (Webster’s 1976, 217, cited in Wood and Kroger 2000, 167) and that they are ‘based on evidence that can be supported; acceptable, convincing’, ‘properly derived from accepted premises by the rules of logic’ (Funk and Wagnall 1974, 1479, cited in Wood and Kroger 2000, 167). </w:t>
      </w:r>
      <w:r w:rsidRPr="000509BB">
        <w:rPr>
          <w:rStyle w:val="StyleUnderline"/>
        </w:rPr>
        <w:t>Thus the researchers build their arguments in coherent and clarified ways, thus explicating how the discourse is constituted and ‘how discursive structure produces effects and functions’</w:t>
      </w:r>
      <w:r w:rsidRPr="000509BB">
        <w:rPr>
          <w:sz w:val="16"/>
        </w:rPr>
        <w:t xml:space="preserve"> (Wood and Kroger 2000, 172), particularly in previously unnoticed and nebulous situations.</w:t>
      </w:r>
    </w:p>
    <w:p w:rsidR="00833446" w:rsidRDefault="00833446" w:rsidP="00833446">
      <w:pPr>
        <w:pStyle w:val="Heading3"/>
      </w:pPr>
      <w:r>
        <w:t>2AC - AT: Link</w:t>
      </w:r>
    </w:p>
    <w:p w:rsidR="00833446" w:rsidRDefault="00833446" w:rsidP="00833446">
      <w:pPr>
        <w:pStyle w:val="Heading4"/>
      </w:pPr>
      <w:r>
        <w:t>Focus on how policy does not necessitate exclusion evidenced  by our approach to disability studies which embraces difference in hopes to better understand disability as a social construct</w:t>
      </w:r>
    </w:p>
    <w:p w:rsidR="00833446" w:rsidRPr="00CA5D7A" w:rsidRDefault="00833446" w:rsidP="00833446">
      <w:proofErr w:type="spellStart"/>
      <w:r w:rsidRPr="00CA5D7A">
        <w:rPr>
          <w:rStyle w:val="Style13ptBold"/>
        </w:rPr>
        <w:t>Kanter</w:t>
      </w:r>
      <w:proofErr w:type="spellEnd"/>
      <w:r w:rsidRPr="00CA5D7A">
        <w:rPr>
          <w:rStyle w:val="Style13ptBold"/>
        </w:rPr>
        <w:t xml:space="preserve"> 2011</w:t>
      </w:r>
      <w:r>
        <w:t xml:space="preserve"> - Laura J. and L. Douglas Meredith Professor of Law, Syracuse University College of Law </w:t>
      </w:r>
      <w:r>
        <w:br/>
        <w:t>Arlene S, "The Law: What's Disability Studies got to do with it or an Introduction to Disability Legal Studies," 42 Colum. Human Rights L. Rev. 403</w:t>
      </w:r>
    </w:p>
    <w:p w:rsidR="00833446" w:rsidRDefault="00833446" w:rsidP="00833446">
      <w:r>
        <w:t>IV. CONCLUSION</w:t>
      </w:r>
    </w:p>
    <w:p w:rsidR="00833446" w:rsidRDefault="00833446" w:rsidP="00833446">
      <w:r>
        <w:t>Disability Studies has emerged within the academy as a new multi-disciplinary field. It requires us to consider how society excludes people with disabilities, not because of their own limitations, but because of the way in which society itself is structured and operates. From this viewpoint, it is not as if there are no differences among people who are Deaf, or blind, or have other impairments; nor does this view deny the suffering and pain that people with disabilities experience. Instead, Disability Studies allows us to explore how to mitigate or even eliminate the social outcomes of differences with an awareness of the role that power plays in shaping the development of laws and legal rights.</w:t>
      </w:r>
    </w:p>
    <w:p w:rsidR="00833446" w:rsidRDefault="00833446" w:rsidP="00833446">
      <w:r w:rsidRPr="00A233AD">
        <w:rPr>
          <w:rStyle w:val="StyleUnderline"/>
        </w:rPr>
        <w:t>Disability Legal Studies</w:t>
      </w:r>
      <w:r>
        <w:t xml:space="preserve">, then, </w:t>
      </w:r>
      <w:r w:rsidRPr="00A233AD">
        <w:rPr>
          <w:rStyle w:val="StyleUnderline"/>
        </w:rPr>
        <w:t>presents to the law and legal education both challenges and opportunities</w:t>
      </w:r>
      <w:r>
        <w:t xml:space="preserve">. </w:t>
      </w:r>
      <w:r w:rsidRPr="00A233AD">
        <w:rPr>
          <w:rStyle w:val="StyleUnderline"/>
        </w:rPr>
        <w:t>It challenges legal scholars to critically view the place of disability within the legal system and the legal academy</w:t>
      </w:r>
      <w:r>
        <w:t xml:space="preserve">, as well as society generally. By </w:t>
      </w:r>
      <w:r w:rsidRPr="00A233AD">
        <w:rPr>
          <w:rStyle w:val="StyleUnderline"/>
        </w:rPr>
        <w:t>viewing law through the lens of Disability Studies, it challenges us to examine disability</w:t>
      </w:r>
      <w:r>
        <w:t xml:space="preserve">, like race, gender, class, and sexuality, </w:t>
      </w:r>
      <w:r w:rsidRPr="00A233AD">
        <w:rPr>
          <w:rStyle w:val="StyleUnderline"/>
        </w:rPr>
        <w:t>as a social and political construct, derived from a history of stigmatization and exclusion. It also challenges us to consider the complex ways in which our system of laws, government, social structures, institutions, culture, and customs contribute to the disablement of persons</w:t>
      </w:r>
      <w:r>
        <w:t xml:space="preserve"> in our own society and in societies throughout the world.</w:t>
      </w:r>
    </w:p>
    <w:p w:rsidR="00833446" w:rsidRDefault="00833446" w:rsidP="00833446">
      <w:r>
        <w:t xml:space="preserve">Disability Legal Studies also presents opportunities. As part of the larger field of Disability Studies, </w:t>
      </w:r>
      <w:r w:rsidRPr="00A233AD">
        <w:rPr>
          <w:rStyle w:val="StyleUnderline"/>
        </w:rPr>
        <w:t>Disability Legal Studies, provides legal scholars the tools to develop a disability critique of the law and to explore the role and manifestations of ableism in social practices and institutions that "portray people with disabilities as</w:t>
      </w:r>
      <w:r>
        <w:t xml:space="preserve">  [*478]  </w:t>
      </w:r>
      <w:r w:rsidRPr="00A233AD">
        <w:rPr>
          <w:rStyle w:val="StyleUnderline"/>
        </w:rPr>
        <w:t>useless, marginal, abnormal, a burden on society, and perhaps most offensively</w:t>
      </w:r>
      <w:r>
        <w:t xml:space="preserve">, as living a life that is not worth living." n240 </w:t>
      </w:r>
      <w:r w:rsidRPr="00A233AD">
        <w:rPr>
          <w:rStyle w:val="StyleUnderline"/>
        </w:rPr>
        <w:t>It also provides the context in which to deconstruct and reconstruct the meaning of disability through investigating the social construction of disability as well as the power structure that supports and enhances ableism</w:t>
      </w:r>
      <w:r>
        <w:t>.</w:t>
      </w:r>
    </w:p>
    <w:p w:rsidR="00833446" w:rsidRDefault="00833446" w:rsidP="00833446">
      <w:r>
        <w:t xml:space="preserve">Disability Legal Studies, therefore, has much to offer the law and legal education. It provides theoretical tools as well as advocacy strategies to challenge our cultural norms that have resulted in the creation of legal, physical, and attitudinal barriers to inclusion of people with disabilities in society. As such, </w:t>
      </w:r>
      <w:r w:rsidRPr="00A233AD">
        <w:rPr>
          <w:rStyle w:val="StyleUnderline"/>
        </w:rPr>
        <w:t>it has the potential to expose us and our students to new areas of academic inquiry</w:t>
      </w:r>
      <w:r>
        <w:t>. In addition to questions posed by Disability Studies such as, what does it mean to be normal? Disability Legal Studies poses further questions, such as: How does and should the law respond to differences among us? How can we challenge the privilege afforded to the able-bodied norm within the legal system? "Who decides the answers to these questions? And what do the answers reveal?" n241</w:t>
      </w:r>
    </w:p>
    <w:p w:rsidR="00833446" w:rsidRDefault="00833446" w:rsidP="00833446">
      <w:r w:rsidRPr="00A233AD">
        <w:rPr>
          <w:rStyle w:val="StyleUnderline"/>
        </w:rPr>
        <w:t>A first step in responding to these questions is to increase the visibility of people with disabilities within the academy itself.</w:t>
      </w:r>
      <w:r>
        <w:t xml:space="preserve"> n242 At  [*479]  Syracuse University, we are working to nurture Disability Studies as a multi-disciplinary field, to increase the number of students, faculty, and staff with disabilities within our community, and to require the university to improve access and accommodations, with the goal of creating a community of inclusion for all. Much work still needs to be done. But </w:t>
      </w:r>
      <w:r w:rsidRPr="00A233AD">
        <w:rPr>
          <w:rStyle w:val="StyleUnderline"/>
        </w:rPr>
        <w:t>such efforts are well worth it. With such changes,</w:t>
      </w:r>
      <w:r>
        <w:t xml:space="preserve"> our universities, as well as </w:t>
      </w:r>
      <w:r w:rsidRPr="00A233AD">
        <w:rPr>
          <w:rStyle w:val="StyleUnderline"/>
        </w:rPr>
        <w:t>society as a whole, will benefit from the participation of people with disabilities in our classrooms, our neighborhood, and in our live</w:t>
      </w:r>
      <w:r>
        <w:t>s.</w:t>
      </w:r>
    </w:p>
    <w:p w:rsidR="00833446" w:rsidRDefault="00833446" w:rsidP="00833446">
      <w:pPr>
        <w:pStyle w:val="Heading3"/>
      </w:pPr>
      <w:r>
        <w:t>AT: Inclusion Violent/Bullying Turn</w:t>
      </w:r>
    </w:p>
    <w:p w:rsidR="00833446" w:rsidRDefault="00833446" w:rsidP="00833446">
      <w:pPr>
        <w:pStyle w:val="Heading4"/>
      </w:pPr>
      <w:r>
        <w:t xml:space="preserve">Segregation of students with needs is what enables bullying and engenders violence, the </w:t>
      </w:r>
      <w:proofErr w:type="spellStart"/>
      <w:r>
        <w:t>aff</w:t>
      </w:r>
      <w:proofErr w:type="spellEnd"/>
      <w:r>
        <w:t xml:space="preserve"> solves</w:t>
      </w:r>
    </w:p>
    <w:p w:rsidR="00833446" w:rsidRPr="00CA70E5" w:rsidRDefault="00833446" w:rsidP="00833446">
      <w:pPr>
        <w:rPr>
          <w:rStyle w:val="Style13ptBold"/>
          <w:b w:val="0"/>
          <w:sz w:val="22"/>
        </w:rPr>
      </w:pPr>
      <w:r>
        <w:rPr>
          <w:rStyle w:val="Style13ptBold"/>
        </w:rPr>
        <w:t xml:space="preserve">NHIC </w:t>
      </w:r>
      <w:r w:rsidRPr="00CA70E5">
        <w:rPr>
          <w:rStyle w:val="Style13ptBold"/>
          <w:b w:val="0"/>
        </w:rPr>
        <w:t>12/29/</w:t>
      </w:r>
      <w:r>
        <w:rPr>
          <w:rStyle w:val="Style13ptBold"/>
        </w:rPr>
        <w:t xml:space="preserve">17 </w:t>
      </w:r>
      <w:r>
        <w:rPr>
          <w:rStyle w:val="Style13ptBold"/>
          <w:b w:val="0"/>
          <w:sz w:val="22"/>
        </w:rPr>
        <w:t>– Health information center sponsored by the government, National Health Information Center (“Washington: Disabled Children Face Bullying Throughout School Years”; Public Media Solutions; LexisNexis Academic)//TS</w:t>
      </w:r>
    </w:p>
    <w:p w:rsidR="00833446" w:rsidRDefault="00833446" w:rsidP="00833446">
      <w:pPr>
        <w:rPr>
          <w:sz w:val="16"/>
        </w:rPr>
      </w:pPr>
      <w:r w:rsidRPr="00992311">
        <w:rPr>
          <w:rStyle w:val="StyleUnderline"/>
        </w:rPr>
        <w:t xml:space="preserve">Bullying is a problem that </w:t>
      </w:r>
      <w:r w:rsidRPr="00992311">
        <w:rPr>
          <w:rStyle w:val="Emphasis"/>
        </w:rPr>
        <w:t>affects</w:t>
      </w:r>
      <w:r w:rsidRPr="00992311">
        <w:rPr>
          <w:rStyle w:val="StyleUnderline"/>
        </w:rPr>
        <w:t xml:space="preserve"> almost all students in some ways, but for disabled children it's a problem that seems to last throughout their school years. Disabled children</w:t>
      </w:r>
      <w:r w:rsidRPr="00992311">
        <w:rPr>
          <w:sz w:val="16"/>
        </w:rPr>
        <w:t xml:space="preserve">, including those with learning disabilities, </w:t>
      </w:r>
      <w:r w:rsidRPr="00992311">
        <w:rPr>
          <w:rStyle w:val="StyleUnderline"/>
        </w:rPr>
        <w:t xml:space="preserve">were about </w:t>
      </w:r>
      <w:r w:rsidRPr="00992311">
        <w:rPr>
          <w:rStyle w:val="Emphasis"/>
        </w:rPr>
        <w:t>20 percent</w:t>
      </w:r>
      <w:r w:rsidRPr="00992311">
        <w:rPr>
          <w:rStyle w:val="StyleUnderline"/>
        </w:rPr>
        <w:t xml:space="preserve"> more likely to report being bullied than other students in surveys</w:t>
      </w:r>
      <w:r w:rsidRPr="00992311">
        <w:rPr>
          <w:sz w:val="16"/>
        </w:rPr>
        <w:t xml:space="preserve"> taken at a New England school district. And </w:t>
      </w:r>
      <w:r w:rsidRPr="00992311">
        <w:rPr>
          <w:rStyle w:val="StyleUnderline"/>
        </w:rPr>
        <w:t xml:space="preserve">that difference remained </w:t>
      </w:r>
      <w:r w:rsidRPr="00992311">
        <w:rPr>
          <w:rStyle w:val="Emphasis"/>
        </w:rPr>
        <w:t>steady</w:t>
      </w:r>
      <w:r w:rsidRPr="00992311">
        <w:rPr>
          <w:rStyle w:val="StyleUnderline"/>
        </w:rPr>
        <w:t xml:space="preserve"> from third through 12th grades</w:t>
      </w:r>
      <w:r w:rsidRPr="00992311">
        <w:rPr>
          <w:sz w:val="16"/>
        </w:rPr>
        <w:t>, the researchers found. "</w:t>
      </w:r>
      <w:r w:rsidRPr="00992311">
        <w:rPr>
          <w:rStyle w:val="StyleUnderline"/>
        </w:rPr>
        <w:t>Students with disabilities need to be taught skills to respond appropriately to bullying. They need to know what to do, how to respond and who to tell</w:t>
      </w:r>
      <w:r w:rsidRPr="00992311">
        <w:rPr>
          <w:sz w:val="16"/>
        </w:rPr>
        <w:t xml:space="preserve">," said study co-author Chad Rose. He's an assistant professor of special education with the University of Missouri College of Education. "But they don't have those response skills, and that perpetuates this gap," Rose said. For the new study, Rose and co-author Nicholas Gage, from the University of Florida, analyzed the results of surveys of more than 6,500 students from grades K-12 during the years 2011-2013. About two-thirds of those children surveyed received free or low-priced lunches; 43 percent were Latino, 36 percent were white and 14 percent were black. Sixteen percent were identified as having a disability. The surveys asked the students about bullying, which Rose defined as "pervasive aggression." Students responded to questions about whether they'd been hit or threatened, had their feelings hurt, or had lies and mean rumors spread about them. Online harassment wasn't included in the surveys. The students also were asked questions about whether they bullied others. </w:t>
      </w:r>
      <w:r w:rsidRPr="00992311">
        <w:rPr>
          <w:rStyle w:val="StyleUnderline"/>
        </w:rPr>
        <w:t>The researchers found that disabled kids reported being bullied more than the other kids did.</w:t>
      </w:r>
      <w:r w:rsidRPr="00992311">
        <w:rPr>
          <w:sz w:val="16"/>
        </w:rPr>
        <w:t xml:space="preserve"> And this gap didn't change over time. "</w:t>
      </w:r>
      <w:r w:rsidRPr="00992311">
        <w:rPr>
          <w:rStyle w:val="Emphasis"/>
        </w:rPr>
        <w:t>Sixty-six percent</w:t>
      </w:r>
      <w:r w:rsidRPr="00992311">
        <w:rPr>
          <w:rStyle w:val="StyleUnderline"/>
        </w:rPr>
        <w:t xml:space="preserve"> of disabled students in grade 3 reported some bullying compared to 42 percent of other students, and when the students reached fifth grade, the gap remained similar, 61 percent compared to 41 percent," said Gage, an assistant professor at UF's College of Education. "This 20 percent gap was </w:t>
      </w:r>
      <w:r w:rsidRPr="00992311">
        <w:rPr>
          <w:rStyle w:val="Emphasis"/>
        </w:rPr>
        <w:t>constant</w:t>
      </w:r>
      <w:r w:rsidRPr="00992311">
        <w:rPr>
          <w:rStyle w:val="StyleUnderline"/>
        </w:rPr>
        <w:t xml:space="preserve"> across all grade levels." </w:t>
      </w:r>
      <w:r w:rsidRPr="00992311">
        <w:rPr>
          <w:sz w:val="16"/>
        </w:rPr>
        <w:t xml:space="preserve">Rose noted that many of the disabled children didn't have obvious disabilities. "We didn't primarily focus on those with visual, hearing or orthopedic impairments," he said. "Most of the students had learning and emotional disabilities like ADHD and autism." </w:t>
      </w:r>
      <w:r w:rsidRPr="00992311">
        <w:rPr>
          <w:rStyle w:val="StyleUnderline"/>
        </w:rPr>
        <w:t xml:space="preserve">So why are disabled kids vulnerable to bullying? Possibly "because they are perceived as looking or acting differently from their peers," said Jennifer Greif Green, an associate professor at Boston University's School of Education. </w:t>
      </w:r>
      <w:r w:rsidRPr="00992311">
        <w:rPr>
          <w:sz w:val="16"/>
        </w:rPr>
        <w:t>"Some researchers have speculated that students with disabilities have more trouble than their peers understanding complex communication, such as sarcasm or nonverbal cues, and that makes it more likely they will be involved in bullying," she said. Green said the study is valuable because it's among the first to look at disabled children as bullying victims. And, she said, it shows that disabled kids can persist through school as both bully victims and bullies themselves. What should be done? Rose goes back to the importance of training disabled children about how to deal with bullying. Rose said all schools should be teaching skills "like working with others, knowing how to respond in aversive situations, keeping your temper, making sure you know how to communicate with your peers." Other skills, he added, include "engaging in a conversation, working with others in a group, participating, knowing how to respond if you don't win a game. Basic skills that most of us have, even though we don't know how we learned them." What can parents do? "I encourage them to talk to their kids beyond, 'How was your day at school?' Use more direct questions to establish more open lines of communication," Rose recommended.</w:t>
      </w:r>
    </w:p>
    <w:p w:rsidR="00833446" w:rsidRDefault="00833446" w:rsidP="00833446">
      <w:pPr>
        <w:pStyle w:val="Heading3"/>
      </w:pPr>
      <w:r>
        <w:t>--</w:t>
      </w:r>
      <w:proofErr w:type="spellStart"/>
      <w:r>
        <w:t>xt</w:t>
      </w:r>
      <w:proofErr w:type="spellEnd"/>
      <w:r>
        <w:t xml:space="preserve"> – Bullying</w:t>
      </w:r>
    </w:p>
    <w:p w:rsidR="00833446" w:rsidRDefault="00833446" w:rsidP="00833446">
      <w:pPr>
        <w:pStyle w:val="Heading4"/>
      </w:pPr>
      <w:r>
        <w:t>Integration provides the tools to combat bullying</w:t>
      </w:r>
    </w:p>
    <w:p w:rsidR="00833446" w:rsidRPr="00835137" w:rsidRDefault="00833446" w:rsidP="00833446">
      <w:pPr>
        <w:rPr>
          <w:rStyle w:val="Style13ptBold"/>
          <w:b w:val="0"/>
          <w:sz w:val="22"/>
        </w:rPr>
      </w:pPr>
      <w:r>
        <w:rPr>
          <w:rStyle w:val="Style13ptBold"/>
        </w:rPr>
        <w:t xml:space="preserve">AAAS </w:t>
      </w:r>
      <w:r w:rsidRPr="00835137">
        <w:rPr>
          <w:rStyle w:val="Style13ptBold"/>
          <w:b w:val="0"/>
        </w:rPr>
        <w:t>11/28/</w:t>
      </w:r>
      <w:r>
        <w:rPr>
          <w:rStyle w:val="Style13ptBold"/>
        </w:rPr>
        <w:t xml:space="preserve">16 </w:t>
      </w:r>
      <w:r>
        <w:rPr>
          <w:rStyle w:val="Style13ptBold"/>
          <w:b w:val="0"/>
          <w:sz w:val="22"/>
        </w:rPr>
        <w:t>– American Association for the Advancement of Science, World’s Largest General Scientific Society (“</w:t>
      </w:r>
      <w:r w:rsidRPr="00835137">
        <w:rPr>
          <w:bCs/>
        </w:rPr>
        <w:t>Bullying rates remain higher for children with disabilities, even as they mature</w:t>
      </w:r>
      <w:r>
        <w:rPr>
          <w:bCs/>
        </w:rPr>
        <w:t>”; Public Media Solutions, LexisNexis Academic)//TS</w:t>
      </w:r>
    </w:p>
    <w:p w:rsidR="00833446" w:rsidRPr="00C75BC8" w:rsidRDefault="00833446" w:rsidP="00833446">
      <w:pPr>
        <w:rPr>
          <w:rStyle w:val="StyleUnderline"/>
        </w:rPr>
      </w:pPr>
      <w:r w:rsidRPr="00992311">
        <w:rPr>
          <w:rStyle w:val="Emphasis"/>
        </w:rPr>
        <w:t>More than 22 percent</w:t>
      </w:r>
      <w:r w:rsidRPr="00C75BC8">
        <w:rPr>
          <w:rStyle w:val="StyleUnderline"/>
        </w:rPr>
        <w:t xml:space="preserve"> of children </w:t>
      </w:r>
      <w:r w:rsidRPr="00707F65">
        <w:t xml:space="preserve">ages 12-18 </w:t>
      </w:r>
      <w:r w:rsidRPr="00C75BC8">
        <w:rPr>
          <w:rStyle w:val="StyleUnderline"/>
        </w:rPr>
        <w:t xml:space="preserve">say they have been bullied in school within the last month; a </w:t>
      </w:r>
      <w:r w:rsidRPr="00992311">
        <w:rPr>
          <w:rStyle w:val="Emphasis"/>
        </w:rPr>
        <w:t>significant portion</w:t>
      </w:r>
      <w:r w:rsidRPr="00C75BC8">
        <w:rPr>
          <w:rStyle w:val="StyleUnderline"/>
        </w:rPr>
        <w:t xml:space="preserve"> of those children have disabilities</w:t>
      </w:r>
      <w:r w:rsidRPr="00707F65">
        <w:t xml:space="preserve">. However, little research exists on how bullying rates for individual children change over time. Now, a University of Missouri researcher and bullying expert has determined that </w:t>
      </w:r>
      <w:r w:rsidRPr="00C75BC8">
        <w:rPr>
          <w:rStyle w:val="StyleUnderline"/>
        </w:rPr>
        <w:t xml:space="preserve">children with disabilities are </w:t>
      </w:r>
      <w:r w:rsidRPr="00992311">
        <w:rPr>
          <w:rStyle w:val="Emphasis"/>
        </w:rPr>
        <w:t>victimized</w:t>
      </w:r>
      <w:r w:rsidRPr="00C75BC8">
        <w:rPr>
          <w:rStyle w:val="StyleUnderline"/>
        </w:rPr>
        <w:t xml:space="preserve"> by bullying at a </w:t>
      </w:r>
      <w:r w:rsidRPr="00992311">
        <w:rPr>
          <w:rStyle w:val="Emphasis"/>
        </w:rPr>
        <w:t>much higher rate</w:t>
      </w:r>
      <w:r w:rsidRPr="00C75BC8">
        <w:rPr>
          <w:rStyle w:val="StyleUnderline"/>
        </w:rPr>
        <w:t xml:space="preserve"> over time than their peers without disabilities.</w:t>
      </w:r>
      <w:r w:rsidRPr="00707F65">
        <w:t xml:space="preserve"> The study also revealed that this discrepancy in </w:t>
      </w:r>
      <w:r w:rsidRPr="00C75BC8">
        <w:rPr>
          <w:rStyle w:val="StyleUnderline"/>
        </w:rPr>
        <w:t>victimization and bullying perpetration rates remains consistent as children age</w:t>
      </w:r>
      <w:r w:rsidRPr="00707F65">
        <w:t xml:space="preserve">. Chad Rose, an assistant professor of special education in the MU College of Education, says this indicates that </w:t>
      </w:r>
      <w:r w:rsidRPr="00C75BC8">
        <w:rPr>
          <w:rStyle w:val="StyleUnderline"/>
        </w:rPr>
        <w:t xml:space="preserve">children with disabilities </w:t>
      </w:r>
      <w:r w:rsidRPr="00992311">
        <w:rPr>
          <w:rStyle w:val="Emphasis"/>
        </w:rPr>
        <w:t>are not developing adequate social skills</w:t>
      </w:r>
      <w:r w:rsidRPr="00C75BC8">
        <w:rPr>
          <w:rStyle w:val="StyleUnderline"/>
        </w:rPr>
        <w:t xml:space="preserve"> to combat bullying as they mature.</w:t>
      </w:r>
    </w:p>
    <w:p w:rsidR="00833446" w:rsidRPr="00707F65" w:rsidRDefault="00833446" w:rsidP="00833446">
      <w:r w:rsidRPr="00707F65">
        <w:t>"</w:t>
      </w:r>
      <w:r w:rsidRPr="00C75BC8">
        <w:rPr>
          <w:rStyle w:val="StyleUnderline"/>
        </w:rPr>
        <w:t>This study points out the necessity for special education programs to teach appropriate response skills to children with disabilities," Rose said. "Schools need to further develop these programs by tailoring social development goals for each individual student to ensure they are learning the social skills that will help them prevent bullying from occurring</w:t>
      </w:r>
      <w:r w:rsidRPr="00707F65">
        <w:t>. Prior research has shown that children with disabilities, when bullied, may react aggressively when they lack appropriate response skills. Teaching these students how to communicate more effectively with their peers and with teachers can help them react to bullying in more positive ways, as well as pre</w:t>
      </w:r>
      <w:r>
        <w:t>vent it from occurring at all."</w:t>
      </w:r>
    </w:p>
    <w:p w:rsidR="00833446" w:rsidRPr="00707F65" w:rsidRDefault="00833446" w:rsidP="00833446">
      <w:r w:rsidRPr="00707F65">
        <w:t>Over the course of three years, more than 6,500 children from grades 3-12 were surveyed about their experiences with bullying; 16 percent of the children surveyed had disabilities, specifically learning disabilities, emotional disabilities and autism spectrum disorders. Rose and Nicholas Gage, an assistant professor from the University of Florida, found that bullying rates across the board peaked in third grade, were reduced drastically in middle school and then rose again during high school. However, while mirroring this trend, bullying rates for children with disabilities remained consistently higher than those without disabilities.</w:t>
      </w:r>
    </w:p>
    <w:p w:rsidR="00833446" w:rsidRPr="00C75BC8" w:rsidRDefault="00833446" w:rsidP="00833446">
      <w:pPr>
        <w:rPr>
          <w:rStyle w:val="StyleUnderline"/>
        </w:rPr>
      </w:pPr>
      <w:r w:rsidRPr="00707F65">
        <w:t>"</w:t>
      </w:r>
      <w:r w:rsidRPr="00C75BC8">
        <w:rPr>
          <w:rStyle w:val="StyleUnderline"/>
        </w:rPr>
        <w:t xml:space="preserve">Studying how individual children are victimized by bullying over time has revealed that children with disabilities are </w:t>
      </w:r>
      <w:r w:rsidRPr="00992311">
        <w:rPr>
          <w:rStyle w:val="Emphasis"/>
        </w:rPr>
        <w:t>not learning how to effectively respond</w:t>
      </w:r>
      <w:r w:rsidRPr="00C75BC8">
        <w:rPr>
          <w:rStyle w:val="StyleUnderline"/>
        </w:rPr>
        <w:t xml:space="preserve"> to victimization</w:t>
      </w:r>
      <w:r w:rsidRPr="00707F65">
        <w:t xml:space="preserve">," Rose said. "As children continued to mature, we expected to see that they would slowly develop social skills that would help them combat victimization and close the gap with children without disabilities, but that was not the case. </w:t>
      </w:r>
      <w:r w:rsidRPr="00C75BC8">
        <w:rPr>
          <w:rStyle w:val="StyleUnderline"/>
        </w:rPr>
        <w:t>Their rates of bullying victimization remained consistently higher, which shows that current intervention approaches are not effectively preparing these children who are most at-risk for bullying involvement."</w:t>
      </w:r>
    </w:p>
    <w:p w:rsidR="00833446" w:rsidRDefault="00833446" w:rsidP="00833446">
      <w:r w:rsidRPr="00707F65">
        <w:t>Rose says that many schools have devoted less and less time over the years to teaching social skills to all students, in exchange for increased focus on common core subjects and standardized test preparation. He says schools should refocus some of their efforts on teaching important social skills, especially to children with disabilities.</w:t>
      </w:r>
    </w:p>
    <w:p w:rsidR="00833446" w:rsidRPr="00E54435" w:rsidRDefault="00833446" w:rsidP="00833446"/>
    <w:p w:rsidR="00833446" w:rsidRPr="00CA5D7A" w:rsidRDefault="00833446" w:rsidP="00833446"/>
    <w:p w:rsidR="001C725F" w:rsidRDefault="001C725F" w:rsidP="001C725F">
      <w:pPr>
        <w:pStyle w:val="Heading2"/>
      </w:pPr>
      <w:r>
        <w:t>AT: DAs</w:t>
      </w:r>
    </w:p>
    <w:p w:rsidR="00CC563F" w:rsidRDefault="00CC563F" w:rsidP="00CC563F">
      <w:pPr>
        <w:pStyle w:val="Heading3"/>
      </w:pPr>
      <w:r>
        <w:t xml:space="preserve">Impact Framing </w:t>
      </w:r>
    </w:p>
    <w:p w:rsidR="00CC563F" w:rsidRPr="00CC563F" w:rsidRDefault="00CC563F" w:rsidP="00CC563F">
      <w:pPr>
        <w:pStyle w:val="Heading4"/>
      </w:pPr>
      <w:r>
        <w:t>Their impacts place hyperbole over resolving discrimination, makes violence inevitable</w:t>
      </w:r>
    </w:p>
    <w:p w:rsidR="00CC563F" w:rsidRDefault="00CC563F" w:rsidP="00CC563F">
      <w:r w:rsidRPr="0081198C">
        <w:rPr>
          <w:b/>
        </w:rPr>
        <w:t>El-</w:t>
      </w:r>
      <w:proofErr w:type="spellStart"/>
      <w:r w:rsidRPr="0081198C">
        <w:rPr>
          <w:b/>
        </w:rPr>
        <w:t>Lahib</w:t>
      </w:r>
      <w:proofErr w:type="spellEnd"/>
      <w:r w:rsidRPr="0081198C">
        <w:rPr>
          <w:b/>
        </w:rPr>
        <w:t xml:space="preserve"> 2015</w:t>
      </w:r>
      <w:r>
        <w:t xml:space="preserve"> Yahya PhD at the School of Social Work, McMaster University. The Inadmissible “Other”: Discourses of Ableism and Colonialism in Canadian Immigration)//</w:t>
      </w:r>
      <w:proofErr w:type="spellStart"/>
      <w:r>
        <w:t>masw</w:t>
      </w:r>
      <w:proofErr w:type="spellEnd"/>
    </w:p>
    <w:p w:rsidR="00CC563F" w:rsidRPr="003476E5" w:rsidRDefault="00CC563F" w:rsidP="00CC563F">
      <w:pPr>
        <w:rPr>
          <w:sz w:val="16"/>
        </w:rPr>
      </w:pPr>
      <w:r w:rsidRPr="008E3C04">
        <w:rPr>
          <w:sz w:val="16"/>
        </w:rPr>
        <w:t xml:space="preserve">In Canada, immigration </w:t>
      </w:r>
      <w:r w:rsidRPr="008E3C04">
        <w:rPr>
          <w:rStyle w:val="StyleUnderline"/>
        </w:rPr>
        <w:t>policies have been modified several times in</w:t>
      </w:r>
      <w:r>
        <w:rPr>
          <w:rStyle w:val="StyleUnderline"/>
        </w:rPr>
        <w:t xml:space="preserve"> </w:t>
      </w:r>
      <w:r w:rsidRPr="008E3C04">
        <w:rPr>
          <w:rStyle w:val="StyleUnderline"/>
        </w:rPr>
        <w:t xml:space="preserve">ways that are shaped by economic priorities and that aimed to serve </w:t>
      </w:r>
      <w:r w:rsidRPr="008E3C04">
        <w:rPr>
          <w:sz w:val="16"/>
        </w:rPr>
        <w:t>colonial</w:t>
      </w:r>
      <w:r w:rsidRPr="008E3C04">
        <w:rPr>
          <w:rStyle w:val="StyleUnderline"/>
        </w:rPr>
        <w:t>,</w:t>
      </w:r>
      <w:r>
        <w:rPr>
          <w:rStyle w:val="StyleUnderline"/>
        </w:rPr>
        <w:t xml:space="preserve"> </w:t>
      </w:r>
      <w:r w:rsidRPr="008E3C04">
        <w:rPr>
          <w:sz w:val="16"/>
        </w:rPr>
        <w:t xml:space="preserve">racist, sexist, and </w:t>
      </w:r>
      <w:proofErr w:type="spellStart"/>
      <w:r w:rsidRPr="008E3C04">
        <w:rPr>
          <w:rStyle w:val="StyleUnderline"/>
        </w:rPr>
        <w:t>ableist</w:t>
      </w:r>
      <w:proofErr w:type="spellEnd"/>
      <w:r w:rsidRPr="008E3C04">
        <w:rPr>
          <w:rStyle w:val="StyleUnderline"/>
        </w:rPr>
        <w:t xml:space="preserve"> agendas</w:t>
      </w:r>
      <w:r w:rsidRPr="008E3C04">
        <w:rPr>
          <w:sz w:val="16"/>
        </w:rPr>
        <w:t xml:space="preserve"> by constructing potential immigrants in a way that meets these aims (Chadha, 2008; El-</w:t>
      </w:r>
      <w:proofErr w:type="spellStart"/>
      <w:r w:rsidRPr="008E3C04">
        <w:rPr>
          <w:sz w:val="16"/>
        </w:rPr>
        <w:t>Lahib</w:t>
      </w:r>
      <w:proofErr w:type="spellEnd"/>
      <w:r w:rsidRPr="008E3C04">
        <w:rPr>
          <w:sz w:val="16"/>
        </w:rPr>
        <w:t xml:space="preserve"> &amp; </w:t>
      </w:r>
      <w:proofErr w:type="spellStart"/>
      <w:r w:rsidRPr="008E3C04">
        <w:rPr>
          <w:sz w:val="16"/>
        </w:rPr>
        <w:t>Wehbi</w:t>
      </w:r>
      <w:proofErr w:type="spellEnd"/>
      <w:r w:rsidRPr="008E3C04">
        <w:rPr>
          <w:sz w:val="16"/>
        </w:rPr>
        <w:t xml:space="preserve">, 2012; Hanes, 2009; </w:t>
      </w:r>
      <w:proofErr w:type="spellStart"/>
      <w:r w:rsidRPr="008E3C04">
        <w:rPr>
          <w:sz w:val="16"/>
        </w:rPr>
        <w:t>Thobani</w:t>
      </w:r>
      <w:proofErr w:type="spellEnd"/>
      <w:r w:rsidRPr="008E3C04">
        <w:rPr>
          <w:sz w:val="16"/>
        </w:rPr>
        <w:t xml:space="preserve">, 2007). </w:t>
      </w:r>
      <w:r w:rsidRPr="008E3C04">
        <w:rPr>
          <w:rStyle w:val="StyleUnderline"/>
        </w:rPr>
        <w:t>Specifically with regard to people with disabilities</w:t>
      </w:r>
      <w:r w:rsidRPr="008E3C04">
        <w:rPr>
          <w:sz w:val="16"/>
        </w:rPr>
        <w:t xml:space="preserve">, in this article, I argue that contemporary immigration policies and </w:t>
      </w:r>
      <w:r w:rsidRPr="008E3C04">
        <w:rPr>
          <w:rStyle w:val="StyleUnderline"/>
        </w:rPr>
        <w:t xml:space="preserve">practices continue the </w:t>
      </w:r>
      <w:proofErr w:type="spellStart"/>
      <w:r w:rsidRPr="008E3C04">
        <w:rPr>
          <w:rStyle w:val="StyleUnderline"/>
        </w:rPr>
        <w:t>ableist</w:t>
      </w:r>
      <w:proofErr w:type="spellEnd"/>
      <w:r w:rsidRPr="008E3C04">
        <w:rPr>
          <w:rStyle w:val="StyleUnderline"/>
        </w:rPr>
        <w:t xml:space="preserve"> historical exclusion of people with disabilities</w:t>
      </w:r>
      <w:r>
        <w:rPr>
          <w:rStyle w:val="StyleUnderline"/>
        </w:rPr>
        <w:t xml:space="preserve"> </w:t>
      </w:r>
      <w:r w:rsidRPr="008E3C04">
        <w:rPr>
          <w:rStyle w:val="StyleUnderline"/>
        </w:rPr>
        <w:t>by singling them out and constructing them as an inadmissible social</w:t>
      </w:r>
      <w:r>
        <w:rPr>
          <w:rStyle w:val="StyleUnderline"/>
        </w:rPr>
        <w:t xml:space="preserve"> </w:t>
      </w:r>
      <w:r w:rsidRPr="008E3C04">
        <w:rPr>
          <w:rStyle w:val="StyleUnderline"/>
        </w:rPr>
        <w:t>group.</w:t>
      </w:r>
      <w:r w:rsidRPr="008E3C04">
        <w:rPr>
          <w:sz w:val="16"/>
        </w:rPr>
        <w:t xml:space="preserve"> This argument builds on the work of scholars such as Chadha (2008), Hanes (2009), and Wong (2011), who trace the exclusion of people with disabilities in Canadian immigration policies and legislations as far back as the time of confederation. For example, in her efforts to trace the history of Canadian immigration and the ways in which people with mental health disabilities were dealt with in these policies, Chadha (2008, p. 5) asserts that “[d]</w:t>
      </w:r>
      <w:proofErr w:type="spellStart"/>
      <w:r w:rsidRPr="008E3C04">
        <w:rPr>
          <w:sz w:val="16"/>
        </w:rPr>
        <w:t>iscriminatory</w:t>
      </w:r>
      <w:proofErr w:type="spellEnd"/>
      <w:r w:rsidRPr="008E3C04">
        <w:rPr>
          <w:sz w:val="16"/>
        </w:rPr>
        <w:t xml:space="preserve"> treatment of persons with mental disabilities in the immigration process is as old as, if not older than, than the Dominion itself.” Hanes (2009, p. 92) adds that no significant changes have been made since the late 19th century to deal with the exclusion of people with disabilities from immigration. In fact, the author clearly states that “the concept ‘none is too many’ still applies to people with disabilities” to the extent that protective rules and legislations such as human rights codes do not apply to them when they attempt to immigrate.</w:t>
      </w:r>
    </w:p>
    <w:p w:rsidR="00CC563F" w:rsidRPr="008E3C04" w:rsidRDefault="00CC563F" w:rsidP="00CC563F">
      <w:pPr>
        <w:rPr>
          <w:sz w:val="16"/>
        </w:rPr>
      </w:pPr>
      <w:r w:rsidRPr="008E3C04">
        <w:rPr>
          <w:sz w:val="16"/>
        </w:rPr>
        <w:t xml:space="preserve">Building on this </w:t>
      </w:r>
      <w:proofErr w:type="spellStart"/>
      <w:r w:rsidRPr="008E3C04">
        <w:rPr>
          <w:sz w:val="16"/>
        </w:rPr>
        <w:t>ableist</w:t>
      </w:r>
      <w:proofErr w:type="spellEnd"/>
      <w:r w:rsidRPr="008E3C04">
        <w:rPr>
          <w:sz w:val="16"/>
        </w:rPr>
        <w:t xml:space="preserve"> history, </w:t>
      </w:r>
      <w:r w:rsidRPr="008E3C04">
        <w:rPr>
          <w:rStyle w:val="StyleUnderline"/>
        </w:rPr>
        <w:t>people with disabilities continue to</w:t>
      </w:r>
      <w:r>
        <w:rPr>
          <w:rStyle w:val="StyleUnderline"/>
        </w:rPr>
        <w:t xml:space="preserve"> </w:t>
      </w:r>
      <w:r w:rsidRPr="008E3C04">
        <w:rPr>
          <w:rStyle w:val="StyleUnderline"/>
        </w:rPr>
        <w:t>face discrimination</w:t>
      </w:r>
      <w:r w:rsidRPr="008E3C04">
        <w:rPr>
          <w:sz w:val="16"/>
        </w:rPr>
        <w:t xml:space="preserve"> within Canadian immigration legislations (El-</w:t>
      </w:r>
      <w:proofErr w:type="spellStart"/>
      <w:r w:rsidRPr="008E3C04">
        <w:rPr>
          <w:sz w:val="16"/>
        </w:rPr>
        <w:t>Lahib</w:t>
      </w:r>
      <w:proofErr w:type="spellEnd"/>
      <w:r w:rsidRPr="008E3C04">
        <w:rPr>
          <w:sz w:val="16"/>
        </w:rPr>
        <w:t xml:space="preserve"> &amp; </w:t>
      </w:r>
      <w:proofErr w:type="spellStart"/>
      <w:r w:rsidRPr="008E3C04">
        <w:rPr>
          <w:sz w:val="16"/>
        </w:rPr>
        <w:t>Wehbi</w:t>
      </w:r>
      <w:proofErr w:type="spellEnd"/>
      <w:r w:rsidRPr="008E3C04">
        <w:rPr>
          <w:sz w:val="16"/>
        </w:rPr>
        <w:t xml:space="preserve">, 2012; Hanes, 2009; Wong, 2011). In fact, the focus on prioritizing the economic interests of the Canadian state continue to shape immigration policies and define who gets to be granted admission as immigrant based on perceived notions of productivity based on racist, sexist and </w:t>
      </w:r>
      <w:proofErr w:type="spellStart"/>
      <w:r w:rsidRPr="008E3C04">
        <w:rPr>
          <w:sz w:val="16"/>
        </w:rPr>
        <w:t>ableist</w:t>
      </w:r>
      <w:proofErr w:type="spellEnd"/>
      <w:r w:rsidRPr="008E3C04">
        <w:rPr>
          <w:sz w:val="16"/>
        </w:rPr>
        <w:t xml:space="preserve"> guidelines (El-</w:t>
      </w:r>
      <w:proofErr w:type="spellStart"/>
      <w:r w:rsidRPr="008E3C04">
        <w:rPr>
          <w:sz w:val="16"/>
        </w:rPr>
        <w:t>Lahib</w:t>
      </w:r>
      <w:proofErr w:type="spellEnd"/>
      <w:r w:rsidRPr="008E3C04">
        <w:rPr>
          <w:sz w:val="16"/>
        </w:rPr>
        <w:t xml:space="preserve"> &amp; </w:t>
      </w:r>
      <w:proofErr w:type="spellStart"/>
      <w:r w:rsidRPr="008E3C04">
        <w:rPr>
          <w:sz w:val="16"/>
        </w:rPr>
        <w:t>Wehbi</w:t>
      </w:r>
      <w:proofErr w:type="spellEnd"/>
      <w:r w:rsidRPr="008E3C04">
        <w:rPr>
          <w:sz w:val="16"/>
        </w:rPr>
        <w:t xml:space="preserve">, 2012; </w:t>
      </w:r>
      <w:proofErr w:type="spellStart"/>
      <w:r w:rsidRPr="008E3C04">
        <w:rPr>
          <w:sz w:val="16"/>
        </w:rPr>
        <w:t>Galabuzi</w:t>
      </w:r>
      <w:proofErr w:type="spellEnd"/>
      <w:r w:rsidRPr="008E3C04">
        <w:rPr>
          <w:sz w:val="16"/>
        </w:rPr>
        <w:t xml:space="preserve">, 2006; Hanes, 2009; Li, 2001; </w:t>
      </w:r>
      <w:proofErr w:type="spellStart"/>
      <w:r w:rsidRPr="008E3C04">
        <w:rPr>
          <w:sz w:val="16"/>
        </w:rPr>
        <w:t>Thobani</w:t>
      </w:r>
      <w:proofErr w:type="spellEnd"/>
      <w:r w:rsidRPr="008E3C04">
        <w:rPr>
          <w:sz w:val="16"/>
        </w:rPr>
        <w:t>, 2000, 2007; Wong, 2011). Such a focus has meant that certain economic expectations apply to determine admissibility and inadmissibility of immigration applicants.</w:t>
      </w:r>
    </w:p>
    <w:p w:rsidR="00CC563F" w:rsidRPr="008E3C04" w:rsidRDefault="00CC563F" w:rsidP="00CC563F">
      <w:pPr>
        <w:rPr>
          <w:sz w:val="16"/>
        </w:rPr>
      </w:pPr>
      <w:r w:rsidRPr="008E3C04">
        <w:rPr>
          <w:sz w:val="16"/>
        </w:rPr>
        <w:t>In this light, one of the major obstacles to immigration that specifically</w:t>
      </w:r>
      <w:r>
        <w:rPr>
          <w:sz w:val="16"/>
        </w:rPr>
        <w:t xml:space="preserve"> </w:t>
      </w:r>
      <w:r w:rsidRPr="008E3C04">
        <w:rPr>
          <w:sz w:val="16"/>
        </w:rPr>
        <w:t>impacts people with disabilities is the excessive demands clause,</w:t>
      </w:r>
      <w:r>
        <w:rPr>
          <w:sz w:val="16"/>
        </w:rPr>
        <w:t xml:space="preserve"> </w:t>
      </w:r>
      <w:r w:rsidRPr="008E3C04">
        <w:rPr>
          <w:sz w:val="16"/>
        </w:rPr>
        <w:t>which I discuss in greater detail later in this article. Briefly, Hanes (2009,</w:t>
      </w:r>
      <w:r>
        <w:rPr>
          <w:sz w:val="16"/>
        </w:rPr>
        <w:t xml:space="preserve"> </w:t>
      </w:r>
      <w:r w:rsidRPr="008E3C04">
        <w:rPr>
          <w:sz w:val="16"/>
        </w:rPr>
        <w:t>p. 116) shows that although the excessive demands clause, introduced in</w:t>
      </w:r>
      <w:r>
        <w:rPr>
          <w:sz w:val="16"/>
        </w:rPr>
        <w:t xml:space="preserve"> </w:t>
      </w:r>
      <w:r w:rsidRPr="008E3C04">
        <w:rPr>
          <w:sz w:val="16"/>
        </w:rPr>
        <w:t>the 1976 Immigration Act, does not state that people with disabilities cannot</w:t>
      </w:r>
      <w:r>
        <w:rPr>
          <w:sz w:val="16"/>
        </w:rPr>
        <w:t xml:space="preserve"> </w:t>
      </w:r>
      <w:r w:rsidRPr="008E3C04">
        <w:rPr>
          <w:sz w:val="16"/>
        </w:rPr>
        <w:t>apply to immigrate, its interpretation has “made it impossible for people with</w:t>
      </w:r>
      <w:r>
        <w:rPr>
          <w:sz w:val="16"/>
        </w:rPr>
        <w:t xml:space="preserve"> </w:t>
      </w:r>
      <w:r w:rsidRPr="008E3C04">
        <w:rPr>
          <w:sz w:val="16"/>
        </w:rPr>
        <w:t>disabilities and their families to immigrate to Canada” because they are seen</w:t>
      </w:r>
      <w:r>
        <w:rPr>
          <w:sz w:val="16"/>
        </w:rPr>
        <w:t xml:space="preserve"> </w:t>
      </w:r>
      <w:r w:rsidRPr="008E3C04">
        <w:rPr>
          <w:sz w:val="16"/>
        </w:rPr>
        <w:t>potentially to pose a burden on the health and social services systems. In fact,</w:t>
      </w:r>
      <w:r>
        <w:rPr>
          <w:sz w:val="16"/>
        </w:rPr>
        <w:t xml:space="preserve"> </w:t>
      </w:r>
      <w:proofErr w:type="spellStart"/>
      <w:r w:rsidRPr="008E3C04">
        <w:rPr>
          <w:sz w:val="16"/>
        </w:rPr>
        <w:t>Thobani</w:t>
      </w:r>
      <w:proofErr w:type="spellEnd"/>
      <w:r w:rsidRPr="008E3C04">
        <w:rPr>
          <w:sz w:val="16"/>
        </w:rPr>
        <w:t xml:space="preserve"> (2007, p. 186) argues that immigration policies have been concerned</w:t>
      </w:r>
      <w:r>
        <w:rPr>
          <w:sz w:val="16"/>
        </w:rPr>
        <w:t xml:space="preserve"> </w:t>
      </w:r>
      <w:r w:rsidRPr="008E3C04">
        <w:rPr>
          <w:sz w:val="16"/>
        </w:rPr>
        <w:t>with the abuse of existing social services and have barred admission</w:t>
      </w:r>
      <w:r>
        <w:rPr>
          <w:sz w:val="16"/>
        </w:rPr>
        <w:t xml:space="preserve"> </w:t>
      </w:r>
      <w:r w:rsidRPr="008E3C04">
        <w:rPr>
          <w:sz w:val="16"/>
        </w:rPr>
        <w:t>to applicants perceived potentially to be “abusing Canadian generosity.”</w:t>
      </w:r>
      <w:r>
        <w:rPr>
          <w:sz w:val="16"/>
        </w:rPr>
        <w:t xml:space="preserve"> </w:t>
      </w:r>
      <w:r w:rsidRPr="008E3C04">
        <w:rPr>
          <w:sz w:val="16"/>
        </w:rPr>
        <w:t>The study discussed in this article examined specific discourses within</w:t>
      </w:r>
      <w:r>
        <w:rPr>
          <w:sz w:val="16"/>
        </w:rPr>
        <w:t xml:space="preserve"> </w:t>
      </w:r>
      <w:r w:rsidRPr="008E3C04">
        <w:rPr>
          <w:sz w:val="16"/>
        </w:rPr>
        <w:t>immigration documents that shape the construction of admissibility and</w:t>
      </w:r>
      <w:r>
        <w:rPr>
          <w:sz w:val="16"/>
        </w:rPr>
        <w:t xml:space="preserve"> </w:t>
      </w:r>
      <w:r w:rsidRPr="008E3C04">
        <w:rPr>
          <w:sz w:val="16"/>
        </w:rPr>
        <w:t>inadmissibility of potential immigration applicants. Findings demonstrate</w:t>
      </w:r>
      <w:r>
        <w:rPr>
          <w:sz w:val="16"/>
        </w:rPr>
        <w:t xml:space="preserve"> </w:t>
      </w:r>
      <w:r w:rsidRPr="008E3C04">
        <w:rPr>
          <w:sz w:val="16"/>
        </w:rPr>
        <w:t>how discourses of ableism, racism, and neocolonialism are reinforced and</w:t>
      </w:r>
      <w:r>
        <w:rPr>
          <w:sz w:val="16"/>
        </w:rPr>
        <w:t xml:space="preserve"> </w:t>
      </w:r>
      <w:r w:rsidRPr="008E3C04">
        <w:rPr>
          <w:sz w:val="16"/>
        </w:rPr>
        <w:t>reflected through the use of risk and protection discourses. These findings</w:t>
      </w:r>
      <w:r>
        <w:rPr>
          <w:sz w:val="16"/>
        </w:rPr>
        <w:t xml:space="preserve"> </w:t>
      </w:r>
      <w:r w:rsidRPr="008E3C04">
        <w:rPr>
          <w:sz w:val="16"/>
        </w:rPr>
        <w:t>are discussed in detail following a discussion of the scholarship as well</w:t>
      </w:r>
      <w:r>
        <w:rPr>
          <w:sz w:val="16"/>
        </w:rPr>
        <w:t xml:space="preserve"> </w:t>
      </w:r>
      <w:r w:rsidRPr="008E3C04">
        <w:rPr>
          <w:sz w:val="16"/>
        </w:rPr>
        <w:t>as the theoretical frameworks and guiding concepts, such as ableism and</w:t>
      </w:r>
      <w:r>
        <w:rPr>
          <w:sz w:val="16"/>
        </w:rPr>
        <w:t xml:space="preserve"> </w:t>
      </w:r>
      <w:r w:rsidRPr="008E3C04">
        <w:rPr>
          <w:sz w:val="16"/>
        </w:rPr>
        <w:t>colonialism, that shaped this study</w:t>
      </w:r>
    </w:p>
    <w:p w:rsidR="00CC563F" w:rsidRDefault="00CC563F" w:rsidP="00CC563F">
      <w:r w:rsidRPr="008E3C04">
        <w:rPr>
          <w:sz w:val="16"/>
        </w:rPr>
        <w:t>SITUATING THE STUDY WITHIN THE PREVAILING SCHOLARSHIP</w:t>
      </w:r>
      <w:r>
        <w:rPr>
          <w:sz w:val="16"/>
        </w:rPr>
        <w:t xml:space="preserve"> </w:t>
      </w:r>
      <w:r w:rsidRPr="008E3C04">
        <w:rPr>
          <w:sz w:val="16"/>
        </w:rPr>
        <w:t>The Canadian social work scholarship has paid little attention to the immigration</w:t>
      </w:r>
      <w:r>
        <w:rPr>
          <w:sz w:val="16"/>
        </w:rPr>
        <w:t xml:space="preserve"> </w:t>
      </w:r>
      <w:r w:rsidRPr="008E3C04">
        <w:rPr>
          <w:sz w:val="16"/>
        </w:rPr>
        <w:t>experiences of people with disabilities during and after the immigration</w:t>
      </w:r>
      <w:r>
        <w:rPr>
          <w:sz w:val="16"/>
        </w:rPr>
        <w:t xml:space="preserve"> </w:t>
      </w:r>
      <w:r w:rsidRPr="008E3C04">
        <w:rPr>
          <w:sz w:val="16"/>
        </w:rPr>
        <w:t>process (El-</w:t>
      </w:r>
      <w:proofErr w:type="spellStart"/>
      <w:r w:rsidRPr="008E3C04">
        <w:rPr>
          <w:sz w:val="16"/>
        </w:rPr>
        <w:t>Lahib</w:t>
      </w:r>
      <w:proofErr w:type="spellEnd"/>
      <w:r w:rsidRPr="008E3C04">
        <w:rPr>
          <w:sz w:val="16"/>
        </w:rPr>
        <w:t xml:space="preserve"> &amp; </w:t>
      </w:r>
      <w:proofErr w:type="spellStart"/>
      <w:r w:rsidRPr="008E3C04">
        <w:rPr>
          <w:sz w:val="16"/>
        </w:rPr>
        <w:t>Wehbi</w:t>
      </w:r>
      <w:proofErr w:type="spellEnd"/>
      <w:r w:rsidRPr="008E3C04">
        <w:rPr>
          <w:sz w:val="16"/>
        </w:rPr>
        <w:t>, 2012; Hanes, 2009). However, this topic has</w:t>
      </w:r>
      <w:r>
        <w:rPr>
          <w:sz w:val="16"/>
        </w:rPr>
        <w:t xml:space="preserve"> </w:t>
      </w:r>
      <w:r w:rsidRPr="008E3C04">
        <w:rPr>
          <w:sz w:val="16"/>
        </w:rPr>
        <w:t>received some attention elsewhere, as evidenced, for example, by the work</w:t>
      </w:r>
      <w:r>
        <w:rPr>
          <w:sz w:val="16"/>
        </w:rPr>
        <w:t xml:space="preserve"> </w:t>
      </w:r>
      <w:r w:rsidRPr="008E3C04">
        <w:rPr>
          <w:sz w:val="16"/>
        </w:rPr>
        <w:t xml:space="preserve">of </w:t>
      </w:r>
      <w:proofErr w:type="spellStart"/>
      <w:r w:rsidRPr="008E3C04">
        <w:rPr>
          <w:sz w:val="16"/>
        </w:rPr>
        <w:t>Groce</w:t>
      </w:r>
      <w:proofErr w:type="spellEnd"/>
      <w:r w:rsidRPr="008E3C04">
        <w:rPr>
          <w:sz w:val="16"/>
        </w:rPr>
        <w:t xml:space="preserve"> (2005) in the United Kingdom; she found that when people with</w:t>
      </w:r>
      <w:r>
        <w:rPr>
          <w:sz w:val="16"/>
        </w:rPr>
        <w:t xml:space="preserve"> </w:t>
      </w:r>
      <w:r w:rsidRPr="008E3C04">
        <w:rPr>
          <w:sz w:val="16"/>
        </w:rPr>
        <w:t>disabilities do immigrate or seek refugee status, an “additional stressor [is]</w:t>
      </w:r>
      <w:r>
        <w:rPr>
          <w:sz w:val="16"/>
        </w:rPr>
        <w:t xml:space="preserve"> </w:t>
      </w:r>
      <w:r w:rsidRPr="008E3C04">
        <w:rPr>
          <w:sz w:val="16"/>
        </w:rPr>
        <w:t>the fear of being sent back to a country of origin that has no rehabilitation</w:t>
      </w:r>
      <w:r>
        <w:rPr>
          <w:sz w:val="16"/>
        </w:rPr>
        <w:t xml:space="preserve"> </w:t>
      </w:r>
      <w:r w:rsidRPr="008E3C04">
        <w:rPr>
          <w:sz w:val="16"/>
        </w:rPr>
        <w:t>or disability support services, or where individuals with disability are routinely</w:t>
      </w:r>
      <w:r>
        <w:rPr>
          <w:sz w:val="16"/>
        </w:rPr>
        <w:t xml:space="preserve"> </w:t>
      </w:r>
      <w:r w:rsidRPr="008E3C04">
        <w:rPr>
          <w:sz w:val="16"/>
        </w:rPr>
        <w:t>institutionalized” (p. 4). In Canada, a similar observation was echoed</w:t>
      </w:r>
      <w:r>
        <w:rPr>
          <w:sz w:val="16"/>
        </w:rPr>
        <w:t xml:space="preserve"> </w:t>
      </w:r>
      <w:r w:rsidRPr="008E3C04">
        <w:rPr>
          <w:sz w:val="16"/>
        </w:rPr>
        <w:t>with regard to the specific issues faced by people who have received mental</w:t>
      </w:r>
      <w:r>
        <w:rPr>
          <w:sz w:val="16"/>
        </w:rPr>
        <w:t xml:space="preserve"> </w:t>
      </w:r>
      <w:r w:rsidRPr="008E3C04">
        <w:rPr>
          <w:sz w:val="16"/>
        </w:rPr>
        <w:t>health treatment or diagnoses in that they are treated in a way that does</w:t>
      </w:r>
      <w:r>
        <w:rPr>
          <w:sz w:val="16"/>
        </w:rPr>
        <w:t xml:space="preserve"> </w:t>
      </w:r>
      <w:r w:rsidRPr="008E3C04">
        <w:rPr>
          <w:sz w:val="16"/>
        </w:rPr>
        <w:t>not take into account their health needs during the immigration or “removal”</w:t>
      </w:r>
      <w:r>
        <w:rPr>
          <w:sz w:val="16"/>
        </w:rPr>
        <w:t xml:space="preserve"> </w:t>
      </w:r>
      <w:r w:rsidRPr="008E3C04">
        <w:rPr>
          <w:sz w:val="16"/>
        </w:rPr>
        <w:t>(deportation) processes or the potential experiences upon return to their</w:t>
      </w:r>
      <w:r>
        <w:rPr>
          <w:sz w:val="16"/>
        </w:rPr>
        <w:t xml:space="preserve"> </w:t>
      </w:r>
      <w:r w:rsidRPr="008E3C04">
        <w:rPr>
          <w:sz w:val="16"/>
        </w:rPr>
        <w:t>countries of origin (Schizophrenia Society of Ontario, 2010). A further example,</w:t>
      </w:r>
      <w:r>
        <w:rPr>
          <w:sz w:val="16"/>
        </w:rPr>
        <w:t xml:space="preserve"> </w:t>
      </w:r>
      <w:r w:rsidRPr="008E3C04">
        <w:rPr>
          <w:sz w:val="16"/>
        </w:rPr>
        <w:t>from the United States, demonstrated the intersection of ableism and</w:t>
      </w:r>
      <w:r>
        <w:rPr>
          <w:sz w:val="16"/>
        </w:rPr>
        <w:t xml:space="preserve"> </w:t>
      </w:r>
      <w:r w:rsidRPr="008E3C04">
        <w:rPr>
          <w:sz w:val="16"/>
        </w:rPr>
        <w:t>racism faced by Chinese immigrants with mental health diagnoses (Chung &amp;</w:t>
      </w:r>
      <w:r>
        <w:rPr>
          <w:sz w:val="16"/>
        </w:rPr>
        <w:t xml:space="preserve"> </w:t>
      </w:r>
      <w:proofErr w:type="spellStart"/>
      <w:r w:rsidRPr="008E3C04">
        <w:rPr>
          <w:sz w:val="16"/>
        </w:rPr>
        <w:t>Samprei</w:t>
      </w:r>
      <w:proofErr w:type="spellEnd"/>
      <w:r w:rsidRPr="008E3C04">
        <w:rPr>
          <w:sz w:val="16"/>
        </w:rPr>
        <w:t>, 2004).</w:t>
      </w:r>
    </w:p>
    <w:p w:rsidR="00CC563F" w:rsidRPr="003476E5" w:rsidRDefault="00CC563F" w:rsidP="00CC563F">
      <w:pPr>
        <w:rPr>
          <w:sz w:val="8"/>
        </w:rPr>
      </w:pPr>
      <w:r w:rsidRPr="003476E5">
        <w:rPr>
          <w:sz w:val="8"/>
        </w:rPr>
        <w:t xml:space="preserve">Furthermore, there is almost no discussion in the scholarship of how the experiences of people with disabilities might be complicated by the intersecting and interlocking systems of colonialism, ableism, and racism. Social work as a profession has focused on the complex and multiple issues that immigrants might face in their settlement processes (e.g., Nash, Wong &amp; </w:t>
      </w:r>
      <w:proofErr w:type="spellStart"/>
      <w:r w:rsidRPr="003476E5">
        <w:rPr>
          <w:sz w:val="8"/>
        </w:rPr>
        <w:t>Triln</w:t>
      </w:r>
      <w:proofErr w:type="spellEnd"/>
      <w:r w:rsidRPr="003476E5">
        <w:rPr>
          <w:sz w:val="8"/>
        </w:rPr>
        <w:t xml:space="preserve">, 2006; Pacheco, Plaza, Fernandez-Ramirez, &amp; Andres, 2003; Whelan, Swallow, </w:t>
      </w:r>
      <w:proofErr w:type="spellStart"/>
      <w:r w:rsidRPr="003476E5">
        <w:rPr>
          <w:sz w:val="8"/>
        </w:rPr>
        <w:t>Peschar</w:t>
      </w:r>
      <w:proofErr w:type="spellEnd"/>
      <w:r w:rsidRPr="003476E5">
        <w:rPr>
          <w:sz w:val="8"/>
        </w:rPr>
        <w:t>, &amp; Dunne, 2002), but these discussions have tended to focus on the micro aspects of practice, such as individual advocacy or service provision. These aspects are crucial in enhancing the settlement experience, but they are limited because they do not take into account the historically oppressive nature of immigration policies and practices in the West (</w:t>
      </w:r>
      <w:proofErr w:type="spellStart"/>
      <w:r w:rsidRPr="003476E5">
        <w:rPr>
          <w:sz w:val="8"/>
        </w:rPr>
        <w:t>Dossa</w:t>
      </w:r>
      <w:proofErr w:type="spellEnd"/>
      <w:r w:rsidRPr="003476E5">
        <w:rPr>
          <w:sz w:val="8"/>
        </w:rPr>
        <w:t>, 2006, 2009; Henry, 2009). Indeed, Humphries (2004) notes that social work practice in immigration issues has tended to be nonreflexive in the sense that social workers have implemented policies and conducted individual advocacies without the critical realization that the actual immigration system and policies are inherently racist, sexist (</w:t>
      </w:r>
      <w:proofErr w:type="spellStart"/>
      <w:r w:rsidRPr="003476E5">
        <w:rPr>
          <w:sz w:val="8"/>
        </w:rPr>
        <w:t>Galabuzi</w:t>
      </w:r>
      <w:proofErr w:type="spellEnd"/>
      <w:r w:rsidRPr="003476E5">
        <w:rPr>
          <w:sz w:val="8"/>
        </w:rPr>
        <w:t xml:space="preserve">, 2006; </w:t>
      </w:r>
      <w:proofErr w:type="spellStart"/>
      <w:r w:rsidRPr="003476E5">
        <w:rPr>
          <w:sz w:val="8"/>
        </w:rPr>
        <w:t>Thobani</w:t>
      </w:r>
      <w:proofErr w:type="spellEnd"/>
      <w:r w:rsidRPr="003476E5">
        <w:rPr>
          <w:sz w:val="8"/>
        </w:rPr>
        <w:t xml:space="preserve">, 2000, 2007), and </w:t>
      </w:r>
      <w:proofErr w:type="spellStart"/>
      <w:r w:rsidRPr="003476E5">
        <w:rPr>
          <w:sz w:val="8"/>
        </w:rPr>
        <w:t>ableist</w:t>
      </w:r>
      <w:proofErr w:type="spellEnd"/>
      <w:r w:rsidRPr="003476E5">
        <w:rPr>
          <w:sz w:val="8"/>
        </w:rPr>
        <w:t xml:space="preserve"> (El-</w:t>
      </w:r>
      <w:proofErr w:type="spellStart"/>
      <w:r w:rsidRPr="003476E5">
        <w:rPr>
          <w:sz w:val="8"/>
        </w:rPr>
        <w:t>Lahib</w:t>
      </w:r>
      <w:proofErr w:type="spellEnd"/>
      <w:r w:rsidRPr="003476E5">
        <w:rPr>
          <w:sz w:val="8"/>
        </w:rPr>
        <w:t xml:space="preserve"> &amp; </w:t>
      </w:r>
      <w:proofErr w:type="spellStart"/>
      <w:r w:rsidRPr="003476E5">
        <w:rPr>
          <w:sz w:val="8"/>
        </w:rPr>
        <w:t>Wehbi</w:t>
      </w:r>
      <w:proofErr w:type="spellEnd"/>
      <w:r w:rsidRPr="003476E5">
        <w:rPr>
          <w:sz w:val="8"/>
        </w:rPr>
        <w:t xml:space="preserve">, 2012; Hanes, 2009). Lacroix (2006) calls on social workers to adopt a social justice understanding and orientation to practice with immigrants, refugees, and asylum seekers. Furthermore, there is a gap in the understanding of the intersection between immigration and disability as they interlock with racism, colonialism, and a history of unjust North/South power relations. There are currently explorations of immigration and racism (e.g., Henry, 2009; </w:t>
      </w:r>
      <w:proofErr w:type="spellStart"/>
      <w:r w:rsidRPr="003476E5">
        <w:rPr>
          <w:sz w:val="8"/>
        </w:rPr>
        <w:t>Razack</w:t>
      </w:r>
      <w:proofErr w:type="spellEnd"/>
      <w:r w:rsidRPr="003476E5">
        <w:rPr>
          <w:sz w:val="8"/>
        </w:rPr>
        <w:t xml:space="preserve">, 2010; </w:t>
      </w:r>
      <w:proofErr w:type="spellStart"/>
      <w:r w:rsidRPr="003476E5">
        <w:rPr>
          <w:sz w:val="8"/>
        </w:rPr>
        <w:t>Soldatic</w:t>
      </w:r>
      <w:proofErr w:type="spellEnd"/>
      <w:r w:rsidRPr="003476E5">
        <w:rPr>
          <w:sz w:val="8"/>
        </w:rPr>
        <w:t xml:space="preserve"> &amp; Fiske, 2009; </w:t>
      </w:r>
      <w:proofErr w:type="spellStart"/>
      <w:r w:rsidRPr="003476E5">
        <w:rPr>
          <w:sz w:val="8"/>
        </w:rPr>
        <w:t>Thobani</w:t>
      </w:r>
      <w:proofErr w:type="spellEnd"/>
      <w:r w:rsidRPr="003476E5">
        <w:rPr>
          <w:sz w:val="8"/>
        </w:rPr>
        <w:t xml:space="preserve">, 2000, 2007) as well as colonialism and immigration (e.g., Castles, 2002; </w:t>
      </w:r>
      <w:proofErr w:type="spellStart"/>
      <w:r w:rsidRPr="003476E5">
        <w:rPr>
          <w:sz w:val="8"/>
        </w:rPr>
        <w:t>Dua</w:t>
      </w:r>
      <w:proofErr w:type="spellEnd"/>
      <w:r w:rsidRPr="003476E5">
        <w:rPr>
          <w:sz w:val="8"/>
        </w:rPr>
        <w:t xml:space="preserve">, </w:t>
      </w:r>
      <w:proofErr w:type="spellStart"/>
      <w:r w:rsidRPr="003476E5">
        <w:rPr>
          <w:sz w:val="8"/>
        </w:rPr>
        <w:t>Razack</w:t>
      </w:r>
      <w:proofErr w:type="spellEnd"/>
      <w:r w:rsidRPr="003476E5">
        <w:rPr>
          <w:sz w:val="8"/>
        </w:rPr>
        <w:t xml:space="preserve">, &amp; Warner, 2005; Laurence &amp; </w:t>
      </w:r>
      <w:proofErr w:type="spellStart"/>
      <w:r w:rsidRPr="003476E5">
        <w:rPr>
          <w:sz w:val="8"/>
        </w:rPr>
        <w:t>Dua</w:t>
      </w:r>
      <w:proofErr w:type="spellEnd"/>
      <w:r w:rsidRPr="003476E5">
        <w:rPr>
          <w:sz w:val="8"/>
        </w:rPr>
        <w:t xml:space="preserve">, 2005). However, such discussions have not addressed the specific experiences of people with disabilities Moreover, as Holden and Beresford (2002) as well as </w:t>
      </w:r>
      <w:proofErr w:type="spellStart"/>
      <w:r w:rsidRPr="003476E5">
        <w:rPr>
          <w:sz w:val="8"/>
        </w:rPr>
        <w:t>Ghai</w:t>
      </w:r>
      <w:proofErr w:type="spellEnd"/>
      <w:r w:rsidRPr="003476E5">
        <w:rPr>
          <w:sz w:val="8"/>
        </w:rPr>
        <w:t xml:space="preserve"> (2001, 2012) argue, mainstream and widely used theoretical conceptions of disability such as the social model, have developed on the basis of issues and experiences faced by people with disabilities in a global North context. These understandings have not taken into account the importance of North/South power relations in how prevalent discourses about people with disabilities and their experiences are shaped and constructed. The focus on global North contexts has meant that less emphasis has been placed on understanding the transnational experiences of people with disabilities, such as immigration or living in diaspora. THEORETICAL FRAMEWORKS Considering the above-noted gaps in the scholarship, I propose the importance of using theoretical lenses that bring together critical understandings of ableism, racism, and the history of colonialism as well as neocolonial practices. Consequently, the study utilized a critical understanding of disability, </w:t>
      </w:r>
      <w:proofErr w:type="spellStart"/>
      <w:r w:rsidRPr="003476E5">
        <w:rPr>
          <w:sz w:val="8"/>
        </w:rPr>
        <w:t>anticolonialism</w:t>
      </w:r>
      <w:proofErr w:type="spellEnd"/>
      <w:r w:rsidRPr="003476E5">
        <w:rPr>
          <w:sz w:val="8"/>
        </w:rPr>
        <w:t xml:space="preserve">, and postcolonialism as theoretical frameworks to examine the construction of admissibility and inadmissibility in Canadian immigration policies. 1234 Relying on critical-disability scholarship, this research begins with the understanding that </w:t>
      </w:r>
      <w:r w:rsidRPr="00A6280C">
        <w:rPr>
          <w:rStyle w:val="StyleUnderline"/>
        </w:rPr>
        <w:t>disability is a socially constructed site of oppression that</w:t>
      </w:r>
      <w:r>
        <w:rPr>
          <w:rStyle w:val="StyleUnderline"/>
        </w:rPr>
        <w:t xml:space="preserve"> </w:t>
      </w:r>
      <w:r w:rsidRPr="00A6280C">
        <w:rPr>
          <w:rStyle w:val="StyleUnderline"/>
        </w:rPr>
        <w:t>intersects and interlocks with other forms of oppression, such as colonialism</w:t>
      </w:r>
      <w:r>
        <w:rPr>
          <w:rStyle w:val="StyleUnderline"/>
        </w:rPr>
        <w:t xml:space="preserve"> </w:t>
      </w:r>
      <w:r w:rsidRPr="00A6280C">
        <w:rPr>
          <w:rStyle w:val="StyleUnderline"/>
        </w:rPr>
        <w:t>and racism</w:t>
      </w:r>
      <w:r w:rsidRPr="003476E5">
        <w:rPr>
          <w:sz w:val="8"/>
        </w:rPr>
        <w:t xml:space="preserve"> (Withers, 2012). Hughes (2007) notes that impairment and disabilities are associated with deficit, which leads to othering and to creating an ontology of dependency. Of particular relevance to this study is the concept of ableism(</w:t>
      </w:r>
      <w:proofErr w:type="spellStart"/>
      <w:r w:rsidRPr="003476E5">
        <w:rPr>
          <w:sz w:val="8"/>
        </w:rPr>
        <w:t>Storey</w:t>
      </w:r>
      <w:proofErr w:type="spellEnd"/>
      <w:r w:rsidRPr="003476E5">
        <w:rPr>
          <w:sz w:val="8"/>
        </w:rPr>
        <w:t xml:space="preserve">, 2007; </w:t>
      </w:r>
      <w:proofErr w:type="spellStart"/>
      <w:r w:rsidRPr="003476E5">
        <w:rPr>
          <w:sz w:val="8"/>
        </w:rPr>
        <w:t>Wolbring</w:t>
      </w:r>
      <w:proofErr w:type="spellEnd"/>
      <w:r w:rsidRPr="003476E5">
        <w:rPr>
          <w:sz w:val="8"/>
        </w:rPr>
        <w:t xml:space="preserve">, 2008)), described by Clare (2009) as a “socially constructed limitation” (p. 7). </w:t>
      </w:r>
      <w:proofErr w:type="spellStart"/>
      <w:r w:rsidRPr="003476E5">
        <w:rPr>
          <w:sz w:val="8"/>
        </w:rPr>
        <w:t>Storey</w:t>
      </w:r>
      <w:proofErr w:type="spellEnd"/>
      <w:r w:rsidRPr="003476E5">
        <w:rPr>
          <w:sz w:val="8"/>
        </w:rPr>
        <w:t xml:space="preserve"> (2007) adds that ableism shapes understandings of productivity, health, value of life, etc. In addition, Dingo (2007) argues that the body and body politic are intertwined and “therefore we must consider the ways that ableism functions at the discursive, rhetorical and material levels” (p. 105). Indeed, Chapman (2012) notes that the discourses of dependent bodies are used to maintain the dominance of those who are constructed as independent and able-bodied. In keeping with this understanding and based on the insights provided by Poole et al. (2012), I find it important to include a discussion of </w:t>
      </w:r>
      <w:proofErr w:type="spellStart"/>
      <w:r w:rsidRPr="003476E5">
        <w:rPr>
          <w:sz w:val="8"/>
        </w:rPr>
        <w:t>sanism</w:t>
      </w:r>
      <w:proofErr w:type="spellEnd"/>
      <w:r w:rsidRPr="003476E5">
        <w:rPr>
          <w:sz w:val="8"/>
        </w:rPr>
        <w:t xml:space="preserve"> because people with mental health histories have been systematically discriminated against and marginalized in Canadian immigration (Chadha, 2008). Poole et al. (2012) locates these sites of marginalization in everyday acts of aggression that construct people with mental-health histories as being “incompetent, not able to do things for themselves, constantly in need of supervision and assistance, unpredictable, violent and irrational” (Chamberlin, cited in Poole et al., p. 3). It is these same constructions that impact on determinations of inadmissibility of immigration applicants with disabilities. Moreover, the study relies on a critical understanding of postcolonialism and </w:t>
      </w:r>
      <w:proofErr w:type="spellStart"/>
      <w:r w:rsidRPr="003476E5">
        <w:rPr>
          <w:sz w:val="8"/>
        </w:rPr>
        <w:t>anticolonialism</w:t>
      </w:r>
      <w:proofErr w:type="spellEnd"/>
      <w:r w:rsidRPr="003476E5">
        <w:rPr>
          <w:sz w:val="8"/>
        </w:rPr>
        <w:t xml:space="preserve">. As Sherry (2007) notes, this framework would allow for “examining the relations of domination between and within nations, ‘races,’ or cultures, recognizing the historical roots of such practices within colonialism” (p. 11) and how these practices continue in new forms of colonialism, referred to as neocolonialism. Further, Loomba (2001) notes that “it is more helpful to think of postcolonialism not just as coming literally after colonialism and signifying its demise, but more flexible as the contestation of colonial domination and the legacies of colonialism” (p. 16). </w:t>
      </w:r>
      <w:proofErr w:type="spellStart"/>
      <w:r w:rsidRPr="003476E5">
        <w:rPr>
          <w:sz w:val="8"/>
        </w:rPr>
        <w:t>Grech</w:t>
      </w:r>
      <w:proofErr w:type="spellEnd"/>
      <w:r w:rsidRPr="003476E5">
        <w:rPr>
          <w:sz w:val="8"/>
        </w:rPr>
        <w:t xml:space="preserve"> (2012) asserts that “[c]</w:t>
      </w:r>
      <w:proofErr w:type="spellStart"/>
      <w:r w:rsidRPr="003476E5">
        <w:rPr>
          <w:sz w:val="8"/>
        </w:rPr>
        <w:t>olonialism</w:t>
      </w:r>
      <w:proofErr w:type="spellEnd"/>
      <w:r w:rsidRPr="003476E5">
        <w:rPr>
          <w:sz w:val="8"/>
        </w:rPr>
        <w:t xml:space="preserve"> and its dynamics, effects and manifestations are in fact recreated and perpetuated in the neocolonial” (p. 54) practices in contemporary times between global North and South in ways that have reflected and reinforced racial divisions and dynamics. In this article, I use the terms global North and global South to refer to the historical and contemporary divisions perpetuated through colonialism and unjust economic and political power relations. Understanding postcolonialism in this way would allow for the inclusion of “the history of anticolonial resistance with contemporary resistance to imperialism and dominant western cultures” and the inclusion of people who have been displaced as “postcolonial subjects,” as in the case of immigration (Loomba, 2001, p. 16). Speaking specifically about disability issues, </w:t>
      </w:r>
      <w:proofErr w:type="spellStart"/>
      <w:r w:rsidRPr="003476E5">
        <w:rPr>
          <w:sz w:val="8"/>
        </w:rPr>
        <w:t>Chataika</w:t>
      </w:r>
      <w:proofErr w:type="spellEnd"/>
      <w:r w:rsidRPr="003476E5">
        <w:rPr>
          <w:sz w:val="8"/>
        </w:rPr>
        <w:t xml:space="preserve"> (2012) notes that a postcolonial analysis is concerned with processes of “Othering,” which is of particular relevance to understanding the immigration experience of people with disabilities from the global South. Adopting these frameworks would allow for an understanding of how colonialism has historically shaped immigration and how neocolonialism is currently embedded within Canadian immigration policies. By understanding how colonialism and neocolonialism operate in immigration discourses and practices, this study will contribute to exposing and challenging “the smooth running of colonial rule” (Bush, 2006, p. 37). The experiences of people with disabilities need to be considered within this overall context of North/South power relations. These theoretical frameworks would allow for challenging and resisting these unjust relations, specifically as they intersect and interlock with ableism and racism, and would hold promise for social workers to move our practices toward social justice. RESEARCH DESIGN Taking into account the emphasis placed on discourses and power relations in the above-mentioned theoretical frameworks, this study relies on critical discourse analysis (CDA), defined by van Dijk (2003) as a “type of discourse analytical research that primarily studies the way social power abuse, dominance, and inequality are enacted, reproduced and resisted by text and talk in the social and political context” (p. 352). There are various methods of textual analysis, such as content analysis, argumentation analysis, etc., but CDA focuses on discourses and the impacts they have on shaping and informing the operation of power and knowledge (Murray, 2007; Poole, 2011; </w:t>
      </w:r>
      <w:proofErr w:type="spellStart"/>
      <w:r w:rsidRPr="003476E5">
        <w:rPr>
          <w:sz w:val="8"/>
        </w:rPr>
        <w:t>Toolan</w:t>
      </w:r>
      <w:proofErr w:type="spellEnd"/>
      <w:r w:rsidRPr="003476E5">
        <w:rPr>
          <w:sz w:val="8"/>
        </w:rPr>
        <w:t xml:space="preserve">, 1997). According to Poole (2011), discourse can be defined as “a collection of words, phrases, rules and practices bound by context, culture and time” (p. 27). Therefore, CDA is an appropriate methodology for this study because it focuses on “the role of discourse in the (re)production and challenge of dominance (...) defined as the exercise of social power by elites, institutions or groups, that results in social inequality, including political, cultural, class, ethnic, racial and gender inequality” (van Dijk, 1993, pp. 249–250). Taylor (2004) specifically highlights the importance of utilizing CDA in social policy analysis because it is helpful in examining the “relationship of language to other social processes, and how language works within power relations” (p. 436, italic in original text). Adopting CDA would help in understanding how dominant discourses about health and well-being, as conceptualized and understood in Canada, can become “legitimate” reasons for the marginalization and exclusion of people with disabilities in the context of immigration. As Gill (2002) argues, discourses do not “occur in a social vacuum” (p. 175); therefore, it is important to analyze critically their impacts on the construction of marginalized groups within immigration, such as people with disabilities. Building on the theoretical frameworks as well as the above brief discussion of CDA, the research questions that guided this study were: (a) What are the discourses that shape admissibility/inadmissibility in Canadian immigration policies? (b) How are ableism, racism, and neocolonialism operationalized through admissibility/inadmissibility? In answering these questions, the study focused on one of the branches of immigration policy, namely “immigration control policies,” defined by Meyers (2000) as “the rules and procedures governing the admission of foreign citizens” (p. 1246). Specifically, this study examined three documents produced by Citizenship and Immigration Canada as official guidelines for immigration officers so they can determine applicants’ admissibility or inadmissibility. These documents are part of a larger set of manuals, collectively referred to as Operational Manuals-Enforcement (ENF), can be found as part of a larger set of manuals. These documents were selected because they reflect official government policies and procedures that facilitate the applications of immigrants and refugee claimants and determine their admissibility or inadmissibility. However, for feasibility reasons, the focus of this analysis is limited to issues related to the admissibility of immigration and permanent-residency applicants. The specific documents analyzed in this study are: ● ENF 1: Inadmissibility (http://www.cic.gc.ca/english/resources/manuals/ </w:t>
      </w:r>
      <w:proofErr w:type="spellStart"/>
      <w:r w:rsidRPr="003476E5">
        <w:rPr>
          <w:sz w:val="8"/>
        </w:rPr>
        <w:t>enf</w:t>
      </w:r>
      <w:proofErr w:type="spellEnd"/>
      <w:r w:rsidRPr="003476E5">
        <w:rPr>
          <w:sz w:val="8"/>
        </w:rPr>
        <w:t>/enf01-eng.pdf) ● ENF 2: Evaluating inadmissibility (http://www.cic.gc.ca/english/resources/ manuals/</w:t>
      </w:r>
      <w:proofErr w:type="spellStart"/>
      <w:r w:rsidRPr="003476E5">
        <w:rPr>
          <w:sz w:val="8"/>
        </w:rPr>
        <w:t>enf</w:t>
      </w:r>
      <w:proofErr w:type="spellEnd"/>
      <w:r w:rsidRPr="003476E5">
        <w:rPr>
          <w:sz w:val="8"/>
        </w:rPr>
        <w:t xml:space="preserve">/enf02-eng.pdf) ● ENF 3: Admissibility, Hearing and Detention Review Proceedings (http:// www.cic.gc.ca/english/resources/manuals/enf/enf03-eng.pdf). In examining these documents, I adopted the analysis process suggested by Poole (2011), which involved stages of reading and rereading to identify codes, categories, themes and, eventually, discourses. The analysis focused on the construction of who is considered inadmissible to immigrate to Canada and which factors are involved in the construction and production of this inadmissibility. In terms of analysis process, I examined these documents, attempting to answer questions such as, What are the main factors or grounds, such as health and race, among others, that determine admissibility or inadmissibility? What are the social groups that are deemed inadmissible? How could ableism, racism, and neocolonialism be related to admissibility and inadmissibility? FINDINGS AND DISCUSSION Applying CDA to the selected documents reveals that </w:t>
      </w:r>
      <w:r w:rsidRPr="00A6280C">
        <w:rPr>
          <w:rStyle w:val="StyleUnderline"/>
        </w:rPr>
        <w:t>discourses concerning</w:t>
      </w:r>
      <w:r>
        <w:rPr>
          <w:rStyle w:val="StyleUnderline"/>
        </w:rPr>
        <w:t xml:space="preserve"> </w:t>
      </w:r>
      <w:r w:rsidRPr="00A6280C">
        <w:rPr>
          <w:rStyle w:val="StyleUnderline"/>
        </w:rPr>
        <w:t>risk and protection are the central lenses that determine the inadmissibility</w:t>
      </w:r>
      <w:r w:rsidRPr="003476E5">
        <w:rPr>
          <w:sz w:val="8"/>
        </w:rPr>
        <w:t xml:space="preserve"> but not the admissibility </w:t>
      </w:r>
      <w:r w:rsidRPr="00A6280C">
        <w:rPr>
          <w:rStyle w:val="StyleUnderline"/>
        </w:rPr>
        <w:t>of</w:t>
      </w:r>
      <w:r w:rsidRPr="003476E5">
        <w:rPr>
          <w:sz w:val="8"/>
        </w:rPr>
        <w:t xml:space="preserve"> immigration </w:t>
      </w:r>
      <w:r w:rsidRPr="00A6280C">
        <w:rPr>
          <w:rStyle w:val="StyleUnderline"/>
        </w:rPr>
        <w:t>applicants</w:t>
      </w:r>
      <w:r w:rsidRPr="003476E5">
        <w:rPr>
          <w:sz w:val="8"/>
        </w:rPr>
        <w:t xml:space="preserve">. In other words, immigration or permanent-residency applicants are seen as potential risks until they are proven otherwise, and the responsibility of the immigration policies is to protect Canada and Canadians from these potential risks. Specifically, all three documents use discourses of protecting Canadians from health, security, and criminality risks perceived to be imposed by immigration applicants. These </w:t>
      </w:r>
      <w:r w:rsidRPr="008E3C04">
        <w:rPr>
          <w:rStyle w:val="StyleUnderline"/>
        </w:rPr>
        <w:t>discourses could be illustrated through an examination of the</w:t>
      </w:r>
      <w:r>
        <w:rPr>
          <w:rStyle w:val="StyleUnderline"/>
        </w:rPr>
        <w:t xml:space="preserve"> </w:t>
      </w:r>
      <w:r w:rsidRPr="008E3C04">
        <w:rPr>
          <w:rStyle w:val="StyleUnderline"/>
        </w:rPr>
        <w:t>language used in these documents</w:t>
      </w:r>
      <w:r w:rsidRPr="003476E5">
        <w:rPr>
          <w:sz w:val="8"/>
        </w:rPr>
        <w:t xml:space="preserve">; examples of words and phrases that appear consistently throughout the documents are </w:t>
      </w:r>
      <w:r w:rsidRPr="008E3C04">
        <w:rPr>
          <w:rStyle w:val="StyleUnderline"/>
          <w:b/>
        </w:rPr>
        <w:t>risk; security; surveillance</w:t>
      </w:r>
      <w:r w:rsidRPr="003476E5">
        <w:rPr>
          <w:sz w:val="8"/>
        </w:rPr>
        <w:t xml:space="preserve">; </w:t>
      </w:r>
      <w:r w:rsidRPr="008E3C04">
        <w:rPr>
          <w:rStyle w:val="StyleUnderline"/>
          <w:b/>
        </w:rPr>
        <w:t>violence; terrorism; threat</w:t>
      </w:r>
      <w:r w:rsidRPr="003476E5">
        <w:rPr>
          <w:sz w:val="8"/>
        </w:rPr>
        <w:t>; (</w:t>
      </w:r>
      <w:proofErr w:type="spellStart"/>
      <w:r w:rsidRPr="003476E5">
        <w:rPr>
          <w:sz w:val="8"/>
        </w:rPr>
        <w:t>en</w:t>
      </w:r>
      <w:proofErr w:type="spellEnd"/>
      <w:r w:rsidRPr="003476E5">
        <w:rPr>
          <w:sz w:val="8"/>
        </w:rPr>
        <w:t>)</w:t>
      </w:r>
      <w:r w:rsidRPr="008E3C04">
        <w:rPr>
          <w:rStyle w:val="StyleUnderline"/>
          <w:b/>
        </w:rPr>
        <w:t xml:space="preserve">danger; protection; </w:t>
      </w:r>
      <w:r w:rsidRPr="003476E5">
        <w:rPr>
          <w:sz w:val="8"/>
        </w:rPr>
        <w:t>safety of Canadians (e.g., ENF 1, p. 3; ENF 2, p. 5; ENF 3, p. 4); “</w:t>
      </w:r>
      <w:r w:rsidRPr="008E3C04">
        <w:rPr>
          <w:rStyle w:val="StyleUnderline"/>
          <w:b/>
        </w:rPr>
        <w:t>danger to (the) public</w:t>
      </w:r>
      <w:r w:rsidRPr="003476E5">
        <w:rPr>
          <w:sz w:val="8"/>
        </w:rPr>
        <w:t>” (e.g., ENF 1, p. 5; ENF 2, p. 52; ENF 3, p. 6); “</w:t>
      </w:r>
      <w:r w:rsidRPr="008E3C04">
        <w:rPr>
          <w:rStyle w:val="StyleUnderline"/>
          <w:b/>
        </w:rPr>
        <w:t xml:space="preserve">danger to the (national) security </w:t>
      </w:r>
      <w:r w:rsidRPr="003476E5">
        <w:rPr>
          <w:sz w:val="8"/>
        </w:rPr>
        <w:t>of Canada” (ENF 1, p. 8; ENF 2, p. 20); “</w:t>
      </w:r>
      <w:r w:rsidRPr="008E3C04">
        <w:rPr>
          <w:rStyle w:val="StyleUnderline"/>
          <w:b/>
        </w:rPr>
        <w:t xml:space="preserve">danger to the public and the security </w:t>
      </w:r>
      <w:r w:rsidRPr="003476E5">
        <w:rPr>
          <w:sz w:val="8"/>
        </w:rPr>
        <w:t>of Canada” (ENF 3, p. 30); “</w:t>
      </w:r>
      <w:r w:rsidRPr="008E3C04">
        <w:rPr>
          <w:rStyle w:val="StyleUnderline"/>
          <w:b/>
        </w:rPr>
        <w:t>danger to the public health</w:t>
      </w:r>
      <w:r w:rsidRPr="003476E5">
        <w:rPr>
          <w:sz w:val="8"/>
        </w:rPr>
        <w:t xml:space="preserve">” (ENF 1, p. 5; ENF 2, p. 24). The use of such language sets the tone for immigration officers and others reviewing files to see applicants as potential threats rather than as potential contributors to the Canadian social fabric. </w:t>
      </w:r>
      <w:r w:rsidRPr="00A6280C">
        <w:rPr>
          <w:rStyle w:val="StyleUnderline"/>
        </w:rPr>
        <w:t>With language such as</w:t>
      </w:r>
      <w:r>
        <w:rPr>
          <w:rStyle w:val="StyleUnderline"/>
        </w:rPr>
        <w:t xml:space="preserve"> </w:t>
      </w:r>
      <w:r w:rsidRPr="00A6280C">
        <w:rPr>
          <w:rStyle w:val="StyleUnderline"/>
        </w:rPr>
        <w:t>this,</w:t>
      </w:r>
      <w:r w:rsidRPr="003476E5">
        <w:rPr>
          <w:sz w:val="8"/>
        </w:rPr>
        <w:t xml:space="preserve"> not only are </w:t>
      </w:r>
      <w:r w:rsidRPr="00A6280C">
        <w:rPr>
          <w:rStyle w:val="StyleUnderline"/>
        </w:rPr>
        <w:t>officers guided to seeing applicants as risks</w:t>
      </w:r>
      <w:r w:rsidRPr="003476E5">
        <w:rPr>
          <w:sz w:val="8"/>
        </w:rPr>
        <w:t xml:space="preserve">, they are discoursed to fulfill a duty and responsibility to protect Canada and Canadians. </w:t>
      </w:r>
      <w:r w:rsidRPr="008E3C04">
        <w:rPr>
          <w:rStyle w:val="StyleUnderline"/>
        </w:rPr>
        <w:t>Such language also plays up the discourses of the “</w:t>
      </w:r>
      <w:r w:rsidRPr="008E3C04">
        <w:rPr>
          <w:rStyle w:val="Emphasis"/>
        </w:rPr>
        <w:t>Others” as threats</w:t>
      </w:r>
      <w:r w:rsidRPr="003476E5">
        <w:rPr>
          <w:sz w:val="8"/>
        </w:rPr>
        <w:t xml:space="preserve"> to Canada; I return to this subject later in the discussion. This finding about the emphasis on risk and protection can be further illustrated through an examination not only of the language but also of the objectives of the documents, all of which identify protection from risk as an important guiding element to determine admissibility and inadmissibility. The following are excerpts from the program objectives outlined in documents ENF 1; similar objectives are highlighted in ENF 2 and ENF 3: ● To protect the health and safety of Canadians and to maintain the security of Canadian society ● To promote international justice and security by fostering respect for human rights and by denying access to Canadian territory to persons who are criminals or security risks (ENF 1, p. 3). Another illustration is found in the criteria defining the role of the Minister of Public Safety and Emergency Preparedness in document ENF 2: applicants must prove to the Minister that their “presence in Canada would not be detrimental to the national interest” (p. 7). Unlike these discourses concerning risk and protection, if the documents were to reflect human rights and international justice oriented discourses to immigration (as stated in the above objectives), they would consider protection of all those involved in the immigration process, including applicants with disabilities, and not simply begin with an assumption of risk posed by applicants from whom Canadians need protection. The above excerpts allude to the idea that the starting point to process applications is to rule out inadmissibility, and applicants can be admissible only if they manage to provide grounds that support their admissibility claims. They are potentially admissible only once they have been sifted through a series of examinations to prove that they do not pose potential criminal, medical, or security threats to Canada as noted in the criteria listed in ENF 2 (p. 4). </w:t>
      </w:r>
      <w:r w:rsidRPr="001B3442">
        <w:rPr>
          <w:rStyle w:val="StyleUnderline"/>
        </w:rPr>
        <w:t>The heavy emphasis on risk and protection discourses is problematic</w:t>
      </w:r>
      <w:r>
        <w:rPr>
          <w:rStyle w:val="StyleUnderline"/>
        </w:rPr>
        <w:t xml:space="preserve"> </w:t>
      </w:r>
      <w:r w:rsidRPr="001B3442">
        <w:rPr>
          <w:rStyle w:val="StyleUnderline"/>
        </w:rPr>
        <w:t>for several reasons</w:t>
      </w:r>
      <w:r w:rsidRPr="003476E5">
        <w:rPr>
          <w:sz w:val="8"/>
        </w:rPr>
        <w:t xml:space="preserve">. First, </w:t>
      </w:r>
      <w:r w:rsidRPr="001B3442">
        <w:rPr>
          <w:rStyle w:val="StyleUnderline"/>
        </w:rPr>
        <w:t>these</w:t>
      </w:r>
      <w:r w:rsidRPr="003476E5">
        <w:rPr>
          <w:sz w:val="8"/>
        </w:rPr>
        <w:t xml:space="preserve"> </w:t>
      </w:r>
      <w:r w:rsidRPr="001B3442">
        <w:rPr>
          <w:rStyle w:val="StyleUnderline"/>
        </w:rPr>
        <w:t>discourses</w:t>
      </w:r>
      <w:r w:rsidRPr="003476E5">
        <w:rPr>
          <w:sz w:val="8"/>
        </w:rPr>
        <w:t xml:space="preserve"> </w:t>
      </w:r>
      <w:r w:rsidRPr="001B3442">
        <w:rPr>
          <w:rStyle w:val="StyleUnderline"/>
        </w:rPr>
        <w:t>reinforce and reflect the idea</w:t>
      </w:r>
      <w:r>
        <w:rPr>
          <w:rStyle w:val="StyleUnderline"/>
        </w:rPr>
        <w:t xml:space="preserve"> </w:t>
      </w:r>
      <w:r w:rsidRPr="001B3442">
        <w:rPr>
          <w:rStyle w:val="StyleUnderline"/>
        </w:rPr>
        <w:t>that Canada stands as a unified nation that rallies behind being protected</w:t>
      </w:r>
      <w:r>
        <w:rPr>
          <w:rStyle w:val="StyleUnderline"/>
        </w:rPr>
        <w:t xml:space="preserve"> </w:t>
      </w:r>
      <w:r w:rsidRPr="001B3442">
        <w:rPr>
          <w:rStyle w:val="StyleUnderline"/>
        </w:rPr>
        <w:t>from potential risks and dangers assumed to be posed</w:t>
      </w:r>
      <w:r w:rsidRPr="003476E5">
        <w:rPr>
          <w:sz w:val="8"/>
        </w:rPr>
        <w:t xml:space="preserve"> by immigration applicants (</w:t>
      </w:r>
      <w:proofErr w:type="spellStart"/>
      <w:r w:rsidRPr="003476E5">
        <w:rPr>
          <w:sz w:val="8"/>
        </w:rPr>
        <w:t>Thobani</w:t>
      </w:r>
      <w:proofErr w:type="spellEnd"/>
      <w:r w:rsidRPr="003476E5">
        <w:rPr>
          <w:sz w:val="8"/>
        </w:rPr>
        <w:t xml:space="preserve">, 2000). </w:t>
      </w:r>
      <w:r w:rsidRPr="001B3442">
        <w:rPr>
          <w:rStyle w:val="StyleUnderline"/>
        </w:rPr>
        <w:t>This allows for violations of human rights, ableism,</w:t>
      </w:r>
      <w:r>
        <w:rPr>
          <w:rStyle w:val="StyleUnderline"/>
        </w:rPr>
        <w:t xml:space="preserve"> </w:t>
      </w:r>
      <w:r w:rsidRPr="001B3442">
        <w:rPr>
          <w:rStyle w:val="StyleUnderline"/>
        </w:rPr>
        <w:t>racism, and neocolonial policies and practices to be normalized, accepted,</w:t>
      </w:r>
      <w:r>
        <w:rPr>
          <w:rStyle w:val="StyleUnderline"/>
        </w:rPr>
        <w:t xml:space="preserve"> </w:t>
      </w:r>
      <w:r w:rsidRPr="001B3442">
        <w:rPr>
          <w:rStyle w:val="StyleUnderline"/>
        </w:rPr>
        <w:t>and unchallenged</w:t>
      </w:r>
      <w:r w:rsidRPr="003476E5">
        <w:rPr>
          <w:sz w:val="8"/>
        </w:rPr>
        <w:t xml:space="preserve">. These discourses prioritize the protection of Canada and Canadians before addressing any other concerns and at the expense of human-rights protections. There is an implicit idea that Canadian residents or citizens are worthy of being protected. The question here is not to challenge why Canada and Canadians are being protected, but to challenge why protection is not being considered as a universal human right and why applicants are first considered through an inadmissibility lens. Second, </w:t>
      </w:r>
      <w:r w:rsidRPr="001B3442">
        <w:rPr>
          <w:rStyle w:val="StyleUnderline"/>
        </w:rPr>
        <w:t>the overemphasis on risk and protection discourses could</w:t>
      </w:r>
      <w:r>
        <w:rPr>
          <w:rStyle w:val="StyleUnderline"/>
        </w:rPr>
        <w:t xml:space="preserve"> </w:t>
      </w:r>
      <w:r w:rsidRPr="001B3442">
        <w:rPr>
          <w:rStyle w:val="StyleUnderline"/>
        </w:rPr>
        <w:t>serve as a way to discipline resistance attempts to these potentially oppressive</w:t>
      </w:r>
      <w:r>
        <w:rPr>
          <w:rStyle w:val="StyleUnderline"/>
        </w:rPr>
        <w:t xml:space="preserve"> </w:t>
      </w:r>
      <w:r w:rsidRPr="001B3442">
        <w:rPr>
          <w:rStyle w:val="StyleUnderline"/>
        </w:rPr>
        <w:t>policies and practices;</w:t>
      </w:r>
      <w:r w:rsidRPr="003476E5">
        <w:rPr>
          <w:sz w:val="8"/>
        </w:rPr>
        <w:t xml:space="preserve"> attempts to challenge such policies or practices would be delegitimized on the grounds that they could undermine national security and interests due to threats assumed to be posed by potentially inadmissible applicants. Consequently, by being discoursed as potential risks that require every means of protection, immigration applicants may discipline and distance themselves from any category that may hinder or endanger the outcomes of their applications. As Taylor (2004) notes, discourses are used in policies to control the outcomes; in this case, discourses about risk and protection are used to keep “unwanted” immigrants out. However, future research could examine the potential </w:t>
      </w:r>
      <w:proofErr w:type="spellStart"/>
      <w:r w:rsidRPr="003476E5">
        <w:rPr>
          <w:sz w:val="8"/>
        </w:rPr>
        <w:t>counterdiscourses</w:t>
      </w:r>
      <w:proofErr w:type="spellEnd"/>
      <w:r w:rsidRPr="003476E5">
        <w:rPr>
          <w:sz w:val="8"/>
        </w:rPr>
        <w:t xml:space="preserve"> and resistance strategies used every day by such officers. Reinforcing Ableism </w:t>
      </w:r>
      <w:r w:rsidRPr="001B3442">
        <w:rPr>
          <w:rStyle w:val="StyleUnderline"/>
        </w:rPr>
        <w:t xml:space="preserve">The discourses about risk and protection reflect and reinforce a </w:t>
      </w:r>
      <w:r w:rsidRPr="001B3442">
        <w:rPr>
          <w:rStyle w:val="Emphasis"/>
        </w:rPr>
        <w:t>normative</w:t>
      </w:r>
      <w:r>
        <w:rPr>
          <w:rStyle w:val="StyleUnderline"/>
        </w:rPr>
        <w:t xml:space="preserve"> </w:t>
      </w:r>
      <w:r w:rsidRPr="001B3442">
        <w:rPr>
          <w:rStyle w:val="Emphasis"/>
        </w:rPr>
        <w:t>standard</w:t>
      </w:r>
      <w:r w:rsidRPr="001B3442">
        <w:rPr>
          <w:rStyle w:val="StyleUnderline"/>
        </w:rPr>
        <w:t xml:space="preserve"> of </w:t>
      </w:r>
      <w:r w:rsidRPr="001B3442">
        <w:rPr>
          <w:rStyle w:val="Emphasis"/>
        </w:rPr>
        <w:t>health and ability</w:t>
      </w:r>
      <w:r w:rsidRPr="003476E5">
        <w:rPr>
          <w:sz w:val="8"/>
        </w:rPr>
        <w:t xml:space="preserve">, which immigration applicants must meet to be admissible. This standard is echoed in the following criteria stated in ENF 1 and repeated in ENF 2 (p. 24): A foreign national is inadmissible on health grounds if their health condition (a) is likely to be a danger to public health; (b) is likely to be a danger to public safety; or (c) might reasonably be expected to cause excessive demand on health or social services. (ENF 1, p. 5 &amp; pp. 21–22) As the above excerpt demonstrates, there are universal expectations that stipulate health conditions for admissibility: an admissible applicant does not pose any “danger” to the health and safety of Canadians or does not cause any “excessive demand on health and social services.” Once again, we see the discourses concerning risk and protection reinforced in the above excerpt because the focus of admissibility criteria is centered on the idea of danger and unreasonable demands, which is problematic for two reasons. First, because there is no specification of what constitutes danger, and all health conditions are discussed in a homogeneous way, applicants could potentially be inadmissible based on a broad assumption of what constitutes risk. For example, it could be questioned whether people with infectious diseases are treated in the same way as those with stable health conditions or disabilities such as polio. The documents are vague and do not contain specifications about what constitutes danger to public health and safety. Even if we were to accept that the admissibility criteria are framed on the basis of risk and protection, it would be problematic to assume that all people with health conditions can be treated as a homogeneous group. This type of assumption would lead not only to generalizations about inadmissibility but also to erasures of differences and unique experiences as well as to the potential contributions that applicants with various disabilities or health conditions may provide to Canadian society. Second, </w:t>
      </w:r>
      <w:r w:rsidRPr="001C5031">
        <w:rPr>
          <w:rStyle w:val="StyleUnderline"/>
        </w:rPr>
        <w:t>the emphasis on danger is problematic because it could be</w:t>
      </w:r>
      <w:r>
        <w:rPr>
          <w:rStyle w:val="StyleUnderline"/>
        </w:rPr>
        <w:t xml:space="preserve"> </w:t>
      </w:r>
      <w:r w:rsidRPr="001C5031">
        <w:rPr>
          <w:rStyle w:val="StyleUnderline"/>
        </w:rPr>
        <w:t xml:space="preserve">used to reinforce </w:t>
      </w:r>
      <w:proofErr w:type="spellStart"/>
      <w:r w:rsidRPr="001C5031">
        <w:rPr>
          <w:rStyle w:val="Emphasis"/>
        </w:rPr>
        <w:t>sanism</w:t>
      </w:r>
      <w:proofErr w:type="spellEnd"/>
      <w:r w:rsidRPr="003476E5">
        <w:rPr>
          <w:sz w:val="8"/>
        </w:rPr>
        <w:t xml:space="preserve">. </w:t>
      </w:r>
      <w:r w:rsidRPr="001C5031">
        <w:rPr>
          <w:rStyle w:val="StyleUnderline"/>
        </w:rPr>
        <w:t>Based on the construction of people living with</w:t>
      </w:r>
      <w:r>
        <w:rPr>
          <w:rStyle w:val="StyleUnderline"/>
        </w:rPr>
        <w:t xml:space="preserve"> </w:t>
      </w:r>
      <w:r w:rsidRPr="001C5031">
        <w:rPr>
          <w:rStyle w:val="StyleUnderline"/>
        </w:rPr>
        <w:t>mental health histories as being “</w:t>
      </w:r>
      <w:r w:rsidRPr="001C5031">
        <w:rPr>
          <w:rStyle w:val="Emphasis"/>
        </w:rPr>
        <w:t>violent</w:t>
      </w:r>
      <w:r w:rsidRPr="001C5031">
        <w:rPr>
          <w:rStyle w:val="StyleUnderline"/>
        </w:rPr>
        <w:t>” and “</w:t>
      </w:r>
      <w:r w:rsidRPr="001C5031">
        <w:rPr>
          <w:rStyle w:val="Emphasis"/>
        </w:rPr>
        <w:t>unpredictable</w:t>
      </w:r>
      <w:r w:rsidRPr="003476E5">
        <w:rPr>
          <w:sz w:val="8"/>
        </w:rPr>
        <w:t xml:space="preserve">” (Poole at al., 2012), they may be automatically deemed inadmissible because </w:t>
      </w:r>
      <w:r w:rsidRPr="002F152E">
        <w:rPr>
          <w:rStyle w:val="StyleUnderline"/>
        </w:rPr>
        <w:t>they could</w:t>
      </w:r>
      <w:r>
        <w:rPr>
          <w:rStyle w:val="StyleUnderline"/>
        </w:rPr>
        <w:t xml:space="preserve"> </w:t>
      </w:r>
      <w:r w:rsidRPr="002F152E">
        <w:rPr>
          <w:rStyle w:val="StyleUnderline"/>
        </w:rPr>
        <w:t>be assumed to pose an “uncontrollable”</w:t>
      </w:r>
      <w:r w:rsidRPr="003476E5">
        <w:rPr>
          <w:sz w:val="8"/>
        </w:rPr>
        <w:t xml:space="preserve"> (unpredictable) </w:t>
      </w:r>
      <w:r w:rsidRPr="002F152E">
        <w:rPr>
          <w:rStyle w:val="StyleUnderline"/>
        </w:rPr>
        <w:t>risk to public safety.</w:t>
      </w:r>
      <w:r w:rsidRPr="003476E5">
        <w:rPr>
          <w:sz w:val="8"/>
        </w:rPr>
        <w:t xml:space="preserve"> In other words, the lens of risk as seen in the emphasis on danger can actually become a hidden, yet real, barrier for people with mental health histories when they apply to immigrate to Canada. The vaguely and broadly defined health criteria for admissibility would mean that if applicants desire to be admissible, they need to meet health standards that may be impossible for them to attain due to a medical condition or disability. This is problematic because </w:t>
      </w:r>
      <w:r w:rsidRPr="002F152E">
        <w:rPr>
          <w:rStyle w:val="StyleUnderline"/>
        </w:rPr>
        <w:t>health and medical requirements</w:t>
      </w:r>
      <w:r>
        <w:rPr>
          <w:rStyle w:val="StyleUnderline"/>
        </w:rPr>
        <w:t xml:space="preserve"> </w:t>
      </w:r>
      <w:r w:rsidRPr="002F152E">
        <w:rPr>
          <w:rStyle w:val="StyleUnderline"/>
        </w:rPr>
        <w:t>for admissibility could be used as gatekeepers</w:t>
      </w:r>
      <w:r w:rsidRPr="003476E5">
        <w:rPr>
          <w:sz w:val="8"/>
        </w:rPr>
        <w:t xml:space="preserve"> to keep unwanted populations (e.g., people with disabilities) out, despite Canada’s commitments to human rights and international justice. In this case, what becomes evident is a conflict between the articulated commitment to human rights and international justice on the one hand and, on the other hand, the also-stated guidelines that reinforce ableism through the use of risk and protection discourses. In fact, Canada’s commitments to human rights and international justice have been stated clearly in the documents, as the following excerpts indicate: ● ...to promote international justice and security by fostering respect for human rights and by denying access to Canadian territory to persons who are criminals or security risks (ENF 1, p. 3). [Also repeated in ENF 3, p. 4] ...to ensure that decisions taken under the Immigration and Refugee Protection Act are consistent with the Canadian Charter of Rights and Freedoms (ENF 2, p. 4, italics in original text). The contradictions evident in these documents are that human rights really apply only to certain groups (able-bodied applicants with no medical or health conditions). Like Hanes (2009), I would argue that this is ableism and is problematic because it reinforces universal and normative understandings of who is considered to be healthy and, thus, a potentially admissible candidate for immigration. A real commitment to human rights would assume that the only universality is that of human rights, without any caveats or compartmentalization based on body or health status. The only exceptions to the above criteria are related to family sponsorship applicants or refugee claimants, as stated in the document ENF 1. Specifically, the document states that an exception to medical criteria of inadmissibility applies to an applicant who has been determined to be a member of the family class and to be the spouse, common-law partner or child of a sponsor within the meaning of the regulations; has applied for a permanent resident visa as a Convention refugee or a person in similar circumstances (ENF 1, p. 22) However, recent cases documented in the scholarship show that even though there are exceptions to the health requirement as it applies to family sponsorship, people with disabilities have been ordered to leave Canada because they are assumed to potentially pose “excessive” demands (El-</w:t>
      </w:r>
      <w:proofErr w:type="spellStart"/>
      <w:r w:rsidRPr="003476E5">
        <w:rPr>
          <w:sz w:val="8"/>
        </w:rPr>
        <w:t>Lahib</w:t>
      </w:r>
      <w:proofErr w:type="spellEnd"/>
      <w:r w:rsidRPr="003476E5">
        <w:rPr>
          <w:sz w:val="8"/>
        </w:rPr>
        <w:t xml:space="preserve"> &amp; </w:t>
      </w:r>
      <w:proofErr w:type="spellStart"/>
      <w:r w:rsidRPr="003476E5">
        <w:rPr>
          <w:sz w:val="8"/>
        </w:rPr>
        <w:t>Wehbi</w:t>
      </w:r>
      <w:proofErr w:type="spellEnd"/>
      <w:r w:rsidRPr="003476E5">
        <w:rPr>
          <w:sz w:val="8"/>
        </w:rPr>
        <w:t xml:space="preserve">, 2012; Ethno-Racial People with Disabilities Coalition, 2005; Hanes, 2009). This idea reminds us of </w:t>
      </w:r>
      <w:proofErr w:type="spellStart"/>
      <w:r w:rsidRPr="003476E5">
        <w:rPr>
          <w:sz w:val="8"/>
        </w:rPr>
        <w:t>Thobani’s</w:t>
      </w:r>
      <w:proofErr w:type="spellEnd"/>
      <w:r w:rsidRPr="003476E5">
        <w:rPr>
          <w:sz w:val="8"/>
        </w:rPr>
        <w:t xml:space="preserve"> (2007) critique that racism has been evident in immigration policies through the perpetuation of assumptions that immigrants may be abusing Canadian “generosity.” In addition to </w:t>
      </w:r>
      <w:r w:rsidRPr="002F152E">
        <w:rPr>
          <w:rStyle w:val="StyleUnderline"/>
        </w:rPr>
        <w:t>standardized and normative ideas about health and ability</w:t>
      </w:r>
      <w:r w:rsidRPr="003476E5">
        <w:rPr>
          <w:sz w:val="8"/>
        </w:rPr>
        <w:t xml:space="preserve"> as requirements for admissibility, the documents are problematic because they reinforce dominant discourses concerning dependency and care that shape and define the marginalizing experiences of people with disabilities. Even though people with disabilities are not specifically named in the documents, they are potentially inadmissible if they are assumed to pose excessive demands on the social and health services system (Hanes, 2009). Furthermore, this assumption reflects and reinforces the discourses about dependency and care that shape the ways in which people with disabilities are seen in the policy and in the public spheres (Chapman, 2012; Fine &amp; </w:t>
      </w:r>
      <w:proofErr w:type="spellStart"/>
      <w:r w:rsidRPr="003476E5">
        <w:rPr>
          <w:sz w:val="8"/>
        </w:rPr>
        <w:t>Glendinning</w:t>
      </w:r>
      <w:proofErr w:type="spellEnd"/>
      <w:r w:rsidRPr="003476E5">
        <w:rPr>
          <w:sz w:val="8"/>
        </w:rPr>
        <w:t>, 2005; Poole et al., 2012). This is clearly evident in the following excerpt from ENF 1 (repeated again in ENF 2, p. 28): Foreign nationals are inadmissible for financial reasons if they are or will be unable or unwilling to support themselves or any other person who is dependent on them and have not satisfied an officer that adequate arrangement for care and support, other than those that involve social assistance, have been made (ENF 1, p. 5). As noted above, applicants with disabilities have been rejected, whether or not they have satisfied support requirements and even though this is in violation of Supreme Court decisions on immigration cases involving applicants with disabilities (El-</w:t>
      </w:r>
      <w:proofErr w:type="spellStart"/>
      <w:r w:rsidRPr="003476E5">
        <w:rPr>
          <w:sz w:val="8"/>
        </w:rPr>
        <w:t>Lahib</w:t>
      </w:r>
      <w:proofErr w:type="spellEnd"/>
      <w:r w:rsidRPr="003476E5">
        <w:rPr>
          <w:sz w:val="8"/>
        </w:rPr>
        <w:t xml:space="preserve"> &amp; </w:t>
      </w:r>
      <w:proofErr w:type="spellStart"/>
      <w:r w:rsidRPr="003476E5">
        <w:rPr>
          <w:sz w:val="8"/>
        </w:rPr>
        <w:t>Wehbi</w:t>
      </w:r>
      <w:proofErr w:type="spellEnd"/>
      <w:r w:rsidRPr="003476E5">
        <w:rPr>
          <w:sz w:val="8"/>
        </w:rPr>
        <w:t>, 2012; Hanes, 2009). Moreover, not only are applicants with disabilities seen to be a burden on Canadian health and social service systems, the documents position them as being the reasons for the inadmissibility of their family members, as the examples of family inadmissibility provided below demonstrate: The principal applicant is inadmissible because of the inadmissibility of a family member.(...) Example: A father, who is in Canada, applies to remain in Canada as a permanent resident and his dependent son, who is abroad, is inadmissible (ENF 3, p. 16). I would argue that these excerpts reflect discourses that portray “inadmissible dependents,” a category presumed to include people with disabilities as burdens of care on their families. It is interesting that if an applicant changes her or his application category (i.e., from a permanent residency application to a temporary visa), the medical conditions may no longer create barriers for admissibility, as the following excerpt indicates: An applicant inadmissible as a permanent resident may not be inadmissible as a temporary resident. A permanent resident may require services that a temporary resident with the same condition would not require. An officer cannot use the results of a permanent resident’s examination to refuse an application for temporary entry into Canada. When an applicant changes categories, an officer must review the medical examination results for the new category. When a medical notification for the new category is received, an officer may then make a decision (ENF 2, p. 28). The emphasis here is on the requirement of services, and thus the fear that applicants admitted to Canada may place excessive demands on social and health services. Should they request only temporary stays in the country, the assumption is that they would not be dependent on services and thus, potentially, admissible. This further reflects the discourses about risk and protection through the idea that these documents, which operationalize government policy, assume the role to protect Canadians from the risk of overuse of health and social service systems by potential immigrants. Reinforcing Racism and Neocolonialism Relying on a postcolonial theoretical framework to inform critical discourse analysis revealed two indirect ways in which neocolonialism is apparent in discourses about risk and protection, namely, reinforcing the colonial divide between the global North and South and the construction of the “Other” as a threat to Canada. Reinforcing the colonial divide refers to the idea that inadmissibility is constructed in a way that reflects colonial discourses about democracy and the security risks potentially posed by applicants from countries deemed to be undemocratic, as the following excerpt demonstrates: A permanent resident or a foreign national is inadmissible on security grounds for engaging in an act of espionage or an act of subversion against a democratic government, institution or process as they are understood in Canada (ENF 1, p. 3). The above excerpt is problematic because it is centered on colonial discourses that divide the world into “democratic” and “civilized” countries on the one hand and “undemocratic” and “uncivilized” on the other (</w:t>
      </w:r>
      <w:proofErr w:type="spellStart"/>
      <w:r w:rsidRPr="003476E5">
        <w:rPr>
          <w:sz w:val="8"/>
        </w:rPr>
        <w:t>Razack</w:t>
      </w:r>
      <w:proofErr w:type="spellEnd"/>
      <w:r w:rsidRPr="003476E5">
        <w:rPr>
          <w:sz w:val="8"/>
        </w:rPr>
        <w:t xml:space="preserve">, 2004). In addition, the above excerpt indicates that democracy is defined by Canadian (Western) standards. In fact, in assessing the inadmissibility of an applicant based on “national interest considerations,” immigration officers are directed in ENF 2 to ask the following question: “Has the person adopted the democratic values of Canadian society?” (p. 58). The above question is problematic because it reinforces the colonial divide and attempts to regulate the actions of immigration officers. Bush (2006) notes that the history of colonialism as well as contemporary neocolonial practices are based on the idea that the North defines and exports democracy and civilization to the global South. Hence, applicants are inadmissible when they are seen to violate Canadian standards of democracy and, in fact, are judged based on their “attitude towards the rule of law and democratic institutions, as they are understood in Canada” (ENF 2, pp. 58–59). It is interesting that acts of espionage or terrorism or human rights violations can be overcome if immigration applicants can show that they can be “rehabilitated” and serve Canadian national interests, as the following excerpt from ENF 2 (p. 56) shows: Persons who have engaged in acts involving espionage, terrorism, human rights violations and subversion, and members of organizations engaged in such activities including organized crime, are inadmissible to Canada. The ground of inadmissibility may be overcome if the Minister of PSEP is satisfied that their entry into Canada is not contrary to the national interest This would mean that if applicants are not assessed to be violating these standards, they may be admissible even if they have been involved in acts of espionage, terrorism, human rights violations, and subversion, as long as they can satisfy the “Minister of PSEP that their presence in Canada would not be detrimental to the national interest” (ENF 1, p. 6; ENF 2, p. 56). In other words, engaging in such acts by itself is not a ground for inadmissibility unless it is against a “democratic” government or harms Canadian national interests. What is problematic is that immigration applicants are admissible only if they meet these value standards, and because freedom of belief is a basic human right, the rights of immigration applicants are threatened when they have to adopt Canada-defined values in order for them to be admissible. Furthermore, the colonial divide is reinforced through the use of sanctions in determining inadmissibility, as can be seen in the following excerpt that outlines who is inadmissible based on “violating human or international rights”: ...persons who, other than permanent residents, are nationals or representatives of a government or country against which Canada has imposed, or has agreed to impose, sanctions in concert with an international organization of states or association of states of which Canada is a member. (ENF 2, p. 21, emphasis in original text). Continuing with a postcolonial analysis, it is important to examine the history of sanction practices and to which countries they have been applied as well as those that have benefited from these sanctions and utilized them to serve neocolonial and imperial interests. The history of sanction records indicates that they have targeted global South countries that oppose the political domination of the West (Bush, 2006; Harding, 2007). In a contemporary example, Harding (2007) notes that sanctions such as those applied against Iraq have served US national interests, have deprived the most marginalized in Iraqi society of access to basic life necessities, and have exacerbated social problems. In addition to reinforcing the colonial divide, the documents also portray the “Other” as a threat to Canada and Canadians. This can be seen in the overall discourses concerning risk and protection that are reinforced through the documents; these discourses do not occur in a vacuum (Gill, 2002) but within a context of North/South power relations that is shaped by constructions of the “Other” as a threat to security and safety (e.g., through acts of terrorism; see </w:t>
      </w:r>
      <w:proofErr w:type="spellStart"/>
      <w:r w:rsidRPr="003476E5">
        <w:rPr>
          <w:sz w:val="8"/>
        </w:rPr>
        <w:t>Razack</w:t>
      </w:r>
      <w:proofErr w:type="spellEnd"/>
      <w:r w:rsidRPr="003476E5">
        <w:rPr>
          <w:sz w:val="8"/>
        </w:rPr>
        <w:t xml:space="preserve">, 2008). In fact, the inadmissible “Other” is constructed as a threat to Canadian values of democracy, national interest, and health and social services, as well as to public safety and security. When the “Other” is constructed as a risk that requires that Canadians be protected from, once again, there is a repeat of the process of colonial constructions of The Inadmissible “Other” 223 the “Other” as a threat that needs to be subdued, as the history of colonial civilizing missions demonstrates (Bush, 2006). Bringing together the analyses in terms of ableism and neocolonialism, I would argue that the documents facilitate the inadmissibility of people with disabilities or with health conditions from the global South. Not only do these applicants have to prove that they are medically admissible, do not pose a risk to health and social services, and will not present a burden of care, but they also need to demonstrate that they adhere to Canada-defined values of democracy and thus pose no security threat. In other words, although these documents do not target specific populations by name (i.e., people with disabilities or people with health conditions from the global South), the intersection of risk discourses that clearly privilege Western values, combined with dominant health discourses that emphasize certain abilities, leads potentially to a situation that marginalizes specific social groups and prevents them from being admissible. Future research would do well to understand better the process of marginalization that shapes the experiences of inadmissible social groups in Canadian immigration. CONCLUSION This article examines how ableism, racism, and neocolonialism shape the construction of admissibility or inadmissibility of immigration applicants. Findings demonstrate how discourses about risk and protection could potentially shape the experiences of people with disabilities. I would argue that we need to begin by challenging these discourses; they shape social policy as well as the practices of social work and other helping professions. Specifically, discourses about risk and protection are detrimental because they emphasize impairment and dependency. For example, the overemphasis in social work on medical discourses needs to be challenged in favor of a social justice understanding of immigration issues (Carey, 2003; Furman, Negi, &amp; </w:t>
      </w:r>
      <w:proofErr w:type="spellStart"/>
      <w:r w:rsidRPr="003476E5">
        <w:rPr>
          <w:sz w:val="8"/>
        </w:rPr>
        <w:t>Cisernos</w:t>
      </w:r>
      <w:proofErr w:type="spellEnd"/>
      <w:r w:rsidRPr="003476E5">
        <w:rPr>
          <w:sz w:val="8"/>
        </w:rPr>
        <w:t xml:space="preserve">-Howard, 2008). This is relevant in the cases of people with disabilities because, as several scholars argue, mainstream social work practice has tended to adopt medicalizing discourses and a “pathologizing orientation” (Reid &amp; Poole, 2013, p. 210), that need to be replaced by more empowering frameworks (Stainton, Chenoweth, &amp; </w:t>
      </w:r>
      <w:proofErr w:type="spellStart"/>
      <w:r w:rsidRPr="003476E5">
        <w:rPr>
          <w:sz w:val="8"/>
        </w:rPr>
        <w:t>Bigby</w:t>
      </w:r>
      <w:proofErr w:type="spellEnd"/>
      <w:r w:rsidRPr="003476E5">
        <w:rPr>
          <w:sz w:val="8"/>
        </w:rPr>
        <w:t>, 2010; Stevens, 2008). This is sufficiently problematic on its own, but when paired with discourses about risk and protection, the issue becomes that social workers exercising their professional (and national) duty could be “disciplined”—as per Foucault’s (1991) concept of governmentality—to see people with disabilities through a lens that constructs them as potential threats, which is the focus of another paper in progress that is based on this study. In terms of policy, social workers need to be involved not as implementers of existing policies but as advocates for change to immigration 224 Y. El-</w:t>
      </w:r>
      <w:proofErr w:type="spellStart"/>
      <w:r w:rsidRPr="003476E5">
        <w:rPr>
          <w:sz w:val="8"/>
        </w:rPr>
        <w:t>Lahib</w:t>
      </w:r>
      <w:proofErr w:type="spellEnd"/>
      <w:r w:rsidRPr="003476E5">
        <w:rPr>
          <w:sz w:val="8"/>
        </w:rPr>
        <w:t xml:space="preserve"> legislation and policies (Furman et al., 2008; Humphries, 2004). This requires a shift from focusing only on individualized advocacy to engaging also in broad-based activism (Ross, 2011; Smith, 2011) that takes global issues into account so as to challenge oppression embedded in laws, policies, and organizational practices (</w:t>
      </w:r>
      <w:proofErr w:type="spellStart"/>
      <w:r w:rsidRPr="003476E5">
        <w:rPr>
          <w:sz w:val="8"/>
        </w:rPr>
        <w:t>Wehbi</w:t>
      </w:r>
      <w:proofErr w:type="spellEnd"/>
      <w:r w:rsidRPr="003476E5">
        <w:rPr>
          <w:sz w:val="8"/>
        </w:rPr>
        <w:t>, 2010). Social workers need to politicize and familiarize themselves with the history of ableism, racism, and colonialism in immigration and how they are implicated in this process through their practice. Moreover, this study points to the need for future research into the intersection of immigration and disability. A future direction of research should consider understandings of disability that have been theorized in the global South as a basis that complements theorizing that has been developed in the global North. There is room to bring various understandings of disability to enrich each other in future research projects examining the immigration experiences of people with disabilities from the global South. Another future research direction could be to examine how the construction of inadmissibility shapes not only the experiences of applicants with disabilities from the global South but also those of settlement workers, immigration officers, and immigration activists. Such research could deepen our understanding of the impacts of discourses on workers and how they have resisted or potentially could resist oppressive discourses in their practices. This research would be important in challenging the historical role that social work as a profession has played in maintaining oppressive relationships and would contribute to challenging discourses about ableism, racism, and neocolonialism in immigration policies as the bases for progressive social services and anti-oppressive social work practice.</w:t>
      </w:r>
    </w:p>
    <w:p w:rsidR="00CC563F" w:rsidRPr="00B55AD5" w:rsidRDefault="00CC563F" w:rsidP="00CC563F"/>
    <w:p w:rsidR="00CC563F" w:rsidRPr="00CC563F" w:rsidRDefault="00CC563F" w:rsidP="00CC563F"/>
    <w:p w:rsidR="00CB2002" w:rsidRDefault="00CB2002" w:rsidP="00CB2002">
      <w:pPr>
        <w:pStyle w:val="Heading3"/>
      </w:pPr>
      <w:r>
        <w:t xml:space="preserve">AT: Stare Decisis – No Legitimacy </w:t>
      </w:r>
    </w:p>
    <w:p w:rsidR="00CB2002" w:rsidRPr="00CB2002" w:rsidRDefault="00CB2002" w:rsidP="00CB2002">
      <w:pPr>
        <w:pStyle w:val="Heading4"/>
      </w:pPr>
      <w:r w:rsidRPr="00CB2002">
        <w:t>Supreme court Legitimacy is low now- trumps election and Gorsuch prove</w:t>
      </w:r>
    </w:p>
    <w:p w:rsidR="00CB2002" w:rsidRPr="009E3C12" w:rsidRDefault="00CB2002" w:rsidP="00CB2002">
      <w:r w:rsidRPr="009E3C12">
        <w:t xml:space="preserve">David E. </w:t>
      </w:r>
      <w:proofErr w:type="spellStart"/>
      <w:r w:rsidRPr="00CB2002">
        <w:rPr>
          <w:b/>
        </w:rPr>
        <w:t>DeCosse</w:t>
      </w:r>
      <w:proofErr w:type="spellEnd"/>
      <w:r w:rsidRPr="009E3C12">
        <w:t xml:space="preserve"> </w:t>
      </w:r>
      <w:r>
        <w:t xml:space="preserve"> 02/01/</w:t>
      </w:r>
      <w:r w:rsidRPr="00CB2002">
        <w:rPr>
          <w:b/>
        </w:rPr>
        <w:t>17</w:t>
      </w:r>
      <w:r>
        <w:t xml:space="preserve"> [</w:t>
      </w:r>
      <w:r w:rsidRPr="009E3C12">
        <w:t xml:space="preserve">David E. </w:t>
      </w:r>
      <w:proofErr w:type="spellStart"/>
      <w:r w:rsidRPr="009E3C12">
        <w:t>DeCosse</w:t>
      </w:r>
      <w:proofErr w:type="spellEnd"/>
      <w:r w:rsidRPr="009E3C12">
        <w:t xml:space="preserve"> directs ethics programs at </w:t>
      </w:r>
      <w:proofErr w:type="spellStart"/>
      <w:r w:rsidRPr="009E3C12">
        <w:t>Markkula</w:t>
      </w:r>
      <w:proofErr w:type="spellEnd"/>
      <w:r w:rsidRPr="009E3C12">
        <w:t xml:space="preserve"> Center for Applied Ethics at Santa Clara University.</w:t>
      </w:r>
      <w:r>
        <w:t xml:space="preserve"> “</w:t>
      </w:r>
      <w:r w:rsidRPr="009E3C12">
        <w:t>Legitimacy of the Supreme Court harmed</w:t>
      </w:r>
      <w:r>
        <w:t>”</w:t>
      </w:r>
      <w:r w:rsidRPr="009E3C12">
        <w:t xml:space="preserve"> http://www.sfchronicle.com/opinion/openforum/article/Legitimacy-of-the-Supreme-Court-harmed-10901673.php</w:t>
      </w:r>
      <w:r>
        <w:t xml:space="preserve"> </w:t>
      </w:r>
      <w:proofErr w:type="spellStart"/>
      <w:r>
        <w:t>rs</w:t>
      </w:r>
      <w:proofErr w:type="spellEnd"/>
      <w:r>
        <w:t>]</w:t>
      </w:r>
    </w:p>
    <w:p w:rsidR="00CB2002" w:rsidRPr="00E32412" w:rsidRDefault="00CB2002" w:rsidP="00CB2002">
      <w:pPr>
        <w:rPr>
          <w:sz w:val="14"/>
        </w:rPr>
      </w:pPr>
      <w:r w:rsidRPr="009E3C12">
        <w:rPr>
          <w:rStyle w:val="StyleUnderline"/>
        </w:rPr>
        <w:t>With the nomination of Donald Trump’s pick, Neil Gorsuch, to the U.S. Supreme Court, it’s time to acknowledge one other casualty of our divisive presidential election: the wounded legitimacy of the Supreme Court itself</w:t>
      </w:r>
      <w:r w:rsidRPr="00E32412">
        <w:rPr>
          <w:sz w:val="14"/>
        </w:rPr>
        <w:t xml:space="preserve">. The sin at the heart of the matter was committed before the election: The Senate Republicans’ unprecedented nonresponse to President Barack Obama’s nominee for the vacancy created by the death of Justice Antonin Scalia — Merrick Garland. You don’t have to be a constitutional lawyer to find the arguments in favor of this nonresponse to be preposterously partisan — and the very opposite of the fairness demanded by the Constitution. Despite the well-established practice in treating the nominees of a president to a hearing, the Senate Republicans kept churning up reasons for inaction that were transparent excuses for partisan motives. </w:t>
      </w:r>
      <w:r w:rsidRPr="009E3C12">
        <w:rPr>
          <w:rStyle w:val="StyleUnderline"/>
        </w:rPr>
        <w:t>We have to stop and consider the lasting implications for the court’s legitimacy of this do-nothing-ism by the Senate. American moral philosopher John Rawls said that a simple notion underlies what makes democratic political power legitimate — the Golden Rule. That is: When dealing with constitutional essentials, treat other citizens the way you would like to be treated — and assume that others think of themselves as free, equal and sharing in common standards of human reason. We can see how Rawls’ standard challenges the Senate Republicans’ tactic.</w:t>
      </w:r>
      <w:r w:rsidRPr="00E32412">
        <w:rPr>
          <w:sz w:val="14"/>
        </w:rPr>
        <w:t xml:space="preserve"> Assuming reciprocity, why not have the Senate Democrats, the next time they are in the majority, adopt the same tactic: Any GOP president’s nominee for the Supreme Court in an election year, when the majority of the court hangs in the balance, would get no hearing. No Republican would agree to such a principle</w:t>
      </w:r>
      <w:r w:rsidRPr="009E3C12">
        <w:rPr>
          <w:rStyle w:val="Emphasis"/>
        </w:rPr>
        <w:t xml:space="preserve">. </w:t>
      </w:r>
      <w:r w:rsidRPr="009E3C12">
        <w:rPr>
          <w:rStyle w:val="StyleUnderline"/>
        </w:rPr>
        <w:t>And that refusal confirms what is wrong about such an abuse of the Constitution: It violates the fundamental conditions of equality and reciprocity on which legitimacy depends. To be sure, the observance of correct constitutional procedures is a crucial dimension of legitimacy.</w:t>
      </w:r>
      <w:r w:rsidRPr="00E32412">
        <w:rPr>
          <w:sz w:val="14"/>
        </w:rPr>
        <w:t xml:space="preserve"> On such grounds, Trump has a legitimate claim to the presidency. But other, ethical aspects of legitimacy cannot be dismissed out of hand. In </w:t>
      </w:r>
      <w:r w:rsidRPr="009E3C12">
        <w:rPr>
          <w:rStyle w:val="StyleUnderline"/>
        </w:rPr>
        <w:t>the case of the election, these aspects pertain to such matters as the unjust practice of voter suppress</w:t>
      </w:r>
      <w:r w:rsidRPr="00E32412">
        <w:rPr>
          <w:sz w:val="14"/>
        </w:rPr>
        <w:t xml:space="preserve">ion. In the case of the Senate GOP’s refusal to consider Garland, the departure from fair procedures and the spirit of fair play (which sounds quaint but refers to the ethical glue that keeps us as a people bound by the Constitution) erode the basis of legitimacy. In an authoritarian style of government, procedures can be a waste of time — the sort of frivolous concerns of people who don’t get the big picture (like getting our preferred free-marketer or antiabortion supporter on the Supreme Court). But embedded in procedures are fundamental matters of human dignity and the justification of the exercise of political power. If you can’t give citizens reasons that both you and they could accept, then you are breaking faith with the people who constitute the political community. </w:t>
      </w:r>
      <w:r w:rsidRPr="009E3C12">
        <w:rPr>
          <w:rStyle w:val="Emphasis"/>
        </w:rPr>
        <w:t xml:space="preserve">The legitimacy of the Supreme Court likely to take shape in a Trump presidency has been undermined. His election didn’t resolve the problem but perpetuated it. </w:t>
      </w:r>
      <w:r w:rsidRPr="00E32412">
        <w:rPr>
          <w:sz w:val="14"/>
        </w:rPr>
        <w:t>A correction is called for.</w:t>
      </w:r>
    </w:p>
    <w:p w:rsidR="00CB2002" w:rsidRPr="00003E14" w:rsidRDefault="00CB2002" w:rsidP="00CB2002"/>
    <w:p w:rsidR="001C725F" w:rsidRDefault="001C725F" w:rsidP="001C725F">
      <w:pPr>
        <w:pStyle w:val="Heading3"/>
      </w:pPr>
      <w:r>
        <w:t xml:space="preserve">AT: Stare decisis </w:t>
      </w:r>
      <w:r w:rsidR="00003E14">
        <w:t xml:space="preserve">– No Link </w:t>
      </w:r>
    </w:p>
    <w:p w:rsidR="00003E14" w:rsidRDefault="00003E14" w:rsidP="00003E14">
      <w:pPr>
        <w:pStyle w:val="Heading4"/>
      </w:pPr>
      <w:r>
        <w:t xml:space="preserve">The </w:t>
      </w:r>
      <w:proofErr w:type="spellStart"/>
      <w:r>
        <w:t>aff</w:t>
      </w:r>
      <w:proofErr w:type="spellEnd"/>
      <w:r>
        <w:t xml:space="preserve"> isn’t overturning a precedent but simply narrowing it—the key distinctions mean no link </w:t>
      </w:r>
    </w:p>
    <w:p w:rsidR="00003E14" w:rsidRPr="00FF3674" w:rsidRDefault="00003E14" w:rsidP="00003E14">
      <w:r>
        <w:t>Richard M. Re</w:t>
      </w:r>
      <w:r w:rsidRPr="005639A6">
        <w:t xml:space="preserve"> </w:t>
      </w:r>
      <w:r>
        <w:t>14[</w:t>
      </w:r>
      <w:r w:rsidRPr="005639A6">
        <w:t>Assistant Professor, UCLA School of Law.</w:t>
      </w:r>
      <w:r>
        <w:t>”</w:t>
      </w:r>
      <w:r w:rsidRPr="005639A6">
        <w:t xml:space="preserve"> NARROWING PRECEDENT IN THE SUPREME COURT</w:t>
      </w:r>
      <w:r>
        <w:t xml:space="preserve">, </w:t>
      </w:r>
      <w:hyperlink r:id="rId15" w:history="1">
        <w:r w:rsidRPr="002957B0">
          <w:rPr>
            <w:rStyle w:val="Hyperlink"/>
          </w:rPr>
          <w:t>http://columbialawreview.org/wp-content/uploads/2016/04/Re.pdf</w:t>
        </w:r>
      </w:hyperlink>
      <w:r>
        <w:t xml:space="preserve"> </w:t>
      </w:r>
      <w:proofErr w:type="spellStart"/>
      <w:r>
        <w:t>rs</w:t>
      </w:r>
      <w:proofErr w:type="spellEnd"/>
      <w:r>
        <w:t>]</w:t>
      </w:r>
    </w:p>
    <w:p w:rsidR="00003E14" w:rsidRPr="00E32412" w:rsidRDefault="00003E14" w:rsidP="00003E14">
      <w:pPr>
        <w:rPr>
          <w:sz w:val="14"/>
        </w:rPr>
      </w:pPr>
      <w:r w:rsidRPr="00E32412">
        <w:rPr>
          <w:sz w:val="14"/>
        </w:rPr>
        <w:t xml:space="preserve">Correctness. </w:t>
      </w:r>
      <w:r w:rsidRPr="00FF3674">
        <w:rPr>
          <w:rStyle w:val="StyleUnderline"/>
        </w:rPr>
        <w:t xml:space="preserve">— Legitimate narrowing can serve the most basic </w:t>
      </w:r>
      <w:proofErr w:type="spellStart"/>
      <w:r w:rsidRPr="00FF3674">
        <w:rPr>
          <w:rStyle w:val="StyleUnderline"/>
        </w:rPr>
        <w:t>judi</w:t>
      </w:r>
      <w:proofErr w:type="spellEnd"/>
      <w:r w:rsidRPr="00FF3674">
        <w:rPr>
          <w:rStyle w:val="StyleUnderline"/>
        </w:rPr>
        <w:t xml:space="preserve">- </w:t>
      </w:r>
      <w:proofErr w:type="spellStart"/>
      <w:r w:rsidRPr="00FF3674">
        <w:rPr>
          <w:rStyle w:val="StyleUnderline"/>
        </w:rPr>
        <w:t>cial</w:t>
      </w:r>
      <w:proofErr w:type="spellEnd"/>
      <w:r w:rsidRPr="00FF3674">
        <w:rPr>
          <w:rStyle w:val="StyleUnderline"/>
        </w:rPr>
        <w:t xml:space="preserve"> value of all: the value of getting it right. In general, narrowing pre- supposes a belief that a precedent is (or could be) mistaken</w:t>
      </w:r>
      <w:r w:rsidRPr="00E32412">
        <w:rPr>
          <w:sz w:val="14"/>
        </w:rPr>
        <w:t xml:space="preserve">, at least in its reasoning.63 And that kind of first-principles assessment, in turn, </w:t>
      </w:r>
      <w:proofErr w:type="spellStart"/>
      <w:r w:rsidRPr="00E32412">
        <w:rPr>
          <w:sz w:val="14"/>
        </w:rPr>
        <w:t>presup</w:t>
      </w:r>
      <w:proofErr w:type="spellEnd"/>
      <w:r w:rsidRPr="00E32412">
        <w:rPr>
          <w:sz w:val="14"/>
        </w:rPr>
        <w:t xml:space="preserve">- poses a hierarchy of legal authorities wherein precedent is not necessarily at the top. </w:t>
      </w:r>
      <w:r w:rsidRPr="00FF3674">
        <w:rPr>
          <w:rStyle w:val="StyleUnderline"/>
        </w:rPr>
        <w:t xml:space="preserve">A court might believe, for instance, that a precedent supports affirmance, whereas the text of a relevant statute or constitutional </w:t>
      </w:r>
      <w:proofErr w:type="spellStart"/>
      <w:r w:rsidRPr="00FF3674">
        <w:rPr>
          <w:rStyle w:val="StyleUnderline"/>
        </w:rPr>
        <w:t>provi</w:t>
      </w:r>
      <w:proofErr w:type="spellEnd"/>
      <w:r w:rsidRPr="00FF3674">
        <w:rPr>
          <w:rStyle w:val="StyleUnderline"/>
        </w:rPr>
        <w:t xml:space="preserve">- </w:t>
      </w:r>
      <w:proofErr w:type="spellStart"/>
      <w:r w:rsidRPr="00FF3674">
        <w:rPr>
          <w:rStyle w:val="StyleUnderline"/>
        </w:rPr>
        <w:t>sion</w:t>
      </w:r>
      <w:proofErr w:type="spellEnd"/>
      <w:r w:rsidRPr="00FF3674">
        <w:rPr>
          <w:rStyle w:val="StyleUnderline"/>
        </w:rPr>
        <w:t xml:space="preserve"> supports reversal. The resulting tension between legal sources creates the impulse to overrule. Most theories of legitimate overruling accordingly demand that overruling courts have, at a minimum, a </w:t>
      </w:r>
      <w:proofErr w:type="spellStart"/>
      <w:r w:rsidRPr="00FF3674">
        <w:rPr>
          <w:rStyle w:val="StyleUnderline"/>
        </w:rPr>
        <w:t>confi</w:t>
      </w:r>
      <w:proofErr w:type="spellEnd"/>
      <w:r w:rsidRPr="00FF3674">
        <w:rPr>
          <w:rStyle w:val="StyleUnderline"/>
        </w:rPr>
        <w:t>- dent belief that the precedent being overturned is incorrect, including as to its core applications</w:t>
      </w:r>
      <w:r w:rsidRPr="00E32412">
        <w:rPr>
          <w:sz w:val="14"/>
        </w:rPr>
        <w:t xml:space="preserve">.64 In </w:t>
      </w:r>
      <w:r w:rsidRPr="00FF3674">
        <w:rPr>
          <w:rStyle w:val="StyleUnderline"/>
        </w:rPr>
        <w:t>general, courts have only limited authority to act based on their own views of correctness</w:t>
      </w:r>
      <w:r w:rsidRPr="00E32412">
        <w:rPr>
          <w:sz w:val="14"/>
        </w:rPr>
        <w:t xml:space="preserve">. Trial courts and even three-judge appellate panels, for instance, cannot normally overrule prior appellate </w:t>
      </w:r>
      <w:proofErr w:type="spellStart"/>
      <w:r w:rsidRPr="00E32412">
        <w:rPr>
          <w:sz w:val="14"/>
        </w:rPr>
        <w:t>prece</w:t>
      </w:r>
      <w:proofErr w:type="spellEnd"/>
      <w:r w:rsidRPr="00E32412">
        <w:rPr>
          <w:sz w:val="14"/>
        </w:rPr>
        <w:t xml:space="preserve">- dents, even when the trial court or panel is absolutely sure that the precedent was wrongly decided.65 </w:t>
      </w:r>
      <w:r w:rsidRPr="00FF3674">
        <w:rPr>
          <w:rStyle w:val="StyleUnderline"/>
        </w:rPr>
        <w:t xml:space="preserve">By contrast, the Supreme Court (like many other </w:t>
      </w:r>
      <w:proofErr w:type="spellStart"/>
      <w:r w:rsidRPr="00FF3674">
        <w:rPr>
          <w:rStyle w:val="StyleUnderline"/>
        </w:rPr>
        <w:t>en</w:t>
      </w:r>
      <w:proofErr w:type="spellEnd"/>
      <w:r w:rsidRPr="00FF3674">
        <w:rPr>
          <w:rStyle w:val="StyleUnderline"/>
        </w:rPr>
        <w:t xml:space="preserve"> banc appellate courts) always has authority to overrule its own past decisions</w:t>
      </w:r>
      <w:r w:rsidRPr="00E32412">
        <w:rPr>
          <w:sz w:val="14"/>
        </w:rPr>
        <w:t xml:space="preserve">. These settled precepts suggest that </w:t>
      </w:r>
      <w:proofErr w:type="spellStart"/>
      <w:r w:rsidRPr="00E32412">
        <w:rPr>
          <w:sz w:val="14"/>
        </w:rPr>
        <w:t>en</w:t>
      </w:r>
      <w:proofErr w:type="spellEnd"/>
      <w:r w:rsidRPr="00E32412">
        <w:rPr>
          <w:sz w:val="14"/>
        </w:rPr>
        <w:t xml:space="preserve"> banc appellate courts are understood to have greater access to legal correctness than earlier precedent-making courts</w:t>
      </w:r>
      <w:r w:rsidRPr="00FF3674">
        <w:rPr>
          <w:rStyle w:val="StyleUnderline"/>
        </w:rPr>
        <w:t xml:space="preserve">. </w:t>
      </w:r>
      <w:r w:rsidRPr="00FF3674">
        <w:rPr>
          <w:rStyle w:val="Emphasis"/>
        </w:rPr>
        <w:t>That view makes sense. Both earlier and later Supreme Courts have equal legitimacy</w:t>
      </w:r>
      <w:r w:rsidRPr="00FF3674">
        <w:rPr>
          <w:rStyle w:val="StyleUnderline"/>
        </w:rPr>
        <w:t>, expertise, and ability to set nationally uniform rules</w:t>
      </w:r>
      <w:r w:rsidRPr="00E32412">
        <w:rPr>
          <w:sz w:val="14"/>
        </w:rPr>
        <w:t>. The passage of time typically affords later Justices nothing but an advantage—namely, the advantage of greater experience and information.66 The fact that overruling can be legitimate in the Supreme Court provides strong evidence that the smaller step of narrowing can be as well.67 As compared with overruling</w:t>
      </w:r>
      <w:r w:rsidRPr="00FF3674">
        <w:rPr>
          <w:rStyle w:val="StyleUnderline"/>
        </w:rPr>
        <w:t xml:space="preserve">, legitimate narrowing should require a less demanding showing of correctness in two respects. First, narrowing should not generally require the same degree of confidence that </w:t>
      </w:r>
      <w:proofErr w:type="spellStart"/>
      <w:r w:rsidRPr="00FF3674">
        <w:rPr>
          <w:rStyle w:val="StyleUnderline"/>
        </w:rPr>
        <w:t>overrul</w:t>
      </w:r>
      <w:proofErr w:type="spellEnd"/>
      <w:r w:rsidRPr="00FF3674">
        <w:rPr>
          <w:rStyle w:val="StyleUnderline"/>
        </w:rPr>
        <w:t xml:space="preserve">- </w:t>
      </w:r>
      <w:proofErr w:type="spellStart"/>
      <w:r w:rsidRPr="00FF3674">
        <w:rPr>
          <w:rStyle w:val="StyleUnderline"/>
        </w:rPr>
        <w:t>ing</w:t>
      </w:r>
      <w:proofErr w:type="spellEnd"/>
      <w:r w:rsidRPr="00FF3674">
        <w:rPr>
          <w:rStyle w:val="StyleUnderline"/>
        </w:rPr>
        <w:t xml:space="preserve"> does. The reason for this is simple: Once overruled, a negated </w:t>
      </w:r>
      <w:proofErr w:type="spellStart"/>
      <w:r w:rsidRPr="00FF3674">
        <w:rPr>
          <w:rStyle w:val="StyleUnderline"/>
        </w:rPr>
        <w:t>prece</w:t>
      </w:r>
      <w:proofErr w:type="spellEnd"/>
      <w:r w:rsidRPr="00FF3674">
        <w:rPr>
          <w:rStyle w:val="StyleUnderline"/>
        </w:rPr>
        <w:t>- dent can be resuscitated only through another act of overruling. The resulting whiplash would generate substantial reliance costs for affected parties, while also undermining future judicial credibility.68 Narrowing, by contrast, allows a potentially erroneous precedent to survive and, per- haps, to be expanded again, depending on future events.</w:t>
      </w:r>
      <w:r w:rsidRPr="00E32412">
        <w:rPr>
          <w:sz w:val="14"/>
        </w:rPr>
        <w:t xml:space="preserve"> For example, </w:t>
      </w:r>
      <w:r w:rsidRPr="00FF3674">
        <w:rPr>
          <w:rStyle w:val="StyleUnderline"/>
        </w:rPr>
        <w:t xml:space="preserve">a judge who believes that a precedent is wrong might reasonably want to stem the precedent’s damage right away, while also leaving open the </w:t>
      </w:r>
      <w:proofErr w:type="spellStart"/>
      <w:r w:rsidRPr="00FF3674">
        <w:rPr>
          <w:rStyle w:val="StyleUnderline"/>
        </w:rPr>
        <w:t>pos</w:t>
      </w:r>
      <w:proofErr w:type="spellEnd"/>
      <w:r w:rsidRPr="00FF3674">
        <w:rPr>
          <w:rStyle w:val="StyleUnderline"/>
        </w:rPr>
        <w:t xml:space="preserve">- </w:t>
      </w:r>
      <w:proofErr w:type="spellStart"/>
      <w:r w:rsidRPr="00FF3674">
        <w:rPr>
          <w:rStyle w:val="StyleUnderline"/>
        </w:rPr>
        <w:t>sibility</w:t>
      </w:r>
      <w:proofErr w:type="spellEnd"/>
      <w:r w:rsidRPr="00FF3674">
        <w:rPr>
          <w:rStyle w:val="StyleUnderline"/>
        </w:rPr>
        <w:t xml:space="preserve"> of reassessment based on new information at a future time.</w:t>
      </w:r>
      <w:r w:rsidRPr="00E32412">
        <w:rPr>
          <w:sz w:val="14"/>
        </w:rPr>
        <w:t xml:space="preserve">69 That 66. Deference to prior rulings may be appropriate when legally relevant historical practices have grown cloudy with the passage of time. See, e.g., </w:t>
      </w:r>
      <w:proofErr w:type="spellStart"/>
      <w:r w:rsidRPr="00E32412">
        <w:rPr>
          <w:sz w:val="14"/>
        </w:rPr>
        <w:t>Gasperini</w:t>
      </w:r>
      <w:proofErr w:type="spellEnd"/>
      <w:r w:rsidRPr="00E32412">
        <w:rPr>
          <w:sz w:val="14"/>
        </w:rPr>
        <w:t xml:space="preserve"> v. Ctr. for Humanities, Inc., 518 U.S. 415, 457 (1996) (Scalia, J., dissenting) (“[W]e should be hesitant to advance our view of the common law over that of our </w:t>
      </w:r>
      <w:proofErr w:type="spellStart"/>
      <w:r w:rsidRPr="00E32412">
        <w:rPr>
          <w:sz w:val="14"/>
        </w:rPr>
        <w:t>forbears</w:t>
      </w:r>
      <w:proofErr w:type="spellEnd"/>
      <w:r w:rsidRPr="00E32412">
        <w:rPr>
          <w:sz w:val="14"/>
        </w:rPr>
        <w:t xml:space="preserve">, who were far better acquainted with the subject than we are.”). 67. This Essay focuses on constitutional doctrine. Notably, however, stare decisis is sometimes thought to have special force in cases involving statutes, the common law, or private contractual or property rights. See Michigan v. Bay Mills Indian </w:t>
      </w:r>
      <w:proofErr w:type="spellStart"/>
      <w:r w:rsidRPr="00E32412">
        <w:rPr>
          <w:sz w:val="14"/>
        </w:rPr>
        <w:t>Cmty</w:t>
      </w:r>
      <w:proofErr w:type="spellEnd"/>
      <w:r w:rsidRPr="00E32412">
        <w:rPr>
          <w:sz w:val="14"/>
        </w:rPr>
        <w:t xml:space="preserve">., 134 S. Ct. 2024, 2036 (2014) (asserting extra force of stare decisis in those areas). To the extent that overruling is less acceptable in these contexts, narrowing may be as well. 69. The Court’s recent decision in Harris v. Quinn, 134 S. Ct. 2618 (2014), may be an example of this phenomenon. In Harris, the Court heard full briefing on whether to overrule </w:t>
      </w:r>
      <w:proofErr w:type="spellStart"/>
      <w:r w:rsidRPr="00E32412">
        <w:rPr>
          <w:sz w:val="14"/>
        </w:rPr>
        <w:t>Abood</w:t>
      </w:r>
      <w:proofErr w:type="spellEnd"/>
      <w:r w:rsidRPr="00E32412">
        <w:rPr>
          <w:sz w:val="14"/>
        </w:rPr>
        <w:t xml:space="preserve"> v. Detroit Board of Education, 431 U.S. 209 (1977), and thereby recognize a First Amendment right not to contribute to public-sector unions. See Harris, 134 S. Ct. at 2645 (Kagan, J., dissenting). Justice Alito’s opinion for the Court spent over three pages on points that </w:t>
      </w:r>
      <w:proofErr w:type="spellStart"/>
      <w:r w:rsidRPr="00E32412">
        <w:rPr>
          <w:sz w:val="14"/>
        </w:rPr>
        <w:t>Abood</w:t>
      </w:r>
      <w:proofErr w:type="spellEnd"/>
      <w:r w:rsidRPr="00E32412">
        <w:rPr>
          <w:sz w:val="14"/>
        </w:rPr>
        <w:t xml:space="preserve"> “fundamentally misunderstood” and “failed to appreciate.” Id. at 2630–34 (majority opinion). Yet the Court declined to overrule and instead held that </w:t>
      </w:r>
      <w:proofErr w:type="spellStart"/>
      <w:r w:rsidRPr="00E32412">
        <w:rPr>
          <w:sz w:val="14"/>
        </w:rPr>
        <w:t>Abood</w:t>
      </w:r>
      <w:proofErr w:type="spellEnd"/>
      <w:r w:rsidRPr="00E32412">
        <w:rPr>
          <w:sz w:val="14"/>
        </w:rPr>
        <w:t xml:space="preserve"> didn’t “extend” to dual private–public employees. Id. at 2634–38. In arguing that </w:t>
      </w:r>
      <w:proofErr w:type="spellStart"/>
      <w:r w:rsidRPr="00E32412">
        <w:rPr>
          <w:sz w:val="14"/>
        </w:rPr>
        <w:t>Abood</w:t>
      </w:r>
      <w:proofErr w:type="spellEnd"/>
      <w:r w:rsidRPr="00E32412">
        <w:rPr>
          <w:sz w:val="14"/>
        </w:rPr>
        <w:t xml:space="preserve"> was correct and “easily” applied to the facts in Harris, the dissenters framed the majority opinion as an act of narrowing: “Save for an unfortunate hiving off of ostensibly kind of doctrinal experimentation is incompatible with overruling. </w:t>
      </w:r>
      <w:r w:rsidRPr="00FF3674">
        <w:rPr>
          <w:rStyle w:val="StyleUnderline"/>
        </w:rPr>
        <w:t>Second, narrowing should not require a belief that the precedent was wrongly decided as to its core applications.</w:t>
      </w:r>
      <w:r w:rsidRPr="00E32412">
        <w:rPr>
          <w:sz w:val="14"/>
        </w:rPr>
        <w:t xml:space="preserve"> Rather, it is enough if the precedent established an overbroad rule.70 In other words, narrowing may well be appropriate, even if the narrowing judge would have reached the same result as the original precedent. </w:t>
      </w:r>
      <w:r w:rsidRPr="00FF3674">
        <w:rPr>
          <w:rStyle w:val="StyleUnderline"/>
        </w:rPr>
        <w:t xml:space="preserve">2. Practicality. — Practicality means adopting rules that avoid delete- </w:t>
      </w:r>
      <w:proofErr w:type="spellStart"/>
      <w:r w:rsidRPr="00FF3674">
        <w:rPr>
          <w:rStyle w:val="StyleUnderline"/>
        </w:rPr>
        <w:t>rious</w:t>
      </w:r>
      <w:proofErr w:type="spellEnd"/>
      <w:r w:rsidRPr="00FF3674">
        <w:rPr>
          <w:rStyle w:val="StyleUnderline"/>
        </w:rPr>
        <w:t xml:space="preserve"> effects. The paradigmatic practicality concerns are reliance and judicial manageability, which often loom large in tests for legitimate overruling</w:t>
      </w:r>
      <w:r w:rsidRPr="00E32412">
        <w:rPr>
          <w:sz w:val="14"/>
        </w:rPr>
        <w:t xml:space="preserve">.71 Thus, for example, even a judge thoroughly convinced that the Legal Tender Cases were wrongly decided would be unlikely to revisit those decisions,72 since casting doubt on the legality of paper currency might spark a national and even international economic crisis. Though arguments from economics do not normally constitute legal argument, the law of stare decisis is attentive to pragmatic concerns of this kind. Indeed, courts must be attentive, not just to the immediate consequences of eroding case law, but also to the more general instability that comes from repeated disruptions of precedent.73 To some extent, these con- </w:t>
      </w:r>
      <w:proofErr w:type="spellStart"/>
      <w:r w:rsidRPr="00E32412">
        <w:rPr>
          <w:sz w:val="14"/>
        </w:rPr>
        <w:t>cerns</w:t>
      </w:r>
      <w:proofErr w:type="spellEnd"/>
      <w:r w:rsidRPr="00E32412">
        <w:rPr>
          <w:sz w:val="14"/>
        </w:rPr>
        <w:t xml:space="preserve"> are context dependent. In rights cases, for instance, the Court has apparently concluded that personal freedoms outweigh generalized governmental interests, including reliance interests. </w:t>
      </w:r>
      <w:r w:rsidRPr="00FF3674">
        <w:rPr>
          <w:rStyle w:val="StyleUnderline"/>
        </w:rPr>
        <w:t>As a result, the Court has adopted a libertarian bias when it comes to stare decisis, such that practicality concerns are discounted when the Court seeks to over- turn precedents that restrict individual rights.74 Practicality has distinctive implications in the Supreme Court. When lower courts assume the authority to narrow higher-court precedents, several severe practicality problems can result.</w:t>
      </w:r>
      <w:r w:rsidRPr="00E32412">
        <w:rPr>
          <w:sz w:val="14"/>
        </w:rPr>
        <w:t xml:space="preserve"> Perhaps most importantly, different lower courts are likely to narrow in different ways, yielding fragmentation of the doctrinal landscape and all the normal difficulties of national </w:t>
      </w:r>
      <w:proofErr w:type="spellStart"/>
      <w:r w:rsidRPr="00E32412">
        <w:rPr>
          <w:sz w:val="14"/>
        </w:rPr>
        <w:t>disuniformity</w:t>
      </w:r>
      <w:proofErr w:type="spellEnd"/>
      <w:r w:rsidRPr="00E32412">
        <w:rPr>
          <w:sz w:val="14"/>
        </w:rPr>
        <w:t xml:space="preserve">. In addition, each higher-court precedent would be subject to frequent and nearly immediate narrowing by a multi- </w:t>
      </w:r>
      <w:proofErr w:type="spellStart"/>
      <w:r w:rsidRPr="00E32412">
        <w:rPr>
          <w:sz w:val="14"/>
        </w:rPr>
        <w:t>tude</w:t>
      </w:r>
      <w:proofErr w:type="spellEnd"/>
      <w:r w:rsidRPr="00E32412">
        <w:rPr>
          <w:sz w:val="14"/>
        </w:rPr>
        <w:t xml:space="preserve"> of lower courts, thereby undermining public reliance on higher- court rulings. But these difficulties do not arise when the Court narrows. Because its decisions to revisit precedent necessarily sweep in the entire country, the Court can narrow without spawning doctrinal </w:t>
      </w:r>
      <w:proofErr w:type="spellStart"/>
      <w:r w:rsidRPr="00E32412">
        <w:rPr>
          <w:sz w:val="14"/>
        </w:rPr>
        <w:t>fragmenta</w:t>
      </w:r>
      <w:proofErr w:type="spellEnd"/>
      <w:r w:rsidRPr="00E32412">
        <w:rPr>
          <w:sz w:val="14"/>
        </w:rPr>
        <w:t xml:space="preserve">- </w:t>
      </w:r>
      <w:proofErr w:type="spellStart"/>
      <w:r w:rsidRPr="00E32412">
        <w:rPr>
          <w:sz w:val="14"/>
        </w:rPr>
        <w:t>tion</w:t>
      </w:r>
      <w:proofErr w:type="spellEnd"/>
      <w:r w:rsidRPr="00E32412">
        <w:rPr>
          <w:sz w:val="14"/>
        </w:rPr>
        <w:t xml:space="preserve">. And, as a single body that hears only several dozen cases per year, the Court is unlikely to narrow at a rate that would jeopardize reliance </w:t>
      </w:r>
      <w:r w:rsidRPr="00FF3674">
        <w:rPr>
          <w:rStyle w:val="StyleUnderline"/>
        </w:rPr>
        <w:t xml:space="preserve">interests. Moreover, practicality is generally a less pressing concern in </w:t>
      </w:r>
      <w:proofErr w:type="spellStart"/>
      <w:r w:rsidRPr="00FF3674">
        <w:rPr>
          <w:rStyle w:val="StyleUnderline"/>
        </w:rPr>
        <w:t>connec</w:t>
      </w:r>
      <w:proofErr w:type="spellEnd"/>
      <w:r w:rsidRPr="00FF3674">
        <w:rPr>
          <w:rStyle w:val="StyleUnderline"/>
        </w:rPr>
        <w:t xml:space="preserve">- </w:t>
      </w:r>
      <w:proofErr w:type="spellStart"/>
      <w:r w:rsidRPr="00FF3674">
        <w:rPr>
          <w:rStyle w:val="StyleUnderline"/>
        </w:rPr>
        <w:t>tion</w:t>
      </w:r>
      <w:proofErr w:type="spellEnd"/>
      <w:r w:rsidRPr="00FF3674">
        <w:rPr>
          <w:rStyle w:val="StyleUnderline"/>
        </w:rPr>
        <w:t xml:space="preserve"> with narrowing, as compared with overruling. For one thing, narrow- </w:t>
      </w:r>
      <w:proofErr w:type="spellStart"/>
      <w:r w:rsidRPr="00FF3674">
        <w:rPr>
          <w:rStyle w:val="StyleUnderline"/>
        </w:rPr>
        <w:t>ing</w:t>
      </w:r>
      <w:proofErr w:type="spellEnd"/>
      <w:r w:rsidRPr="00FF3674">
        <w:rPr>
          <w:rStyle w:val="StyleUnderline"/>
        </w:rPr>
        <w:t xml:space="preserve"> typically preserves significant aspects of the doctrinal status quo ante75 and so is less likely than overruling to disrupt precedent-based expectations.7</w:t>
      </w:r>
      <w:r w:rsidRPr="00E32412">
        <w:rPr>
          <w:sz w:val="14"/>
        </w:rPr>
        <w:t xml:space="preserve">6 For another thing, </w:t>
      </w:r>
      <w:r w:rsidRPr="00FF3674">
        <w:rPr>
          <w:rStyle w:val="StyleUnderline"/>
        </w:rPr>
        <w:t>the Court itself can more easily reverse course after narrowing, since a decision to narrow tends to signal that a doctrinal area is in flux</w:t>
      </w:r>
      <w:r w:rsidRPr="00E32412">
        <w:rPr>
          <w:sz w:val="14"/>
        </w:rPr>
        <w:t xml:space="preserve">.77 Most importantly, </w:t>
      </w:r>
      <w:r w:rsidRPr="00FF3674">
        <w:rPr>
          <w:rStyle w:val="StyleUnderline"/>
        </w:rPr>
        <w:t>narrowing creates a window for responsive action by private parties, political branches, and courts.7</w:t>
      </w:r>
      <w:r w:rsidRPr="00E32412">
        <w:rPr>
          <w:sz w:val="14"/>
        </w:rPr>
        <w:t xml:space="preserve">8 76. This </w:t>
      </w:r>
      <w:r w:rsidRPr="00FF3674">
        <w:rPr>
          <w:rStyle w:val="StyleUnderline"/>
        </w:rPr>
        <w:t>basic but important point underlies a recent shift in the public commentary regarding narrowing. In its most recent term, the Roberts Court repeatedly passed up opportunities to overrule precedents—causing conservatives to complain and liberals to breathe sighs of relief</w:t>
      </w:r>
      <w:r w:rsidRPr="00E32412">
        <w:rPr>
          <w:sz w:val="14"/>
        </w:rPr>
        <w:t xml:space="preserve">.  catalyze new research, reflection, and creativity in the affected juris- prudential area, while enhancing the Court’s own flexibility to act. In all these respects, narrowing can offer a fruitful form of judicial minimalism.79 Critics often doubt that the Court has either the intent or the ability to learn from the doctrinal uncertainty that narrowing engenders.80 For these skeptical commentators, the Court narrows as an end in itself, so as to obliterate a disfavored precedent. </w:t>
      </w:r>
      <w:r w:rsidRPr="00FF3674">
        <w:rPr>
          <w:rStyle w:val="StyleUnderline"/>
        </w:rPr>
        <w:t xml:space="preserve">But even if it didn’t foster improved </w:t>
      </w:r>
      <w:proofErr w:type="spellStart"/>
      <w:r w:rsidRPr="00FF3674">
        <w:rPr>
          <w:rStyle w:val="StyleUnderline"/>
        </w:rPr>
        <w:t>decisionmaking</w:t>
      </w:r>
      <w:proofErr w:type="spellEnd"/>
      <w:r w:rsidRPr="00FF3674">
        <w:rPr>
          <w:rStyle w:val="StyleUnderline"/>
        </w:rPr>
        <w:t>, narrowing would be objectionable on practicality grounds only if it created significant practical problems.8</w:t>
      </w:r>
      <w:r w:rsidRPr="00E32412">
        <w:rPr>
          <w:sz w:val="14"/>
        </w:rPr>
        <w:t>1 And, usually, the demands of practicality will be met when the Court adopts a reason- able reading of precedent, since both private parties and governmental actors are more likely to rely on a precedent for its central, unambiguous holding. Even if intentional narrowing never occurred, after all, persons who rely on reasonably disputable interpretations of precedent do so while accepting the risk that fallible courts might reasonably go the other way. Moreover, narrowing along the fault line of a prior case’s ambiguity is likely to yield a sensible rule. So it is fair to presume that reasonable interpretations of precedent are practical, too.</w:t>
      </w:r>
    </w:p>
    <w:p w:rsidR="00003E14" w:rsidRDefault="00003E14" w:rsidP="00003E14">
      <w:pPr>
        <w:pStyle w:val="ListParagraph"/>
      </w:pPr>
    </w:p>
    <w:p w:rsidR="00003E14" w:rsidRDefault="00CB2002" w:rsidP="00CB2002">
      <w:pPr>
        <w:pStyle w:val="Heading3"/>
      </w:pPr>
      <w:r>
        <w:t>AT: Stare Decisis – No Legitimacy</w:t>
      </w:r>
    </w:p>
    <w:p w:rsidR="00003E14" w:rsidRDefault="00003E14" w:rsidP="00003E14">
      <w:pPr>
        <w:pStyle w:val="Heading4"/>
      </w:pPr>
      <w:r>
        <w:t xml:space="preserve">Not enough data to know </w:t>
      </w:r>
      <w:r w:rsidR="00CB2002">
        <w:t>if</w:t>
      </w:r>
      <w:r>
        <w:t xml:space="preserve"> legitimacy remains unwavering—prefer </w:t>
      </w:r>
      <w:r w:rsidR="00CB2002">
        <w:t xml:space="preserve">recent </w:t>
      </w:r>
      <w:r>
        <w:t>data and over theor</w:t>
      </w:r>
      <w:r w:rsidR="00CB2002">
        <w:t>y</w:t>
      </w:r>
    </w:p>
    <w:p w:rsidR="00003E14" w:rsidRPr="00681910" w:rsidRDefault="00003E14" w:rsidP="00003E14">
      <w:r>
        <w:t xml:space="preserve"> </w:t>
      </w:r>
      <w:r w:rsidRPr="00C94684">
        <w:rPr>
          <w:rStyle w:val="Style13ptBold"/>
        </w:rPr>
        <w:t>Nelson &amp; Tucker 05/20/17</w:t>
      </w:r>
      <w:r>
        <w:t xml:space="preserve"> [</w:t>
      </w:r>
      <w:r w:rsidRPr="00681910">
        <w:t>Michael J. Nelson</w:t>
      </w:r>
      <w:r>
        <w:t xml:space="preserve"> is an assistant professor in the department of political science at Pennsylvania State University. </w:t>
      </w:r>
      <w:r w:rsidRPr="00681910">
        <w:t>Patrick Tucker</w:t>
      </w:r>
      <w:r>
        <w:t xml:space="preserve"> is a PHD candidate at the department of </w:t>
      </w:r>
      <w:proofErr w:type="spellStart"/>
      <w:r>
        <w:t>Politcal</w:t>
      </w:r>
      <w:proofErr w:type="spellEnd"/>
      <w:r>
        <w:t xml:space="preserve"> Science at Washington University. “</w:t>
      </w:r>
      <w:r w:rsidRPr="00C47472">
        <w:t>The Stability of the U.S. Supreme Court’s Legitimacy</w:t>
      </w:r>
      <w:r>
        <w:t xml:space="preserve">” accessed 06/29/17, </w:t>
      </w:r>
      <w:hyperlink r:id="rId16" w:history="1">
        <w:r w:rsidRPr="00CF47E5">
          <w:rPr>
            <w:rStyle w:val="Hyperlink"/>
          </w:rPr>
          <w:t>http://mjnelson.org/papers/NelsonTuckerPanel.pdf</w:t>
        </w:r>
      </w:hyperlink>
      <w:r>
        <w:t xml:space="preserve"> </w:t>
      </w:r>
      <w:proofErr w:type="spellStart"/>
      <w:r>
        <w:t>rs</w:t>
      </w:r>
      <w:proofErr w:type="spellEnd"/>
      <w:r>
        <w:t>]</w:t>
      </w:r>
    </w:p>
    <w:p w:rsidR="00003E14" w:rsidRDefault="00003E14" w:rsidP="00003E14">
      <w:pPr>
        <w:rPr>
          <w:rStyle w:val="StyleUnderline"/>
        </w:rPr>
      </w:pPr>
      <w:r w:rsidRPr="00E32412">
        <w:rPr>
          <w:sz w:val="14"/>
        </w:rPr>
        <w:t>Even where panel data have been used to study the Court, they cover relatively short periods of time or are not representative of the American people. Of course, a handful of important studies of public opinion and the Court have relied on panel data. Christenson and Glick (2015) used a short, 4-wave panel survey that spanned a month around the Court’s ruling on the Affordable Care Act, and Hoekstra (2000) used panels spanning the time between oral argument in a case and two weeks after the decision to understand local reactions to U.S. Supreme Court decisions</w:t>
      </w:r>
      <w:r w:rsidRPr="008820C1">
        <w:rPr>
          <w:rStyle w:val="StyleUnderline"/>
        </w:rPr>
        <w:t>. While both of 1Recent research (e.g. Gibson and Nelson 2017; Nelson 2018), however, suggests that perceived politicization may pose a uniquely potent threat to the Court’s legitimacy. these studies expanded our understanding of the Court’s support in important ways, neither study is nationally-representative.</w:t>
      </w:r>
      <w:r w:rsidRPr="00E32412">
        <w:rPr>
          <w:sz w:val="14"/>
        </w:rPr>
        <w:t xml:space="preserve"> </w:t>
      </w:r>
      <w:r w:rsidRPr="008820C1">
        <w:rPr>
          <w:rStyle w:val="StyleUnderline"/>
        </w:rPr>
        <w:t xml:space="preserve">To our knowledge, only a single nationally representative panel, that used by Gibson and </w:t>
      </w:r>
      <w:proofErr w:type="spellStart"/>
      <w:r w:rsidRPr="008820C1">
        <w:rPr>
          <w:rStyle w:val="StyleUnderline"/>
        </w:rPr>
        <w:t>Caldeira</w:t>
      </w:r>
      <w:proofErr w:type="spellEnd"/>
      <w:r w:rsidRPr="008820C1">
        <w:rPr>
          <w:rStyle w:val="StyleUnderline"/>
        </w:rPr>
        <w:t xml:space="preserve"> (2009) to study Americans’ support for the Court in the wake of the confirmation hearings for Samuel Alito, has been conducted, and that panel lasted one year</w:t>
      </w:r>
      <w:r w:rsidRPr="00E32412">
        <w:rPr>
          <w:sz w:val="14"/>
        </w:rPr>
        <w:t xml:space="preserve">. As </w:t>
      </w:r>
      <w:r w:rsidRPr="008820C1">
        <w:rPr>
          <w:rStyle w:val="Emphasis"/>
        </w:rPr>
        <w:t>a result, we simply do not know the extent to which any dips or gains in the Court’s support among individuals survive the passage of more than a handful of months.</w:t>
      </w:r>
      <w:r w:rsidRPr="00E32412">
        <w:rPr>
          <w:sz w:val="14"/>
        </w:rPr>
        <w:t xml:space="preserve"> Given that the Court clusters its most important decisions during the month of June (Epstein, </w:t>
      </w:r>
      <w:proofErr w:type="spellStart"/>
      <w:r w:rsidRPr="00E32412">
        <w:rPr>
          <w:sz w:val="14"/>
        </w:rPr>
        <w:t>Landes</w:t>
      </w:r>
      <w:proofErr w:type="spellEnd"/>
      <w:r w:rsidRPr="00E32412">
        <w:rPr>
          <w:sz w:val="14"/>
        </w:rPr>
        <w:t xml:space="preserve"> and Posner 2015), it may be the case that what appear to be meaningful changes in the Court’s support revert to an equilibrium level of support by the time the Court’s next term begins (or, under a more generous theory, until the Court decides important cases again the following June). Indeed, were this the case, </w:t>
      </w:r>
      <w:r w:rsidRPr="008820C1">
        <w:rPr>
          <w:rStyle w:val="Emphasis"/>
        </w:rPr>
        <w:t>support for the Court would appear to change in short-term panel surveys or in experimental settings but would actually be relatively stable over time</w:t>
      </w:r>
      <w:r w:rsidRPr="00E32412">
        <w:rPr>
          <w:sz w:val="14"/>
        </w:rPr>
        <w:t xml:space="preserve">. </w:t>
      </w:r>
      <w:r w:rsidRPr="008820C1">
        <w:rPr>
          <w:rStyle w:val="StyleUnderline"/>
        </w:rPr>
        <w:t xml:space="preserve">Because the Court decides most of its important cases in June of each year, panel surveys that encompass only a single year are unable to assess the sort of change that existing theory predicts will erode diffuse support: a number of displeasing decisions, made over a period of time (Easton 1965; Gibson and </w:t>
      </w:r>
      <w:proofErr w:type="spellStart"/>
      <w:r w:rsidRPr="008820C1">
        <w:rPr>
          <w:rStyle w:val="StyleUnderline"/>
        </w:rPr>
        <w:t>Caldeira</w:t>
      </w:r>
      <w:proofErr w:type="spellEnd"/>
      <w:r w:rsidRPr="008820C1">
        <w:rPr>
          <w:rStyle w:val="StyleUnderline"/>
        </w:rPr>
        <w:t xml:space="preserve"> 1992).</w:t>
      </w:r>
      <w:r w:rsidRPr="00E32412">
        <w:rPr>
          <w:sz w:val="14"/>
        </w:rPr>
        <w:t xml:space="preserve"> Indeed, in thei</w:t>
      </w:r>
      <w:r w:rsidRPr="008820C1">
        <w:rPr>
          <w:rStyle w:val="StyleUnderline"/>
        </w:rPr>
        <w:t xml:space="preserve">r pioneering study of the stability of public opinion toward the Court, </w:t>
      </w:r>
      <w:proofErr w:type="spellStart"/>
      <w:r w:rsidRPr="008820C1">
        <w:rPr>
          <w:rStyle w:val="StyleUnderline"/>
        </w:rPr>
        <w:t>Mondak</w:t>
      </w:r>
      <w:proofErr w:type="spellEnd"/>
      <w:r w:rsidRPr="008820C1">
        <w:rPr>
          <w:rStyle w:val="StyleUnderline"/>
        </w:rPr>
        <w:t xml:space="preserve"> and Smithey (1997) suggest that, for even important cases, the window of opportunity for a decision to affect public support for the court is about one month. At that point, support reverts back to its equilibrium </w:t>
      </w:r>
      <w:proofErr w:type="spellStart"/>
      <w:r w:rsidRPr="008820C1">
        <w:rPr>
          <w:rStyle w:val="StyleUnderline"/>
        </w:rPr>
        <w:t>level</w:t>
      </w:r>
      <w:r w:rsidRPr="00E32412">
        <w:rPr>
          <w:sz w:val="14"/>
        </w:rPr>
        <w:t>.Short</w:t>
      </w:r>
      <w:proofErr w:type="spellEnd"/>
      <w:r w:rsidRPr="00E32412">
        <w:rPr>
          <w:sz w:val="14"/>
        </w:rPr>
        <w:t xml:space="preserve"> panels, therefore, can help us understand whether support for the Court shifts in response to a displeasing decision (or set of decisions), but they are unable to examine the persistence of these effects. And it is persistence that is important: if support for the Court tends to revert back to an equilibrium level, as </w:t>
      </w:r>
      <w:proofErr w:type="spellStart"/>
      <w:r w:rsidRPr="00E32412">
        <w:rPr>
          <w:sz w:val="14"/>
        </w:rPr>
        <w:t>Mondak</w:t>
      </w:r>
      <w:proofErr w:type="spellEnd"/>
      <w:r w:rsidRPr="00E32412">
        <w:rPr>
          <w:sz w:val="14"/>
        </w:rPr>
        <w:t xml:space="preserve"> and Smithey (1997) suggest, then the Court is free to make decisions that anger the American people with relatively impunity. The existence of persistent change in support, however, would suggest that </w:t>
      </w:r>
      <w:r w:rsidRPr="008820C1">
        <w:rPr>
          <w:rStyle w:val="StyleUnderline"/>
        </w:rPr>
        <w:t>the Court’s legitimacy is more malleable than existing theory suggests; the normative implications of either finding are both obvious and important.</w:t>
      </w:r>
      <w:r w:rsidRPr="00E32412">
        <w:rPr>
          <w:sz w:val="14"/>
        </w:rPr>
        <w:t xml:space="preserve"> We take up these challenges in this paper, drawing upon the most comprehensive panel data concerning support for the U.S. Supreme Court ever assembled. </w:t>
      </w:r>
      <w:r w:rsidRPr="008820C1">
        <w:rPr>
          <w:rStyle w:val="StyleUnderline"/>
        </w:rPr>
        <w:t>Tracking attitudes toward the Court 4measured over 11 waves and four years, our data enable us to test hypotheses about change and stability toward the U.S. Supreme Court that have been beyond the capacity of prior research designs to test.</w:t>
      </w:r>
      <w:r w:rsidRPr="00E32412">
        <w:rPr>
          <w:sz w:val="14"/>
        </w:rPr>
        <w:t xml:space="preserve"> </w:t>
      </w:r>
      <w:r w:rsidRPr="008820C1">
        <w:rPr>
          <w:rStyle w:val="StyleUnderline"/>
        </w:rPr>
        <w:t>Our analysis thus enables us to address both micro-level and macro-level change in support for the U.S. Supreme Court over a period of time in which the Court’s rulings have been highly salient in American life, including rulings on the constitutionality of health care reform, voting rights, affirmative action, and same-sex marriage.</w:t>
      </w:r>
      <w:r w:rsidRPr="00E32412">
        <w:rPr>
          <w:sz w:val="14"/>
        </w:rPr>
        <w:t xml:space="preserve"> Moreover, we are able to trace the persistence of any shifts in support, thereby providing some of the first evidence about the extent to which displeasing decisions are actually damaging to the Court. </w:t>
      </w:r>
      <w:r w:rsidRPr="008820C1">
        <w:rPr>
          <w:rStyle w:val="Emphasis"/>
        </w:rPr>
        <w:t>Our analysis reveals a remarkable stability in public support for the Court</w:t>
      </w:r>
      <w:r w:rsidRPr="00E32412">
        <w:rPr>
          <w:sz w:val="14"/>
        </w:rPr>
        <w:t xml:space="preserve">. </w:t>
      </w:r>
      <w:r w:rsidRPr="008820C1">
        <w:rPr>
          <w:rStyle w:val="StyleUnderline"/>
        </w:rPr>
        <w:t>Through a period in time in which the Court issued high profile and highly salient rulings on issues as diverse as the constitutionality of the Affordable Care Act, to the federal constitution’s guarantee of marriage to same-sex couples, to the ability of colleges to use race as a criteria in admissions, to the constitutionality of President Obama’s immigration plan, support for the Court was unwavering</w:t>
      </w:r>
      <w:r w:rsidRPr="00E32412">
        <w:rPr>
          <w:sz w:val="14"/>
        </w:rPr>
        <w:t xml:space="preserve">. Moreover, </w:t>
      </w:r>
      <w:r w:rsidRPr="008820C1">
        <w:rPr>
          <w:rStyle w:val="StyleUnderline"/>
        </w:rPr>
        <w:t>those changes that did occur were minor and predicted by a single factor</w:t>
      </w:r>
      <w:r w:rsidRPr="00E32412">
        <w:rPr>
          <w:sz w:val="14"/>
        </w:rPr>
        <w:t>:</w:t>
      </w:r>
      <w:r w:rsidRPr="008820C1">
        <w:rPr>
          <w:rStyle w:val="StyleUnderline"/>
        </w:rPr>
        <w:t xml:space="preserve"> a respondent’s ideology</w:t>
      </w:r>
      <w:r w:rsidRPr="00E32412">
        <w:rPr>
          <w:sz w:val="14"/>
        </w:rPr>
        <w:t xml:space="preserve">. </w:t>
      </w:r>
      <w:r w:rsidRPr="008820C1">
        <w:rPr>
          <w:rStyle w:val="StyleUnderline"/>
        </w:rPr>
        <w:t>The results should allay fears that a decline in support has weakened the efficacy of the judiciary and instead suggests that the Court’s support may be even more robust than even the most optimistic previous accounts had suggested.</w:t>
      </w:r>
    </w:p>
    <w:p w:rsidR="00CB2002" w:rsidRPr="00CB2002" w:rsidRDefault="00CB2002" w:rsidP="00CB2002">
      <w:pPr>
        <w:pStyle w:val="Heading3"/>
      </w:pPr>
      <w:r>
        <w:t xml:space="preserve">AT: Stare Decisis – No Internal Link </w:t>
      </w:r>
    </w:p>
    <w:p w:rsidR="00003E14" w:rsidRPr="00CB2002" w:rsidRDefault="00003E14" w:rsidP="00CB2002">
      <w:pPr>
        <w:pStyle w:val="Heading4"/>
        <w:rPr>
          <w:rStyle w:val="Style13ptBold"/>
          <w:b/>
        </w:rPr>
      </w:pPr>
      <w:r w:rsidRPr="00CB2002">
        <w:rPr>
          <w:rStyle w:val="Style13ptBold"/>
          <w:b/>
        </w:rPr>
        <w:t xml:space="preserve">The Supreme court remains stable despite major changes </w:t>
      </w:r>
    </w:p>
    <w:p w:rsidR="00003E14" w:rsidRPr="007A5CC6" w:rsidRDefault="00003E14" w:rsidP="00003E14">
      <w:r w:rsidRPr="00C94684">
        <w:rPr>
          <w:rStyle w:val="Style13ptBold"/>
        </w:rPr>
        <w:t>Nelson &amp; Tucker 05/20/17</w:t>
      </w:r>
      <w:r>
        <w:t xml:space="preserve"> [</w:t>
      </w:r>
      <w:r w:rsidRPr="00681910">
        <w:t>Michael J. Nelson</w:t>
      </w:r>
      <w:r>
        <w:t xml:space="preserve"> is an assistant professor in the department of political science at Pennsylvania State University. </w:t>
      </w:r>
      <w:r w:rsidRPr="00681910">
        <w:t>Patrick Tucker</w:t>
      </w:r>
      <w:r>
        <w:t xml:space="preserve"> is a PHD candidate at the department of </w:t>
      </w:r>
      <w:proofErr w:type="spellStart"/>
      <w:r>
        <w:t>Politcal</w:t>
      </w:r>
      <w:proofErr w:type="spellEnd"/>
      <w:r>
        <w:t xml:space="preserve"> Science at Washington University. “</w:t>
      </w:r>
      <w:r w:rsidRPr="00C47472">
        <w:t>The Stability of the U.S. Supreme Court’s Legitimacy</w:t>
      </w:r>
      <w:r>
        <w:t xml:space="preserve">” accessed 06/29/17, </w:t>
      </w:r>
      <w:hyperlink r:id="rId17" w:history="1">
        <w:r w:rsidRPr="00CF47E5">
          <w:rPr>
            <w:rStyle w:val="Hyperlink"/>
          </w:rPr>
          <w:t>http://mjnelson.org/papers/NelsonTuckerPanel.pdf</w:t>
        </w:r>
      </w:hyperlink>
      <w:r>
        <w:t xml:space="preserve"> </w:t>
      </w:r>
      <w:proofErr w:type="spellStart"/>
      <w:r>
        <w:t>rs</w:t>
      </w:r>
      <w:proofErr w:type="spellEnd"/>
      <w:r>
        <w:t>]</w:t>
      </w:r>
    </w:p>
    <w:p w:rsidR="00003E14" w:rsidRPr="00E32412" w:rsidRDefault="00003E14" w:rsidP="00003E14">
      <w:pPr>
        <w:rPr>
          <w:sz w:val="14"/>
        </w:rPr>
      </w:pPr>
      <w:r w:rsidRPr="00E32412">
        <w:rPr>
          <w:sz w:val="14"/>
        </w:rPr>
        <w:t>First, to what extent is the Court’s support stable over time</w:t>
      </w:r>
      <w:r w:rsidRPr="00B94F32">
        <w:rPr>
          <w:rStyle w:val="StyleUnderline"/>
        </w:rPr>
        <w:t>? Support for the Court should stable in the aggregate and at the individual level because it is based primarily upon individual- level fundamental commitments to democratic values</w:t>
      </w:r>
      <w:r w:rsidRPr="00E32412">
        <w:rPr>
          <w:sz w:val="14"/>
        </w:rPr>
        <w:t xml:space="preserve"> (</w:t>
      </w:r>
      <w:proofErr w:type="spellStart"/>
      <w:r w:rsidRPr="00E32412">
        <w:rPr>
          <w:sz w:val="14"/>
        </w:rPr>
        <w:t>Mondak</w:t>
      </w:r>
      <w:proofErr w:type="spellEnd"/>
      <w:r w:rsidRPr="00E32412">
        <w:rPr>
          <w:sz w:val="14"/>
        </w:rPr>
        <w:t xml:space="preserve"> and Smithey 1997; </w:t>
      </w:r>
      <w:proofErr w:type="spellStart"/>
      <w:r w:rsidRPr="00E32412">
        <w:rPr>
          <w:sz w:val="14"/>
        </w:rPr>
        <w:t>Tanenhaus</w:t>
      </w:r>
      <w:proofErr w:type="spellEnd"/>
      <w:r w:rsidRPr="00E32412">
        <w:rPr>
          <w:sz w:val="14"/>
        </w:rPr>
        <w:t xml:space="preserve"> and Murphy 1981). </w:t>
      </w:r>
      <w:r w:rsidRPr="00B94F32">
        <w:rPr>
          <w:rStyle w:val="StyleUnderline"/>
        </w:rPr>
        <w:t>Because these democratic values are themselves unchanging and rooted in childhood socialization into the political process, exposure to displeasing actions by an institution is not enough to change one’s fundamental commitment to the institution</w:t>
      </w:r>
      <w:r w:rsidRPr="00E32412">
        <w:rPr>
          <w:sz w:val="14"/>
        </w:rPr>
        <w:t xml:space="preserve">. As </w:t>
      </w:r>
      <w:proofErr w:type="spellStart"/>
      <w:r w:rsidRPr="00E32412">
        <w:rPr>
          <w:sz w:val="14"/>
        </w:rPr>
        <w:t>Mondak</w:t>
      </w:r>
      <w:proofErr w:type="spellEnd"/>
      <w:r w:rsidRPr="00E32412">
        <w:rPr>
          <w:sz w:val="14"/>
        </w:rPr>
        <w:t xml:space="preserve"> and Smithey (1997) put it: </w:t>
      </w:r>
      <w:r w:rsidRPr="00B94F32">
        <w:rPr>
          <w:rStyle w:val="Emphasis"/>
        </w:rPr>
        <w:t>short term dissatisfactions with the Court’s decisions “do not eradicate a lifetime of political socialization</w:t>
      </w:r>
      <w:r w:rsidRPr="00B94F32">
        <w:rPr>
          <w:rStyle w:val="StyleUnderline"/>
        </w:rPr>
        <w:t>”</w:t>
      </w:r>
      <w:r w:rsidRPr="00E32412">
        <w:rPr>
          <w:sz w:val="14"/>
        </w:rPr>
        <w:t xml:space="preserve"> (1124). The public’s short attention span provides another, more psychological, reason for temporal stability. </w:t>
      </w:r>
      <w:proofErr w:type="spellStart"/>
      <w:r w:rsidRPr="00E32412">
        <w:rPr>
          <w:sz w:val="14"/>
        </w:rPr>
        <w:t>Mondak</w:t>
      </w:r>
      <w:proofErr w:type="spellEnd"/>
      <w:r w:rsidRPr="00E32412">
        <w:rPr>
          <w:sz w:val="14"/>
        </w:rPr>
        <w:t xml:space="preserve"> and Smithey (1997) write that “T</w:t>
      </w:r>
      <w:r w:rsidRPr="00B94F32">
        <w:rPr>
          <w:rStyle w:val="StyleUnderline"/>
        </w:rPr>
        <w:t>he window of opportunity for a decision to affect institutional support stays open only so long as the ruling remains salient in other words, not long at all for most cases.” (1122). After a controversial case is decided, media coverage and public awareness of a decision decline quickl</w:t>
      </w:r>
      <w:r w:rsidRPr="00E32412">
        <w:rPr>
          <w:sz w:val="14"/>
        </w:rPr>
        <w:t xml:space="preserve">y (Franklin and </w:t>
      </w:r>
      <w:proofErr w:type="spellStart"/>
      <w:r w:rsidRPr="00E32412">
        <w:rPr>
          <w:sz w:val="14"/>
        </w:rPr>
        <w:t>Kosaki</w:t>
      </w:r>
      <w:proofErr w:type="spellEnd"/>
      <w:r w:rsidRPr="00E32412">
        <w:rPr>
          <w:sz w:val="14"/>
        </w:rPr>
        <w:t xml:space="preserve"> 1995). </w:t>
      </w:r>
      <w:r w:rsidRPr="00B94F32">
        <w:rPr>
          <w:rStyle w:val="StyleUnderline"/>
        </w:rPr>
        <w:t>As a result few cases have the staying power to affect support for the Court because the public forgets about them, thus denying the displeasing decision the ability to affect one’s support for the Court.</w:t>
      </w:r>
      <w:r w:rsidRPr="00E32412">
        <w:rPr>
          <w:sz w:val="14"/>
        </w:rPr>
        <w:t xml:space="preserve">3 3As </w:t>
      </w:r>
      <w:proofErr w:type="spellStart"/>
      <w:r w:rsidRPr="00E32412">
        <w:rPr>
          <w:sz w:val="14"/>
        </w:rPr>
        <w:t>Mondak</w:t>
      </w:r>
      <w:proofErr w:type="spellEnd"/>
      <w:r w:rsidRPr="00E32412">
        <w:rPr>
          <w:sz w:val="14"/>
        </w:rPr>
        <w:t xml:space="preserve"> and Smithey (1997) note, this attention mechanism helps to reconcile experimental approaches—which are often able to demonstrate a change in support for the Court in response to a 8However, as Christenson and Glick (2015) demonstrate, support for the Court moves in both directions—positive and negative—after the public learns about important judicial decisions. </w:t>
      </w:r>
      <w:r w:rsidRPr="00B94F32">
        <w:rPr>
          <w:rStyle w:val="StyleUnderline"/>
        </w:rPr>
        <w:t>This can lead to aggregate stability, particularly when the American people are divided over what a “good” outcome in a particular case is. Indeed, Gibson and Nelson (2015) have suggested that, because the American people are divided fairly equally on many issues, even a strong relationship between performance satisfaction and diffuse support is not a grave threat to the Court’s legitimacy because the number of individuals who are pleased with the decision and the number of individuals who are disappointed in the decision are approximately equal in number, thereby canceling each other out in the aggregate.</w:t>
      </w:r>
      <w:r w:rsidRPr="00E32412">
        <w:rPr>
          <w:sz w:val="14"/>
        </w:rPr>
        <w:t xml:space="preserve"> The exception to this conventional wisdom comes from a pair of older studies. First, </w:t>
      </w:r>
      <w:proofErr w:type="spellStart"/>
      <w:r w:rsidRPr="00E32412">
        <w:rPr>
          <w:sz w:val="14"/>
        </w:rPr>
        <w:t>Caldeira</w:t>
      </w:r>
      <w:proofErr w:type="spellEnd"/>
      <w:r w:rsidRPr="00E32412">
        <w:rPr>
          <w:sz w:val="14"/>
        </w:rPr>
        <w:t xml:space="preserve"> (1986) shows significant variation in confidence in the U.S. Supreme Court. However, </w:t>
      </w:r>
      <w:r w:rsidRPr="007A5CC6">
        <w:rPr>
          <w:rStyle w:val="StyleUnderline"/>
        </w:rPr>
        <w:t xml:space="preserve">as Gibson, </w:t>
      </w:r>
      <w:proofErr w:type="spellStart"/>
      <w:r w:rsidRPr="007A5CC6">
        <w:rPr>
          <w:rStyle w:val="StyleUnderline"/>
        </w:rPr>
        <w:t>Caldeira</w:t>
      </w:r>
      <w:proofErr w:type="spellEnd"/>
      <w:r w:rsidRPr="007A5CC6">
        <w:rPr>
          <w:rStyle w:val="StyleUnderline"/>
        </w:rPr>
        <w:t xml:space="preserve"> and Spence (2003a) demonstrate, confidence and legitimacy are distinct theoretical and empirical concepts.</w:t>
      </w:r>
      <w:r w:rsidRPr="00E32412">
        <w:rPr>
          <w:sz w:val="14"/>
        </w:rPr>
        <w:t xml:space="preserve"> </w:t>
      </w:r>
      <w:r w:rsidRPr="007A5CC6">
        <w:rPr>
          <w:rStyle w:val="StyleUnderline"/>
        </w:rPr>
        <w:t>Second, given that legitimacy is typically operationalized as “resistance to fundamental changes in the structure of the institution” reaction to the most well-known such attempt–F.D.R.’s court-packing plan—provides a particularly salient example.</w:t>
      </w:r>
      <w:r w:rsidRPr="00E32412">
        <w:rPr>
          <w:sz w:val="14"/>
        </w:rPr>
        <w:t xml:space="preserve"> </w:t>
      </w:r>
      <w:proofErr w:type="spellStart"/>
      <w:r w:rsidRPr="00E32412">
        <w:rPr>
          <w:sz w:val="14"/>
        </w:rPr>
        <w:t>Caldeira</w:t>
      </w:r>
      <w:proofErr w:type="spellEnd"/>
      <w:r w:rsidRPr="00E32412">
        <w:rPr>
          <w:sz w:val="14"/>
        </w:rPr>
        <w:t xml:space="preserve"> (1987), examining support for the plan over 18 cross-sectional Gallup polls over a 4-month period, finds that support for the plan, and, by extension, </w:t>
      </w:r>
      <w:r w:rsidRPr="007A5CC6">
        <w:rPr>
          <w:rStyle w:val="StyleUnderline"/>
        </w:rPr>
        <w:t>the Court’s legitimacy, was affected by both the coverage of the mass media and historical political events</w:t>
      </w:r>
      <w:r w:rsidRPr="00E32412">
        <w:rPr>
          <w:sz w:val="14"/>
        </w:rPr>
        <w:t xml:space="preserve">. </w:t>
      </w:r>
      <w:r w:rsidRPr="007A5CC6">
        <w:rPr>
          <w:rStyle w:val="StyleUnderline"/>
        </w:rPr>
        <w:t>However, because the data for these studies are dated, do not use measures of legitimacy now recognized to be reliable and valid, and are not panel studies,</w:t>
      </w:r>
      <w:r w:rsidRPr="00E32412">
        <w:rPr>
          <w:sz w:val="14"/>
        </w:rPr>
        <w:t xml:space="preserve"> we predict H1: Support for the Court should be stable over time. </w:t>
      </w:r>
      <w:r w:rsidRPr="007A5CC6">
        <w:rPr>
          <w:rStyle w:val="StyleUnderline"/>
        </w:rPr>
        <w:t>Second, to what extent are individual-level changes in diffuse support over time related to changes in specific support</w:t>
      </w:r>
      <w:r w:rsidRPr="00E32412">
        <w:rPr>
          <w:sz w:val="14"/>
        </w:rPr>
        <w:t xml:space="preserve">? Of course, </w:t>
      </w:r>
      <w:r w:rsidRPr="007A5CC6">
        <w:rPr>
          <w:rStyle w:val="StyleUnderline"/>
        </w:rPr>
        <w:t>the conventional wisdom acknowledges some relationship between diffuse support and specific support, but legitimacy theory also implies that the Court’s decision—and observational data that show stability</w:t>
      </w:r>
      <w:r w:rsidRPr="00E32412">
        <w:rPr>
          <w:sz w:val="14"/>
        </w:rPr>
        <w:t xml:space="preserve">. </w:t>
      </w:r>
      <w:r w:rsidRPr="007A5CC6">
        <w:rPr>
          <w:rStyle w:val="StyleUnderline"/>
        </w:rPr>
        <w:t>The experimental stimulus is enough to cause a change in support, but that change is fleeting, dissipating almost immediately</w:t>
      </w:r>
      <w:r w:rsidRPr="00E32412">
        <w:rPr>
          <w:sz w:val="14"/>
        </w:rPr>
        <w:t xml:space="preserve">. 9 support should be relatively immune to large swings in legitimacy that result in dissatisfaction with a single opinion, especially when the Court’s support was high prior to the ruling (Easton 1965). Indeed, if the Court’s support is not robust to a disagreeable decision, to what extent is a “reservoir of support” useful for the institution in the first place? </w:t>
      </w:r>
      <w:r w:rsidRPr="007A5CC6">
        <w:rPr>
          <w:rStyle w:val="StyleUnderline"/>
        </w:rPr>
        <w:t>Gibson, Pereira and Ziegler (2017) provide some evidence to doubt that displeasing decisions are harmful to the Court’s support</w:t>
      </w:r>
      <w:r w:rsidRPr="00E32412">
        <w:rPr>
          <w:sz w:val="14"/>
        </w:rPr>
        <w:t xml:space="preserve">. </w:t>
      </w:r>
      <w:r w:rsidRPr="007A5CC6">
        <w:rPr>
          <w:rStyle w:val="StyleUnderline"/>
        </w:rPr>
        <w:t xml:space="preserve">They demonstrate that the sort of ideological updating mechanism required by theories that predict changes in support for the court in tandem with </w:t>
      </w:r>
      <w:proofErr w:type="spellStart"/>
      <w:r w:rsidRPr="007A5CC6">
        <w:rPr>
          <w:rStyle w:val="StyleUnderline"/>
        </w:rPr>
        <w:t>disfavorable</w:t>
      </w:r>
      <w:proofErr w:type="spellEnd"/>
      <w:r w:rsidRPr="007A5CC6">
        <w:rPr>
          <w:rStyle w:val="StyleUnderline"/>
        </w:rPr>
        <w:t xml:space="preserve"> decisions is based upon a set of assumptions that, in practice, few Americans are sophisticated enough to meet. </w:t>
      </w:r>
      <w:r w:rsidRPr="00E32412">
        <w:rPr>
          <w:sz w:val="14"/>
        </w:rPr>
        <w:t>However, regardless of whether individuals correctly update their perceptions</w:t>
      </w:r>
      <w:r w:rsidRPr="007A5CC6">
        <w:rPr>
          <w:rStyle w:val="StyleUnderline"/>
        </w:rPr>
        <w:t>, other recent evidence suggests that support for the Court could actually be highly variable. In response to the Court’s decision on the Affordable Care Act, for example, Christenson and Glick (2015) report quite a bit of movement in response to a single decision with those disagreeing with the decision more prone to decrease their support for the institution.</w:t>
      </w:r>
      <w:r w:rsidRPr="00E32412">
        <w:rPr>
          <w:sz w:val="14"/>
        </w:rPr>
        <w:t xml:space="preserve"> Indeed, if the linkage between performance satisfaction and diffuse support is as strong as the Christenson and Glick evidence suggests—with even single decisions having substantively important and statistically significant effects on support for the Court—then support for the Court may be highly variable, having little consistency over time. H2: Individual-level support for the Court should fluctuate with changes in institutional support</w:t>
      </w:r>
      <w:r w:rsidRPr="007A5CC6">
        <w:rPr>
          <w:rStyle w:val="StyleUnderline"/>
        </w:rPr>
        <w:t>. Third, what is the persistence of these effects? Existing theoretical and empirical evidence suggests that most individual-level change in the Court’s support is temporary.</w:t>
      </w:r>
      <w:r w:rsidRPr="00E32412">
        <w:rPr>
          <w:sz w:val="14"/>
        </w:rPr>
        <w:t xml:space="preserve"> </w:t>
      </w:r>
      <w:proofErr w:type="spellStart"/>
      <w:r w:rsidRPr="00E32412">
        <w:rPr>
          <w:sz w:val="14"/>
        </w:rPr>
        <w:t>Grosskopf</w:t>
      </w:r>
      <w:proofErr w:type="spellEnd"/>
      <w:r w:rsidRPr="00E32412">
        <w:rPr>
          <w:sz w:val="14"/>
        </w:rPr>
        <w:t xml:space="preserve"> and </w:t>
      </w:r>
      <w:proofErr w:type="spellStart"/>
      <w:r w:rsidRPr="00E32412">
        <w:rPr>
          <w:sz w:val="14"/>
        </w:rPr>
        <w:t>Mondak</w:t>
      </w:r>
      <w:proofErr w:type="spellEnd"/>
      <w:r w:rsidRPr="00E32412">
        <w:rPr>
          <w:sz w:val="14"/>
        </w:rPr>
        <w:t xml:space="preserve"> (1998) write that deleterious effects of displeasing decisions on support for the Court “clearly must attenuate fairly quickly” (652). Similarly, </w:t>
      </w:r>
      <w:proofErr w:type="spellStart"/>
      <w:r w:rsidRPr="00E32412">
        <w:rPr>
          <w:sz w:val="14"/>
        </w:rPr>
        <w:t>Mondak</w:t>
      </w:r>
      <w:proofErr w:type="spellEnd"/>
      <w:r w:rsidRPr="00E32412">
        <w:rPr>
          <w:sz w:val="14"/>
        </w:rPr>
        <w:t xml:space="preserve"> and Smithey (1997) posit a theory of values-based regeneration: A person’s confidence in the Supreme Court can be shaken by controversial rulings, but the eventual reassertion of democratic values means that the individual’s confidence in 10 the Court may be restored. </w:t>
      </w:r>
      <w:r w:rsidRPr="007A5CC6">
        <w:rPr>
          <w:rStyle w:val="StyleUnderline"/>
        </w:rPr>
        <w:t xml:space="preserve">The decisions that spark antipathy toward the Court—and the intensity of that ill will—vary for different people and groups in society. In the aggregate, consequently, return to the value-based default judgment we have described constitutes a continuous process, because some current opponents of the Court always will be at the point where democratic attachments are regaining primacy. </w:t>
      </w:r>
      <w:r w:rsidRPr="00E32412">
        <w:rPr>
          <w:sz w:val="14"/>
        </w:rPr>
        <w:t xml:space="preserve">Therefore, just as a river cleanses itself over time, </w:t>
      </w:r>
      <w:r w:rsidRPr="007A5CC6">
        <w:rPr>
          <w:rStyle w:val="StyleUnderline"/>
        </w:rPr>
        <w:t>we propose that democratic values facilitate regeneration of institutional support</w:t>
      </w:r>
      <w:r w:rsidRPr="00E32412">
        <w:rPr>
          <w:sz w:val="14"/>
        </w:rPr>
        <w:t xml:space="preserve">... [T]he Court would enter precarious turf only if it were to rule against the tide of public opinion at an extremely frequent rate something a strategic Court should be expected to avoid as a matter of course (1131). In other words, the deleterious effect of dissatisfaction with a single decision on individual-level support for the court is short-lived; </w:t>
      </w:r>
      <w:r w:rsidRPr="007A5CC6">
        <w:rPr>
          <w:rStyle w:val="StyleUnderline"/>
        </w:rPr>
        <w:t>after a shock, diffuse support gradually increases, eventually returning to its equilibrium level, as democratic values regenerate support for the Court. This claim has been validated empirically using representative, national samples</w:t>
      </w:r>
      <w:r w:rsidRPr="00E32412">
        <w:rPr>
          <w:sz w:val="14"/>
        </w:rPr>
        <w:t xml:space="preserve">. </w:t>
      </w:r>
      <w:proofErr w:type="spellStart"/>
      <w:r w:rsidRPr="00E32412">
        <w:rPr>
          <w:sz w:val="14"/>
        </w:rPr>
        <w:t>Durr</w:t>
      </w:r>
      <w:proofErr w:type="spellEnd"/>
      <w:r w:rsidRPr="00E32412">
        <w:rPr>
          <w:sz w:val="14"/>
        </w:rPr>
        <w:t xml:space="preserve">, Martin and </w:t>
      </w:r>
      <w:proofErr w:type="spellStart"/>
      <w:r w:rsidRPr="00E32412">
        <w:rPr>
          <w:sz w:val="14"/>
        </w:rPr>
        <w:t>Wolbrecht</w:t>
      </w:r>
      <w:proofErr w:type="spellEnd"/>
      <w:r w:rsidRPr="00E32412">
        <w:rPr>
          <w:sz w:val="14"/>
        </w:rPr>
        <w:t xml:space="preserve"> (2000) show that short-term disruptions in an individual’s support for the Court have effects that last only for a short period. Their evidence suggests that, in the face in temporary shocks to the public’s divergence from the U.S. Supreme Court, support for the institution will return to its equilibrium level in about two years. However, in the face of a sustained shift in the Court’s distance from the public, support for the Court. </w:t>
      </w:r>
    </w:p>
    <w:p w:rsidR="00424380" w:rsidRDefault="00424380" w:rsidP="00424380">
      <w:pPr>
        <w:pStyle w:val="Heading3"/>
      </w:pPr>
      <w:r>
        <w:t xml:space="preserve">AT: </w:t>
      </w:r>
      <w:proofErr w:type="spellStart"/>
      <w:r>
        <w:t>Heg</w:t>
      </w:r>
      <w:proofErr w:type="spellEnd"/>
      <w:r>
        <w:t xml:space="preserve"> Impact</w:t>
      </w:r>
    </w:p>
    <w:p w:rsidR="00424380" w:rsidRDefault="00424380" w:rsidP="00424380">
      <w:pPr>
        <w:pStyle w:val="Heading4"/>
      </w:pPr>
      <w:proofErr w:type="spellStart"/>
      <w:r>
        <w:t>Heg</w:t>
      </w:r>
      <w:proofErr w:type="spellEnd"/>
      <w:r>
        <w:t xml:space="preserve"> fails </w:t>
      </w:r>
    </w:p>
    <w:p w:rsidR="00424380" w:rsidRPr="006C48CE" w:rsidRDefault="00424380" w:rsidP="00424380">
      <w:r>
        <w:t xml:space="preserve">John J. </w:t>
      </w:r>
      <w:r w:rsidRPr="006C48CE">
        <w:rPr>
          <w:rStyle w:val="Style13ptBold"/>
        </w:rPr>
        <w:t xml:space="preserve">Mearsheimer </w:t>
      </w:r>
      <w:r>
        <w:t>and Stephen M</w:t>
      </w:r>
      <w:r w:rsidRPr="006C48CE">
        <w:rPr>
          <w:rStyle w:val="Style13ptBold"/>
        </w:rPr>
        <w:t>. Walt</w:t>
      </w:r>
      <w:r>
        <w:rPr>
          <w:rStyle w:val="Style13ptBold"/>
        </w:rPr>
        <w:t xml:space="preserve"> 16</w:t>
      </w:r>
      <w:r>
        <w:t xml:space="preserve"> [JOHN J. MEARSHEIMER is R. Wendell Harrison Distinguished Service Professor of Political Science at the University of Chicago. STEPHEN M. WALT is Robert and Renée </w:t>
      </w:r>
      <w:proofErr w:type="spellStart"/>
      <w:r>
        <w:t>Belfer</w:t>
      </w:r>
      <w:proofErr w:type="spellEnd"/>
      <w:r>
        <w:t xml:space="preserve"> Professor of International Affairs at the Harvard Kennedy </w:t>
      </w:r>
      <w:proofErr w:type="spellStart"/>
      <w:r>
        <w:t>School.“The</w:t>
      </w:r>
      <w:proofErr w:type="spellEnd"/>
      <w:r>
        <w:t xml:space="preserve"> Case for Offshore Balancing”http://mearsheimer.uchicago.edu/pdfs/Offshore%20Balancing.pdf </w:t>
      </w:r>
      <w:proofErr w:type="spellStart"/>
      <w:r>
        <w:t>rs</w:t>
      </w:r>
      <w:proofErr w:type="spellEnd"/>
      <w:r>
        <w:t>]</w:t>
      </w:r>
    </w:p>
    <w:p w:rsidR="00424380" w:rsidRPr="005A70D3" w:rsidRDefault="00424380" w:rsidP="00424380">
      <w:pPr>
        <w:rPr>
          <w:sz w:val="14"/>
        </w:rPr>
      </w:pPr>
      <w:r w:rsidRPr="005A70D3">
        <w:rPr>
          <w:rStyle w:val="StyleUnderline"/>
        </w:rPr>
        <w:t>Other defenders of liberal hegemony argue that U.S. leadership is necessary to deal with new, transnational threats that arise from failed states, terrorism, criminal networks, refugee flows, and the like</w:t>
      </w:r>
      <w:r w:rsidRPr="005A70D3">
        <w:rPr>
          <w:sz w:val="14"/>
        </w:rPr>
        <w:t xml:space="preserve">. Not only do the Atlantic and Pacific Oceans offer inadequate protection against these dangers, they claim, but modern military technology also makes it easier for the United States to project power around the world and address them. Today’s “global village,” in short, is more dangerous yet easier to manage. </w:t>
      </w:r>
      <w:r w:rsidRPr="005A70D3">
        <w:rPr>
          <w:rStyle w:val="Emphasis"/>
        </w:rPr>
        <w:t>This view exaggerates these threats and overstates Washington’s ability to eliminate them.</w:t>
      </w:r>
      <w:r w:rsidRPr="005A70D3">
        <w:rPr>
          <w:sz w:val="14"/>
        </w:rPr>
        <w:t xml:space="preserve"> </w:t>
      </w:r>
      <w:r w:rsidRPr="005A70D3">
        <w:rPr>
          <w:rStyle w:val="StyleUnderline"/>
        </w:rPr>
        <w:t>Crime, terrorism, and similar problems can be a nuisance, but they are hardly existential threats and rarely lend themselves to military solutions.</w:t>
      </w:r>
      <w:r w:rsidRPr="005A70D3">
        <w:rPr>
          <w:sz w:val="14"/>
        </w:rPr>
        <w:t xml:space="preserve"> Indeed, constant interference in the affairs of other states—and especially repeated military interventions— generates local resentment and fosters corruption, thereby making these transnational dangers worse</w:t>
      </w:r>
      <w:r w:rsidRPr="005A70D3">
        <w:rPr>
          <w:rStyle w:val="StyleUnderline"/>
        </w:rPr>
        <w:t>. The long-term solution to the problems can only be competent local governance, not heavy-handed U.S.</w:t>
      </w:r>
      <w:r w:rsidRPr="005A70D3">
        <w:rPr>
          <w:sz w:val="14"/>
        </w:rPr>
        <w:t xml:space="preserve"> efforts to police the world. </w:t>
      </w:r>
      <w:r w:rsidRPr="005A70D3">
        <w:rPr>
          <w:rStyle w:val="Emphasis"/>
        </w:rPr>
        <w:t>Nor is policing the world as cheap as defenders of liberal hegemony contend, either in dollars spent or in lives los</w:t>
      </w:r>
      <w:r w:rsidRPr="005A70D3">
        <w:rPr>
          <w:sz w:val="14"/>
        </w:rPr>
        <w:t xml:space="preserve">t. </w:t>
      </w:r>
      <w:r w:rsidRPr="005A70D3">
        <w:rPr>
          <w:rStyle w:val="StyleUnderline"/>
        </w:rPr>
        <w:t>The wars in Afghanistan and Iraq cost between $4 trillion and $6 trillion and killed nearly 7,000 U.S. soldiers and wounded more than 50,000. Veterans of these conflicts exhibit high rates of depression and suicide, yet the United States has little to show for their sacrifices.</w:t>
      </w:r>
      <w:r w:rsidRPr="005A70D3">
        <w:rPr>
          <w:sz w:val="14"/>
        </w:rPr>
        <w:t xml:space="preserve"> Defenders of the status quo also fear that offshore balancing would allow other states to replace the United States at the pinnacle of global </w:t>
      </w:r>
      <w:r w:rsidRPr="005A70D3">
        <w:rPr>
          <w:rStyle w:val="StyleUnderline"/>
        </w:rPr>
        <w:t>power. On the contrary, the strategy would prolong the country’s dominance by refocusing its efforts on core goals</w:t>
      </w:r>
      <w:r w:rsidRPr="005A70D3">
        <w:rPr>
          <w:sz w:val="14"/>
        </w:rPr>
        <w:t xml:space="preserve">. Unlike liberal hegemony, JA16.indb 77 5/16/16 7:41 PM John J. Mearsheimer and Stephen M. </w:t>
      </w:r>
      <w:proofErr w:type="spellStart"/>
      <w:r w:rsidRPr="005A70D3">
        <w:rPr>
          <w:sz w:val="14"/>
        </w:rPr>
        <w:t>wWalt</w:t>
      </w:r>
      <w:proofErr w:type="spellEnd"/>
      <w:r w:rsidRPr="005A70D3">
        <w:rPr>
          <w:sz w:val="14"/>
        </w:rPr>
        <w:t xml:space="preserve"> 78 </w:t>
      </w:r>
      <w:r w:rsidRPr="005A70D3">
        <w:rPr>
          <w:rStyle w:val="StyleUnderline"/>
        </w:rPr>
        <w:t xml:space="preserve">foreign affairs offshore balancing avoids squandering resources on costly and counterproductive crusades, which would allow the government to invest more in the long-term ingredients of power and prosperity: </w:t>
      </w:r>
      <w:r w:rsidRPr="005A70D3">
        <w:rPr>
          <w:sz w:val="14"/>
        </w:rPr>
        <w:t xml:space="preserve">education, infrastructure, and research and development. </w:t>
      </w:r>
      <w:r w:rsidRPr="005A70D3">
        <w:rPr>
          <w:rStyle w:val="StyleUnderline"/>
        </w:rPr>
        <w:t>Remember, the United States became a great power by staying out of foreign wars and building a world-class economy, which is the same strategy China has pursued over the past three decades.</w:t>
      </w:r>
      <w:r w:rsidRPr="005A70D3">
        <w:rPr>
          <w:sz w:val="14"/>
        </w:rPr>
        <w:t xml:space="preserve"> Meanwhile, the United States has wasted trillions of dollars and put its long-term primacy at risk</w:t>
      </w:r>
    </w:p>
    <w:p w:rsidR="00424380" w:rsidRDefault="00424380" w:rsidP="00424380">
      <w:pPr>
        <w:rPr>
          <w:rFonts w:asciiTheme="minorHAnsi" w:hAnsiTheme="minorHAnsi"/>
        </w:rPr>
      </w:pPr>
    </w:p>
    <w:p w:rsidR="00424380" w:rsidRPr="00424380" w:rsidRDefault="00424380" w:rsidP="00424380"/>
    <w:p w:rsidR="00424380" w:rsidRDefault="00424380" w:rsidP="00424380">
      <w:pPr>
        <w:pStyle w:val="Heading3"/>
      </w:pPr>
      <w:r>
        <w:t>AT: Rule of Law Impact</w:t>
      </w:r>
    </w:p>
    <w:p w:rsidR="00424380" w:rsidRDefault="00424380" w:rsidP="00424380">
      <w:pPr>
        <w:pStyle w:val="Heading4"/>
      </w:pPr>
      <w:r>
        <w:t xml:space="preserve">No rule of law—erosion in the SQUO </w:t>
      </w:r>
    </w:p>
    <w:p w:rsidR="00424380" w:rsidRPr="00976FA7" w:rsidRDefault="00424380" w:rsidP="00424380">
      <w:r>
        <w:t xml:space="preserve">Patrick </w:t>
      </w:r>
      <w:r w:rsidRPr="00976FA7">
        <w:rPr>
          <w:rStyle w:val="Style13ptBold"/>
        </w:rPr>
        <w:t>Porter 08/28/16</w:t>
      </w:r>
      <w:r>
        <w:t xml:space="preserve">[ Patrick Porter is Professor of  Strategic Studies at the University of Exeter, where he is the Academic Director of the Strategy and Security Institute.  He is also Senior Associate Fellow at the Royal United Services Institute (RUSI). “Sorry, Folks. There Is No Rules-Based World Order.”http://nationalinterest.org/blog/the-skeptics/sorry-folks-there-no-rules-based-world-order-17497 </w:t>
      </w:r>
      <w:proofErr w:type="spellStart"/>
      <w:r>
        <w:t>rs</w:t>
      </w:r>
      <w:proofErr w:type="spellEnd"/>
      <w:r>
        <w:t>]</w:t>
      </w:r>
    </w:p>
    <w:p w:rsidR="00424380" w:rsidRPr="00976FA7" w:rsidRDefault="00424380" w:rsidP="00424380">
      <w:pPr>
        <w:rPr>
          <w:sz w:val="14"/>
        </w:rPr>
      </w:pPr>
      <w:r w:rsidRPr="00455658">
        <w:rPr>
          <w:rStyle w:val="StyleUnderline"/>
        </w:rPr>
        <w:t>If there is one concept, endlessly recalled, that rings through debate about foreign affairs, it is the “rules-based” international order.</w:t>
      </w:r>
      <w:r w:rsidRPr="00976FA7">
        <w:rPr>
          <w:sz w:val="14"/>
        </w:rPr>
        <w:t xml:space="preserve"> </w:t>
      </w:r>
      <w:r w:rsidRPr="00455658">
        <w:rPr>
          <w:rStyle w:val="StyleUnderline"/>
        </w:rPr>
        <w:t>The notion that all are bound by a global set of rules, an international law above power</w:t>
      </w:r>
      <w:r w:rsidRPr="00976FA7">
        <w:rPr>
          <w:sz w:val="14"/>
        </w:rPr>
        <w:t xml:space="preserve">, is foundational to the </w:t>
      </w:r>
      <w:proofErr w:type="spellStart"/>
      <w:r w:rsidRPr="00976FA7">
        <w:rPr>
          <w:sz w:val="14"/>
        </w:rPr>
        <w:t>UKNational</w:t>
      </w:r>
      <w:proofErr w:type="spellEnd"/>
      <w:r w:rsidRPr="00976FA7">
        <w:rPr>
          <w:sz w:val="14"/>
        </w:rPr>
        <w:t xml:space="preserve"> Security Strategy and the Australian </w:t>
      </w:r>
      <w:proofErr w:type="spellStart"/>
      <w:r w:rsidRPr="00976FA7">
        <w:rPr>
          <w:sz w:val="14"/>
        </w:rPr>
        <w:t>Defence</w:t>
      </w:r>
      <w:proofErr w:type="spellEnd"/>
      <w:r w:rsidRPr="00976FA7">
        <w:rPr>
          <w:sz w:val="14"/>
        </w:rPr>
        <w:t xml:space="preserve"> White Paper, and to the United States’ National Security Strategy. </w:t>
      </w:r>
      <w:r w:rsidRPr="00455658">
        <w:rPr>
          <w:rStyle w:val="StyleUnderline"/>
        </w:rPr>
        <w:t>The United Nations itself was created to end the scourge of war and erect a rule of law in its place. This was always difficult, especially so now in an age of greater multipolarity and contestation, where the claims of sovereignty and the claims of human rights conflict, and observers worry that the very idea of rules is being eroded. “</w:t>
      </w:r>
      <w:r w:rsidRPr="00976FA7">
        <w:rPr>
          <w:sz w:val="14"/>
        </w:rPr>
        <w:t>Rules-based” has become an incantation, summoned often and automatically, as though repeating it will make it so. Order is better than chaos, obviously</w:t>
      </w:r>
      <w:r w:rsidRPr="00455658">
        <w:rPr>
          <w:rStyle w:val="StyleUnderline"/>
        </w:rPr>
        <w:t>. A degree of regularity and process is better than the arbitrariness of power untamed, and it is better for states to formulate rough principles for the road, even if the road is unruly. The problem is not law. The problem is legalism, the ambition that formal rules can supplant power politics and substitute for wider judgement, that politics itself can be obviated by codes and institutions.</w:t>
      </w:r>
      <w:r>
        <w:rPr>
          <w:rStyle w:val="StyleUnderline"/>
        </w:rPr>
        <w:t xml:space="preserve"> </w:t>
      </w:r>
      <w:r w:rsidRPr="00976FA7">
        <w:rPr>
          <w:sz w:val="14"/>
        </w:rPr>
        <w:t xml:space="preserve">If faithfully observed, </w:t>
      </w:r>
      <w:r w:rsidRPr="00455658">
        <w:rPr>
          <w:rStyle w:val="StyleUnderline"/>
        </w:rPr>
        <w:t>the idea that the world should revolve strictly around laws and their enforcement would quickly destroy a country’s ability to have a foreign policy</w:t>
      </w:r>
      <w:r w:rsidRPr="00976FA7">
        <w:rPr>
          <w:sz w:val="14"/>
        </w:rPr>
        <w:t>. Five years ago, Amnesty International demonstrated where such doctrines lead, when it insisted that the Canadian government arrest former President George W. Bush for his part in torture while on a visit</w:t>
      </w:r>
      <w:r w:rsidRPr="00455658">
        <w:rPr>
          <w:rStyle w:val="StyleUnderline"/>
        </w:rPr>
        <w:t>. Canada, surprisingly, resisted the temptation, deciding that it had other interests at stake in its relationship with a neighboring superpower—such as survival. Like other concepts that attempt to reduce the world to one big thing, legalism is of limited value. We can’t have a rules-based world order.</w:t>
      </w:r>
      <w:r w:rsidRPr="00976FA7">
        <w:rPr>
          <w:sz w:val="14"/>
        </w:rPr>
        <w:t xml:space="preserve"> Indeed, a fetish for rules is more the problem than the answer. </w:t>
      </w:r>
      <w:r w:rsidRPr="00455658">
        <w:rPr>
          <w:rStyle w:val="StyleUnderline"/>
        </w:rPr>
        <w:t>“Rules-based international order” is a seductive phrase. It sounds enlightened. It is part of the lingua franca of an internationalist class of lawyers, of</w:t>
      </w:r>
      <w:r w:rsidRPr="00976FA7">
        <w:rPr>
          <w:sz w:val="14"/>
        </w:rPr>
        <w:t xml:space="preserve">ficials and commentators. It rolls off the tongue like other high-minded concepts, from “global governance” to “international community.” It is tailor made for the graduate lounge, the petition, the press release or the debating chamber. </w:t>
      </w:r>
      <w:r w:rsidRPr="00455658">
        <w:rPr>
          <w:rStyle w:val="StyleUnderline"/>
        </w:rPr>
        <w:t>The concept is also a weapon that tempts major powers, its mantle offering their activities the exalted stature of police action. Tested in the unforgiving world of actual decisions, it doesn’t live up to its billing.</w:t>
      </w:r>
      <w:r>
        <w:rPr>
          <w:rStyle w:val="StyleUnderline"/>
        </w:rPr>
        <w:t xml:space="preserve"> </w:t>
      </w:r>
      <w:r w:rsidRPr="00455658">
        <w:rPr>
          <w:rStyle w:val="StyleUnderline"/>
        </w:rPr>
        <w:t>The absolute insistence on rules compliance is at the heart of a doctrine developed by former UN Secretary-General Kofi Annan and reasserted in the wake of the Iraq War.</w:t>
      </w:r>
      <w:r w:rsidRPr="00976FA7">
        <w:rPr>
          <w:sz w:val="14"/>
        </w:rPr>
        <w:t xml:space="preserve"> </w:t>
      </w:r>
      <w:r w:rsidRPr="00455658">
        <w:rPr>
          <w:rStyle w:val="StyleUnderline"/>
        </w:rPr>
        <w:t xml:space="preserve">Annan, another advocate of the rules-based order, insisted that the United Nations is the “sole source of legitimacy” for the use of force. </w:t>
      </w:r>
      <w:r w:rsidRPr="00976FA7">
        <w:rPr>
          <w:sz w:val="14"/>
        </w:rPr>
        <w:t xml:space="preserve">Annan’s doctrines rose to prominence in the days when the main focus of complaints about illegality was America’s Bush administration, whose invasion of Iraq without a final, second Security Council Resolution allegedly tore up a widely respected rule book, turning a built-up lawful order into a lawless world. For Annan, the lesson of Iraq was the need to work together through the UN. Unfortunately for that argument, most of the violence that occurred in post-Saddam Iraq took place after the United Nations Security Council passed Resolution 1546 in June 2004, unanimously authorizing the continuing presence of a multinational force. </w:t>
      </w:r>
      <w:r w:rsidRPr="00455658">
        <w:rPr>
          <w:rStyle w:val="StyleUnderline"/>
        </w:rPr>
        <w:t>Iraqi insurgents had already showed what they thought of the “sole source of legitimacy” blowing up the UN headquarters in Baghdad. Is it possible that UN authority is not quite so all-important as legalists think it is</w:t>
      </w:r>
      <w:r w:rsidRPr="00976FA7">
        <w:rPr>
          <w:sz w:val="14"/>
        </w:rPr>
        <w:t>?</w:t>
      </w:r>
    </w:p>
    <w:p w:rsidR="00424380" w:rsidRDefault="00424380" w:rsidP="00424380"/>
    <w:p w:rsidR="00582CA2" w:rsidRDefault="00582CA2" w:rsidP="00582CA2">
      <w:pPr>
        <w:pStyle w:val="Heading3"/>
      </w:pPr>
      <w:r>
        <w:t>AT – Federalism DA</w:t>
      </w:r>
    </w:p>
    <w:p w:rsidR="00582CA2" w:rsidRPr="0065203C" w:rsidRDefault="00582CA2" w:rsidP="00582CA2">
      <w:pPr>
        <w:pStyle w:val="Heading4"/>
      </w:pPr>
      <w:r>
        <w:t xml:space="preserve">IDEA operates under cooperative federalism – the plan empowers citizens and states to follow through on federal law. </w:t>
      </w:r>
    </w:p>
    <w:p w:rsidR="00582CA2" w:rsidRPr="0065203C" w:rsidRDefault="00582CA2" w:rsidP="00582CA2">
      <w:pPr>
        <w:rPr>
          <w:sz w:val="16"/>
          <w:szCs w:val="16"/>
        </w:rPr>
      </w:pPr>
      <w:r w:rsidRPr="003417E7">
        <w:rPr>
          <w:rStyle w:val="Style13ptBold"/>
        </w:rPr>
        <w:t xml:space="preserve">O’Malley ’16 </w:t>
      </w:r>
      <w:r w:rsidRPr="003417E7">
        <w:rPr>
          <w:sz w:val="16"/>
          <w:szCs w:val="16"/>
        </w:rPr>
        <w:t xml:space="preserve">(Kerrigan; JD from the University of Richmond Law, BA in Criticism and Conservation from Wake Forest University; March 2016, The University of Richmond Law Review, “FROM MAINSTREAMING TO MARGINALIZATION?— IDEA‘S DE FACTO SEGREGATION CONSEQUENCES AND PROSPECTS FOR RESTORING EQUITY IN SPECIAL EDUCATION,” </w:t>
      </w:r>
      <w:hyperlink r:id="rId18" w:history="1">
        <w:r w:rsidRPr="003417E7">
          <w:rPr>
            <w:rStyle w:val="Hyperlink"/>
            <w:sz w:val="16"/>
            <w:szCs w:val="16"/>
          </w:rPr>
          <w:t>http://lawreview.richmond.edu/files/2016/03/OMalley-503.pdf</w:t>
        </w:r>
      </w:hyperlink>
      <w:r w:rsidRPr="003417E7">
        <w:rPr>
          <w:sz w:val="16"/>
          <w:szCs w:val="16"/>
        </w:rPr>
        <w:t>, DOA: 6/28/17)</w:t>
      </w:r>
      <w:r>
        <w:rPr>
          <w:sz w:val="16"/>
          <w:szCs w:val="16"/>
        </w:rPr>
        <w:t xml:space="preserve"> </w:t>
      </w:r>
      <w:r>
        <w:t xml:space="preserve">**IEPs = Individual Education Plan designed by education specialists and a </w:t>
      </w:r>
      <w:proofErr w:type="spellStart"/>
      <w:r>
        <w:t>childs</w:t>
      </w:r>
      <w:proofErr w:type="spellEnd"/>
      <w:r>
        <w:t xml:space="preserve"> parents to determine what a child is entitled to under IDEA based on their ability**</w:t>
      </w:r>
    </w:p>
    <w:p w:rsidR="00582CA2" w:rsidRPr="00226500" w:rsidRDefault="00582CA2" w:rsidP="00582CA2">
      <w:pPr>
        <w:rPr>
          <w:sz w:val="16"/>
        </w:rPr>
      </w:pPr>
      <w:r w:rsidRPr="00A33AC5">
        <w:rPr>
          <w:rStyle w:val="StyleUnderline"/>
        </w:rPr>
        <w:t xml:space="preserve">IDEA is unique among education programs that operate </w:t>
      </w:r>
      <w:r w:rsidRPr="00204FEE">
        <w:rPr>
          <w:rStyle w:val="Emphasis"/>
        </w:rPr>
        <w:t>under a cooperative federalism structure</w:t>
      </w:r>
      <w:r w:rsidRPr="00A33AC5">
        <w:rPr>
          <w:rStyle w:val="StyleUnderline"/>
        </w:rPr>
        <w:t xml:space="preserve"> because no public actor is tasked with reviewing or enforcing the substance of IEPs</w:t>
      </w:r>
      <w:r w:rsidRPr="00226500">
        <w:rPr>
          <w:sz w:val="16"/>
        </w:rPr>
        <w:t xml:space="preserve">.35 Instead, </w:t>
      </w:r>
      <w:r w:rsidRPr="0065203C">
        <w:rPr>
          <w:rStyle w:val="StyleUnderline"/>
        </w:rPr>
        <w:t>parents who wish to challenge the substantive content</w:t>
      </w:r>
      <w:r w:rsidRPr="00226500">
        <w:rPr>
          <w:sz w:val="16"/>
        </w:rPr>
        <w:t xml:space="preserve"> or procedural development of their disabled child‘s IEP </w:t>
      </w:r>
      <w:r w:rsidRPr="0065203C">
        <w:rPr>
          <w:rStyle w:val="StyleUnderline"/>
        </w:rPr>
        <w:t>have a formal administrative hearing process and other due process protections available to them</w:t>
      </w:r>
      <w:r w:rsidRPr="00226500">
        <w:rPr>
          <w:sz w:val="16"/>
        </w:rPr>
        <w:t xml:space="preserve">.36 </w:t>
      </w:r>
      <w:r w:rsidRPr="0065203C">
        <w:rPr>
          <w:rStyle w:val="StyleUnderline"/>
        </w:rPr>
        <w:t xml:space="preserve">Their private enforcement rights also include availability of a mediation process with the school district about special education services37 and the right to </w:t>
      </w:r>
      <w:r w:rsidRPr="0065203C">
        <w:rPr>
          <w:rStyle w:val="Emphasis"/>
        </w:rPr>
        <w:t>file a complaint with the state education agency</w:t>
      </w:r>
      <w:r w:rsidRPr="00226500">
        <w:rPr>
          <w:sz w:val="16"/>
        </w:rPr>
        <w:t xml:space="preserve"> (―SEA</w:t>
      </w:r>
      <w:r w:rsidRPr="00226500">
        <w:rPr>
          <w:rFonts w:eastAsia="Calibri"/>
          <w:sz w:val="16"/>
        </w:rPr>
        <w:t>‖</w:t>
      </w:r>
      <w:r w:rsidRPr="00226500">
        <w:rPr>
          <w:sz w:val="16"/>
        </w:rPr>
        <w:t xml:space="preserve">), </w:t>
      </w:r>
      <w:r w:rsidRPr="00226500">
        <w:rPr>
          <w:rStyle w:val="StyleUnderline"/>
        </w:rPr>
        <w:t>challenging any aspect of special education service delivery</w:t>
      </w:r>
      <w:r w:rsidRPr="00226500">
        <w:rPr>
          <w:sz w:val="16"/>
        </w:rPr>
        <w:t xml:space="preserve">.38 </w:t>
      </w:r>
      <w:r w:rsidRPr="00226500">
        <w:rPr>
          <w:rStyle w:val="StyleUnderline"/>
        </w:rPr>
        <w:t>IDEA also includes a general relief provision</w:t>
      </w:r>
      <w:r w:rsidRPr="00226500">
        <w:rPr>
          <w:sz w:val="16"/>
        </w:rPr>
        <w:t>, investing broad remedial authority in hearing officers or courts to order schools to take any number of ―appropriate</w:t>
      </w:r>
      <w:r w:rsidRPr="00226500">
        <w:rPr>
          <w:rFonts w:eastAsia="Calibri"/>
          <w:sz w:val="16"/>
        </w:rPr>
        <w:t>‖</w:t>
      </w:r>
      <w:r w:rsidRPr="00226500">
        <w:rPr>
          <w:sz w:val="16"/>
        </w:rPr>
        <w:t xml:space="preserve"> measures to correct violations of the Act.39 </w:t>
      </w:r>
      <w:r w:rsidRPr="00226500">
        <w:rPr>
          <w:rStyle w:val="StyleUnderline"/>
        </w:rPr>
        <w:t>Remedial actions that courts can order to redress education service delivery lapses include modifying an IEP,</w:t>
      </w:r>
      <w:r w:rsidRPr="00226500">
        <w:rPr>
          <w:sz w:val="16"/>
        </w:rPr>
        <w:t xml:space="preserve"> providing a particular instructional placement or a related educational service, </w:t>
      </w:r>
      <w:r w:rsidRPr="00226500">
        <w:rPr>
          <w:rStyle w:val="StyleUnderline"/>
        </w:rPr>
        <w:t>and various forms of compensatory education, tuition reimbursement, or direct payment</w:t>
      </w:r>
      <w:r w:rsidRPr="00226500">
        <w:rPr>
          <w:sz w:val="16"/>
        </w:rPr>
        <w:t xml:space="preserve"> for private educational alternatives and services.40 Congress codified tuition reimbursement in 1997 and introduced a specific provision permitting reimbursement for the cost of enrollment in private instructional settings under specific conditions when the school district failed to provide a FAPE.41 </w:t>
      </w:r>
    </w:p>
    <w:p w:rsidR="00582CA2" w:rsidRDefault="00582CA2" w:rsidP="00582CA2">
      <w:pPr>
        <w:pStyle w:val="Heading4"/>
      </w:pPr>
      <w:r>
        <w:t xml:space="preserve">Federal intervention is key to end disability segregation – states have empirically failed. </w:t>
      </w:r>
    </w:p>
    <w:p w:rsidR="00582CA2" w:rsidRPr="00C52B9A" w:rsidRDefault="00582CA2" w:rsidP="00582CA2">
      <w:pPr>
        <w:rPr>
          <w:sz w:val="16"/>
          <w:szCs w:val="16"/>
        </w:rPr>
      </w:pPr>
      <w:proofErr w:type="spellStart"/>
      <w:r w:rsidRPr="00F27554">
        <w:rPr>
          <w:rStyle w:val="Style13ptBold"/>
        </w:rPr>
        <w:t>Strassfeld</w:t>
      </w:r>
      <w:proofErr w:type="spellEnd"/>
      <w:r w:rsidRPr="00F27554">
        <w:rPr>
          <w:rStyle w:val="Style13ptBold"/>
        </w:rPr>
        <w:t xml:space="preserve"> ’17</w:t>
      </w:r>
      <w:r>
        <w:t xml:space="preserve"> </w:t>
      </w:r>
      <w:r w:rsidRPr="00F27554">
        <w:rPr>
          <w:sz w:val="16"/>
          <w:szCs w:val="16"/>
        </w:rPr>
        <w:t xml:space="preserve">(Natasha M; Assistant Professor of Special Education in the Department of Teaching and Learning, J.D. from the University of Wisconsin School of Law, Ph.D. in Special Education from the Pennsylvania State University; 2017, Case Western Reserve Law Review, Vol. 67, </w:t>
      </w:r>
      <w:proofErr w:type="spellStart"/>
      <w:r w:rsidRPr="00F27554">
        <w:rPr>
          <w:sz w:val="16"/>
          <w:szCs w:val="16"/>
        </w:rPr>
        <w:t>Iss</w:t>
      </w:r>
      <w:proofErr w:type="spellEnd"/>
      <w:r w:rsidRPr="00F27554">
        <w:rPr>
          <w:sz w:val="16"/>
          <w:szCs w:val="16"/>
        </w:rPr>
        <w:t xml:space="preserve">. 4, “The Future of IDEA: Monitoring Disproportionate Representation of Minority Students in Special Education and Intentional Discrimination Claims,” </w:t>
      </w:r>
      <w:hyperlink r:id="rId19" w:history="1">
        <w:r w:rsidRPr="00F27554">
          <w:rPr>
            <w:rStyle w:val="Hyperlink"/>
            <w:sz w:val="16"/>
            <w:szCs w:val="16"/>
          </w:rPr>
          <w:t>http://scholarlycommons.law.case.edu/cgi/viewcontent.cgi?article=4721&amp;context=caselrev</w:t>
        </w:r>
      </w:hyperlink>
      <w:r w:rsidRPr="00F27554">
        <w:rPr>
          <w:sz w:val="16"/>
          <w:szCs w:val="16"/>
        </w:rPr>
        <w:t>, DOA: 6/30/17)</w:t>
      </w:r>
    </w:p>
    <w:p w:rsidR="00582CA2" w:rsidRDefault="00582CA2" w:rsidP="00582CA2">
      <w:pPr>
        <w:rPr>
          <w:sz w:val="14"/>
        </w:rPr>
      </w:pPr>
      <w:r w:rsidRPr="003C6CFA">
        <w:rPr>
          <w:sz w:val="14"/>
        </w:rPr>
        <w:t>II. Disproportionality Policy Monitoring and Enforcement Under IDEA As the previous Part describes</w:t>
      </w:r>
      <w:r w:rsidRPr="00EF5617">
        <w:rPr>
          <w:rStyle w:val="StyleUnderline"/>
        </w:rPr>
        <w:t>, the IDEA amendments</w:t>
      </w:r>
      <w:r w:rsidRPr="003C6CFA">
        <w:rPr>
          <w:sz w:val="14"/>
        </w:rPr>
        <w:t xml:space="preserve"> and the 2004 reauthorization </w:t>
      </w:r>
      <w:r w:rsidRPr="00EF5617">
        <w:rPr>
          <w:rStyle w:val="StyleUnderline"/>
        </w:rPr>
        <w:t>reserved considerable discretion to the states pertaining to the implementation of its requirements regarding disproportionality</w:t>
      </w:r>
      <w:r w:rsidRPr="003C6CFA">
        <w:rPr>
          <w:sz w:val="14"/>
        </w:rPr>
        <w:t xml:space="preserve">. </w:t>
      </w:r>
      <w:r w:rsidRPr="00EF5617">
        <w:rPr>
          <w:rStyle w:val="StyleUnderline"/>
        </w:rPr>
        <w:t xml:space="preserve">This is </w:t>
      </w:r>
      <w:r w:rsidRPr="00EF5617">
        <w:rPr>
          <w:rStyle w:val="Emphasis"/>
        </w:rPr>
        <w:t>consistent with a strong tradition</w:t>
      </w:r>
      <w:r w:rsidRPr="00EF5617">
        <w:rPr>
          <w:rStyle w:val="StyleUnderline"/>
        </w:rPr>
        <w:t xml:space="preserve"> of regarding education as </w:t>
      </w:r>
      <w:r w:rsidRPr="00EF5617">
        <w:rPr>
          <w:rStyle w:val="Emphasis"/>
        </w:rPr>
        <w:t>largely a state and local matter</w:t>
      </w:r>
      <w:r w:rsidRPr="00EF5617">
        <w:rPr>
          <w:rStyle w:val="StyleUnderline"/>
        </w:rPr>
        <w:t>. Because</w:t>
      </w:r>
      <w:r w:rsidRPr="003C6CFA">
        <w:rPr>
          <w:sz w:val="14"/>
        </w:rPr>
        <w:t xml:space="preserve"> statutes like </w:t>
      </w:r>
      <w:r w:rsidRPr="002F4536">
        <w:rPr>
          <w:rStyle w:val="StyleUnderline"/>
        </w:rPr>
        <w:t>IDEA</w:t>
      </w:r>
      <w:r w:rsidRPr="003C6CFA">
        <w:rPr>
          <w:sz w:val="14"/>
        </w:rPr>
        <w:t xml:space="preserve">, along with the Equal Protection Clause of the Fourteenth Amendment, </w:t>
      </w:r>
      <w:r w:rsidRPr="002F4536">
        <w:rPr>
          <w:rStyle w:val="StyleUnderline"/>
        </w:rPr>
        <w:t xml:space="preserve">are sources of federal rights, education creates a terrain for </w:t>
      </w:r>
      <w:r w:rsidRPr="002F4536">
        <w:rPr>
          <w:rStyle w:val="Emphasis"/>
        </w:rPr>
        <w:t>shifting balances between federal and state control</w:t>
      </w:r>
      <w:r w:rsidRPr="003C6CFA">
        <w:rPr>
          <w:sz w:val="14"/>
        </w:rPr>
        <w:t xml:space="preserve">. Some commentators have described this tug of war between the federal government and the states in terms of </w:t>
      </w:r>
      <w:r w:rsidRPr="002F4536">
        <w:rPr>
          <w:rStyle w:val="StyleUnderline"/>
        </w:rPr>
        <w:t>education federalism</w:t>
      </w:r>
      <w:r w:rsidRPr="003C6CFA">
        <w:rPr>
          <w:sz w:val="14"/>
        </w:rPr>
        <w:t xml:space="preserve">.68 Professor Kimberly Robinson </w:t>
      </w:r>
      <w:r w:rsidRPr="002F4536">
        <w:rPr>
          <w:rStyle w:val="StyleUnderline"/>
        </w:rPr>
        <w:t>has defined</w:t>
      </w:r>
      <w:r w:rsidRPr="003C6CFA">
        <w:rPr>
          <w:sz w:val="14"/>
        </w:rPr>
        <w:t xml:space="preserve"> education federalism as “</w:t>
      </w:r>
      <w:r w:rsidRPr="002F4536">
        <w:rPr>
          <w:rStyle w:val="StyleUnderline"/>
        </w:rPr>
        <w:t xml:space="preserve">a balance of power between the federal, state, and local governments that emphasizes </w:t>
      </w:r>
      <w:r w:rsidRPr="002F4536">
        <w:rPr>
          <w:rStyle w:val="Emphasis"/>
        </w:rPr>
        <w:t>substantial state autonomy</w:t>
      </w:r>
      <w:r w:rsidRPr="002F4536">
        <w:rPr>
          <w:rStyle w:val="StyleUnderline"/>
        </w:rPr>
        <w:t xml:space="preserve"> over education.</w:t>
      </w:r>
      <w:r w:rsidRPr="003C6CFA">
        <w:rPr>
          <w:sz w:val="14"/>
        </w:rPr>
        <w:t>”</w:t>
      </w:r>
      <w:r w:rsidRPr="002F4536">
        <w:rPr>
          <w:rStyle w:val="StyleUnderline"/>
        </w:rPr>
        <w:t>69 The strong preference for state and local control of education is not surprising</w:t>
      </w:r>
      <w:r w:rsidRPr="003C6CFA">
        <w:rPr>
          <w:sz w:val="14"/>
        </w:rPr>
        <w:t xml:space="preserve">. To begin, </w:t>
      </w:r>
      <w:r w:rsidRPr="002F4536">
        <w:rPr>
          <w:rStyle w:val="StyleUnderline"/>
        </w:rPr>
        <w:t>education</w:t>
      </w:r>
      <w:r w:rsidRPr="003C6CFA">
        <w:rPr>
          <w:sz w:val="14"/>
        </w:rPr>
        <w:t xml:space="preserve"> has </w:t>
      </w:r>
      <w:r w:rsidRPr="002F4536">
        <w:rPr>
          <w:rStyle w:val="StyleUnderline"/>
        </w:rPr>
        <w:t>historically</w:t>
      </w:r>
      <w:r w:rsidRPr="003C6CFA">
        <w:rPr>
          <w:sz w:val="14"/>
        </w:rPr>
        <w:t xml:space="preserve"> been a matter that </w:t>
      </w:r>
      <w:r w:rsidRPr="002F4536">
        <w:rPr>
          <w:rStyle w:val="StyleUnderline"/>
        </w:rPr>
        <w:t>fell within the ambit of what states</w:t>
      </w:r>
      <w:r w:rsidRPr="003C6CFA">
        <w:rPr>
          <w:sz w:val="14"/>
        </w:rPr>
        <w:t xml:space="preserve"> and local governments </w:t>
      </w:r>
      <w:r w:rsidRPr="002F4536">
        <w:rPr>
          <w:rStyle w:val="StyleUnderline"/>
        </w:rPr>
        <w:t>did</w:t>
      </w:r>
      <w:r w:rsidRPr="003C6CFA">
        <w:rPr>
          <w:sz w:val="14"/>
        </w:rPr>
        <w:t xml:space="preserve">. There are good reasons for a predisposition for local autonomy, </w:t>
      </w:r>
      <w:r w:rsidRPr="002F4536">
        <w:rPr>
          <w:rStyle w:val="StyleUnderline"/>
        </w:rPr>
        <w:t>ranging from a belief that local authorities are more likely to understand the idiosyncratic needs of their residents, to a belief that local control is likely to be more democratic control</w:t>
      </w:r>
      <w:r w:rsidRPr="003C6CFA">
        <w:rPr>
          <w:sz w:val="14"/>
        </w:rPr>
        <w:t xml:space="preserve">. History regarding such matters as school desegregation has demonstrated, however, that </w:t>
      </w:r>
      <w:r w:rsidRPr="002F4536">
        <w:rPr>
          <w:rStyle w:val="StyleUnderline"/>
        </w:rPr>
        <w:t xml:space="preserve">complete abdication to local control can </w:t>
      </w:r>
      <w:r w:rsidRPr="002F4536">
        <w:rPr>
          <w:rStyle w:val="Emphasis"/>
        </w:rPr>
        <w:t>undermine important federal rights</w:t>
      </w:r>
      <w:r w:rsidRPr="002F4536">
        <w:rPr>
          <w:rStyle w:val="StyleUnderline"/>
        </w:rPr>
        <w:t>.</w:t>
      </w:r>
      <w:r w:rsidRPr="003C6CFA">
        <w:rPr>
          <w:sz w:val="14"/>
        </w:rPr>
        <w:t xml:space="preserve"> </w:t>
      </w:r>
      <w:r w:rsidRPr="002E1A66">
        <w:rPr>
          <w:rStyle w:val="StyleUnderline"/>
        </w:rPr>
        <w:t>Desegregation has</w:t>
      </w:r>
      <w:r w:rsidRPr="003C6CFA">
        <w:rPr>
          <w:sz w:val="14"/>
        </w:rPr>
        <w:t xml:space="preserve">, indeed, </w:t>
      </w:r>
      <w:r w:rsidRPr="002E1A66">
        <w:rPr>
          <w:rStyle w:val="StyleUnderline"/>
        </w:rPr>
        <w:t xml:space="preserve">been an area where </w:t>
      </w:r>
      <w:r w:rsidRPr="002E1A66">
        <w:rPr>
          <w:rStyle w:val="Emphasis"/>
        </w:rPr>
        <w:t>federal rights have been aggressively imposed</w:t>
      </w:r>
      <w:r w:rsidRPr="002E1A66">
        <w:rPr>
          <w:rStyle w:val="StyleUnderline"/>
        </w:rPr>
        <w:t xml:space="preserve"> upon resistant states</w:t>
      </w:r>
      <w:r w:rsidRPr="003C6CFA">
        <w:rPr>
          <w:sz w:val="14"/>
        </w:rPr>
        <w:t xml:space="preserve">.70 </w:t>
      </w:r>
      <w:r w:rsidRPr="002E1A66">
        <w:rPr>
          <w:rStyle w:val="StyleUnderline"/>
        </w:rPr>
        <w:t>Brown v. Board</w:t>
      </w:r>
      <w:r w:rsidRPr="003C6CFA">
        <w:rPr>
          <w:sz w:val="14"/>
        </w:rPr>
        <w:t xml:space="preserve"> of Education </w:t>
      </w:r>
      <w:r w:rsidRPr="002E1A66">
        <w:rPr>
          <w:rStyle w:val="StyleUnderline"/>
        </w:rPr>
        <w:t>represented a rebalancing of the federalism equilibrium</w:t>
      </w:r>
      <w:r w:rsidRPr="003C6CFA">
        <w:rPr>
          <w:sz w:val="14"/>
        </w:rPr>
        <w:t xml:space="preserve"> in asserting that neither the law nor mores of states with compulsory school segregation could stand </w:t>
      </w:r>
      <w:r w:rsidRPr="009433DC">
        <w:rPr>
          <w:rStyle w:val="StyleUnderline"/>
        </w:rPr>
        <w:t>in the</w:t>
      </w:r>
      <w:r w:rsidRPr="003C6CFA">
        <w:rPr>
          <w:sz w:val="14"/>
        </w:rPr>
        <w:t xml:space="preserve"> face of the </w:t>
      </w:r>
      <w:r w:rsidRPr="009433DC">
        <w:rPr>
          <w:rStyle w:val="StyleUnderline"/>
        </w:rPr>
        <w:t>Fourteenth Amendment’s Equal Protection Clause</w:t>
      </w:r>
      <w:r w:rsidRPr="003C6CFA">
        <w:rPr>
          <w:sz w:val="14"/>
        </w:rPr>
        <w:t xml:space="preserve">.71 Indeed, </w:t>
      </w:r>
      <w:r w:rsidRPr="009433DC">
        <w:rPr>
          <w:rStyle w:val="StyleUnderline"/>
        </w:rPr>
        <w:t>the history of school desegregation after Brown is something of a cautionary tale about the perils of education federalism.</w:t>
      </w:r>
      <w:r w:rsidRPr="003C6CFA">
        <w:rPr>
          <w:sz w:val="14"/>
        </w:rPr>
        <w:t xml:space="preserve"> A year after Brown in its implementation decision, Brown II, 72 the Court tilted strongly toward local autonomy. Writing for the Court, Chief Justice Warren hailed what he saw as significant progress that some school districts had already made since Brown. 73 He added that schools might face particular local issues in moving toward desegregation. Consequently, he added, “[s]</w:t>
      </w:r>
      <w:proofErr w:type="spellStart"/>
      <w:r w:rsidRPr="003C6CFA">
        <w:rPr>
          <w:sz w:val="14"/>
        </w:rPr>
        <w:t>chool</w:t>
      </w:r>
      <w:proofErr w:type="spellEnd"/>
      <w:r w:rsidRPr="003C6CFA">
        <w:rPr>
          <w:sz w:val="14"/>
        </w:rPr>
        <w:t xml:space="preserve"> authorities have the primary responsibility for elucidating, assessing, and solving these problems . . . .”74 In turn, </w:t>
      </w:r>
      <w:r w:rsidRPr="009433DC">
        <w:rPr>
          <w:rStyle w:val="StyleUnderline"/>
        </w:rPr>
        <w:t>local federal district courts</w:t>
      </w:r>
      <w:r w:rsidRPr="003C6CFA">
        <w:rPr>
          <w:sz w:val="14"/>
        </w:rPr>
        <w:t xml:space="preserve">, which often </w:t>
      </w:r>
      <w:r w:rsidRPr="009433DC">
        <w:rPr>
          <w:rStyle w:val="StyleUnderline"/>
        </w:rPr>
        <w:t>were sympathetic to school district efforts to slow down or impede desegregation, would retain jurisdiction over the cases</w:t>
      </w:r>
      <w:r w:rsidRPr="003C6CFA">
        <w:rPr>
          <w:sz w:val="14"/>
        </w:rPr>
        <w:t xml:space="preserve">. This was to be accomplished with “all deliberate speed.”75 Yet, ten years after Brown, a mere 2.3% of African American children attended integrated southern schools.76 </w:t>
      </w:r>
      <w:r w:rsidRPr="00175034">
        <w:rPr>
          <w:rStyle w:val="Emphasis"/>
        </w:rPr>
        <w:t>Only when the full force of the federal government intervened</w:t>
      </w:r>
      <w:r w:rsidRPr="00175034">
        <w:rPr>
          <w:rStyle w:val="StyleUnderline"/>
        </w:rPr>
        <w:t xml:space="preserve"> to rebalance federal and local authority</w:t>
      </w:r>
      <w:r w:rsidRPr="003C6CFA">
        <w:rPr>
          <w:sz w:val="14"/>
        </w:rPr>
        <w:t xml:space="preserve"> by coupling the 1964 Civil Rights Act and the Elementary and Secondary Education Act (ESEA) in 196577 </w:t>
      </w:r>
      <w:r w:rsidRPr="00175034">
        <w:rPr>
          <w:rStyle w:val="StyleUnderline"/>
        </w:rPr>
        <w:t>did progress begin to happen regarding desegregation of southern schools</w:t>
      </w:r>
      <w:r w:rsidRPr="003C6CFA">
        <w:rPr>
          <w:sz w:val="14"/>
        </w:rPr>
        <w:t xml:space="preserve">. Title VI of the Civil Rights Act prohibited discrimination by government agencies that received federal money.78 </w:t>
      </w:r>
      <w:r w:rsidRPr="00175034">
        <w:rPr>
          <w:rStyle w:val="StyleUnderline"/>
        </w:rPr>
        <w:t xml:space="preserve">The </w:t>
      </w:r>
      <w:r w:rsidRPr="00175034">
        <w:rPr>
          <w:rStyle w:val="Emphasis"/>
        </w:rPr>
        <w:t>threat of losing federal funding</w:t>
      </w:r>
      <w:r w:rsidRPr="00175034">
        <w:rPr>
          <w:rStyle w:val="StyleUnderline"/>
        </w:rPr>
        <w:t xml:space="preserve"> became much more potent </w:t>
      </w:r>
      <w:r w:rsidRPr="003C6CFA">
        <w:rPr>
          <w:sz w:val="14"/>
        </w:rPr>
        <w:t xml:space="preserve">in 1965 with the enactment of ESEA </w:t>
      </w:r>
      <w:r w:rsidRPr="001C3022">
        <w:rPr>
          <w:rStyle w:val="StyleUnderline"/>
        </w:rPr>
        <w:t>which provided for a major flow of federal funding to schools</w:t>
      </w:r>
      <w:r w:rsidRPr="003C6CFA">
        <w:rPr>
          <w:sz w:val="14"/>
        </w:rPr>
        <w:t xml:space="preserve">.79 The judiciary’s patience with the delaying tactics of school districts also ran out. That growing impatience, and willingness to displace local autonomy with federal command, culminated in Green v. County School Board of New Kent County, Virginia. 80 There the Court rejected the county’s “freedom of choice” plan, which nominally permitted African American children to choose to attend any school in the district, but practically continued segregation.81 Instead, it ordered the county to speedily adopt plans that would create a unitary school system.82 </w:t>
      </w:r>
      <w:r w:rsidRPr="001C3022">
        <w:rPr>
          <w:rStyle w:val="StyleUnderline"/>
        </w:rPr>
        <w:t>This confluence of agreement among the three branches of federal government that local school autonomy must give way to an aggressive assertion of federal rights regarding education had a powerful impact on southern schools, but the retreat to state autonomy began not long after the Green decision. The impulse to defer to state and local authority in education, even when constitutional or other federally created rights are at stake, continues to play out.</w:t>
      </w:r>
      <w:r w:rsidRPr="003C6CFA">
        <w:rPr>
          <w:sz w:val="14"/>
        </w:rPr>
        <w:t xml:space="preserve"> The No Child Left Behind Act of 200183 </w:t>
      </w:r>
      <w:r w:rsidRPr="001C3022">
        <w:rPr>
          <w:rStyle w:val="StyleUnderline"/>
        </w:rPr>
        <w:t>(NCLB) represented a major federal effort to reform education nationwide.84</w:t>
      </w:r>
      <w:r w:rsidRPr="003C6CFA">
        <w:rPr>
          <w:sz w:val="14"/>
        </w:rPr>
        <w:t xml:space="preserve"> The Act was intended to promote educational excellence and equity by providing for high standards of performance and creating incentives to achieve those standards.85 While </w:t>
      </w:r>
      <w:r w:rsidRPr="00A775FA">
        <w:rPr>
          <w:rStyle w:val="StyleUnderline"/>
        </w:rPr>
        <w:t>NCLB</w:t>
      </w:r>
      <w:r w:rsidRPr="003C6CFA">
        <w:rPr>
          <w:sz w:val="14"/>
        </w:rPr>
        <w:t xml:space="preserve"> called for setting rigorous standards in core subjects and testing to monitor those standards with reporting requirements for schools and consequences for poorly performing schools, it also, in deference to education federalism, </w:t>
      </w:r>
      <w:r w:rsidRPr="00A775FA">
        <w:rPr>
          <w:rStyle w:val="StyleUnderline"/>
        </w:rPr>
        <w:t>let each state set its own academic standards. The results</w:t>
      </w:r>
      <w:r w:rsidRPr="00581490">
        <w:rPr>
          <w:rStyle w:val="StyleUnderline"/>
        </w:rPr>
        <w:t xml:space="preserve"> have been largely </w:t>
      </w:r>
      <w:r w:rsidRPr="00A775FA">
        <w:rPr>
          <w:rStyle w:val="Emphasis"/>
        </w:rPr>
        <w:t>regarded as disappointing</w:t>
      </w:r>
      <w:r w:rsidRPr="003C6CFA">
        <w:rPr>
          <w:sz w:val="14"/>
        </w:rPr>
        <w:t xml:space="preserve">.86 </w:t>
      </w:r>
      <w:r w:rsidRPr="00A775FA">
        <w:rPr>
          <w:rStyle w:val="StyleUnderline"/>
        </w:rPr>
        <w:t>The impact of education federalism can also be seen in IDEA’s treatment of disproportionality monitoring, perhaps with similarly disappointing consequences.</w:t>
      </w:r>
      <w:r w:rsidRPr="003C6CFA">
        <w:rPr>
          <w:sz w:val="14"/>
        </w:rPr>
        <w:t xml:space="preserve"> Since the 1997 amendments to the IDEA, </w:t>
      </w:r>
      <w:r w:rsidRPr="00A775FA">
        <w:rPr>
          <w:rStyle w:val="StyleUnderline"/>
        </w:rPr>
        <w:t>Congress has made a concerted effort to maintain a balance of federal and state oversight of special education programs by including specific provisions for the U.S. Department of Education and the Office of Special Education Programs to monitor and enforce equitable practices for placing students, particularly racial and ethnic minority students, into special education</w:t>
      </w:r>
      <w:r w:rsidRPr="003C6CFA">
        <w:rPr>
          <w:sz w:val="14"/>
        </w:rPr>
        <w:t xml:space="preserve">.87 Research conducted since the most recent reauthorization, however, strongly suggests that </w:t>
      </w:r>
      <w:r w:rsidRPr="00A775FA">
        <w:rPr>
          <w:rStyle w:val="Emphasis"/>
        </w:rPr>
        <w:t>states vary widely</w:t>
      </w:r>
      <w:r w:rsidRPr="00A775FA">
        <w:rPr>
          <w:rStyle w:val="StyleUnderline"/>
        </w:rPr>
        <w:t xml:space="preserve"> in how they interpret and enforce the federal provisions</w:t>
      </w:r>
      <w:r w:rsidRPr="003C6CFA">
        <w:rPr>
          <w:sz w:val="14"/>
        </w:rPr>
        <w:t xml:space="preserve">.88 This is mostly </w:t>
      </w:r>
      <w:r w:rsidRPr="00A775FA">
        <w:rPr>
          <w:rStyle w:val="StyleUnderline"/>
        </w:rPr>
        <w:t>due to</w:t>
      </w:r>
      <w:r w:rsidRPr="003C6CFA">
        <w:rPr>
          <w:sz w:val="14"/>
        </w:rPr>
        <w:t xml:space="preserve"> changes in the </w:t>
      </w:r>
      <w:r w:rsidRPr="00A775FA">
        <w:rPr>
          <w:rStyle w:val="StyleUnderline"/>
        </w:rPr>
        <w:t>methods used to measure disproportionate representation at the district level and state variation regarding what constitutes significant disproportionality</w:t>
      </w:r>
      <w:r w:rsidRPr="003C6CFA">
        <w:rPr>
          <w:sz w:val="14"/>
        </w:rPr>
        <w:t xml:space="preserve">. </w:t>
      </w:r>
    </w:p>
    <w:p w:rsidR="009321FD" w:rsidRDefault="009321FD" w:rsidP="009321FD">
      <w:pPr>
        <w:pStyle w:val="Heading3"/>
      </w:pPr>
      <w:r>
        <w:t xml:space="preserve">AT: School Spending DA </w:t>
      </w:r>
    </w:p>
    <w:p w:rsidR="009321FD" w:rsidRPr="003417E7" w:rsidRDefault="009321FD" w:rsidP="009321FD">
      <w:pPr>
        <w:pStyle w:val="Heading4"/>
      </w:pPr>
      <w:r>
        <w:t xml:space="preserve">Their link arguments don’t assume the funding plank of the plan, we have the federal government provide students with the resources needed—even if that wasn’t the case, the plan is comparatively cheaper than the </w:t>
      </w:r>
      <w:proofErr w:type="spellStart"/>
      <w:r>
        <w:t>squo</w:t>
      </w:r>
      <w:proofErr w:type="spellEnd"/>
    </w:p>
    <w:p w:rsidR="009321FD" w:rsidRPr="003417E7" w:rsidRDefault="009321FD" w:rsidP="009321FD">
      <w:pPr>
        <w:rPr>
          <w:rFonts w:cs="Arial"/>
          <w:sz w:val="16"/>
          <w:szCs w:val="16"/>
        </w:rPr>
      </w:pPr>
      <w:r w:rsidRPr="003417E7">
        <w:rPr>
          <w:rStyle w:val="Style13ptBold"/>
          <w:rFonts w:cs="Arial"/>
        </w:rPr>
        <w:t>Neal ’15</w:t>
      </w:r>
      <w:r w:rsidRPr="003417E7">
        <w:rPr>
          <w:rFonts w:cs="Arial"/>
        </w:rPr>
        <w:t xml:space="preserve"> </w:t>
      </w:r>
      <w:r w:rsidRPr="003417E7">
        <w:rPr>
          <w:rFonts w:cs="Arial"/>
          <w:sz w:val="16"/>
          <w:szCs w:val="16"/>
        </w:rPr>
        <w:t xml:space="preserve">(Cameron; JD in Law from UNC School of Law, BA in Political Science from NC State University; NORTH CAROLINA JOURNAL OF LAW &amp; TECHNOLOGY, 16 N.C. J.L. &amp; TECH. ON. 235 (2015) “WHEN FIVE HOURS EQUALS FIVE DAYS: BRINGING SECTION 504 EDUCATION PLANS INTO THE 21ST CENTURY,” </w:t>
      </w:r>
      <w:hyperlink r:id="rId20" w:history="1">
        <w:r w:rsidRPr="003417E7">
          <w:rPr>
            <w:rStyle w:val="Hyperlink"/>
            <w:rFonts w:cs="Arial"/>
            <w:sz w:val="16"/>
            <w:szCs w:val="16"/>
          </w:rPr>
          <w:t>http://ncjolt.org/wp-content/uploads/2015/04/Neal_Final-1.pdf</w:t>
        </w:r>
      </w:hyperlink>
      <w:r w:rsidRPr="003417E7">
        <w:rPr>
          <w:rFonts w:cs="Arial"/>
          <w:sz w:val="16"/>
          <w:szCs w:val="16"/>
        </w:rPr>
        <w:t>, DOA: 6/28/17)</w:t>
      </w:r>
    </w:p>
    <w:p w:rsidR="009321FD" w:rsidRPr="003417E7" w:rsidRDefault="009321FD" w:rsidP="009321FD">
      <w:pPr>
        <w:rPr>
          <w:rStyle w:val="StyleUnderline"/>
        </w:rPr>
      </w:pPr>
      <w:r w:rsidRPr="003417E7">
        <w:rPr>
          <w:rFonts w:cs="Arial"/>
          <w:sz w:val="16"/>
        </w:rPr>
        <w:t xml:space="preserve">Schools’ second </w:t>
      </w:r>
      <w:r w:rsidRPr="003417E7">
        <w:rPr>
          <w:rStyle w:val="StyleUnderline"/>
        </w:rPr>
        <w:t>concern</w:t>
      </w:r>
      <w:r w:rsidRPr="003417E7">
        <w:rPr>
          <w:rFonts w:cs="Arial"/>
          <w:sz w:val="16"/>
        </w:rPr>
        <w:t xml:space="preserve">, </w:t>
      </w:r>
      <w:r w:rsidRPr="003417E7">
        <w:rPr>
          <w:rStyle w:val="StyleUnderline"/>
        </w:rPr>
        <w:t xml:space="preserve">regarding the high cost of distance learning technologies, is unmerited because the </w:t>
      </w:r>
      <w:r w:rsidRPr="003417E7">
        <w:rPr>
          <w:rStyle w:val="Emphasis"/>
        </w:rPr>
        <w:t>cost of these technologies is minimal in comparison to the current homebound system</w:t>
      </w:r>
      <w:r w:rsidRPr="003417E7">
        <w:rPr>
          <w:rStyle w:val="StyleUnderline"/>
        </w:rPr>
        <w:t>.</w:t>
      </w:r>
      <w:r w:rsidRPr="003417E7">
        <w:rPr>
          <w:rFonts w:cs="Arial"/>
          <w:sz w:val="16"/>
        </w:rPr>
        <w:t xml:space="preserve"> </w:t>
      </w:r>
      <w:r w:rsidRPr="003417E7">
        <w:rPr>
          <w:rStyle w:val="StyleUnderline"/>
        </w:rPr>
        <w:t>In light of recent cuts to education</w:t>
      </w:r>
      <w:r w:rsidRPr="003417E7">
        <w:rPr>
          <w:rFonts w:cs="Arial"/>
          <w:sz w:val="16"/>
        </w:rPr>
        <w:t xml:space="preserve">, such as Congress cutting the Head Start program’s budget by $400 million, 137 finding money to </w:t>
      </w:r>
      <w:r w:rsidRPr="003417E7">
        <w:rPr>
          <w:rStyle w:val="StyleUnderline"/>
        </w:rPr>
        <w:t>increase educational funding can be difficult.</w:t>
      </w:r>
      <w:r w:rsidRPr="003417E7">
        <w:rPr>
          <w:rFonts w:cs="Arial"/>
          <w:sz w:val="16"/>
        </w:rPr>
        <w:t xml:space="preserve"> In many schools, a homebound teacher does not have a traditional classroom and has a workload of only homebound students. </w:t>
      </w:r>
      <w:r w:rsidRPr="003417E7">
        <w:rPr>
          <w:rStyle w:val="StyleUnderline"/>
        </w:rPr>
        <w:t>Assuming</w:t>
      </w:r>
      <w:r w:rsidRPr="003417E7">
        <w:rPr>
          <w:rFonts w:cs="Arial"/>
          <w:sz w:val="16"/>
        </w:rPr>
        <w:t xml:space="preserve"> arguendo </w:t>
      </w:r>
      <w:r w:rsidRPr="003417E7">
        <w:rPr>
          <w:rStyle w:val="StyleUnderline"/>
        </w:rPr>
        <w:t>that a single teacher educating homebound students works forty hours a week, not including travel time between the students’ homes, and sees each child for the required five hours a week, then this teacher would only be able to see eight students a week.138</w:t>
      </w:r>
      <w:r w:rsidRPr="003417E7">
        <w:rPr>
          <w:rFonts w:cs="Arial"/>
          <w:sz w:val="16"/>
        </w:rPr>
        <w:t xml:space="preserve"> The lowest paid teachers in the country are first year teachers in South Dakota who make $26,988 a year, not including expensive benefits such as health insurance and pension. 139 </w:t>
      </w:r>
      <w:r w:rsidRPr="003417E7">
        <w:rPr>
          <w:rStyle w:val="StyleUnderline"/>
        </w:rPr>
        <w:t>A South Dakotan homebound teacher teaching eight students would result in a cost of $3,373.50 per South Dakotan homebound student</w:t>
      </w:r>
      <w:r w:rsidRPr="003417E7">
        <w:rPr>
          <w:rFonts w:cs="Arial"/>
          <w:sz w:val="16"/>
        </w:rPr>
        <w:t xml:space="preserve">. </w:t>
      </w:r>
      <w:r w:rsidRPr="003417E7">
        <w:rPr>
          <w:rStyle w:val="StyleUnderline"/>
        </w:rPr>
        <w:t xml:space="preserve">A </w:t>
      </w:r>
      <w:proofErr w:type="spellStart"/>
      <w:r w:rsidRPr="003417E7">
        <w:rPr>
          <w:rStyle w:val="StyleUnderline"/>
        </w:rPr>
        <w:t>VGo</w:t>
      </w:r>
      <w:proofErr w:type="spellEnd"/>
      <w:r w:rsidRPr="003417E7">
        <w:rPr>
          <w:rStyle w:val="StyleUnderline"/>
        </w:rPr>
        <w:t xml:space="preserve"> costs $6,000 for the initial purchase of the unit, plus an additional $100 per month for support and maintenance, with a five-year warranty—though the units are expected to last much longer</w:t>
      </w:r>
      <w:r w:rsidRPr="003417E7">
        <w:rPr>
          <w:rFonts w:cs="Arial"/>
          <w:sz w:val="16"/>
        </w:rPr>
        <w:t xml:space="preserve">.140 </w:t>
      </w:r>
      <w:r w:rsidRPr="003417E7">
        <w:rPr>
          <w:rStyle w:val="StyleUnderline"/>
        </w:rPr>
        <w:t xml:space="preserve">Assuming that </w:t>
      </w:r>
      <w:proofErr w:type="spellStart"/>
      <w:r w:rsidRPr="003417E7">
        <w:rPr>
          <w:rStyle w:val="StyleUnderline"/>
        </w:rPr>
        <w:t>VGos</w:t>
      </w:r>
      <w:proofErr w:type="spellEnd"/>
      <w:r w:rsidRPr="003417E7">
        <w:rPr>
          <w:rStyle w:val="StyleUnderline"/>
        </w:rPr>
        <w:t xml:space="preserve"> last only five years, they cost the school a mere $2,400 per year each to own and operate. If each of those eight homebound students were indeed provided with a </w:t>
      </w:r>
      <w:proofErr w:type="spellStart"/>
      <w:r w:rsidRPr="003417E7">
        <w:rPr>
          <w:rStyle w:val="StyleUnderline"/>
        </w:rPr>
        <w:t>VGo</w:t>
      </w:r>
      <w:proofErr w:type="spellEnd"/>
      <w:r w:rsidRPr="003417E7">
        <w:rPr>
          <w:rStyle w:val="StyleUnderline"/>
        </w:rPr>
        <w:t xml:space="preserve"> rather than receiving homebound services, the net total cost would only be $19,200 per year for all eight students combined</w:t>
      </w:r>
      <w:r w:rsidRPr="003417E7">
        <w:rPr>
          <w:rFonts w:cs="Arial"/>
          <w:sz w:val="16"/>
        </w:rPr>
        <w:t xml:space="preserve">.141 As the school already has traditional teachers and classrooms in place, </w:t>
      </w:r>
      <w:r w:rsidRPr="003417E7">
        <w:rPr>
          <w:rStyle w:val="StyleUnderline"/>
        </w:rPr>
        <w:t xml:space="preserve">integrating these students into a normal classroom would mean a </w:t>
      </w:r>
      <w:r w:rsidRPr="003417E7">
        <w:rPr>
          <w:rStyle w:val="Emphasis"/>
        </w:rPr>
        <w:t>net savings of $7,788</w:t>
      </w:r>
      <w:r w:rsidRPr="003417E7">
        <w:rPr>
          <w:rStyle w:val="StyleUnderline"/>
        </w:rPr>
        <w:t xml:space="preserve"> for</w:t>
      </w:r>
      <w:r w:rsidRPr="003417E7">
        <w:rPr>
          <w:rFonts w:cs="Arial"/>
          <w:sz w:val="16"/>
        </w:rPr>
        <w:t xml:space="preserve"> the South Dakotan school. </w:t>
      </w:r>
      <w:r w:rsidRPr="003417E7">
        <w:rPr>
          <w:rStyle w:val="StyleUnderline"/>
        </w:rPr>
        <w:t xml:space="preserve">These savings are </w:t>
      </w:r>
      <w:r w:rsidRPr="003417E7">
        <w:rPr>
          <w:rStyle w:val="Emphasis"/>
        </w:rPr>
        <w:t xml:space="preserve">drastically higher </w:t>
      </w:r>
      <w:r w:rsidRPr="003417E7">
        <w:rPr>
          <w:rStyle w:val="StyleUnderline"/>
        </w:rPr>
        <w:t>if you include the total cost of a teacher’s benefit package or the student and teacher in any other state</w:t>
      </w:r>
      <w:r w:rsidRPr="003417E7">
        <w:rPr>
          <w:rFonts w:cs="Arial"/>
          <w:sz w:val="16"/>
        </w:rPr>
        <w:t>.142 The third major concern—</w:t>
      </w:r>
      <w:r w:rsidRPr="003417E7">
        <w:rPr>
          <w:rStyle w:val="StyleUnderline"/>
        </w:rPr>
        <w:t>the privacy of students and teachers</w:t>
      </w:r>
      <w:r w:rsidRPr="003417E7">
        <w:rPr>
          <w:rFonts w:cs="Arial"/>
          <w:sz w:val="16"/>
        </w:rPr>
        <w:t>—</w:t>
      </w:r>
      <w:r w:rsidRPr="003417E7">
        <w:rPr>
          <w:rStyle w:val="StyleUnderline"/>
        </w:rPr>
        <w:t>is not a viable reason to deny a student access to a FAPE</w:t>
      </w:r>
      <w:r w:rsidRPr="003417E7">
        <w:rPr>
          <w:rFonts w:cs="Arial"/>
          <w:sz w:val="16"/>
        </w:rPr>
        <w:t xml:space="preserve">. </w:t>
      </w:r>
      <w:r w:rsidRPr="003417E7">
        <w:rPr>
          <w:rStyle w:val="StyleUnderline"/>
        </w:rPr>
        <w:t>Many schools prohibit students from video recording the class for fear that the teacher’s performance could be monitored.</w:t>
      </w:r>
      <w:r w:rsidRPr="003417E7">
        <w:rPr>
          <w:rFonts w:cs="Arial"/>
          <w:sz w:val="16"/>
        </w:rPr>
        <w:t xml:space="preserve">143 But </w:t>
      </w:r>
      <w:r w:rsidRPr="003417E7">
        <w:rPr>
          <w:rStyle w:val="StyleUnderline"/>
        </w:rPr>
        <w:t xml:space="preserve">unlike cell phone cameras, which many students carry in their pockets, some of these videoconferencing software and </w:t>
      </w:r>
      <w:proofErr w:type="spellStart"/>
      <w:r w:rsidRPr="003417E7">
        <w:rPr>
          <w:rStyle w:val="StyleUnderline"/>
        </w:rPr>
        <w:t>PRoPs</w:t>
      </w:r>
      <w:proofErr w:type="spellEnd"/>
      <w:r w:rsidRPr="003417E7">
        <w:rPr>
          <w:rStyle w:val="StyleUnderline"/>
        </w:rPr>
        <w:t xml:space="preserve"> cannot record without custom modifications</w:t>
      </w:r>
      <w:r w:rsidRPr="003417E7">
        <w:rPr>
          <w:rFonts w:cs="Arial"/>
          <w:sz w:val="16"/>
        </w:rPr>
        <w:t xml:space="preserve">.144 In addition, </w:t>
      </w:r>
      <w:r w:rsidRPr="003417E7">
        <w:rPr>
          <w:rStyle w:val="StyleUnderline"/>
        </w:rPr>
        <w:t xml:space="preserve">many of these technologies are highly encrypted, thereby </w:t>
      </w:r>
      <w:r w:rsidRPr="003417E7">
        <w:rPr>
          <w:rStyle w:val="Emphasis"/>
        </w:rPr>
        <w:t>providing greater security</w:t>
      </w:r>
      <w:r w:rsidRPr="003417E7">
        <w:rPr>
          <w:rFonts w:cs="Arial"/>
          <w:sz w:val="16"/>
        </w:rPr>
        <w:t xml:space="preserve">. 145 However, at the end of the day, </w:t>
      </w:r>
      <w:r w:rsidRPr="003417E7">
        <w:rPr>
          <w:rStyle w:val="StyleUnderline"/>
        </w:rPr>
        <w:t>neither privacy nor information security concerns truly result in a fundamental alteration of education or an undue hardship</w:t>
      </w:r>
      <w:r w:rsidRPr="003417E7">
        <w:rPr>
          <w:rFonts w:cs="Arial"/>
          <w:sz w:val="16"/>
        </w:rPr>
        <w:t xml:space="preserve">. Finally, </w:t>
      </w:r>
      <w:r w:rsidRPr="003417E7">
        <w:rPr>
          <w:rStyle w:val="StyleUnderline"/>
        </w:rPr>
        <w:t>schools argue that distance-learning technology results in a fundamental alteration to the rest of the student’s education because of the potential for classroom disruption</w:t>
      </w:r>
      <w:r w:rsidRPr="003417E7">
        <w:rPr>
          <w:rFonts w:cs="Arial"/>
          <w:sz w:val="16"/>
        </w:rPr>
        <w:t xml:space="preserve">. In one research study, </w:t>
      </w:r>
      <w:r w:rsidRPr="003417E7">
        <w:rPr>
          <w:rStyle w:val="StyleUnderline"/>
        </w:rPr>
        <w:t>teachers expressed concern about exercising control in classrooms and worried real-time video connections could distract their students</w:t>
      </w:r>
      <w:r w:rsidRPr="003417E7">
        <w:rPr>
          <w:rFonts w:cs="Arial"/>
          <w:sz w:val="16"/>
        </w:rPr>
        <w:t xml:space="preserve">. 146 The teachers wanted to restrict the use of </w:t>
      </w:r>
      <w:proofErr w:type="spellStart"/>
      <w:r w:rsidRPr="003417E7">
        <w:rPr>
          <w:rFonts w:cs="Arial"/>
          <w:sz w:val="16"/>
        </w:rPr>
        <w:t>PRoPs</w:t>
      </w:r>
      <w:proofErr w:type="spellEnd"/>
      <w:r w:rsidRPr="003417E7">
        <w:rPr>
          <w:rFonts w:cs="Arial"/>
          <w:sz w:val="16"/>
        </w:rPr>
        <w:t xml:space="preserve"> during particular times because of this potential for class distraction. 147 </w:t>
      </w:r>
      <w:r w:rsidRPr="003417E7">
        <w:rPr>
          <w:rStyle w:val="StyleUnderline"/>
        </w:rPr>
        <w:t>The teachers</w:t>
      </w:r>
      <w:r w:rsidRPr="003417E7">
        <w:rPr>
          <w:rFonts w:cs="Arial"/>
          <w:sz w:val="16"/>
        </w:rPr>
        <w:t xml:space="preserve">, and the authors of the study, </w:t>
      </w:r>
      <w:r w:rsidRPr="003417E7">
        <w:rPr>
          <w:rStyle w:val="StyleUnderline"/>
        </w:rPr>
        <w:t>agreed that neither the hypothetical sick child nor the technology could be allowed to become the whole focus of the class</w:t>
      </w:r>
      <w:r w:rsidRPr="003417E7">
        <w:rPr>
          <w:rFonts w:cs="Arial"/>
          <w:sz w:val="16"/>
        </w:rPr>
        <w:t xml:space="preserve">.148 </w:t>
      </w:r>
      <w:r w:rsidRPr="003417E7">
        <w:rPr>
          <w:rStyle w:val="StyleUnderline"/>
        </w:rPr>
        <w:t>Teachers can and must ultimately control the distance-learning technology by switching off the units when situations require.</w:t>
      </w:r>
      <w:r w:rsidRPr="003417E7">
        <w:rPr>
          <w:rFonts w:cs="Arial"/>
          <w:sz w:val="16"/>
        </w:rPr>
        <w:t>149 In another study, fo</w:t>
      </w:r>
      <w:r w:rsidRPr="003417E7">
        <w:rPr>
          <w:rStyle w:val="StyleUnderline"/>
        </w:rPr>
        <w:t xml:space="preserve">ur out of five teachers using videoconferencing technology in the classroom reported that the program had an </w:t>
      </w:r>
      <w:r w:rsidRPr="003417E7">
        <w:rPr>
          <w:rStyle w:val="Emphasis"/>
        </w:rPr>
        <w:t>educational benefit</w:t>
      </w:r>
      <w:r w:rsidRPr="003417E7">
        <w:rPr>
          <w:rStyle w:val="StyleUnderline"/>
        </w:rPr>
        <w:t xml:space="preserve"> for the class because the class learned about their classmate’s disease</w:t>
      </w:r>
      <w:r w:rsidRPr="003417E7">
        <w:rPr>
          <w:rFonts w:cs="Arial"/>
          <w:sz w:val="16"/>
        </w:rPr>
        <w:t xml:space="preserve">.150 As such, </w:t>
      </w:r>
      <w:r w:rsidRPr="003417E7">
        <w:rPr>
          <w:rStyle w:val="StyleUnderline"/>
        </w:rPr>
        <w:t xml:space="preserve">a </w:t>
      </w:r>
      <w:proofErr w:type="spellStart"/>
      <w:r w:rsidRPr="003417E7">
        <w:rPr>
          <w:rStyle w:val="StyleUnderline"/>
        </w:rPr>
        <w:t>PRoP</w:t>
      </w:r>
      <w:proofErr w:type="spellEnd"/>
      <w:r w:rsidRPr="003417E7">
        <w:rPr>
          <w:rStyle w:val="StyleUnderline"/>
        </w:rPr>
        <w:t xml:space="preserve"> or a webcam </w:t>
      </w:r>
      <w:r w:rsidRPr="003417E7">
        <w:rPr>
          <w:rStyle w:val="Emphasis"/>
        </w:rPr>
        <w:t>would not harm the education</w:t>
      </w:r>
      <w:r w:rsidRPr="003417E7">
        <w:rPr>
          <w:rStyle w:val="StyleUnderline"/>
        </w:rPr>
        <w:t xml:space="preserve"> of classmates because students adapt to distance-learning technologies and learn about both technology and different life experiences as a result</w:t>
      </w:r>
      <w:r w:rsidRPr="003417E7">
        <w:rPr>
          <w:rFonts w:cs="Arial"/>
          <w:sz w:val="16"/>
        </w:rPr>
        <w:t>.151 In sum</w:t>
      </w:r>
      <w:r w:rsidRPr="003417E7">
        <w:rPr>
          <w:rStyle w:val="StyleUnderline"/>
        </w:rPr>
        <w:t>, providing a homebound student with distance-learning technology does not result in a fundamental alteration of the student’s education</w:t>
      </w:r>
      <w:r w:rsidRPr="003417E7">
        <w:rPr>
          <w:rFonts w:cs="Arial"/>
          <w:sz w:val="16"/>
        </w:rPr>
        <w:t xml:space="preserve">; rather, </w:t>
      </w:r>
      <w:r w:rsidRPr="003417E7">
        <w:rPr>
          <w:rStyle w:val="StyleUnderline"/>
        </w:rPr>
        <w:t>it enables students to receive the education that they would receive otherwise</w:t>
      </w:r>
      <w:r w:rsidRPr="003417E7">
        <w:rPr>
          <w:rFonts w:cs="Arial"/>
          <w:sz w:val="16"/>
        </w:rPr>
        <w:t xml:space="preserve">. </w:t>
      </w:r>
      <w:r w:rsidRPr="003417E7">
        <w:rPr>
          <w:rStyle w:val="StyleUnderline"/>
        </w:rPr>
        <w:t xml:space="preserve">The inclusion of distance-learning technology for homebound students is not an undue hardship for the schools. The cost for these distance-learning technologies is minimal. </w:t>
      </w:r>
      <w:r w:rsidRPr="003417E7">
        <w:rPr>
          <w:rStyle w:val="Emphasis"/>
        </w:rPr>
        <w:t>Schools already have access to the Internet, and most have laptops for student use</w:t>
      </w:r>
      <w:r w:rsidRPr="003417E7">
        <w:rPr>
          <w:rFonts w:cs="Arial"/>
          <w:sz w:val="16"/>
        </w:rPr>
        <w:t xml:space="preserve">. </w:t>
      </w:r>
      <w:r w:rsidRPr="003417E7">
        <w:rPr>
          <w:rStyle w:val="StyleUnderline"/>
        </w:rPr>
        <w:t>In order to allow homebound students to attend class with videoconferencing-only technology, schools would incur significant costs only if the homebound student did not already have the access to the Internet in their home, or if the school did not have a device, such as an iPad, with which the class could watch the video feed</w:t>
      </w:r>
      <w:r w:rsidRPr="003417E7">
        <w:rPr>
          <w:rFonts w:cs="Arial"/>
          <w:sz w:val="16"/>
        </w:rPr>
        <w:t xml:space="preserve">. </w:t>
      </w:r>
      <w:proofErr w:type="spellStart"/>
      <w:r w:rsidRPr="003417E7">
        <w:rPr>
          <w:rFonts w:cs="Arial"/>
          <w:sz w:val="16"/>
        </w:rPr>
        <w:t>PRoPs</w:t>
      </w:r>
      <w:proofErr w:type="spellEnd"/>
      <w:r w:rsidRPr="003417E7">
        <w:rPr>
          <w:rFonts w:cs="Arial"/>
          <w:sz w:val="16"/>
        </w:rPr>
        <w:t xml:space="preserve"> would require the same costs per student, with the addition of approximately six thousand dollars for the cost of a </w:t>
      </w:r>
      <w:proofErr w:type="spellStart"/>
      <w:r w:rsidRPr="003417E7">
        <w:rPr>
          <w:rFonts w:cs="Arial"/>
          <w:sz w:val="16"/>
        </w:rPr>
        <w:t>PRoP</w:t>
      </w:r>
      <w:proofErr w:type="spellEnd"/>
      <w:r w:rsidRPr="003417E7">
        <w:rPr>
          <w:rFonts w:cs="Arial"/>
          <w:sz w:val="16"/>
        </w:rPr>
        <w:t xml:space="preserve"> unit. 152 However, </w:t>
      </w:r>
      <w:r w:rsidRPr="003417E7">
        <w:rPr>
          <w:rStyle w:val="StyleUnderline"/>
        </w:rPr>
        <w:t xml:space="preserve">with the distinct social interaction advantages that the telepresence robot provides to students, the increased educational value might make an option like the </w:t>
      </w:r>
      <w:proofErr w:type="spellStart"/>
      <w:r w:rsidRPr="003417E7">
        <w:rPr>
          <w:rStyle w:val="StyleUnderline"/>
        </w:rPr>
        <w:t>VGo</w:t>
      </w:r>
      <w:proofErr w:type="spellEnd"/>
      <w:r w:rsidRPr="003417E7">
        <w:rPr>
          <w:rStyle w:val="StyleUnderline"/>
        </w:rPr>
        <w:t xml:space="preserve"> a required assistive technology due to Section 504 and Title II.</w:t>
      </w:r>
    </w:p>
    <w:p w:rsidR="00833446" w:rsidRDefault="00833446" w:rsidP="00833446">
      <w:pPr>
        <w:pStyle w:val="Heading2"/>
      </w:pPr>
      <w:r>
        <w:t>AT: T</w:t>
      </w:r>
    </w:p>
    <w:p w:rsidR="006106AB" w:rsidRPr="006106AB" w:rsidRDefault="006106AB" w:rsidP="006106AB">
      <w:pPr>
        <w:pStyle w:val="Heading3"/>
      </w:pPr>
      <w:r>
        <w:t>W/M - Regulation</w:t>
      </w:r>
    </w:p>
    <w:p w:rsidR="006106AB" w:rsidRDefault="006106AB" w:rsidP="006106AB">
      <w:pPr>
        <w:pStyle w:val="Heading4"/>
      </w:pPr>
      <w:r>
        <w:t>Any judicial action is defined as being regulations – the Supreme Court.</w:t>
      </w:r>
    </w:p>
    <w:p w:rsidR="006106AB" w:rsidRPr="00AA63F8" w:rsidRDefault="006106AB" w:rsidP="006106AB">
      <w:pPr>
        <w:rPr>
          <w:rStyle w:val="Style13ptBold"/>
          <w:b w:val="0"/>
          <w:sz w:val="20"/>
          <w:szCs w:val="20"/>
        </w:rPr>
      </w:pPr>
      <w:r>
        <w:rPr>
          <w:rStyle w:val="Style13ptBold"/>
        </w:rPr>
        <w:t xml:space="preserve">Landen, J.D. 88 – </w:t>
      </w:r>
      <w:r w:rsidRPr="00AA63F8">
        <w:rPr>
          <w:rStyle w:val="Style13ptBold"/>
          <w:b w:val="0"/>
          <w:sz w:val="20"/>
          <w:szCs w:val="20"/>
        </w:rPr>
        <w:t xml:space="preserve">Pennington Parker is an attorney in Fort Mitchell, KY. She got her J.D. from the University of Cincinnati in 1986 and has a 4.8/5-star rating on lawyers.com (“Federal Preemption and the Drug Industry: Can Courts </w:t>
      </w:r>
      <w:proofErr w:type="spellStart"/>
      <w:r w:rsidRPr="00AA63F8">
        <w:rPr>
          <w:rStyle w:val="Style13ptBold"/>
          <w:b w:val="0"/>
          <w:sz w:val="20"/>
          <w:szCs w:val="20"/>
        </w:rPr>
        <w:t>CoRegulate</w:t>
      </w:r>
      <w:proofErr w:type="spellEnd"/>
      <w:r w:rsidRPr="00AA63F8">
        <w:rPr>
          <w:rStyle w:val="Style13ptBold"/>
          <w:b w:val="0"/>
          <w:sz w:val="20"/>
          <w:szCs w:val="20"/>
        </w:rPr>
        <w:t xml:space="preserve">?”, pp 88-9, 43 Food Drug </w:t>
      </w:r>
      <w:proofErr w:type="spellStart"/>
      <w:r w:rsidRPr="00AA63F8">
        <w:rPr>
          <w:rStyle w:val="Style13ptBold"/>
          <w:b w:val="0"/>
          <w:sz w:val="20"/>
          <w:szCs w:val="20"/>
        </w:rPr>
        <w:t>Cosm</w:t>
      </w:r>
      <w:proofErr w:type="spellEnd"/>
      <w:r w:rsidRPr="00AA63F8">
        <w:rPr>
          <w:rStyle w:val="Style13ptBold"/>
          <w:b w:val="0"/>
          <w:sz w:val="20"/>
          <w:szCs w:val="20"/>
        </w:rPr>
        <w:t xml:space="preserve">., via </w:t>
      </w:r>
      <w:proofErr w:type="spellStart"/>
      <w:r w:rsidRPr="00AA63F8">
        <w:rPr>
          <w:rStyle w:val="Style13ptBold"/>
          <w:b w:val="0"/>
          <w:sz w:val="20"/>
          <w:szCs w:val="20"/>
        </w:rPr>
        <w:t>HeinOnline</w:t>
      </w:r>
      <w:proofErr w:type="spellEnd"/>
      <w:r w:rsidRPr="00AA63F8">
        <w:rPr>
          <w:rStyle w:val="Style13ptBold"/>
          <w:b w:val="0"/>
          <w:sz w:val="20"/>
          <w:szCs w:val="20"/>
        </w:rPr>
        <w:t>)</w:t>
      </w:r>
    </w:p>
    <w:p w:rsidR="006106AB" w:rsidRPr="00720B1C" w:rsidRDefault="006106AB" w:rsidP="006106AB">
      <w:pPr>
        <w:rPr>
          <w:sz w:val="16"/>
        </w:rPr>
      </w:pPr>
      <w:r w:rsidRPr="00720B1C">
        <w:rPr>
          <w:rStyle w:val="StyleUnderline"/>
          <w:sz w:val="16"/>
          <w:u w:val="none"/>
        </w:rPr>
        <w:t xml:space="preserve">The plaintiff in Cox contended that Congress' express preemption of contrary state safety standards did not apply to jury verdicts because a jury is not a "state or political subdivision of a state."' ' The plaintiff further argued that recovery of damages under a common law rule of tort law did not constitute a "standard." 22 Dismissing these arguments as meritless, </w:t>
      </w:r>
      <w:r w:rsidRPr="00720B1C">
        <w:rPr>
          <w:rStyle w:val="StyleUnderline"/>
        </w:rPr>
        <w:t>the Cox court held that although the jury is not a political subdivision of the state, state action nevertheless occurs when the judge sustains the jury verdict</w:t>
      </w:r>
      <w:r w:rsidRPr="00720B1C">
        <w:rPr>
          <w:rStyle w:val="StyleUnderline"/>
          <w:sz w:val="16"/>
          <w:u w:val="none"/>
        </w:rPr>
        <w:t xml:space="preserve">. Moreover, a common law rule does indeed set a standard where money damages are the penalty for its breach.28 Accordingly, the Cox court granted Ford Motor Company's motion for partial summary judgment on the grounds that the plaintiff's cause of action was preempted by federal standard 208. </w:t>
      </w:r>
      <w:r w:rsidRPr="007F7309">
        <w:rPr>
          <w:rStyle w:val="StyleUnderline"/>
        </w:rPr>
        <w:t xml:space="preserve">The Supreme Court recognized in San Diego Building Trades Council v. </w:t>
      </w:r>
      <w:proofErr w:type="spellStart"/>
      <w:r w:rsidRPr="007F7309">
        <w:rPr>
          <w:rStyle w:val="StyleUnderline"/>
        </w:rPr>
        <w:t>Garmon</w:t>
      </w:r>
      <w:proofErr w:type="spellEnd"/>
      <w:r w:rsidRPr="007F7309">
        <w:rPr>
          <w:rStyle w:val="StyleUnderline"/>
        </w:rPr>
        <w:t xml:space="preserve"> that judicial action is regulatory</w:t>
      </w:r>
      <w:r w:rsidRPr="00720B1C">
        <w:rPr>
          <w:sz w:val="16"/>
        </w:rPr>
        <w:t xml:space="preserve">. 5 Thus, the </w:t>
      </w:r>
      <w:proofErr w:type="spellStart"/>
      <w:r w:rsidRPr="00720B1C">
        <w:rPr>
          <w:sz w:val="16"/>
        </w:rPr>
        <w:t>Garmon</w:t>
      </w:r>
      <w:proofErr w:type="spellEnd"/>
      <w:r w:rsidRPr="00720B1C">
        <w:rPr>
          <w:sz w:val="16"/>
        </w:rPr>
        <w:t xml:space="preserve"> court concluded that a California court could not award damages under state law for picketing because such activity was preemptively regulated by the National Labor Relations Board (NLRB). 6 The Court noted that requiring a party to pay damages is a very effective means of regulation and that such regulation "involves a conflict with federal policy in that it involves allowing two law-making sources to govern." </w:t>
      </w:r>
    </w:p>
    <w:p w:rsidR="006106AB" w:rsidRDefault="006106AB" w:rsidP="006106AB"/>
    <w:p w:rsidR="006106AB" w:rsidRDefault="006106AB" w:rsidP="006106AB">
      <w:pPr>
        <w:pStyle w:val="Heading4"/>
      </w:pPr>
      <w:r>
        <w:t>Courts have regulatory power over education</w:t>
      </w:r>
    </w:p>
    <w:p w:rsidR="006106AB" w:rsidRPr="00261088" w:rsidRDefault="006106AB" w:rsidP="006106AB">
      <w:pPr>
        <w:rPr>
          <w:sz w:val="20"/>
          <w:szCs w:val="20"/>
        </w:rPr>
      </w:pPr>
      <w:r>
        <w:rPr>
          <w:rStyle w:val="Style13ptBold"/>
        </w:rPr>
        <w:t xml:space="preserve">Elmendorf and </w:t>
      </w:r>
      <w:proofErr w:type="spellStart"/>
      <w:r>
        <w:rPr>
          <w:rStyle w:val="Style13ptBold"/>
        </w:rPr>
        <w:t>Shanske</w:t>
      </w:r>
      <w:proofErr w:type="spellEnd"/>
      <w:r>
        <w:rPr>
          <w:rStyle w:val="Style13ptBold"/>
        </w:rPr>
        <w:t xml:space="preserve"> 17 – </w:t>
      </w:r>
      <w:r w:rsidRPr="00261088">
        <w:rPr>
          <w:sz w:val="20"/>
          <w:szCs w:val="20"/>
        </w:rPr>
        <w:t xml:space="preserve">Christopher S. Elmendorf is Assistant Professor of Law at University of California, Davis - School of Law and got a J.D. from Yale Law School in 2001. Darien </w:t>
      </w:r>
      <w:proofErr w:type="spellStart"/>
      <w:r w:rsidRPr="00261088">
        <w:rPr>
          <w:sz w:val="20"/>
          <w:szCs w:val="20"/>
        </w:rPr>
        <w:t>Shanske</w:t>
      </w:r>
      <w:proofErr w:type="spellEnd"/>
      <w:r w:rsidRPr="00261088">
        <w:rPr>
          <w:sz w:val="20"/>
          <w:szCs w:val="20"/>
        </w:rPr>
        <w:t xml:space="preserve"> is Professor at University of California, Davis - School of Law and got a Ph.D. from University of California, Berkeley in 2001 and got a J.D. from Stanford Law School in 2006 (March 1, “Solving 'Problems No One Has Solved': Courts, Causal Inference, and the Right to Education”, pp 48-9, University of Illinois Law Review, Vol. 2018, https://papers.ssrn.com/sol3/papers.cfm?abstract_id=2886754)</w:t>
      </w:r>
    </w:p>
    <w:p w:rsidR="006106AB" w:rsidRPr="00E116A2" w:rsidRDefault="006106AB" w:rsidP="006106AB">
      <w:pPr>
        <w:rPr>
          <w:sz w:val="16"/>
        </w:rPr>
      </w:pPr>
      <w:r w:rsidRPr="00E116A2">
        <w:rPr>
          <w:sz w:val="16"/>
        </w:rPr>
        <w:t xml:space="preserve">For example, the first education law casebook, DEREK W. BLACK, EDUCATION LAW: EQUALITY, FAIRNESS, AND REFORM 215 (2013), spends many pages discussing evidentiary and institutional competence issues in education-quality cases but does not address state control over the production of constitutionally relevant knowledge, and only fleetingly alludes to problems of causal inference. See, e.g., id. 249-53 (discussing “disagreement” about “[h]ow to measure funding gaps and their importance,” without addressing problem of causal inference or need for linked administrative datasets”), 253-57 (discussing research on long term effects of education without addressing administrative datasets, record linkage, or problems of causal inference). See also Black, supra note 58, 1757-67 (arguing that education cases present exceedingly difficult causal questions owing to the complexity of education and the multiple factors that may influence student outcomes, but failing to consider whether and if so how the state determines what can be learned about these causal questions). Similarly, the prominent book about education rights by Michel </w:t>
      </w:r>
      <w:proofErr w:type="spellStart"/>
      <w:r w:rsidRPr="00E116A2">
        <w:rPr>
          <w:sz w:val="16"/>
        </w:rPr>
        <w:t>Rebell</w:t>
      </w:r>
      <w:proofErr w:type="spellEnd"/>
      <w:r w:rsidRPr="00E116A2">
        <w:rPr>
          <w:sz w:val="16"/>
        </w:rPr>
        <w:t xml:space="preserve">, a leading plaintiff-side litigator, says nothing about administrative data systems, requirements for causal inference, or bias in the research enterprise. See MICHAEL A. REBELL, COURTS &amp; KIDS: PURSUING EDUCATIONAL EQUITY THROUGH THE STATE COURTS (2011). The principal law-review article devoted to evidentiary issues in </w:t>
      </w:r>
      <w:proofErr w:type="spellStart"/>
      <w:r w:rsidRPr="00E116A2">
        <w:rPr>
          <w:sz w:val="16"/>
        </w:rPr>
        <w:t>educationrights</w:t>
      </w:r>
      <w:proofErr w:type="spellEnd"/>
      <w:r w:rsidRPr="00E116A2">
        <w:rPr>
          <w:sz w:val="16"/>
        </w:rPr>
        <w:t xml:space="preserve"> cases is Superfine, supra note 70. It nicely summarizes the history of the federal role in education research, id. at 672-89, and debates about what constitutes “science” in education research, id. at 688-92, but fails to identify and discuss the forms of control that the state exercises over the production of constitutionally relevant knowledge. Prescriptively, </w:t>
      </w:r>
      <w:r w:rsidRPr="00261088">
        <w:rPr>
          <w:rStyle w:val="StyleUnderline"/>
        </w:rPr>
        <w:t>Superfine</w:t>
      </w:r>
      <w:r w:rsidRPr="00E116A2">
        <w:rPr>
          <w:sz w:val="16"/>
        </w:rPr>
        <w:t xml:space="preserve"> urges education researchers to engage in “deep[] </w:t>
      </w:r>
      <w:proofErr w:type="spellStart"/>
      <w:r w:rsidRPr="00E116A2">
        <w:rPr>
          <w:sz w:val="16"/>
        </w:rPr>
        <w:t>analy</w:t>
      </w:r>
      <w:proofErr w:type="spellEnd"/>
      <w:r w:rsidRPr="00E116A2">
        <w:rPr>
          <w:sz w:val="16"/>
        </w:rPr>
        <w:t xml:space="preserve">[sis]” sensitive to “nuanced differences in context, id. at 690-91, in order to generate “broad, evidence-based principles that can be actively applied by educators to . . . contextual interactions and ever-changing environments,” id. at 696; and he </w:t>
      </w:r>
      <w:r w:rsidRPr="00261088">
        <w:rPr>
          <w:rStyle w:val="StyleUnderline"/>
        </w:rPr>
        <w:t>proposes that courts regulate education “governance” to ensure that state and local decisions about the allocation of educational resources are responsive to these principles</w:t>
      </w:r>
      <w:r w:rsidRPr="00E116A2">
        <w:rPr>
          <w:sz w:val="16"/>
        </w:rPr>
        <w:t xml:space="preserve">, id. at 697-700. In addition to overlooking the particular forms of state control over constitutionally relevant knowledge, this prescription puts cart before horse: the deep, general, convincingly proven “principles” about education desired by Superfine do not exist, so instead of imagining how courts might hold states and school districts to such principles, it is more productive to ask how courts might concretely enable the development of constitutionally relevant knowledge. See infra Part III, and note 201 (discussing limits of the “democratic experimentalism” theory to which Superfine ties his prescription). The book-length critique of education rights jurisprudence co-authored by Eric </w:t>
      </w:r>
      <w:proofErr w:type="spellStart"/>
      <w:r w:rsidRPr="00E116A2">
        <w:rPr>
          <w:sz w:val="16"/>
        </w:rPr>
        <w:t>Hanushek</w:t>
      </w:r>
      <w:proofErr w:type="spellEnd"/>
      <w:r w:rsidRPr="00E116A2">
        <w:rPr>
          <w:sz w:val="16"/>
        </w:rPr>
        <w:t xml:space="preserve">, the leading defense-side expert witness, pays attention to “link 2” in the useful-causal-research chain, and also touches on the importance of state data systems, but fails to consider whether the state may have a justiciable duty to improve the base of evidence. Compare </w:t>
      </w:r>
      <w:r w:rsidRPr="00261088">
        <w:rPr>
          <w:rStyle w:val="StyleUnderline"/>
        </w:rPr>
        <w:t>HANUSHEK &amp; LINDSETH</w:t>
      </w:r>
      <w:r w:rsidRPr="00E116A2">
        <w:rPr>
          <w:sz w:val="16"/>
        </w:rPr>
        <w:t>, supra note 5, at 211-16 &amp; 247-50 (discussing limitations of available evidence and opportunities for improvement) with id. at 281-87 (</w:t>
      </w:r>
      <w:r w:rsidRPr="00261088">
        <w:rPr>
          <w:rStyle w:val="StyleUnderline"/>
        </w:rPr>
        <w:t>arguing for an advisory judicial role in which courts would make “findings about mismanagement, waste, inefficient practices, constraints imposed by collective bargaining agreements, state tenure laws, and so on</w:t>
      </w:r>
      <w:r w:rsidRPr="00E116A2">
        <w:rPr>
          <w:sz w:val="16"/>
        </w:rPr>
        <w:t xml:space="preserve">,” but not order any remedies). Note the irony: the question of whether tenure laws, for example, undermine the quality of instruction, presents exactly the same difficult problem of causal inference as the question of whether ostensibly insufficient funding undermines education quality. </w:t>
      </w:r>
      <w:proofErr w:type="spellStart"/>
      <w:r w:rsidRPr="00E116A2">
        <w:rPr>
          <w:sz w:val="16"/>
        </w:rPr>
        <w:t>Hanushek</w:t>
      </w:r>
      <w:proofErr w:type="spellEnd"/>
      <w:r w:rsidRPr="00E116A2">
        <w:rPr>
          <w:sz w:val="16"/>
        </w:rPr>
        <w:t xml:space="preserve"> and </w:t>
      </w:r>
      <w:proofErr w:type="spellStart"/>
      <w:r w:rsidRPr="00E116A2">
        <w:rPr>
          <w:sz w:val="16"/>
        </w:rPr>
        <w:t>Lindseth</w:t>
      </w:r>
      <w:proofErr w:type="spellEnd"/>
      <w:r w:rsidRPr="00E116A2">
        <w:rPr>
          <w:sz w:val="16"/>
        </w:rPr>
        <w:t xml:space="preserve"> pillory courts for their reliance on dubious costing out studies to make findings about the effects of money, see id. </w:t>
      </w:r>
      <w:proofErr w:type="spellStart"/>
      <w:r w:rsidRPr="00E116A2">
        <w:rPr>
          <w:sz w:val="16"/>
        </w:rPr>
        <w:t>ch.</w:t>
      </w:r>
      <w:proofErr w:type="spellEnd"/>
      <w:r w:rsidRPr="00E116A2">
        <w:rPr>
          <w:sz w:val="16"/>
        </w:rPr>
        <w:t xml:space="preserve"> 7, but treats the effects of labor laws as an issue that courts can simply resolve using their “investigative and fact-finding expertise and authority,” id. at 285. </w:t>
      </w:r>
    </w:p>
    <w:p w:rsidR="006106AB" w:rsidRDefault="006106AB" w:rsidP="006106AB">
      <w:pPr>
        <w:pStyle w:val="Heading4"/>
      </w:pPr>
      <w:r>
        <w:t>Courts have regulatory authority</w:t>
      </w:r>
    </w:p>
    <w:p w:rsidR="006106AB" w:rsidRPr="0067073E" w:rsidRDefault="006106AB" w:rsidP="006106AB">
      <w:proofErr w:type="spellStart"/>
      <w:r>
        <w:rPr>
          <w:rStyle w:val="Style13ptBold"/>
        </w:rPr>
        <w:t>Weingast</w:t>
      </w:r>
      <w:proofErr w:type="spellEnd"/>
      <w:r>
        <w:rPr>
          <w:rStyle w:val="Style13ptBold"/>
        </w:rPr>
        <w:t xml:space="preserve"> 81 </w:t>
      </w:r>
      <w:r w:rsidRPr="0067073E">
        <w:t>- Ph.D., California Institute of Technology, Ward C. Krebs Family Professor, Senior Fellow at the Hoover Institution (Barry R.; “Regulation, Reregulation, and Deregulation: The Political Foundations of Agency Clientele Relationships Managing the Transition to Deregulation”; Winter 1981; Hein Online)//TS</w:t>
      </w:r>
    </w:p>
    <w:p w:rsidR="006106AB" w:rsidRPr="0060384A" w:rsidRDefault="006106AB" w:rsidP="006106AB">
      <w:pPr>
        <w:rPr>
          <w:sz w:val="16"/>
        </w:rPr>
      </w:pPr>
      <w:r w:rsidRPr="0060384A">
        <w:rPr>
          <w:sz w:val="16"/>
        </w:rPr>
        <w:t xml:space="preserve">Regulation by the FCC </w:t>
      </w:r>
      <w:r w:rsidRPr="0082763F">
        <w:rPr>
          <w:rStyle w:val="StyleUnderline"/>
          <w:highlight w:val="yellow"/>
        </w:rPr>
        <w:t>The following</w:t>
      </w:r>
      <w:r w:rsidRPr="0060384A">
        <w:rPr>
          <w:rStyle w:val="StyleUnderline"/>
        </w:rPr>
        <w:t xml:space="preserve"> discussion </w:t>
      </w:r>
      <w:r w:rsidRPr="0082763F">
        <w:rPr>
          <w:rStyle w:val="StyleUnderline"/>
          <w:highlight w:val="yellow"/>
        </w:rPr>
        <w:t xml:space="preserve">contrasts the course of </w:t>
      </w:r>
      <w:r w:rsidRPr="0082763F">
        <w:rPr>
          <w:rStyle w:val="Emphasis"/>
          <w:highlight w:val="yellow"/>
        </w:rPr>
        <w:t>regulation</w:t>
      </w:r>
      <w:r w:rsidRPr="0060384A">
        <w:rPr>
          <w:sz w:val="16"/>
        </w:rPr>
        <w:t xml:space="preserve"> in protecting the status quo </w:t>
      </w:r>
      <w:r w:rsidRPr="0082763F">
        <w:rPr>
          <w:rStyle w:val="StyleUnderline"/>
          <w:highlight w:val="yellow"/>
        </w:rPr>
        <w:t>in</w:t>
      </w:r>
      <w:r w:rsidRPr="0060384A">
        <w:rPr>
          <w:rStyle w:val="StyleUnderline"/>
        </w:rPr>
        <w:t xml:space="preserve"> two different </w:t>
      </w:r>
      <w:r w:rsidRPr="0082763F">
        <w:rPr>
          <w:rStyle w:val="StyleUnderline"/>
          <w:highlight w:val="yellow"/>
        </w:rPr>
        <w:t>regulatory responsibilities</w:t>
      </w:r>
      <w:r w:rsidRPr="0060384A">
        <w:rPr>
          <w:sz w:val="16"/>
        </w:rPr>
        <w:t xml:space="preserve"> of the FCC, regulation of over-the-air broadcasters and common carrier regulation of the telephone system." In both cases, the major active political constituencies were the regulated firms. As such, these formed the relevant clientele group within the subgovernment, receiving congressional support and protection. In keeping with this, agency policy initiatives favored these groups. In both cases, technological developments in the fifties and sixties led to </w:t>
      </w:r>
      <w:proofErr w:type="spellStart"/>
      <w:r w:rsidRPr="0060384A">
        <w:rPr>
          <w:sz w:val="16"/>
        </w:rPr>
        <w:t>competiton</w:t>
      </w:r>
      <w:proofErr w:type="spellEnd"/>
      <w:r w:rsidRPr="0060384A">
        <w:rPr>
          <w:sz w:val="16"/>
        </w:rPr>
        <w:t xml:space="preserve"> among regulated firms. As part of a subgovernment, agencies moved to protect existing arrangements. However, FCC policy differed radically. Competition fostered from the mid-1960s through the present for the telephone industry while competition with television broadcasters was stymied. In what follows, one factor that contributed to the divergence in regulatory paths on the two sides of the FCC is studied, namely, the influence of the courts. This illustrates how institutions outside a subgovernment may substantially influence the course of policymaking. 1. Judicial Constraints </w:t>
      </w:r>
      <w:r w:rsidRPr="0082763F">
        <w:rPr>
          <w:rStyle w:val="StyleUnderline"/>
          <w:highlight w:val="yellow"/>
        </w:rPr>
        <w:t xml:space="preserve">Consider the influence of the </w:t>
      </w:r>
      <w:r w:rsidRPr="0082763F">
        <w:rPr>
          <w:rStyle w:val="Emphasis"/>
          <w:highlight w:val="yellow"/>
        </w:rPr>
        <w:t xml:space="preserve">court system </w:t>
      </w:r>
      <w:r w:rsidRPr="0082763F">
        <w:rPr>
          <w:rStyle w:val="StyleUnderline"/>
          <w:highlight w:val="yellow"/>
        </w:rPr>
        <w:t xml:space="preserve">on </w:t>
      </w:r>
      <w:r w:rsidRPr="0082763F">
        <w:rPr>
          <w:rStyle w:val="Emphasis"/>
          <w:highlight w:val="yellow"/>
        </w:rPr>
        <w:t>regulatory</w:t>
      </w:r>
      <w:r>
        <w:rPr>
          <w:rStyle w:val="StyleUnderline"/>
        </w:rPr>
        <w:t xml:space="preserve"> </w:t>
      </w:r>
      <w:r w:rsidRPr="0060384A">
        <w:rPr>
          <w:sz w:val="16"/>
        </w:rPr>
        <w:t>agency</w:t>
      </w:r>
      <w:r w:rsidRPr="0060384A">
        <w:rPr>
          <w:rStyle w:val="StyleUnderline"/>
        </w:rPr>
        <w:t xml:space="preserve"> </w:t>
      </w:r>
      <w:r w:rsidRPr="0082763F">
        <w:rPr>
          <w:rStyle w:val="StyleUnderline"/>
          <w:highlight w:val="yellow"/>
        </w:rPr>
        <w:t>policy</w:t>
      </w:r>
      <w:r w:rsidRPr="0060384A">
        <w:rPr>
          <w:rStyle w:val="StyleUnderline"/>
        </w:rPr>
        <w:t xml:space="preserve"> and the operation of subgovernments</w:t>
      </w:r>
      <w:r w:rsidRPr="0060384A">
        <w:rPr>
          <w:sz w:val="16"/>
        </w:rPr>
        <w:t xml:space="preserve">. In general, </w:t>
      </w:r>
      <w:r w:rsidRPr="0060384A">
        <w:rPr>
          <w:rStyle w:val="StyleUnderline"/>
        </w:rPr>
        <w:t xml:space="preserve">judicial decisions will be interpreted as </w:t>
      </w:r>
      <w:r w:rsidRPr="0082763F">
        <w:rPr>
          <w:rStyle w:val="Emphasis"/>
        </w:rPr>
        <w:t>constraints</w:t>
      </w:r>
      <w:r w:rsidRPr="0060384A">
        <w:rPr>
          <w:rStyle w:val="StyleUnderline"/>
        </w:rPr>
        <w:t xml:space="preserve"> and changes in </w:t>
      </w:r>
      <w:r w:rsidRPr="0082763F">
        <w:rPr>
          <w:rStyle w:val="Emphasis"/>
        </w:rPr>
        <w:t>constraints</w:t>
      </w:r>
      <w:r w:rsidRPr="0060384A">
        <w:rPr>
          <w:rStyle w:val="StyleUnderline"/>
        </w:rPr>
        <w:t xml:space="preserve"> placed on policy choice </w:t>
      </w:r>
      <w:r w:rsidRPr="0060384A">
        <w:rPr>
          <w:sz w:val="16"/>
        </w:rPr>
        <w:t>by agencies.</w:t>
      </w:r>
      <w:r w:rsidRPr="0060384A">
        <w:rPr>
          <w:rStyle w:val="StyleUnderline"/>
        </w:rPr>
        <w:t xml:space="preserve"> </w:t>
      </w:r>
      <w:r w:rsidRPr="0060384A">
        <w:rPr>
          <w:sz w:val="16"/>
        </w:rPr>
        <w:t>Many distinct types of influences may alter policy.4 3 Suppose that a regulatory subgovernment is in operation, with the agency clientele relationship on firm ground.</w:t>
      </w:r>
      <w:r w:rsidRPr="0060384A">
        <w:rPr>
          <w:rStyle w:val="StyleUnderline"/>
        </w:rPr>
        <w:t xml:space="preserve"> </w:t>
      </w:r>
      <w:r w:rsidRPr="0082763F">
        <w:rPr>
          <w:rStyle w:val="StyleUnderline"/>
          <w:highlight w:val="yellow"/>
        </w:rPr>
        <w:t>Though</w:t>
      </w:r>
      <w:r w:rsidRPr="0060384A">
        <w:rPr>
          <w:rStyle w:val="StyleUnderline"/>
        </w:rPr>
        <w:t xml:space="preserve"> </w:t>
      </w:r>
      <w:r w:rsidRPr="0060384A">
        <w:rPr>
          <w:sz w:val="16"/>
        </w:rPr>
        <w:t>the</w:t>
      </w:r>
      <w:r w:rsidRPr="0060384A">
        <w:rPr>
          <w:rStyle w:val="StyleUnderline"/>
        </w:rPr>
        <w:t xml:space="preserve"> </w:t>
      </w:r>
      <w:r w:rsidRPr="0082763F">
        <w:rPr>
          <w:rStyle w:val="StyleUnderline"/>
          <w:highlight w:val="yellow"/>
        </w:rPr>
        <w:t>agency</w:t>
      </w:r>
      <w:r w:rsidRPr="0060384A">
        <w:rPr>
          <w:rStyle w:val="StyleUnderline"/>
        </w:rPr>
        <w:t xml:space="preserve"> may </w:t>
      </w:r>
      <w:r w:rsidRPr="0082763F">
        <w:rPr>
          <w:rStyle w:val="StyleUnderline"/>
          <w:highlight w:val="yellow"/>
        </w:rPr>
        <w:t>seek to benefit its constituency, it may be restricted</w:t>
      </w:r>
      <w:r w:rsidRPr="0060384A">
        <w:rPr>
          <w:rStyle w:val="StyleUnderline"/>
        </w:rPr>
        <w:t xml:space="preserve"> from doing so </w:t>
      </w:r>
      <w:r w:rsidRPr="0082763F">
        <w:rPr>
          <w:rStyle w:val="StyleUnderline"/>
          <w:highlight w:val="yellow"/>
        </w:rPr>
        <w:t>by the courts.</w:t>
      </w:r>
      <w:r w:rsidRPr="0060384A">
        <w:rPr>
          <w:sz w:val="16"/>
        </w:rPr>
        <w:t xml:space="preserve"> For example, suppose that a new technology or new source of competition for regulated actors appears. The agency, following its incentives within the subgovernment, may attempt to establish jurisdiction over the new activity to protect its clientele. </w:t>
      </w:r>
      <w:r w:rsidRPr="0060384A">
        <w:rPr>
          <w:rStyle w:val="StyleUnderline"/>
        </w:rPr>
        <w:t xml:space="preserve">The </w:t>
      </w:r>
      <w:r w:rsidRPr="0082763F">
        <w:rPr>
          <w:rStyle w:val="StyleUnderline"/>
          <w:highlight w:val="yellow"/>
        </w:rPr>
        <w:t>success of</w:t>
      </w:r>
      <w:r w:rsidRPr="0060384A">
        <w:rPr>
          <w:rStyle w:val="StyleUnderline"/>
        </w:rPr>
        <w:t xml:space="preserve"> this </w:t>
      </w:r>
      <w:r w:rsidRPr="0082763F">
        <w:rPr>
          <w:rStyle w:val="StyleUnderline"/>
          <w:highlight w:val="yellow"/>
        </w:rPr>
        <w:t>policy hinges</w:t>
      </w:r>
      <w:r w:rsidRPr="0060384A">
        <w:rPr>
          <w:rStyle w:val="StyleUnderline"/>
        </w:rPr>
        <w:t xml:space="preserve"> critically </w:t>
      </w:r>
      <w:r w:rsidRPr="0082763F">
        <w:rPr>
          <w:rStyle w:val="StyleUnderline"/>
          <w:highlight w:val="yellow"/>
        </w:rPr>
        <w:t xml:space="preserve">upon </w:t>
      </w:r>
      <w:r w:rsidRPr="0082763F">
        <w:rPr>
          <w:rStyle w:val="Emphasis"/>
          <w:highlight w:val="yellow"/>
        </w:rPr>
        <w:t>court tests</w:t>
      </w:r>
      <w:r w:rsidRPr="0082763F">
        <w:rPr>
          <w:rStyle w:val="StyleUnderline"/>
          <w:highlight w:val="yellow"/>
        </w:rPr>
        <w:t xml:space="preserve"> of jurisdiction</w:t>
      </w:r>
      <w:r w:rsidRPr="0060384A">
        <w:rPr>
          <w:rStyle w:val="StyleUnderline"/>
        </w:rPr>
        <w:t xml:space="preserve"> </w:t>
      </w:r>
      <w:r w:rsidRPr="0060384A">
        <w:rPr>
          <w:sz w:val="16"/>
        </w:rPr>
        <w:t>and whether the court upholds or reverses the agency's decision</w:t>
      </w:r>
      <w:r w:rsidRPr="0060384A">
        <w:rPr>
          <w:rStyle w:val="StyleUnderline"/>
        </w:rPr>
        <w:t>.</w:t>
      </w:r>
      <w:r w:rsidRPr="0060384A">
        <w:rPr>
          <w:sz w:val="16"/>
        </w:rPr>
        <w:t xml:space="preserve"> </w:t>
      </w:r>
      <w:r w:rsidRPr="0082763F">
        <w:rPr>
          <w:rStyle w:val="StyleUnderline"/>
          <w:highlight w:val="yellow"/>
        </w:rPr>
        <w:t>If</w:t>
      </w:r>
      <w:r w:rsidRPr="0060384A">
        <w:rPr>
          <w:rStyle w:val="StyleUnderline"/>
        </w:rPr>
        <w:t xml:space="preserve"> the assertion of </w:t>
      </w:r>
      <w:r w:rsidRPr="0082763F">
        <w:rPr>
          <w:rStyle w:val="StyleUnderline"/>
          <w:highlight w:val="yellow"/>
        </w:rPr>
        <w:t>jurisdiction is upheld</w:t>
      </w:r>
      <w:r w:rsidRPr="0060384A">
        <w:rPr>
          <w:rStyle w:val="StyleUnderline"/>
        </w:rPr>
        <w:t xml:space="preserve"> by the courts, then </w:t>
      </w:r>
      <w:r w:rsidRPr="0082763F">
        <w:rPr>
          <w:rStyle w:val="StyleUnderline"/>
          <w:highlight w:val="yellow"/>
        </w:rPr>
        <w:t>regulatory policy continues</w:t>
      </w:r>
      <w:r w:rsidRPr="0060384A">
        <w:rPr>
          <w:rStyle w:val="StyleUnderline"/>
        </w:rPr>
        <w:t xml:space="preserve"> to be consistent with benefiting clientele; </w:t>
      </w:r>
      <w:r w:rsidRPr="0082763F">
        <w:rPr>
          <w:rStyle w:val="StyleUnderline"/>
          <w:highlight w:val="yellow"/>
        </w:rPr>
        <w:t>if courts overrule this move</w:t>
      </w:r>
      <w:r w:rsidRPr="0060384A">
        <w:rPr>
          <w:rStyle w:val="StyleUnderline"/>
        </w:rPr>
        <w:t xml:space="preserve">, new </w:t>
      </w:r>
      <w:r w:rsidRPr="0082763F">
        <w:rPr>
          <w:rStyle w:val="StyleUnderline"/>
          <w:highlight w:val="yellow"/>
        </w:rPr>
        <w:t>policy may be inconsistent</w:t>
      </w:r>
      <w:r w:rsidRPr="0060384A">
        <w:rPr>
          <w:rStyle w:val="StyleUnderline"/>
        </w:rPr>
        <w:t xml:space="preserve"> with the old. Because courts lie outside the operation of subgovernments, </w:t>
      </w:r>
      <w:r w:rsidRPr="0060384A">
        <w:rPr>
          <w:sz w:val="16"/>
        </w:rPr>
        <w:t>their decisions may shape agency policy equilibrium in a manner that overrides subgovernment politics.</w:t>
      </w:r>
    </w:p>
    <w:p w:rsidR="006106AB" w:rsidRPr="00065BCC" w:rsidRDefault="006106AB" w:rsidP="006106AB">
      <w:pPr>
        <w:pStyle w:val="Heading3"/>
      </w:pPr>
      <w:r>
        <w:t>W/M – Regulate (Contextual)</w:t>
      </w:r>
    </w:p>
    <w:p w:rsidR="006106AB" w:rsidRPr="0067073E" w:rsidRDefault="006106AB" w:rsidP="006106AB">
      <w:pPr>
        <w:pStyle w:val="Heading4"/>
      </w:pPr>
      <w:r w:rsidRPr="0067073E">
        <w:t xml:space="preserve">Courts can regulate </w:t>
      </w:r>
    </w:p>
    <w:p w:rsidR="006106AB" w:rsidRPr="00065BCC" w:rsidRDefault="006106AB" w:rsidP="006106AB">
      <w:proofErr w:type="spellStart"/>
      <w:r w:rsidRPr="00F10A93">
        <w:rPr>
          <w:b/>
        </w:rPr>
        <w:t>Alali</w:t>
      </w:r>
      <w:proofErr w:type="spellEnd"/>
      <w:r>
        <w:t xml:space="preserve">, </w:t>
      </w:r>
      <w:r w:rsidRPr="00F10A93">
        <w:rPr>
          <w:b/>
        </w:rPr>
        <w:t>et al</w:t>
      </w:r>
      <w:r>
        <w:t xml:space="preserve"> 20</w:t>
      </w:r>
      <w:r>
        <w:rPr>
          <w:b/>
        </w:rPr>
        <w:t xml:space="preserve">16 </w:t>
      </w:r>
      <w:r>
        <w:t>(</w:t>
      </w:r>
      <w:proofErr w:type="spellStart"/>
      <w:r>
        <w:t>Alali</w:t>
      </w:r>
      <w:proofErr w:type="spellEnd"/>
      <w:r>
        <w:t xml:space="preserve">, Haitham, PhD in Information Science, </w:t>
      </w:r>
      <w:proofErr w:type="spellStart"/>
      <w:r>
        <w:t>Wishah</w:t>
      </w:r>
      <w:proofErr w:type="spellEnd"/>
      <w:r>
        <w:t xml:space="preserve">, </w:t>
      </w:r>
      <w:proofErr w:type="spellStart"/>
      <w:r>
        <w:t>Raed</w:t>
      </w:r>
      <w:proofErr w:type="spellEnd"/>
      <w:r>
        <w:t xml:space="preserve">; </w:t>
      </w:r>
      <w:proofErr w:type="spellStart"/>
      <w:r>
        <w:t>Alali</w:t>
      </w:r>
      <w:proofErr w:type="spellEnd"/>
      <w:r>
        <w:t>, Shireen; Al-</w:t>
      </w:r>
      <w:proofErr w:type="spellStart"/>
      <w:r>
        <w:t>Sukkar</w:t>
      </w:r>
      <w:proofErr w:type="spellEnd"/>
      <w:r>
        <w:t>, Ahmad; Abu-</w:t>
      </w:r>
      <w:proofErr w:type="spellStart"/>
      <w:r>
        <w:t>Hussien</w:t>
      </w:r>
      <w:proofErr w:type="spellEnd"/>
      <w:r>
        <w:t xml:space="preserve">, </w:t>
      </w:r>
      <w:proofErr w:type="spellStart"/>
      <w:r>
        <w:t>Alhareth</w:t>
      </w:r>
      <w:proofErr w:type="spellEnd"/>
      <w:r>
        <w:t>. “E-MARKETPLACE LEGAL AND REGULATORY FRAMEWORK IN JORDAN: A GENERAL VIEW” Journal of Theoretical and Applied Information Technology March 2016, page 4-5)//</w:t>
      </w:r>
      <w:proofErr w:type="spellStart"/>
      <w:r>
        <w:t>masw</w:t>
      </w:r>
      <w:proofErr w:type="spellEnd"/>
    </w:p>
    <w:p w:rsidR="006106AB" w:rsidRPr="00065BCC" w:rsidRDefault="006106AB" w:rsidP="006106AB">
      <w:pPr>
        <w:rPr>
          <w:sz w:val="16"/>
        </w:rPr>
      </w:pPr>
      <w:r w:rsidRPr="00065BCC">
        <w:rPr>
          <w:sz w:val="16"/>
        </w:rPr>
        <w:t xml:space="preserve">6. DISCUSSION Jordan has still to create a legal structure, which is </w:t>
      </w:r>
      <w:proofErr w:type="spellStart"/>
      <w:r w:rsidRPr="00065BCC">
        <w:rPr>
          <w:sz w:val="16"/>
        </w:rPr>
        <w:t>favourable</w:t>
      </w:r>
      <w:proofErr w:type="spellEnd"/>
      <w:r w:rsidRPr="00065BCC">
        <w:rPr>
          <w:sz w:val="16"/>
        </w:rPr>
        <w:t xml:space="preserve"> to the </w:t>
      </w:r>
      <w:proofErr w:type="spellStart"/>
      <w:r w:rsidRPr="00065BCC">
        <w:rPr>
          <w:sz w:val="16"/>
        </w:rPr>
        <w:t>swiftdevelopment</w:t>
      </w:r>
      <w:proofErr w:type="spellEnd"/>
      <w:r w:rsidRPr="00065BCC">
        <w:rPr>
          <w:sz w:val="16"/>
        </w:rPr>
        <w:t xml:space="preserve"> of ecommerce. One ecommerce company informant said: It's like that we are playing a soccer game without any rules. We don't know which of our moves would be penalized, or whether our next goal would be counted. Abdul Malik Al-</w:t>
      </w:r>
      <w:proofErr w:type="spellStart"/>
      <w:r w:rsidRPr="00065BCC">
        <w:rPr>
          <w:sz w:val="16"/>
        </w:rPr>
        <w:t>Jaber</w:t>
      </w:r>
      <w:proofErr w:type="spellEnd"/>
      <w:r w:rsidRPr="00065BCC">
        <w:rPr>
          <w:sz w:val="16"/>
        </w:rPr>
        <w:t xml:space="preserve">, -the chairman of the board of directors of the Middle East Payment Services Company- stated that the end of 2016 might witness that the volume of ecommerce in the Middle East and North Africa might reach $16 billion as opposed to $6 billion during 2012, even though Jordan's share remains very limited while the amount of ecommerce investment is increasing[8]. Similar to a number of other nations that have introduced laws pertaining to electronic commerce, </w:t>
      </w:r>
      <w:r w:rsidRPr="00065BCC">
        <w:rPr>
          <w:rStyle w:val="StyleUnderline"/>
        </w:rPr>
        <w:t>Jordan has also launched the Electronic Transaction Law for managing ecommerce,</w:t>
      </w:r>
      <w:r>
        <w:rPr>
          <w:rStyle w:val="StyleUnderline"/>
        </w:rPr>
        <w:t xml:space="preserve"> </w:t>
      </w:r>
      <w:r w:rsidRPr="00065BCC">
        <w:rPr>
          <w:rStyle w:val="StyleUnderline"/>
        </w:rPr>
        <w:t>which has been regarded as exclusive regulation that is applicable to trades conducted</w:t>
      </w:r>
      <w:r w:rsidRPr="00065BCC">
        <w:rPr>
          <w:sz w:val="16"/>
        </w:rPr>
        <w:t xml:space="preserve"> </w:t>
      </w:r>
      <w:r w:rsidRPr="00065BCC">
        <w:rPr>
          <w:rStyle w:val="StyleUnderline"/>
        </w:rPr>
        <w:t>online</w:t>
      </w:r>
      <w:r w:rsidRPr="00065BCC">
        <w:rPr>
          <w:sz w:val="16"/>
        </w:rPr>
        <w:t xml:space="preserve">. </w:t>
      </w:r>
      <w:r w:rsidRPr="00065BCC">
        <w:rPr>
          <w:rStyle w:val="Emphasis"/>
        </w:rPr>
        <w:t>Courts</w:t>
      </w:r>
      <w:r w:rsidRPr="00065BCC">
        <w:rPr>
          <w:rStyle w:val="StyleUnderline"/>
        </w:rPr>
        <w:t xml:space="preserve"> ought to</w:t>
      </w:r>
      <w:r>
        <w:rPr>
          <w:rStyle w:val="StyleUnderline"/>
        </w:rPr>
        <w:t xml:space="preserve"> </w:t>
      </w:r>
      <w:r w:rsidRPr="00065BCC">
        <w:rPr>
          <w:rStyle w:val="Emphasis"/>
        </w:rPr>
        <w:t>regulate</w:t>
      </w:r>
      <w:r w:rsidRPr="00065BCC">
        <w:rPr>
          <w:rStyle w:val="StyleUnderline"/>
        </w:rPr>
        <w:t xml:space="preserve"> problems of online business</w:t>
      </w:r>
      <w:r w:rsidRPr="00065BCC">
        <w:rPr>
          <w:sz w:val="16"/>
        </w:rPr>
        <w:t xml:space="preserve"> based on the Electronic Transaction Law. On the other hand, this does not essentially mean the exemption o</w:t>
      </w:r>
      <w:r>
        <w:rPr>
          <w:sz w:val="16"/>
        </w:rPr>
        <w:t>f applying of other regulations.</w:t>
      </w:r>
    </w:p>
    <w:p w:rsidR="00833446" w:rsidRDefault="00833446" w:rsidP="00833446">
      <w:pPr>
        <w:pStyle w:val="Heading3"/>
      </w:pPr>
      <w:r>
        <w:t>AT: T – Exclude Courts</w:t>
      </w:r>
    </w:p>
    <w:p w:rsidR="00833446" w:rsidRDefault="00833446" w:rsidP="00833446">
      <w:pPr>
        <w:pStyle w:val="Heading4"/>
      </w:pPr>
      <w:r>
        <w:t>Courts can make education policy, debating and understanding about them is necessary to education policy writ large</w:t>
      </w:r>
    </w:p>
    <w:p w:rsidR="00833446" w:rsidRPr="00B748D9" w:rsidRDefault="00833446" w:rsidP="00833446">
      <w:proofErr w:type="spellStart"/>
      <w:r w:rsidRPr="00B748D9">
        <w:rPr>
          <w:rStyle w:val="Style13ptBold"/>
        </w:rPr>
        <w:t>Rippner</w:t>
      </w:r>
      <w:proofErr w:type="spellEnd"/>
      <w:r w:rsidRPr="00B748D9">
        <w:rPr>
          <w:rStyle w:val="Style13ptBold"/>
        </w:rPr>
        <w:t xml:space="preserve"> 2016</w:t>
      </w:r>
      <w:r>
        <w:t xml:space="preserve"> – PhD, JD, Executive Director for Policy and Partnerships for the University System of Georgia</w:t>
      </w:r>
      <w:r>
        <w:br/>
        <w:t xml:space="preserve">Jennifer A, </w:t>
      </w:r>
      <w:r>
        <w:rPr>
          <w:i/>
        </w:rPr>
        <w:t xml:space="preserve">The American Education Policy Landscape, </w:t>
      </w:r>
      <w:r>
        <w:t>Routledge Press, p. 22</w:t>
      </w:r>
    </w:p>
    <w:p w:rsidR="00833446" w:rsidRPr="00185B25" w:rsidRDefault="00833446" w:rsidP="00833446">
      <w:pPr>
        <w:rPr>
          <w:rStyle w:val="StyleUnderline"/>
        </w:rPr>
      </w:pPr>
      <w:r w:rsidRPr="00185B25">
        <w:rPr>
          <w:rStyle w:val="StyleUnderline"/>
        </w:rPr>
        <w:t>There are several avenues of redress should a person</w:t>
      </w:r>
      <w:r>
        <w:t xml:space="preserve"> or group </w:t>
      </w:r>
      <w:r w:rsidRPr="00185B25">
        <w:rPr>
          <w:rStyle w:val="StyleUnderline"/>
        </w:rPr>
        <w:t>want to see</w:t>
      </w:r>
      <w:r>
        <w:rPr>
          <w:rStyle w:val="StyleUnderline"/>
        </w:rPr>
        <w:t xml:space="preserve"> </w:t>
      </w:r>
      <w:r w:rsidRPr="00185B25">
        <w:rPr>
          <w:rStyle w:val="StyleUnderline"/>
        </w:rPr>
        <w:t>changes in education policies. The executive branch can enforce existing</w:t>
      </w:r>
      <w:r>
        <w:rPr>
          <w:rStyle w:val="StyleUnderline"/>
        </w:rPr>
        <w:t xml:space="preserve"> </w:t>
      </w:r>
      <w:r w:rsidRPr="00185B25">
        <w:rPr>
          <w:rStyle w:val="StyleUnderline"/>
        </w:rPr>
        <w:t>laws and rules; the legislative branch can create, amend, or rescind laws;</w:t>
      </w:r>
      <w:r>
        <w:rPr>
          <w:rStyle w:val="StyleUnderline"/>
        </w:rPr>
        <w:t xml:space="preserve"> </w:t>
      </w:r>
      <w:r w:rsidRPr="00185B25">
        <w:rPr>
          <w:rStyle w:val="StyleUnderline"/>
        </w:rPr>
        <w:t>and the judicial branch can intervene if laws are not applied properly or</w:t>
      </w:r>
      <w:r>
        <w:rPr>
          <w:rStyle w:val="StyleUnderline"/>
        </w:rPr>
        <w:t xml:space="preserve"> </w:t>
      </w:r>
      <w:r w:rsidRPr="00185B25">
        <w:rPr>
          <w:rStyle w:val="StyleUnderline"/>
        </w:rPr>
        <w:t>are unconstitutional</w:t>
      </w:r>
      <w:r>
        <w:t xml:space="preserve"> (Dayton, 2012). </w:t>
      </w:r>
      <w:r w:rsidRPr="00185B25">
        <w:rPr>
          <w:rStyle w:val="StyleUnderline"/>
        </w:rPr>
        <w:t>All three branches</w:t>
      </w:r>
      <w:r>
        <w:t xml:space="preserve"> of federal and state governments-executive, legislative, judicial-</w:t>
      </w:r>
      <w:r w:rsidRPr="00185B25">
        <w:rPr>
          <w:rStyle w:val="StyleUnderline"/>
        </w:rPr>
        <w:t>have an impact on policies</w:t>
      </w:r>
      <w:r>
        <w:rPr>
          <w:rStyle w:val="StyleUnderline"/>
        </w:rPr>
        <w:t xml:space="preserve"> </w:t>
      </w:r>
      <w:r w:rsidRPr="00185B25">
        <w:rPr>
          <w:rStyle w:val="StyleUnderline"/>
        </w:rPr>
        <w:t>because the branches are designed to provide checks and balances upon each</w:t>
      </w:r>
      <w:r>
        <w:rPr>
          <w:rStyle w:val="StyleUnderline"/>
        </w:rPr>
        <w:t xml:space="preserve"> </w:t>
      </w:r>
      <w:r w:rsidRPr="00185B25">
        <w:rPr>
          <w:rStyle w:val="StyleUnderline"/>
        </w:rPr>
        <w:t>other</w:t>
      </w:r>
      <w:r>
        <w:t xml:space="preserve">. However, </w:t>
      </w:r>
      <w:r w:rsidRPr="00185B25">
        <w:rPr>
          <w:rStyle w:val="StyleUnderline"/>
        </w:rPr>
        <w:t>the courts' role in shaping public policies, including education,</w:t>
      </w:r>
      <w:r>
        <w:rPr>
          <w:rStyle w:val="StyleUnderline"/>
        </w:rPr>
        <w:t xml:space="preserve"> </w:t>
      </w:r>
      <w:r w:rsidRPr="00185B25">
        <w:rPr>
          <w:rStyle w:val="StyleUnderline"/>
        </w:rPr>
        <w:t>is often overlooked and misunderstood</w:t>
      </w:r>
      <w:r w:rsidRPr="00185B25">
        <w:t xml:space="preserve">. </w:t>
      </w:r>
      <w:bookmarkStart w:id="0" w:name="_GoBack"/>
      <w:bookmarkEnd w:id="0"/>
    </w:p>
    <w:sectPr w:rsidR="00833446" w:rsidRPr="00185B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Kozuka Mincho Pr6N EL">
    <w:charset w:val="80"/>
    <w:family w:val="auto"/>
    <w:pitch w:val="variable"/>
    <w:sig w:usb0="000002D7" w:usb1="2AC71C11" w:usb2="00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01C12F6"/>
    <w:multiLevelType w:val="hybridMultilevel"/>
    <w:tmpl w:val="CCC0647C"/>
    <w:lvl w:ilvl="0" w:tplc="0130C922">
      <w:start w:val="4"/>
      <w:numFmt w:val="bullet"/>
      <w:lvlText w:val="-"/>
      <w:lvlJc w:val="left"/>
      <w:pPr>
        <w:ind w:left="720" w:hanging="360"/>
      </w:pPr>
      <w:rPr>
        <w:rFonts w:ascii="Georgia" w:eastAsia="Kozuka Mincho Pr6N EL"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5C61C9"/>
    <w:multiLevelType w:val="hybridMultilevel"/>
    <w:tmpl w:val="6FC8D73C"/>
    <w:lvl w:ilvl="0" w:tplc="FC225A4C">
      <w:start w:val="1"/>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52380B"/>
    <w:rsid w:val="00000F30"/>
    <w:rsid w:val="00003E14"/>
    <w:rsid w:val="000139A3"/>
    <w:rsid w:val="00035C40"/>
    <w:rsid w:val="000C6B95"/>
    <w:rsid w:val="000D20B3"/>
    <w:rsid w:val="000D499E"/>
    <w:rsid w:val="00100833"/>
    <w:rsid w:val="00104529"/>
    <w:rsid w:val="00105942"/>
    <w:rsid w:val="00107396"/>
    <w:rsid w:val="00123863"/>
    <w:rsid w:val="00141D65"/>
    <w:rsid w:val="00142B7E"/>
    <w:rsid w:val="00144A4C"/>
    <w:rsid w:val="00175530"/>
    <w:rsid w:val="00176AB0"/>
    <w:rsid w:val="00177B7D"/>
    <w:rsid w:val="0018050F"/>
    <w:rsid w:val="0018322D"/>
    <w:rsid w:val="001973A0"/>
    <w:rsid w:val="001B5776"/>
    <w:rsid w:val="001C4A82"/>
    <w:rsid w:val="001C725F"/>
    <w:rsid w:val="001E34E8"/>
    <w:rsid w:val="001E527A"/>
    <w:rsid w:val="001F78CE"/>
    <w:rsid w:val="00251FC7"/>
    <w:rsid w:val="0026348F"/>
    <w:rsid w:val="002714C4"/>
    <w:rsid w:val="002855A7"/>
    <w:rsid w:val="002B146A"/>
    <w:rsid w:val="002B5E17"/>
    <w:rsid w:val="002C01B0"/>
    <w:rsid w:val="00304FF4"/>
    <w:rsid w:val="00315690"/>
    <w:rsid w:val="00316B75"/>
    <w:rsid w:val="00325646"/>
    <w:rsid w:val="00332444"/>
    <w:rsid w:val="00343BE0"/>
    <w:rsid w:val="003460F2"/>
    <w:rsid w:val="00353585"/>
    <w:rsid w:val="003651B7"/>
    <w:rsid w:val="00373614"/>
    <w:rsid w:val="0038158C"/>
    <w:rsid w:val="003902BA"/>
    <w:rsid w:val="003A09E2"/>
    <w:rsid w:val="003B2223"/>
    <w:rsid w:val="003B7E0E"/>
    <w:rsid w:val="003C2A8B"/>
    <w:rsid w:val="00400BF2"/>
    <w:rsid w:val="00407037"/>
    <w:rsid w:val="00424380"/>
    <w:rsid w:val="00440A30"/>
    <w:rsid w:val="0044592A"/>
    <w:rsid w:val="00454DA5"/>
    <w:rsid w:val="004605D6"/>
    <w:rsid w:val="0046282A"/>
    <w:rsid w:val="00463511"/>
    <w:rsid w:val="0047673A"/>
    <w:rsid w:val="004C60E8"/>
    <w:rsid w:val="004E3579"/>
    <w:rsid w:val="004E728B"/>
    <w:rsid w:val="004F39E0"/>
    <w:rsid w:val="004F585D"/>
    <w:rsid w:val="005005AD"/>
    <w:rsid w:val="0052380B"/>
    <w:rsid w:val="00537BD5"/>
    <w:rsid w:val="0057201A"/>
    <w:rsid w:val="0057268A"/>
    <w:rsid w:val="00582CA2"/>
    <w:rsid w:val="005B4329"/>
    <w:rsid w:val="005C7B53"/>
    <w:rsid w:val="005D2912"/>
    <w:rsid w:val="005D62B4"/>
    <w:rsid w:val="005F4872"/>
    <w:rsid w:val="00605B60"/>
    <w:rsid w:val="006065BD"/>
    <w:rsid w:val="006106AB"/>
    <w:rsid w:val="00612199"/>
    <w:rsid w:val="00612473"/>
    <w:rsid w:val="00645FA9"/>
    <w:rsid w:val="00647866"/>
    <w:rsid w:val="00652E9A"/>
    <w:rsid w:val="00665003"/>
    <w:rsid w:val="006701F7"/>
    <w:rsid w:val="00694ED7"/>
    <w:rsid w:val="006954B5"/>
    <w:rsid w:val="006A2AD0"/>
    <w:rsid w:val="006A72C4"/>
    <w:rsid w:val="006C2375"/>
    <w:rsid w:val="006D4ECC"/>
    <w:rsid w:val="006D6DE6"/>
    <w:rsid w:val="006E757A"/>
    <w:rsid w:val="00704401"/>
    <w:rsid w:val="00717343"/>
    <w:rsid w:val="00722258"/>
    <w:rsid w:val="007243E5"/>
    <w:rsid w:val="00725B64"/>
    <w:rsid w:val="00764F58"/>
    <w:rsid w:val="00766EA0"/>
    <w:rsid w:val="007A2009"/>
    <w:rsid w:val="007A2105"/>
    <w:rsid w:val="007A2226"/>
    <w:rsid w:val="007A3011"/>
    <w:rsid w:val="007C1FBD"/>
    <w:rsid w:val="007F5B66"/>
    <w:rsid w:val="008020AA"/>
    <w:rsid w:val="00823A1C"/>
    <w:rsid w:val="00824C31"/>
    <w:rsid w:val="00833446"/>
    <w:rsid w:val="008366B8"/>
    <w:rsid w:val="00845B9D"/>
    <w:rsid w:val="00860984"/>
    <w:rsid w:val="00861265"/>
    <w:rsid w:val="008B3ECB"/>
    <w:rsid w:val="008B4E85"/>
    <w:rsid w:val="008B7FDF"/>
    <w:rsid w:val="008C1B2E"/>
    <w:rsid w:val="008C37F9"/>
    <w:rsid w:val="008E1CA1"/>
    <w:rsid w:val="008F3558"/>
    <w:rsid w:val="008F53B6"/>
    <w:rsid w:val="0091627E"/>
    <w:rsid w:val="00920B18"/>
    <w:rsid w:val="00922738"/>
    <w:rsid w:val="009321FD"/>
    <w:rsid w:val="0097032B"/>
    <w:rsid w:val="0098498C"/>
    <w:rsid w:val="009A14EA"/>
    <w:rsid w:val="009B348A"/>
    <w:rsid w:val="009C27B6"/>
    <w:rsid w:val="009C3A51"/>
    <w:rsid w:val="009D0FA8"/>
    <w:rsid w:val="009D2EAD"/>
    <w:rsid w:val="009D54B2"/>
    <w:rsid w:val="009E1922"/>
    <w:rsid w:val="009F2192"/>
    <w:rsid w:val="009F7ED2"/>
    <w:rsid w:val="00A233AD"/>
    <w:rsid w:val="00A370F1"/>
    <w:rsid w:val="00A74584"/>
    <w:rsid w:val="00A75425"/>
    <w:rsid w:val="00A863CE"/>
    <w:rsid w:val="00A93661"/>
    <w:rsid w:val="00A95652"/>
    <w:rsid w:val="00AC0AB8"/>
    <w:rsid w:val="00AF26C9"/>
    <w:rsid w:val="00AF5DAD"/>
    <w:rsid w:val="00B33C6D"/>
    <w:rsid w:val="00B4508F"/>
    <w:rsid w:val="00B55AD5"/>
    <w:rsid w:val="00B6261F"/>
    <w:rsid w:val="00B6263B"/>
    <w:rsid w:val="00B632AE"/>
    <w:rsid w:val="00B8057C"/>
    <w:rsid w:val="00BB57F8"/>
    <w:rsid w:val="00BC1946"/>
    <w:rsid w:val="00BD6238"/>
    <w:rsid w:val="00BD77DF"/>
    <w:rsid w:val="00BE1383"/>
    <w:rsid w:val="00BE34E6"/>
    <w:rsid w:val="00BE5285"/>
    <w:rsid w:val="00BE5A03"/>
    <w:rsid w:val="00BE7197"/>
    <w:rsid w:val="00BF593B"/>
    <w:rsid w:val="00BF773A"/>
    <w:rsid w:val="00BF7E81"/>
    <w:rsid w:val="00C122D3"/>
    <w:rsid w:val="00C13773"/>
    <w:rsid w:val="00C17CC8"/>
    <w:rsid w:val="00C34BAA"/>
    <w:rsid w:val="00C419B2"/>
    <w:rsid w:val="00C6319F"/>
    <w:rsid w:val="00C83417"/>
    <w:rsid w:val="00C940B9"/>
    <w:rsid w:val="00C9604F"/>
    <w:rsid w:val="00CA114E"/>
    <w:rsid w:val="00CA19AA"/>
    <w:rsid w:val="00CA5D7A"/>
    <w:rsid w:val="00CB2002"/>
    <w:rsid w:val="00CC5298"/>
    <w:rsid w:val="00CC563F"/>
    <w:rsid w:val="00CD615A"/>
    <w:rsid w:val="00CD736E"/>
    <w:rsid w:val="00CD798D"/>
    <w:rsid w:val="00CE161E"/>
    <w:rsid w:val="00CE5004"/>
    <w:rsid w:val="00CF59A8"/>
    <w:rsid w:val="00CF6424"/>
    <w:rsid w:val="00D12CE8"/>
    <w:rsid w:val="00D325A9"/>
    <w:rsid w:val="00D36A8A"/>
    <w:rsid w:val="00D4223A"/>
    <w:rsid w:val="00D61409"/>
    <w:rsid w:val="00D6691E"/>
    <w:rsid w:val="00D71170"/>
    <w:rsid w:val="00D979B1"/>
    <w:rsid w:val="00DA1C92"/>
    <w:rsid w:val="00DA25D4"/>
    <w:rsid w:val="00DA6538"/>
    <w:rsid w:val="00DC606B"/>
    <w:rsid w:val="00DE1156"/>
    <w:rsid w:val="00DE3C39"/>
    <w:rsid w:val="00DF3B44"/>
    <w:rsid w:val="00E01B7A"/>
    <w:rsid w:val="00E144DC"/>
    <w:rsid w:val="00E15E75"/>
    <w:rsid w:val="00E174D9"/>
    <w:rsid w:val="00E34B1F"/>
    <w:rsid w:val="00E37F07"/>
    <w:rsid w:val="00E40EBE"/>
    <w:rsid w:val="00E4226A"/>
    <w:rsid w:val="00E45D69"/>
    <w:rsid w:val="00E45E06"/>
    <w:rsid w:val="00E5262C"/>
    <w:rsid w:val="00E530BC"/>
    <w:rsid w:val="00E54435"/>
    <w:rsid w:val="00E6053B"/>
    <w:rsid w:val="00E97339"/>
    <w:rsid w:val="00EC7DC4"/>
    <w:rsid w:val="00ED30CF"/>
    <w:rsid w:val="00EE2273"/>
    <w:rsid w:val="00EF2A17"/>
    <w:rsid w:val="00EF3983"/>
    <w:rsid w:val="00EF7142"/>
    <w:rsid w:val="00F176EF"/>
    <w:rsid w:val="00F43315"/>
    <w:rsid w:val="00F45E10"/>
    <w:rsid w:val="00F56AB1"/>
    <w:rsid w:val="00F6364A"/>
    <w:rsid w:val="00F65B15"/>
    <w:rsid w:val="00F847E2"/>
    <w:rsid w:val="00F8648C"/>
    <w:rsid w:val="00F9113A"/>
    <w:rsid w:val="00FD6BF5"/>
    <w:rsid w:val="00FD7F97"/>
    <w:rsid w:val="00FE2546"/>
    <w:rsid w:val="00FE4ABF"/>
    <w:rsid w:val="00FE6FE8"/>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A4CAC"/>
  <w15:chartTrackingRefBased/>
  <w15:docId w15:val="{3F42C3AC-5223-4A6E-9BCB-A9E11E79E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3B7E0E"/>
    <w:rPr>
      <w:rFonts w:ascii="Calibri" w:hAnsi="Calibri" w:cs="Calibri"/>
    </w:rPr>
  </w:style>
  <w:style w:type="paragraph" w:styleId="Heading1">
    <w:name w:val="heading 1"/>
    <w:aliases w:val="Pocket"/>
    <w:basedOn w:val="Normal"/>
    <w:next w:val="Normal"/>
    <w:link w:val="Heading1Char"/>
    <w:qFormat/>
    <w:rsid w:val="003B7E0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B7E0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3B7E0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1,Ch,Heading 2 Char2 Char,Heading 2 Char1 Char Char,TAG,no read,No Spacing211,No Spacing2111,No Spacing4,No Spacing11111,No Spacing5,No Spacing21,Card,Tags,small space,nonunderlined,T,tags,t, Ch"/>
    <w:basedOn w:val="Normal"/>
    <w:next w:val="Normal"/>
    <w:link w:val="Heading4Char"/>
    <w:uiPriority w:val="3"/>
    <w:unhideWhenUsed/>
    <w:qFormat/>
    <w:rsid w:val="003B7E0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B7E0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B7E0E"/>
  </w:style>
  <w:style w:type="character" w:customStyle="1" w:styleId="Heading1Char">
    <w:name w:val="Heading 1 Char"/>
    <w:aliases w:val="Pocket Char"/>
    <w:basedOn w:val="DefaultParagraphFont"/>
    <w:link w:val="Heading1"/>
    <w:rsid w:val="003B7E0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B7E0E"/>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B7E0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1 Char,Ch Char,Heading 2 Char2 Char Char,Heading 2 Char1 Char Char Char,TAG Char,no read Char,No Spacing211 Char,No Spacing2111 Char,No Spacing4 Char,Card Char"/>
    <w:basedOn w:val="DefaultParagraphFont"/>
    <w:link w:val="Heading4"/>
    <w:uiPriority w:val="3"/>
    <w:rsid w:val="003B7E0E"/>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
    <w:basedOn w:val="DefaultParagraphFont"/>
    <w:link w:val="textbold"/>
    <w:uiPriority w:val="7"/>
    <w:qFormat/>
    <w:rsid w:val="003B7E0E"/>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Style Style Bold + 10 pt,Old Cite,Style Style Bold + 11 pt,Style Style Bold + 13 pt,tagld + 12 pt,tag + 12 pt,Not...,Not.,Not"/>
    <w:basedOn w:val="DefaultParagraphFont"/>
    <w:uiPriority w:val="5"/>
    <w:qFormat/>
    <w:rsid w:val="003B7E0E"/>
    <w:rPr>
      <w:b/>
      <w:bCs/>
      <w:sz w:val="26"/>
      <w:u w:val="none"/>
    </w:rPr>
  </w:style>
  <w:style w:type="character" w:customStyle="1" w:styleId="StyleUnderline">
    <w:name w:val="Style Underline"/>
    <w:aliases w:val="Underline,Style Bold Underline,Intense Emphasis11,Intense Emphasis111,c,Body text (8) + 9 pt,Bo,Title Char,Intense Emphasis1,apple-style-span + 6 pt,Bold,Kern at 16 pt,Intense Emphasis2,HHeading 3 + 12 pt,Cards + Font: 12 pt Char,Style,ci"/>
    <w:basedOn w:val="DefaultParagraphFont"/>
    <w:uiPriority w:val="6"/>
    <w:qFormat/>
    <w:rsid w:val="003B7E0E"/>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uiPriority w:val="99"/>
    <w:unhideWhenUsed/>
    <w:rsid w:val="003B7E0E"/>
    <w:rPr>
      <w:color w:val="auto"/>
      <w:u w:val="none"/>
    </w:rPr>
  </w:style>
  <w:style w:type="character" w:styleId="FollowedHyperlink">
    <w:name w:val="FollowedHyperlink"/>
    <w:basedOn w:val="DefaultParagraphFont"/>
    <w:uiPriority w:val="99"/>
    <w:semiHidden/>
    <w:unhideWhenUsed/>
    <w:rsid w:val="003B7E0E"/>
    <w:rPr>
      <w:color w:val="auto"/>
      <w:u w:val="none"/>
    </w:rPr>
  </w:style>
  <w:style w:type="paragraph" w:styleId="ListParagraph">
    <w:name w:val="List Paragraph"/>
    <w:basedOn w:val="Normal"/>
    <w:uiPriority w:val="99"/>
    <w:qFormat/>
    <w:rsid w:val="009321FD"/>
    <w:pPr>
      <w:ind w:left="720"/>
      <w:contextualSpacing/>
    </w:pPr>
  </w:style>
  <w:style w:type="paragraph" w:customStyle="1" w:styleId="textbold">
    <w:name w:val="text bold"/>
    <w:basedOn w:val="Normal"/>
    <w:link w:val="Emphasis"/>
    <w:uiPriority w:val="7"/>
    <w:qFormat/>
    <w:rsid w:val="00BD77DF"/>
    <w:pPr>
      <w:ind w:left="720"/>
      <w:jc w:val="both"/>
    </w:pPr>
    <w:rPr>
      <w:b/>
      <w:iCs/>
      <w:u w:val="single"/>
    </w:rPr>
  </w:style>
  <w:style w:type="paragraph" w:customStyle="1" w:styleId="Nothing">
    <w:name w:val="Nothing"/>
    <w:link w:val="NothingChar"/>
    <w:qFormat/>
    <w:rsid w:val="006E757A"/>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basedOn w:val="DefaultParagraphFont"/>
    <w:link w:val="Nothing"/>
    <w:rsid w:val="006E757A"/>
    <w:rPr>
      <w:rFonts w:ascii="Times New Roman" w:eastAsia="Times New Roman" w:hAnsi="Times New Roman" w:cs="Times New Roman"/>
      <w:sz w:val="20"/>
      <w:szCs w:val="24"/>
    </w:rPr>
  </w:style>
  <w:style w:type="paragraph" w:customStyle="1" w:styleId="Cards">
    <w:name w:val="Cards"/>
    <w:next w:val="Nothing"/>
    <w:link w:val="CardsChar"/>
    <w:qFormat/>
    <w:rsid w:val="006E757A"/>
    <w:pPr>
      <w:widowControl w:val="0"/>
      <w:spacing w:after="0" w:line="240" w:lineRule="auto"/>
      <w:ind w:right="432"/>
      <w:jc w:val="both"/>
    </w:pPr>
    <w:rPr>
      <w:rFonts w:ascii="Times New Roman" w:eastAsia="Times New Roman" w:hAnsi="Times New Roman" w:cs="Times New Roman"/>
      <w:sz w:val="20"/>
      <w:szCs w:val="24"/>
    </w:rPr>
  </w:style>
  <w:style w:type="character" w:customStyle="1" w:styleId="CardsChar">
    <w:name w:val="Cards Char"/>
    <w:basedOn w:val="DefaultParagraphFont"/>
    <w:link w:val="Cards"/>
    <w:rsid w:val="006E757A"/>
    <w:rPr>
      <w:rFonts w:ascii="Times New Roman" w:eastAsia="Times New Roman" w:hAnsi="Times New Roman" w:cs="Times New Roman"/>
      <w:sz w:val="20"/>
      <w:szCs w:val="24"/>
    </w:rPr>
  </w:style>
  <w:style w:type="character" w:customStyle="1" w:styleId="DebateUnderline">
    <w:name w:val="Debate Underline"/>
    <w:qFormat/>
    <w:rsid w:val="006E757A"/>
    <w:rPr>
      <w:rFonts w:ascii="Times New Roman" w:hAnsi="Times New Roman"/>
      <w:sz w:val="24"/>
      <w:u w:val="thick"/>
    </w:rPr>
  </w:style>
  <w:style w:type="character" w:customStyle="1" w:styleId="Author-Date">
    <w:name w:val="Author-Date"/>
    <w:qFormat/>
    <w:rsid w:val="006E757A"/>
    <w:rPr>
      <w:b/>
      <w:sz w:val="24"/>
    </w:rPr>
  </w:style>
  <w:style w:type="character" w:customStyle="1" w:styleId="blue">
    <w:name w:val="blue"/>
    <w:basedOn w:val="DefaultParagraphFont"/>
    <w:rsid w:val="006E757A"/>
  </w:style>
  <w:style w:type="character" w:customStyle="1" w:styleId="italic">
    <w:name w:val="italic"/>
    <w:basedOn w:val="DefaultParagraphFont"/>
    <w:rsid w:val="006E757A"/>
  </w:style>
  <w:style w:type="character" w:customStyle="1" w:styleId="verdana">
    <w:name w:val="verdana"/>
    <w:basedOn w:val="DefaultParagraphFont"/>
    <w:rsid w:val="006E757A"/>
  </w:style>
  <w:style w:type="character" w:customStyle="1" w:styleId="hit">
    <w:name w:val="hit"/>
    <w:basedOn w:val="DefaultParagraphFont"/>
    <w:rsid w:val="006E757A"/>
  </w:style>
  <w:style w:type="paragraph" w:styleId="BalloonText">
    <w:name w:val="Balloon Text"/>
    <w:basedOn w:val="Normal"/>
    <w:link w:val="BalloonTextChar"/>
    <w:uiPriority w:val="99"/>
    <w:semiHidden/>
    <w:unhideWhenUsed/>
    <w:rsid w:val="00454DA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54DA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1389507">
      <w:bodyDiv w:val="1"/>
      <w:marLeft w:val="0"/>
      <w:marRight w:val="0"/>
      <w:marTop w:val="0"/>
      <w:marBottom w:val="0"/>
      <w:divBdr>
        <w:top w:val="none" w:sz="0" w:space="0" w:color="auto"/>
        <w:left w:val="none" w:sz="0" w:space="0" w:color="auto"/>
        <w:bottom w:val="none" w:sz="0" w:space="0" w:color="auto"/>
        <w:right w:val="none" w:sz="0" w:space="0" w:color="auto"/>
      </w:divBdr>
      <w:divsChild>
        <w:div w:id="1017077822">
          <w:marLeft w:val="0"/>
          <w:marRight w:val="0"/>
          <w:marTop w:val="0"/>
          <w:marBottom w:val="0"/>
          <w:divBdr>
            <w:top w:val="none" w:sz="0" w:space="0" w:color="auto"/>
            <w:left w:val="none" w:sz="0" w:space="0" w:color="auto"/>
            <w:bottom w:val="none" w:sz="0" w:space="0" w:color="auto"/>
            <w:right w:val="none" w:sz="0" w:space="0" w:color="auto"/>
          </w:divBdr>
        </w:div>
        <w:div w:id="1250694583">
          <w:marLeft w:val="0"/>
          <w:marRight w:val="0"/>
          <w:marTop w:val="0"/>
          <w:marBottom w:val="0"/>
          <w:divBdr>
            <w:top w:val="none" w:sz="0" w:space="0" w:color="auto"/>
            <w:left w:val="none" w:sz="0" w:space="0" w:color="auto"/>
            <w:bottom w:val="none" w:sz="0" w:space="0" w:color="auto"/>
            <w:right w:val="none" w:sz="0" w:space="0" w:color="auto"/>
          </w:divBdr>
        </w:div>
      </w:divsChild>
    </w:div>
    <w:div w:id="808060918">
      <w:bodyDiv w:val="1"/>
      <w:marLeft w:val="0"/>
      <w:marRight w:val="0"/>
      <w:marTop w:val="0"/>
      <w:marBottom w:val="0"/>
      <w:divBdr>
        <w:top w:val="none" w:sz="0" w:space="0" w:color="auto"/>
        <w:left w:val="none" w:sz="0" w:space="0" w:color="auto"/>
        <w:bottom w:val="none" w:sz="0" w:space="0" w:color="auto"/>
        <w:right w:val="none" w:sz="0" w:space="0" w:color="auto"/>
      </w:divBdr>
      <w:divsChild>
        <w:div w:id="873689615">
          <w:marLeft w:val="0"/>
          <w:marRight w:val="0"/>
          <w:marTop w:val="0"/>
          <w:marBottom w:val="0"/>
          <w:divBdr>
            <w:top w:val="none" w:sz="0" w:space="0" w:color="auto"/>
            <w:left w:val="none" w:sz="0" w:space="0" w:color="auto"/>
            <w:bottom w:val="none" w:sz="0" w:space="0" w:color="auto"/>
            <w:right w:val="none" w:sz="0" w:space="0" w:color="auto"/>
          </w:divBdr>
        </w:div>
        <w:div w:id="1354772111">
          <w:marLeft w:val="0"/>
          <w:marRight w:val="0"/>
          <w:marTop w:val="0"/>
          <w:marBottom w:val="0"/>
          <w:divBdr>
            <w:top w:val="none" w:sz="0" w:space="0" w:color="auto"/>
            <w:left w:val="none" w:sz="0" w:space="0" w:color="auto"/>
            <w:bottom w:val="none" w:sz="0" w:space="0" w:color="auto"/>
            <w:right w:val="none" w:sz="0" w:space="0" w:color="auto"/>
          </w:divBdr>
        </w:div>
      </w:divsChild>
    </w:div>
    <w:div w:id="887303457">
      <w:bodyDiv w:val="1"/>
      <w:marLeft w:val="0"/>
      <w:marRight w:val="0"/>
      <w:marTop w:val="0"/>
      <w:marBottom w:val="0"/>
      <w:divBdr>
        <w:top w:val="none" w:sz="0" w:space="0" w:color="auto"/>
        <w:left w:val="none" w:sz="0" w:space="0" w:color="auto"/>
        <w:bottom w:val="none" w:sz="0" w:space="0" w:color="auto"/>
        <w:right w:val="none" w:sz="0" w:space="0" w:color="auto"/>
      </w:divBdr>
      <w:divsChild>
        <w:div w:id="2059235212">
          <w:marLeft w:val="0"/>
          <w:marRight w:val="0"/>
          <w:marTop w:val="0"/>
          <w:marBottom w:val="0"/>
          <w:divBdr>
            <w:top w:val="none" w:sz="0" w:space="0" w:color="auto"/>
            <w:left w:val="none" w:sz="0" w:space="0" w:color="auto"/>
            <w:bottom w:val="none" w:sz="0" w:space="0" w:color="auto"/>
            <w:right w:val="none" w:sz="0" w:space="0" w:color="auto"/>
          </w:divBdr>
        </w:div>
        <w:div w:id="1919971354">
          <w:marLeft w:val="0"/>
          <w:marRight w:val="0"/>
          <w:marTop w:val="0"/>
          <w:marBottom w:val="0"/>
          <w:divBdr>
            <w:top w:val="none" w:sz="0" w:space="0" w:color="auto"/>
            <w:left w:val="none" w:sz="0" w:space="0" w:color="auto"/>
            <w:bottom w:val="none" w:sz="0" w:space="0" w:color="auto"/>
            <w:right w:val="none" w:sz="0" w:space="0" w:color="auto"/>
          </w:divBdr>
        </w:div>
      </w:divsChild>
    </w:div>
    <w:div w:id="1054083724">
      <w:bodyDiv w:val="1"/>
      <w:marLeft w:val="0"/>
      <w:marRight w:val="0"/>
      <w:marTop w:val="0"/>
      <w:marBottom w:val="0"/>
      <w:divBdr>
        <w:top w:val="none" w:sz="0" w:space="0" w:color="auto"/>
        <w:left w:val="none" w:sz="0" w:space="0" w:color="auto"/>
        <w:bottom w:val="none" w:sz="0" w:space="0" w:color="auto"/>
        <w:right w:val="none" w:sz="0" w:space="0" w:color="auto"/>
      </w:divBdr>
      <w:divsChild>
        <w:div w:id="1325547268">
          <w:marLeft w:val="0"/>
          <w:marRight w:val="0"/>
          <w:marTop w:val="0"/>
          <w:marBottom w:val="0"/>
          <w:divBdr>
            <w:top w:val="none" w:sz="0" w:space="0" w:color="auto"/>
            <w:left w:val="none" w:sz="0" w:space="0" w:color="auto"/>
            <w:bottom w:val="none" w:sz="0" w:space="0" w:color="auto"/>
            <w:right w:val="none" w:sz="0" w:space="0" w:color="auto"/>
          </w:divBdr>
        </w:div>
        <w:div w:id="256063253">
          <w:marLeft w:val="0"/>
          <w:marRight w:val="0"/>
          <w:marTop w:val="0"/>
          <w:marBottom w:val="0"/>
          <w:divBdr>
            <w:top w:val="none" w:sz="0" w:space="0" w:color="auto"/>
            <w:left w:val="none" w:sz="0" w:space="0" w:color="auto"/>
            <w:bottom w:val="none" w:sz="0" w:space="0" w:color="auto"/>
            <w:right w:val="none" w:sz="0" w:space="0" w:color="auto"/>
          </w:divBdr>
        </w:div>
      </w:divsChild>
    </w:div>
    <w:div w:id="1286889848">
      <w:bodyDiv w:val="1"/>
      <w:marLeft w:val="0"/>
      <w:marRight w:val="0"/>
      <w:marTop w:val="0"/>
      <w:marBottom w:val="0"/>
      <w:divBdr>
        <w:top w:val="none" w:sz="0" w:space="0" w:color="auto"/>
        <w:left w:val="none" w:sz="0" w:space="0" w:color="auto"/>
        <w:bottom w:val="none" w:sz="0" w:space="0" w:color="auto"/>
        <w:right w:val="none" w:sz="0" w:space="0" w:color="auto"/>
      </w:divBdr>
      <w:divsChild>
        <w:div w:id="1405253337">
          <w:marLeft w:val="0"/>
          <w:marRight w:val="0"/>
          <w:marTop w:val="0"/>
          <w:marBottom w:val="0"/>
          <w:divBdr>
            <w:top w:val="none" w:sz="0" w:space="0" w:color="auto"/>
            <w:left w:val="none" w:sz="0" w:space="0" w:color="auto"/>
            <w:bottom w:val="none" w:sz="0" w:space="0" w:color="auto"/>
            <w:right w:val="none" w:sz="0" w:space="0" w:color="auto"/>
          </w:divBdr>
        </w:div>
        <w:div w:id="548229436">
          <w:marLeft w:val="0"/>
          <w:marRight w:val="0"/>
          <w:marTop w:val="0"/>
          <w:marBottom w:val="0"/>
          <w:divBdr>
            <w:top w:val="none" w:sz="0" w:space="0" w:color="auto"/>
            <w:left w:val="none" w:sz="0" w:space="0" w:color="auto"/>
            <w:bottom w:val="none" w:sz="0" w:space="0" w:color="auto"/>
            <w:right w:val="none" w:sz="0" w:space="0" w:color="auto"/>
          </w:divBdr>
        </w:div>
        <w:div w:id="138765448">
          <w:marLeft w:val="0"/>
          <w:marRight w:val="0"/>
          <w:marTop w:val="0"/>
          <w:marBottom w:val="0"/>
          <w:divBdr>
            <w:top w:val="none" w:sz="0" w:space="0" w:color="auto"/>
            <w:left w:val="none" w:sz="0" w:space="0" w:color="auto"/>
            <w:bottom w:val="none" w:sz="0" w:space="0" w:color="auto"/>
            <w:right w:val="none" w:sz="0" w:space="0" w:color="auto"/>
          </w:divBdr>
        </w:div>
      </w:divsChild>
    </w:div>
    <w:div w:id="1641231332">
      <w:bodyDiv w:val="1"/>
      <w:marLeft w:val="0"/>
      <w:marRight w:val="0"/>
      <w:marTop w:val="0"/>
      <w:marBottom w:val="0"/>
      <w:divBdr>
        <w:top w:val="none" w:sz="0" w:space="0" w:color="auto"/>
        <w:left w:val="none" w:sz="0" w:space="0" w:color="auto"/>
        <w:bottom w:val="none" w:sz="0" w:space="0" w:color="auto"/>
        <w:right w:val="none" w:sz="0" w:space="0" w:color="auto"/>
      </w:divBdr>
      <w:divsChild>
        <w:div w:id="1369532240">
          <w:marLeft w:val="0"/>
          <w:marRight w:val="0"/>
          <w:marTop w:val="0"/>
          <w:marBottom w:val="0"/>
          <w:divBdr>
            <w:top w:val="none" w:sz="0" w:space="0" w:color="auto"/>
            <w:left w:val="none" w:sz="0" w:space="0" w:color="auto"/>
            <w:bottom w:val="none" w:sz="0" w:space="0" w:color="auto"/>
            <w:right w:val="none" w:sz="0" w:space="0" w:color="auto"/>
          </w:divBdr>
        </w:div>
        <w:div w:id="306008169">
          <w:marLeft w:val="0"/>
          <w:marRight w:val="0"/>
          <w:marTop w:val="0"/>
          <w:marBottom w:val="0"/>
          <w:divBdr>
            <w:top w:val="none" w:sz="0" w:space="0" w:color="auto"/>
            <w:left w:val="none" w:sz="0" w:space="0" w:color="auto"/>
            <w:bottom w:val="none" w:sz="0" w:space="0" w:color="auto"/>
            <w:right w:val="none" w:sz="0" w:space="0" w:color="auto"/>
          </w:divBdr>
        </w:div>
      </w:divsChild>
    </w:div>
    <w:div w:id="1650328061">
      <w:bodyDiv w:val="1"/>
      <w:marLeft w:val="0"/>
      <w:marRight w:val="0"/>
      <w:marTop w:val="0"/>
      <w:marBottom w:val="0"/>
      <w:divBdr>
        <w:top w:val="none" w:sz="0" w:space="0" w:color="auto"/>
        <w:left w:val="none" w:sz="0" w:space="0" w:color="auto"/>
        <w:bottom w:val="none" w:sz="0" w:space="0" w:color="auto"/>
        <w:right w:val="none" w:sz="0" w:space="0" w:color="auto"/>
      </w:divBdr>
      <w:divsChild>
        <w:div w:id="1886478952">
          <w:marLeft w:val="0"/>
          <w:marRight w:val="0"/>
          <w:marTop w:val="0"/>
          <w:marBottom w:val="0"/>
          <w:divBdr>
            <w:top w:val="none" w:sz="0" w:space="0" w:color="auto"/>
            <w:left w:val="none" w:sz="0" w:space="0" w:color="auto"/>
            <w:bottom w:val="none" w:sz="0" w:space="0" w:color="auto"/>
            <w:right w:val="none" w:sz="0" w:space="0" w:color="auto"/>
          </w:divBdr>
        </w:div>
        <w:div w:id="136324203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ncjolt.org/wp-content/uploads/2015/04/Neal_Final-1.pdf" TargetMode="External"/><Relationship Id="rId13" Type="http://schemas.openxmlformats.org/officeDocument/2006/relationships/hyperlink" Target="http://scholarlycommons.law.case.edu/cgi/viewcontent.cgi?article=4721&amp;context=caselrev" TargetMode="External"/><Relationship Id="rId18" Type="http://schemas.openxmlformats.org/officeDocument/2006/relationships/hyperlink" Target="http://lawreview.richmond.edu/files/2016/03/OMalley-503.pdf"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ncjolt.org/wp-content/uploads/2015/04/Neal_Final-1.pdf" TargetMode="External"/><Relationship Id="rId12" Type="http://schemas.openxmlformats.org/officeDocument/2006/relationships/hyperlink" Target="https://pdfs.semanticscholar.org/3aa1/a24b17619d10035aeebabbb16ca13d406001.pdf" TargetMode="External"/><Relationship Id="rId17" Type="http://schemas.openxmlformats.org/officeDocument/2006/relationships/hyperlink" Target="http://mjnelson.org/papers/NelsonTuckerPanel.pdf" TargetMode="External"/><Relationship Id="rId2" Type="http://schemas.openxmlformats.org/officeDocument/2006/relationships/numbering" Target="numbering.xml"/><Relationship Id="rId16" Type="http://schemas.openxmlformats.org/officeDocument/2006/relationships/hyperlink" Target="http://mjnelson.org/papers/NelsonTuckerPanel.pdf" TargetMode="External"/><Relationship Id="rId20" Type="http://schemas.openxmlformats.org/officeDocument/2006/relationships/hyperlink" Target="http://ncjolt.org/wp-content/uploads/2015/04/Neal_Final-1.pdf" TargetMode="External"/><Relationship Id="rId1" Type="http://schemas.openxmlformats.org/officeDocument/2006/relationships/customXml" Target="../customXml/item1.xml"/><Relationship Id="rId6" Type="http://schemas.openxmlformats.org/officeDocument/2006/relationships/hyperlink" Target="http://ncjolt.org/wp-content/uploads/2015/04/Neal_Final-1.pdf" TargetMode="External"/><Relationship Id="rId11" Type="http://schemas.openxmlformats.org/officeDocument/2006/relationships/hyperlink" Target="http://jpm.syr.edu/wp-content/uploads/2012/04/15_a.pdf" TargetMode="External"/><Relationship Id="rId5" Type="http://schemas.openxmlformats.org/officeDocument/2006/relationships/webSettings" Target="webSettings.xml"/><Relationship Id="rId15" Type="http://schemas.openxmlformats.org/officeDocument/2006/relationships/hyperlink" Target="http://columbialawreview.org/wp-content/uploads/2016/04/Re.pdf" TargetMode="External"/><Relationship Id="rId10" Type="http://schemas.openxmlformats.org/officeDocument/2006/relationships/hyperlink" Target="http://www.journalofdemocracy.org/sites/default/files/Diamond-26-1_0.pdf" TargetMode="External"/><Relationship Id="rId19" Type="http://schemas.openxmlformats.org/officeDocument/2006/relationships/hyperlink" Target="http://scholarlycommons.law.case.edu/cgi/viewcontent.cgi?article=4721&amp;context=caselrev" TargetMode="External"/><Relationship Id="rId4" Type="http://schemas.openxmlformats.org/officeDocument/2006/relationships/settings" Target="settings.xml"/><Relationship Id="rId9" Type="http://schemas.openxmlformats.org/officeDocument/2006/relationships/hyperlink" Target="http://www.huffingtonpost.com/entry/sanction-the-north-korean-regime_us_595565a8e4b0f078efd98856" TargetMode="External"/><Relationship Id="rId14" Type="http://schemas.openxmlformats.org/officeDocument/2006/relationships/hyperlink" Target="https://poseidon01.ssrn.com/delivery.php?ID=184115094024082078126090113106091006016013058034039018119003020101067017105011020066026061025058112027043064119083086102066001114006023055020020102083125013070077056078048092110065113069000097099121118067113082067064074091018102107005115095001106004&amp;EXT=pdf"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ur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939F39-06A1-4500-BC74-4B1596E48A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58280</Words>
  <Characters>332200</Characters>
  <Application>Microsoft Office Word</Application>
  <DocSecurity>0</DocSecurity>
  <Lines>2768</Lines>
  <Paragraphs>779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Kurt Fifelski</dc:creator>
  <cp:keywords>5.1.1</cp:keywords>
  <dc:description/>
  <cp:lastModifiedBy>Kurt Fifelski</cp:lastModifiedBy>
  <cp:revision>2</cp:revision>
  <dcterms:created xsi:type="dcterms:W3CDTF">2017-07-01T20:11:00Z</dcterms:created>
  <dcterms:modified xsi:type="dcterms:W3CDTF">2017-07-01T20:11:00Z</dcterms:modified>
</cp:coreProperties>
</file>