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10A2" w:rsidRDefault="008E10A2" w:rsidP="008E10A2">
      <w:pPr>
        <w:pStyle w:val="Heading1"/>
      </w:pPr>
      <w:r>
        <w:t xml:space="preserve">Gini coefficient </w:t>
      </w:r>
      <w:r w:rsidR="006E383B">
        <w:t>b</w:t>
      </w:r>
      <w:r>
        <w:t>ad</w:t>
      </w:r>
    </w:p>
    <w:p w:rsidR="00A9058A" w:rsidRDefault="009C4257" w:rsidP="00A9058A">
      <w:pPr>
        <w:pStyle w:val="Heading3"/>
      </w:pPr>
      <w:r>
        <w:t>top</w:t>
      </w:r>
    </w:p>
    <w:p w:rsidR="005F1B4C" w:rsidRDefault="005F1B4C" w:rsidP="005F1B4C">
      <w:pPr>
        <w:pStyle w:val="Heading4"/>
      </w:pPr>
      <w:r>
        <w:t>Gini coefficient is a horrible index to measure inequality</w:t>
      </w:r>
      <w:r w:rsidR="004A7543">
        <w:t>- downward bias, logical fallacies, political tool</w:t>
      </w:r>
    </w:p>
    <w:p w:rsidR="005F1B4C" w:rsidRPr="005F1B4C" w:rsidRDefault="004505A1" w:rsidP="005F1B4C">
      <w:r w:rsidRPr="004505A1">
        <w:rPr>
          <w:b/>
          <w:sz w:val="26"/>
          <w:szCs w:val="26"/>
        </w:rPr>
        <w:t>Wade 13</w:t>
      </w:r>
      <w:r>
        <w:t xml:space="preserve"> </w:t>
      </w:r>
      <w:r w:rsidRPr="004505A1">
        <w:t xml:space="preserve">Robert H. Wade is a Professor of Political Economy, London School of Economics and a winner of the Leontief Prize in Economics for 2008. His “Governing the Market” won Best Book in Political Economy from the American </w:t>
      </w:r>
      <w:bookmarkStart w:id="0" w:name="_GoBack"/>
      <w:bookmarkEnd w:id="0"/>
      <w:r w:rsidRPr="004505A1">
        <w:t>Political Science Association.</w:t>
      </w:r>
      <w:r>
        <w:t xml:space="preserve"> (</w:t>
      </w:r>
      <w:r w:rsidRPr="004505A1">
        <w:t>"Our misleading measure of income and wealth inequality:</w:t>
      </w:r>
      <w:r>
        <w:t xml:space="preserve"> the standard Gini coefficient”, </w:t>
      </w:r>
      <w:proofErr w:type="spellStart"/>
      <w:r>
        <w:t>TripleCrisis</w:t>
      </w:r>
      <w:proofErr w:type="spellEnd"/>
      <w:r>
        <w:t>,</w:t>
      </w:r>
      <w:r w:rsidRPr="004505A1">
        <w:t xml:space="preserve"> http://triplecrisis.com/our-misleading-measure-of-income-and-wealth-inequality-the-stan</w:t>
      </w:r>
      <w:r>
        <w:t>dard-gini-coefficient//ARK1</w:t>
      </w:r>
    </w:p>
    <w:p w:rsidR="00B9408E" w:rsidRDefault="00B9408E" w:rsidP="00B9408E">
      <w:pPr>
        <w:rPr>
          <w:rStyle w:val="Emphasis"/>
        </w:rPr>
      </w:pPr>
      <w:r>
        <w:t>It is by now generally accepted that the sharp rise in income and wealth</w:t>
      </w:r>
      <w:r w:rsidR="004505A1">
        <w:t xml:space="preserve"> inequality in the US and much o</w:t>
      </w:r>
      <w:r>
        <w:t>f Western Europe over the 1990s and 2000s was one of the bulldozer forces behind the rise in financial fragility.</w:t>
      </w:r>
      <w:r>
        <w:t xml:space="preserve"> </w:t>
      </w:r>
      <w:r>
        <w:t xml:space="preserve">And </w:t>
      </w:r>
      <w:r w:rsidRPr="00B9408E">
        <w:rPr>
          <w:u w:val="single"/>
        </w:rPr>
        <w:t>it has long been accepted that the Gini coefficient is the workhorse measure of inequality</w:t>
      </w:r>
      <w:r>
        <w:t>.</w:t>
      </w:r>
      <w:r>
        <w:t xml:space="preserve"> </w:t>
      </w:r>
      <w:r w:rsidRPr="00B9408E">
        <w:rPr>
          <w:rStyle w:val="Emphasis"/>
        </w:rPr>
        <w:t>But it is not generally recognized that the coefficient is normally defined in a way which biases the measure in a downward direction, making inequality seem less large than another version of the coefficient would suggest. By this alternative measure inequality is much higher than is generally thought</w:t>
      </w:r>
      <w:r>
        <w:t xml:space="preserve">. </w:t>
      </w:r>
      <w:r w:rsidRPr="00B9408E">
        <w:rPr>
          <w:rStyle w:val="Emphasis"/>
        </w:rPr>
        <w:t>The standard measure is misleading us into thinking that economic growth is more “inclusive’ than it is</w:t>
      </w:r>
      <w:r>
        <w:t>.</w:t>
      </w:r>
      <w:r>
        <w:t xml:space="preserve"> </w:t>
      </w:r>
      <w:r w:rsidRPr="004F2E26">
        <w:rPr>
          <w:u w:val="single"/>
        </w:rPr>
        <w:t xml:space="preserve">Recall that the Gini coefficient is a number between zero and one that measures the degree of inequality in the distribution of income </w:t>
      </w:r>
      <w:proofErr w:type="gramStart"/>
      <w:r w:rsidRPr="004F2E26">
        <w:rPr>
          <w:u w:val="single"/>
        </w:rPr>
        <w:t>in a given</w:t>
      </w:r>
      <w:proofErr w:type="gramEnd"/>
      <w:r w:rsidRPr="004F2E26">
        <w:rPr>
          <w:u w:val="single"/>
        </w:rPr>
        <w:t xml:space="preserve"> society</w:t>
      </w:r>
      <w:r>
        <w:t xml:space="preserve"> (named after an Italian statistician, </w:t>
      </w:r>
      <w:proofErr w:type="spellStart"/>
      <w:r>
        <w:t>Corrado</w:t>
      </w:r>
      <w:proofErr w:type="spellEnd"/>
      <w:r>
        <w:t xml:space="preserve"> Gini). The coefficient is zero for a society in which each member receives </w:t>
      </w:r>
      <w:proofErr w:type="gramStart"/>
      <w:r>
        <w:t>exactly the same</w:t>
      </w:r>
      <w:proofErr w:type="gramEnd"/>
      <w:r>
        <w:t xml:space="preserve"> income; it reaches its maximum value (bounded from above by 1.0) for a society in which one member receives all the income and the rest nothing.</w:t>
      </w:r>
      <w:r>
        <w:t xml:space="preserve"> </w:t>
      </w:r>
      <w:r w:rsidRPr="004F2E26">
        <w:rPr>
          <w:u w:val="single"/>
        </w:rPr>
        <w:t>As normally defined the Gini says that inequality remains constant—growth remains ‘inclusive’—if all individuals</w:t>
      </w:r>
      <w:r>
        <w:t xml:space="preserve"> (or countries by average income) </w:t>
      </w:r>
      <w:r w:rsidRPr="004F2E26">
        <w:rPr>
          <w:u w:val="single"/>
        </w:rPr>
        <w:t>experience the same rate of growth, and rises only when upper incomes grow faster than lower incomes</w:t>
      </w:r>
      <w:r>
        <w:t xml:space="preserve">. </w:t>
      </w:r>
      <w:proofErr w:type="gramStart"/>
      <w:r w:rsidRPr="004F2E26">
        <w:rPr>
          <w:u w:val="single"/>
        </w:rPr>
        <w:t>So</w:t>
      </w:r>
      <w:proofErr w:type="gramEnd"/>
      <w:r w:rsidRPr="004F2E26">
        <w:rPr>
          <w:u w:val="single"/>
        </w:rPr>
        <w:t xml:space="preserve"> inequality remains constant if </w:t>
      </w:r>
      <w:r w:rsidRPr="004F2E26">
        <w:t>a two person</w:t>
      </w:r>
      <w:r>
        <w:t xml:space="preserve"> (or two country) </w:t>
      </w:r>
      <w:r w:rsidRPr="004F2E26">
        <w:t>distribution</w:t>
      </w:r>
      <w:r>
        <w:t xml:space="preserve"> </w:t>
      </w:r>
      <w:r w:rsidRPr="004F2E26">
        <w:rPr>
          <w:u w:val="single"/>
        </w:rPr>
        <w:t>x = (10, 40) becomes y = (20, 80</w:t>
      </w:r>
      <w:r w:rsidRPr="004F2E26">
        <w:rPr>
          <w:rStyle w:val="Emphasis"/>
        </w:rPr>
        <w:t>). Yet the income gap has grown from 10 to 40</w:t>
      </w:r>
      <w:r>
        <w:t>.</w:t>
      </w:r>
      <w:r>
        <w:t xml:space="preserve"> </w:t>
      </w:r>
      <w:r>
        <w:t xml:space="preserve">It is at least as plausible to say that </w:t>
      </w:r>
      <w:r w:rsidRPr="004F2E26">
        <w:rPr>
          <w:u w:val="single"/>
        </w:rPr>
        <w:t>inequality remains constant—growth remains inclusive—when all individuals</w:t>
      </w:r>
      <w:r>
        <w:t xml:space="preserve"> (countries) </w:t>
      </w:r>
      <w:r w:rsidRPr="004F2E26">
        <w:rPr>
          <w:u w:val="single"/>
        </w:rPr>
        <w:t>experience the same absolute addition to their incomes</w:t>
      </w:r>
      <w:r>
        <w:t>; say from x = (10, 40) to y* = (20, 50). If upper income individuals (countries) experience bigger absolute additions, inequality increases, and growth is not inclusive.</w:t>
      </w:r>
      <w:r>
        <w:t xml:space="preserve"> </w:t>
      </w:r>
      <w:r>
        <w:t>The normal Gini could be called the Relative Gini. The Gini based on absolute changes could be called the Absolute Gini—defined as the Relative Gini multiplied by the mean income. In the above illustration, the Relative Gini for both distributions is the same, at 0.3. But as mean income doubles from 25 to 50 in the transition from x to y, the Absolute Gini doubles, from 7.5 to 15.0.</w:t>
      </w:r>
      <w:r>
        <w:t xml:space="preserve"> </w:t>
      </w:r>
      <w:r w:rsidRPr="004A7543">
        <w:rPr>
          <w:u w:val="single"/>
        </w:rPr>
        <w:t xml:space="preserve">The Absolute Gini typically rises much more frequently and by much more than </w:t>
      </w:r>
      <w:proofErr w:type="spellStart"/>
      <w:r w:rsidRPr="004A7543">
        <w:rPr>
          <w:u w:val="single"/>
        </w:rPr>
        <w:t>than</w:t>
      </w:r>
      <w:proofErr w:type="spellEnd"/>
      <w:r w:rsidRPr="004A7543">
        <w:rPr>
          <w:u w:val="single"/>
        </w:rPr>
        <w:t xml:space="preserve"> the Relative Gini, and its use would make ‘income inequality’ into a more salient political issue.</w:t>
      </w:r>
      <w:r>
        <w:t xml:space="preserve"> </w:t>
      </w:r>
      <w:r w:rsidRPr="004F2E26">
        <w:rPr>
          <w:rStyle w:val="Emphasis"/>
        </w:rPr>
        <w:t>For obvious reasons, the Relative Gini could be called a ‘rightist’ measure, and the Absolute Gini a ‘leftist’ measure</w:t>
      </w:r>
      <w:r>
        <w:t xml:space="preserve"> (</w:t>
      </w:r>
      <w:proofErr w:type="spellStart"/>
      <w:r>
        <w:t>Kolm</w:t>
      </w:r>
      <w:proofErr w:type="spellEnd"/>
      <w:r>
        <w:t xml:space="preserve"> 1976a and 1976b).</w:t>
      </w:r>
      <w:r>
        <w:t xml:space="preserve"> </w:t>
      </w:r>
      <w:r w:rsidRPr="004F2E26">
        <w:rPr>
          <w:u w:val="single"/>
        </w:rPr>
        <w:t>Economists’ long-standing nonchalance about income inequality is reflected in the fact that the Absolute Gini is rarely used in empirical work</w:t>
      </w:r>
      <w:r>
        <w:t xml:space="preserve">. Its unpopularity also reflects the fact that cross-country comparisons of the Absolute Gini are more complicated than for the Relative Gini, because the former depends on the mean of each distribution. This requires that </w:t>
      </w:r>
      <w:r w:rsidRPr="005F1B4C">
        <w:rPr>
          <w:u w:val="single"/>
        </w:rPr>
        <w:t>we convert incomes into the same currency</w:t>
      </w:r>
      <w:r>
        <w:t xml:space="preserve"> (for example, to compare absolute inequality in India with that in the US we </w:t>
      </w:r>
      <w:proofErr w:type="gramStart"/>
      <w:r>
        <w:t>have to</w:t>
      </w:r>
      <w:proofErr w:type="gramEnd"/>
      <w:r>
        <w:t xml:space="preserve"> convert the two means and income distributions either into rupees or into dollars). And to perform comparisons across time </w:t>
      </w:r>
      <w:r w:rsidRPr="005F1B4C">
        <w:rPr>
          <w:u w:val="single"/>
        </w:rPr>
        <w:t>we also need to correct for inflation</w:t>
      </w:r>
      <w:r>
        <w:t xml:space="preserve">. The choice of </w:t>
      </w:r>
      <w:r w:rsidRPr="005F1B4C">
        <w:rPr>
          <w:u w:val="single"/>
        </w:rPr>
        <w:t>appropriate exchange rates and price deflators becomes crucial for making reliable comparisons of absolute inequality</w:t>
      </w:r>
      <w:r>
        <w:t>.</w:t>
      </w:r>
      <w:r>
        <w:t xml:space="preserve"> </w:t>
      </w:r>
      <w:r>
        <w:t xml:space="preserve">These inconveniences have often been held up as justification for sticking with relative measures of inequality. But as </w:t>
      </w:r>
      <w:proofErr w:type="spellStart"/>
      <w:r>
        <w:t>Kolm</w:t>
      </w:r>
      <w:proofErr w:type="spellEnd"/>
      <w:r>
        <w:t xml:space="preserve"> explains, ‘</w:t>
      </w:r>
      <w:r w:rsidRPr="005F1B4C">
        <w:rPr>
          <w:u w:val="single"/>
        </w:rPr>
        <w:t xml:space="preserve">these problems are </w:t>
      </w:r>
      <w:proofErr w:type="gramStart"/>
      <w:r w:rsidRPr="005F1B4C">
        <w:rPr>
          <w:u w:val="single"/>
        </w:rPr>
        <w:t>exactly the same</w:t>
      </w:r>
      <w:proofErr w:type="gramEnd"/>
      <w:r w:rsidRPr="005F1B4C">
        <w:rPr>
          <w:u w:val="single"/>
        </w:rPr>
        <w:t xml:space="preserve"> ones which are traditionally encountered in the comparisons of national or per capita incomes…and they can be given the same traditional solutions</w:t>
      </w:r>
      <w:r>
        <w:t xml:space="preserve">. Anyway, </w:t>
      </w:r>
      <w:r w:rsidRPr="005F1B4C">
        <w:rPr>
          <w:rStyle w:val="Emphasis"/>
        </w:rPr>
        <w:t>convenience could not be an alibi for endorsing injustice’</w:t>
      </w:r>
      <w:r>
        <w:t xml:space="preserve"> (1976a: 419–20).</w:t>
      </w:r>
      <w:r>
        <w:t xml:space="preserve"> </w:t>
      </w:r>
      <w:r w:rsidRPr="005F1B4C">
        <w:rPr>
          <w:rStyle w:val="Emphasis"/>
        </w:rPr>
        <w:t>The bottom line is—all these technical complexities aside—that students of inequality should not ignore trends in absolute income gaps when making inequality comparisons, as most of the literature does.</w:t>
      </w:r>
    </w:p>
    <w:p w:rsidR="00C22618" w:rsidRDefault="00C22618" w:rsidP="00B9408E">
      <w:pPr>
        <w:rPr>
          <w:rStyle w:val="Emphasis"/>
        </w:rPr>
      </w:pPr>
    </w:p>
    <w:p w:rsidR="008E10A2" w:rsidRDefault="008E10A2" w:rsidP="008E10A2">
      <w:pPr>
        <w:pStyle w:val="Heading4"/>
      </w:pPr>
      <w:r>
        <w:t>Gini coefficient can’t measure margins of inequality</w:t>
      </w:r>
    </w:p>
    <w:p w:rsidR="008E10A2" w:rsidRDefault="008E10A2" w:rsidP="008E10A2">
      <w:proofErr w:type="spellStart"/>
      <w:r w:rsidRPr="00587D9A">
        <w:rPr>
          <w:b/>
          <w:sz w:val="26"/>
          <w:szCs w:val="26"/>
        </w:rPr>
        <w:t>Steinbaum</w:t>
      </w:r>
      <w:proofErr w:type="spellEnd"/>
      <w:r w:rsidRPr="00587D9A">
        <w:rPr>
          <w:b/>
          <w:sz w:val="26"/>
          <w:szCs w:val="26"/>
        </w:rPr>
        <w:t xml:space="preserve"> 15</w:t>
      </w:r>
      <w:r>
        <w:t xml:space="preserve"> Marshall </w:t>
      </w:r>
      <w:proofErr w:type="spellStart"/>
      <w:r>
        <w:t>Steinbaum</w:t>
      </w:r>
      <w:proofErr w:type="spellEnd"/>
      <w:r>
        <w:t xml:space="preserve"> is </w:t>
      </w:r>
      <w:r w:rsidRPr="00587D9A">
        <w:t>an economist and Visiting Fellow at the Roosevelt Institute researching the labor market, inequality, higher</w:t>
      </w:r>
      <w:r>
        <w:t xml:space="preserve"> education, and student debt;</w:t>
      </w:r>
      <w:r w:rsidRPr="00587D9A">
        <w:t xml:space="preserve"> professional expertise is in the empirics of the macro labor market, and to a lesser extent, Search-and-Matching models of it.</w:t>
      </w:r>
      <w:r w:rsidRPr="00807A1B">
        <w:t>, "How much would increasing top income tax rates reduce inequality? G</w:t>
      </w:r>
      <w:r>
        <w:t xml:space="preserve">ood question.," The </w:t>
      </w:r>
      <w:proofErr w:type="spellStart"/>
      <w:r>
        <w:t>Steinblog</w:t>
      </w:r>
      <w:proofErr w:type="spellEnd"/>
      <w:r>
        <w:t>,</w:t>
      </w:r>
      <w:r w:rsidRPr="00807A1B">
        <w:t xml:space="preserve"> 10-5-2015</w:t>
      </w:r>
      <w:r>
        <w:t xml:space="preserve">) </w:t>
      </w:r>
      <w:hyperlink r:id="rId6" w:history="1">
        <w:r w:rsidRPr="00D44275">
          <w:rPr>
            <w:rStyle w:val="Hyperlink"/>
          </w:rPr>
          <w:t>http://steinbaum.blogspot.com/2015/10/how-much-would-increasing-top-income.html//ARK1</w:t>
        </w:r>
      </w:hyperlink>
    </w:p>
    <w:p w:rsidR="008E10A2" w:rsidRDefault="008E10A2" w:rsidP="008E10A2">
      <w:r>
        <w:t>*GKO = Gale, Kearney, Orszag- authors of a paper studying taxes on inequality</w:t>
      </w:r>
    </w:p>
    <w:p w:rsidR="008E10A2" w:rsidRPr="00C22618" w:rsidRDefault="008E10A2" w:rsidP="008E10A2">
      <w:r>
        <w:t xml:space="preserve">The other reason why this scenario doesn’t do much for inequality is that </w:t>
      </w:r>
      <w:r w:rsidRPr="00FA7162">
        <w:rPr>
          <w:u w:val="single"/>
        </w:rPr>
        <w:t>GKO measure inequality by the Gini Coefficient</w:t>
      </w:r>
      <w:r>
        <w:t xml:space="preserve">. But </w:t>
      </w:r>
      <w:r w:rsidRPr="00FA7162">
        <w:rPr>
          <w:u w:val="single"/>
        </w:rPr>
        <w:t>the scenarios only affect individuals comfortably within the top 1% of the income distribution</w:t>
      </w:r>
      <w:r>
        <w:t xml:space="preserve">. The top tax bracket kicks in at taxable income of $457,601 for married couples filing jointly, which is above the threshold for the top 1% of the taxable income distribution. </w:t>
      </w:r>
      <w:r w:rsidRPr="00FA7162">
        <w:rPr>
          <w:rStyle w:val="Emphasis"/>
        </w:rPr>
        <w:t>The Gini Coefficient is insensitive to measuring inequality in that group</w:t>
      </w:r>
      <w:r>
        <w:t xml:space="preserve">. That is why </w:t>
      </w:r>
      <w:r w:rsidRPr="00885E9F">
        <w:rPr>
          <w:u w:val="single"/>
        </w:rPr>
        <w:t>Thomas Piketty and his many collaborators on the World Top Incomes Database focus on measured top income shares</w:t>
      </w:r>
      <w:r>
        <w:t xml:space="preserve">. Other measures of inequality that GKO consider, like the ratio of 99th to 50th percentile income, are also inadequate for the same reasons. Indeed, one of the authors, Orszag, conceded as much on Twitter, and Lucas Goodman, a graduate student who worked on the analysis, made a similar point on his personal blog as well. Using data that Goodman kindly provided to my colleague Ben </w:t>
      </w:r>
      <w:proofErr w:type="spellStart"/>
      <w:r>
        <w:t>Zipperer</w:t>
      </w:r>
      <w:proofErr w:type="spellEnd"/>
      <w:r>
        <w:t xml:space="preserve">, </w:t>
      </w:r>
      <w:r w:rsidRPr="00807A1B">
        <w:rPr>
          <w:u w:val="single"/>
        </w:rPr>
        <w:t>it’s possible to estimate what happens to inequality as measured by the top 1% income share under GKO’s scenario</w:t>
      </w:r>
      <w:r>
        <w:t xml:space="preserve">. Goodman reported the Gini Coefficients in GKO’s after-tax income data for both the bottom 99% of the distribution and for the distribution </w:t>
      </w:r>
      <w:proofErr w:type="gramStart"/>
      <w:r>
        <w:t>as a whole, either</w:t>
      </w:r>
      <w:proofErr w:type="gramEnd"/>
      <w:r>
        <w:t xml:space="preserve"> under current tax law or under the GKO scenario of increasing the top bracket rate to 50%. </w:t>
      </w:r>
      <w:r w:rsidRPr="00807A1B">
        <w:rPr>
          <w:u w:val="single"/>
        </w:rPr>
        <w:t xml:space="preserve">Using the formula for converting partial distribution Gini Coefficients to top income shares derived by </w:t>
      </w:r>
      <w:proofErr w:type="spellStart"/>
      <w:r w:rsidRPr="00807A1B">
        <w:rPr>
          <w:u w:val="single"/>
        </w:rPr>
        <w:t>Alvaredo</w:t>
      </w:r>
      <w:proofErr w:type="spellEnd"/>
      <w:r w:rsidRPr="00807A1B">
        <w:rPr>
          <w:u w:val="single"/>
        </w:rPr>
        <w:t xml:space="preserve"> (2011),</w:t>
      </w:r>
      <w:r>
        <w:t xml:space="preserve"> it appears that t</w:t>
      </w:r>
      <w:r w:rsidRPr="00807A1B">
        <w:rPr>
          <w:u w:val="single"/>
        </w:rPr>
        <w:t>he policy would reduce the top income share in GKO’s data</w:t>
      </w:r>
      <w:r>
        <w:t xml:space="preserve"> (after-tax income distribution of tax units) </w:t>
      </w:r>
      <w:r w:rsidRPr="00807A1B">
        <w:rPr>
          <w:u w:val="single"/>
        </w:rPr>
        <w:t>by about one percentage point</w:t>
      </w:r>
      <w:r>
        <w:t xml:space="preserve">. </w:t>
      </w:r>
      <w:r w:rsidRPr="00807A1B">
        <w:rPr>
          <w:rStyle w:val="Emphasis"/>
        </w:rPr>
        <w:t xml:space="preserve">That drop is </w:t>
      </w:r>
      <w:proofErr w:type="gramStart"/>
      <w:r w:rsidRPr="00807A1B">
        <w:rPr>
          <w:rStyle w:val="Emphasis"/>
        </w:rPr>
        <w:t>actually quite</w:t>
      </w:r>
      <w:proofErr w:type="gramEnd"/>
      <w:r w:rsidRPr="00807A1B">
        <w:rPr>
          <w:rStyle w:val="Emphasis"/>
        </w:rPr>
        <w:t xml:space="preserve"> substantial</w:t>
      </w:r>
      <w:r>
        <w:t xml:space="preserve">. The context is not precisely the same, but for comparison, the Congressional Budget Office estimates that the after-tax income share for the top 1% of households increased by a total of 5.2 percentage points between 1979 and 2011, </w:t>
      </w:r>
      <w:r w:rsidRPr="00807A1B">
        <w:rPr>
          <w:rStyle w:val="Emphasis"/>
        </w:rPr>
        <w:t xml:space="preserve">so the reduction in the top 1% income share </w:t>
      </w:r>
      <w:proofErr w:type="gramStart"/>
      <w:r w:rsidRPr="00807A1B">
        <w:rPr>
          <w:rStyle w:val="Emphasis"/>
        </w:rPr>
        <w:t>as a result of</w:t>
      </w:r>
      <w:proofErr w:type="gramEnd"/>
      <w:r w:rsidRPr="00807A1B">
        <w:rPr>
          <w:rStyle w:val="Emphasis"/>
        </w:rPr>
        <w:t xml:space="preserve"> the GKO scenario is just under 20% of the total increase in inequality over the whole period the CBO analyzes</w:t>
      </w:r>
      <w:r>
        <w:t>—a much more substantial impact than the one highlighted by GKO.</w:t>
      </w:r>
    </w:p>
    <w:p w:rsidR="008E10A2" w:rsidRDefault="008E10A2" w:rsidP="008E10A2">
      <w:pPr>
        <w:rPr>
          <w:rStyle w:val="Emphasis"/>
        </w:rPr>
      </w:pPr>
    </w:p>
    <w:p w:rsidR="00C22618" w:rsidRDefault="00C22618" w:rsidP="00C22618">
      <w:pPr>
        <w:pStyle w:val="Heading3"/>
        <w:rPr>
          <w:rStyle w:val="Emphasis"/>
          <w:b/>
          <w:sz w:val="32"/>
          <w:szCs w:val="32"/>
        </w:rPr>
      </w:pPr>
      <w:r>
        <w:rPr>
          <w:rStyle w:val="Emphasis"/>
          <w:b/>
          <w:sz w:val="32"/>
          <w:szCs w:val="32"/>
        </w:rPr>
        <w:t>AT: Gale</w:t>
      </w:r>
    </w:p>
    <w:p w:rsidR="00F27259" w:rsidRPr="00F27259" w:rsidRDefault="00F27259" w:rsidP="00F27259">
      <w:pPr>
        <w:pStyle w:val="Heading4"/>
      </w:pPr>
      <w:r>
        <w:t xml:space="preserve">Gale’s studies wrong- </w:t>
      </w:r>
      <w:r w:rsidR="00F209C8">
        <w:t xml:space="preserve">predicated on the Gini coefficient- 99/10 model still true </w:t>
      </w:r>
    </w:p>
    <w:p w:rsidR="00856BE4" w:rsidRPr="00856BE4" w:rsidRDefault="00A9058A" w:rsidP="00856BE4">
      <w:r w:rsidRPr="00A9058A">
        <w:rPr>
          <w:b/>
          <w:sz w:val="26"/>
          <w:szCs w:val="26"/>
        </w:rPr>
        <w:t>Quiggin 15</w:t>
      </w:r>
      <w:r>
        <w:t xml:space="preserve"> </w:t>
      </w:r>
      <w:r w:rsidRPr="00A9058A">
        <w:t xml:space="preserve">John Quiggin is an Australian Laureate Fellow in Economics at the University of Queensland. He is prominent both as a research economist and as a commentator on Australian economic policy. He is a Fellow of the Econometric Society, the Academy of the Social Sciences in Australia and many other learned societies and institutions. He has produced over 1500 publications, including six books and over 200 refereed journal articles, in fields including decision theory, environmental economics, production economics, and the theory of economic growth. He has also written on policy topics including climate change, micro-economic reform, </w:t>
      </w:r>
      <w:proofErr w:type="spellStart"/>
      <w:r w:rsidRPr="00A9058A">
        <w:t>privatisation</w:t>
      </w:r>
      <w:proofErr w:type="spellEnd"/>
      <w:r w:rsidRPr="00A9058A">
        <w:t xml:space="preserve">, employment policy and the management of the Murray-Darling river system. His latest book, Zombie Economics: How Dead Ideas Still Walk Among Us, was released in 2010 by Princeton University Press, and has been </w:t>
      </w:r>
      <w:r>
        <w:t>translated into eight languages</w:t>
      </w:r>
      <w:r w:rsidR="00856BE4" w:rsidRPr="00856BE4">
        <w:t xml:space="preserve">, </w:t>
      </w:r>
      <w:r>
        <w:t>(</w:t>
      </w:r>
      <w:r w:rsidR="00856BE4" w:rsidRPr="00856BE4">
        <w:t xml:space="preserve">"Would a significant increase in the top income tax rate substantially alter income </w:t>
      </w:r>
      <w:proofErr w:type="gramStart"/>
      <w:r w:rsidR="00856BE4" w:rsidRPr="00856BE4">
        <w:t>inequality?,</w:t>
      </w:r>
      <w:proofErr w:type="gramEnd"/>
      <w:r w:rsidR="00856BE4" w:rsidRPr="00856BE4">
        <w:t>" Crooked Timber,</w:t>
      </w:r>
      <w:r>
        <w:t xml:space="preserve"> 10-5-2015) </w:t>
      </w:r>
      <w:r w:rsidR="00856BE4" w:rsidRPr="00856BE4">
        <w:t>http://crookedtimber.org/2015/10/05/would-a-significant-increase-in-the-top-income-tax-rate-substa</w:t>
      </w:r>
      <w:r w:rsidR="00856BE4">
        <w:t>ntially-alter-income-inequality//ARK1</w:t>
      </w:r>
    </w:p>
    <w:p w:rsidR="00C22618" w:rsidRDefault="00C22618" w:rsidP="00C22618">
      <w:r>
        <w:t xml:space="preserve">This, you might think, qualifies as another in the series “Short Answers to Silly Questions”. But </w:t>
      </w:r>
      <w:r w:rsidRPr="00856BE4">
        <w:rPr>
          <w:u w:val="single"/>
        </w:rPr>
        <w:t>a Brookings Paper study by William G. Gale, Melissa S. Kearney, and Peter R. Orszag reaches the opposite conclusion</w:t>
      </w:r>
      <w:r>
        <w:t>.</w:t>
      </w:r>
      <w:r w:rsidR="00856BE4">
        <w:t xml:space="preserve"> </w:t>
      </w:r>
      <w:r>
        <w:t>The study looks at increasing the top marginal tax rate (currently 39.6, applicable to incomes above $400k for singles), with the strongest option being an increase to 50 per cent. The proceeds are assumed to be redistributed to households in the bottom 20 per cent of the income distribution.</w:t>
      </w:r>
      <w:r w:rsidR="00856BE4">
        <w:t xml:space="preserve"> </w:t>
      </w:r>
      <w:r w:rsidRPr="00856BE4">
        <w:rPr>
          <w:u w:val="single"/>
        </w:rPr>
        <w:t>The headline finding is that the Gini coefficient is barely changed</w:t>
      </w:r>
      <w:r>
        <w:t xml:space="preserve">, as are other popular measures including the 99/50 ratio (the ratio of income at the 99-th percentile to 50-th percentile, that is the median). </w:t>
      </w:r>
      <w:r w:rsidRPr="00856BE4">
        <w:rPr>
          <w:rStyle w:val="Emphasis"/>
        </w:rPr>
        <w:t>But the 99/10 ratio and 90/10 ratios change a lot, from 50 and 17 under current law to 37 and 12.5 with the redistribution</w:t>
      </w:r>
      <w:r>
        <w:t>.</w:t>
      </w:r>
      <w:r w:rsidR="00856BE4">
        <w:t xml:space="preserve"> </w:t>
      </w:r>
      <w:r>
        <w:t>What does this mean? Two things:</w:t>
      </w:r>
      <w:r w:rsidR="00856BE4">
        <w:t xml:space="preserve"> </w:t>
      </w:r>
      <w:r>
        <w:t>(</w:t>
      </w:r>
      <w:proofErr w:type="spellStart"/>
      <w:r>
        <w:t>i</w:t>
      </w:r>
      <w:proofErr w:type="spellEnd"/>
      <w:r>
        <w:t xml:space="preserve">) </w:t>
      </w:r>
      <w:r w:rsidRPr="00856BE4">
        <w:rPr>
          <w:rStyle w:val="Emphasis"/>
        </w:rPr>
        <w:t>As is well known, the Gini coefficient is a lousy measure of income inequality, much more sensitive to the middle of the income distribution than to the tails</w:t>
      </w:r>
      <w:r w:rsidR="00856BE4">
        <w:t xml:space="preserve"> </w:t>
      </w:r>
      <w:r>
        <w:t xml:space="preserve">(ii) </w:t>
      </w:r>
      <w:r w:rsidRPr="00856BE4">
        <w:rPr>
          <w:u w:val="single"/>
        </w:rPr>
        <w:t>The proposed redistribution would substantially improve the welfare of the poor, with most of the burden being borne by taxpayers in or near the top 0.1 per cent</w:t>
      </w:r>
      <w:r>
        <w:t>.</w:t>
      </w:r>
      <w:r w:rsidR="00856BE4">
        <w:t xml:space="preserve"> </w:t>
      </w:r>
      <w:r>
        <w:t xml:space="preserve">It’s obvious, as the authors note, that the 90-50 measure won’t change, since neither group is affected (there’s no simulation of behavioral responses which might have indirect effects). But, since the 99-th percentile income is very close to $400k, there’s very </w:t>
      </w:r>
      <w:proofErr w:type="gramStart"/>
      <w:r>
        <w:t>little impact</w:t>
      </w:r>
      <w:proofErr w:type="gramEnd"/>
      <w:r>
        <w:t xml:space="preserve"> on this group either. But </w:t>
      </w:r>
      <w:r w:rsidRPr="00856BE4">
        <w:rPr>
          <w:rStyle w:val="Emphasis"/>
        </w:rPr>
        <w:t>the tax</w:t>
      </w:r>
      <w:r>
        <w:t xml:space="preserve">, as modelled, </w:t>
      </w:r>
      <w:r w:rsidRPr="00856BE4">
        <w:rPr>
          <w:rStyle w:val="Emphasis"/>
        </w:rPr>
        <w:t>raises a lot of money from the ultra-rich income</w:t>
      </w:r>
      <w:r>
        <w:t xml:space="preserve">s. As a result, </w:t>
      </w:r>
      <w:r w:rsidRPr="00856BE4">
        <w:rPr>
          <w:rStyle w:val="Emphasis"/>
        </w:rPr>
        <w:t xml:space="preserve">distributing the proceeds at the bottom of the distribution raises incomes substantially, which explains the </w:t>
      </w:r>
      <w:proofErr w:type="gramStart"/>
      <w:r w:rsidRPr="00856BE4">
        <w:rPr>
          <w:rStyle w:val="Emphasis"/>
        </w:rPr>
        <w:t>big changes</w:t>
      </w:r>
      <w:proofErr w:type="gramEnd"/>
      <w:r w:rsidRPr="00856BE4">
        <w:rPr>
          <w:rStyle w:val="Emphasis"/>
        </w:rPr>
        <w:t xml:space="preserve"> in the 90-10 and 99-10 ratios</w:t>
      </w:r>
      <w:r>
        <w:t>.</w:t>
      </w:r>
      <w:r w:rsidR="00856BE4">
        <w:t xml:space="preserve"> </w:t>
      </w:r>
      <w:r>
        <w:t xml:space="preserve">The real lesson to be learned here, one I came to </w:t>
      </w:r>
      <w:proofErr w:type="gramStart"/>
      <w:r>
        <w:t>pretty slowly</w:t>
      </w:r>
      <w:proofErr w:type="gramEnd"/>
      <w:r>
        <w:t xml:space="preserve"> myself is that old-style measures looking at quintiles or even percentiles of the income distribution are no longer very relevant.</w:t>
      </w:r>
    </w:p>
    <w:p w:rsidR="00807A1B" w:rsidRDefault="00807A1B" w:rsidP="00C22618"/>
    <w:sectPr w:rsidR="00807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5610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E3D11"/>
    <w:rsid w:val="00407037"/>
    <w:rsid w:val="004505A1"/>
    <w:rsid w:val="004605D6"/>
    <w:rsid w:val="00483E92"/>
    <w:rsid w:val="004A7543"/>
    <w:rsid w:val="004C60E8"/>
    <w:rsid w:val="004E3579"/>
    <w:rsid w:val="004E728B"/>
    <w:rsid w:val="004F2E26"/>
    <w:rsid w:val="004F39E0"/>
    <w:rsid w:val="00537BD5"/>
    <w:rsid w:val="0057268A"/>
    <w:rsid w:val="00587D9A"/>
    <w:rsid w:val="005D2912"/>
    <w:rsid w:val="005F1B4C"/>
    <w:rsid w:val="006065BD"/>
    <w:rsid w:val="006132D2"/>
    <w:rsid w:val="0064564A"/>
    <w:rsid w:val="00645FA9"/>
    <w:rsid w:val="00647866"/>
    <w:rsid w:val="00665003"/>
    <w:rsid w:val="006A2AD0"/>
    <w:rsid w:val="006C2375"/>
    <w:rsid w:val="006D4ECC"/>
    <w:rsid w:val="006E383B"/>
    <w:rsid w:val="00722258"/>
    <w:rsid w:val="007243E5"/>
    <w:rsid w:val="007642E2"/>
    <w:rsid w:val="00766EA0"/>
    <w:rsid w:val="007A2226"/>
    <w:rsid w:val="007F5B66"/>
    <w:rsid w:val="00807A1B"/>
    <w:rsid w:val="00823A1C"/>
    <w:rsid w:val="00845B9D"/>
    <w:rsid w:val="00856BE4"/>
    <w:rsid w:val="00860984"/>
    <w:rsid w:val="00885E9F"/>
    <w:rsid w:val="008B3ECB"/>
    <w:rsid w:val="008B4E85"/>
    <w:rsid w:val="008C1B2E"/>
    <w:rsid w:val="008E10A2"/>
    <w:rsid w:val="0091627E"/>
    <w:rsid w:val="0097032B"/>
    <w:rsid w:val="009C4257"/>
    <w:rsid w:val="009D2EAD"/>
    <w:rsid w:val="009D54B2"/>
    <w:rsid w:val="009E1922"/>
    <w:rsid w:val="009F18C9"/>
    <w:rsid w:val="009F7ED2"/>
    <w:rsid w:val="00A9058A"/>
    <w:rsid w:val="00A93661"/>
    <w:rsid w:val="00A95652"/>
    <w:rsid w:val="00AC0AB8"/>
    <w:rsid w:val="00B33C6D"/>
    <w:rsid w:val="00B4508F"/>
    <w:rsid w:val="00B55AD5"/>
    <w:rsid w:val="00B640CF"/>
    <w:rsid w:val="00B8057C"/>
    <w:rsid w:val="00B9408E"/>
    <w:rsid w:val="00BD6238"/>
    <w:rsid w:val="00BF593B"/>
    <w:rsid w:val="00BF773A"/>
    <w:rsid w:val="00BF7E81"/>
    <w:rsid w:val="00C13773"/>
    <w:rsid w:val="00C17CC8"/>
    <w:rsid w:val="00C22618"/>
    <w:rsid w:val="00C83417"/>
    <w:rsid w:val="00C9604F"/>
    <w:rsid w:val="00CA19AA"/>
    <w:rsid w:val="00CC5298"/>
    <w:rsid w:val="00CD736E"/>
    <w:rsid w:val="00CD798D"/>
    <w:rsid w:val="00CE161E"/>
    <w:rsid w:val="00CF59A8"/>
    <w:rsid w:val="00D2729B"/>
    <w:rsid w:val="00D325A9"/>
    <w:rsid w:val="00D36A8A"/>
    <w:rsid w:val="00D61409"/>
    <w:rsid w:val="00D6691E"/>
    <w:rsid w:val="00D71170"/>
    <w:rsid w:val="00D90252"/>
    <w:rsid w:val="00DA1C92"/>
    <w:rsid w:val="00DA25D4"/>
    <w:rsid w:val="00DA6538"/>
    <w:rsid w:val="00E15E75"/>
    <w:rsid w:val="00E315B8"/>
    <w:rsid w:val="00E5262C"/>
    <w:rsid w:val="00E5610C"/>
    <w:rsid w:val="00EC7DC4"/>
    <w:rsid w:val="00ED30CF"/>
    <w:rsid w:val="00EE0363"/>
    <w:rsid w:val="00F176EF"/>
    <w:rsid w:val="00F209C8"/>
    <w:rsid w:val="00F27259"/>
    <w:rsid w:val="00F45E10"/>
    <w:rsid w:val="00F6364A"/>
    <w:rsid w:val="00F9113A"/>
    <w:rsid w:val="00FA7162"/>
    <w:rsid w:val="00FB52A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4AE9"/>
  <w15:chartTrackingRefBased/>
  <w15:docId w15:val="{2B6DBF6E-FF02-4F84-9918-8053854B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5610C"/>
    <w:rPr>
      <w:rFonts w:ascii="Calibri" w:hAnsi="Calibri" w:cs="Calibri"/>
    </w:rPr>
  </w:style>
  <w:style w:type="paragraph" w:styleId="Heading1">
    <w:name w:val="heading 1"/>
    <w:aliases w:val="Pocket"/>
    <w:basedOn w:val="Normal"/>
    <w:next w:val="Normal"/>
    <w:link w:val="Heading1Char"/>
    <w:qFormat/>
    <w:rsid w:val="00E561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561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561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561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561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610C"/>
  </w:style>
  <w:style w:type="character" w:customStyle="1" w:styleId="Heading1Char">
    <w:name w:val="Heading 1 Char"/>
    <w:aliases w:val="Pocket Char"/>
    <w:basedOn w:val="DefaultParagraphFont"/>
    <w:link w:val="Heading1"/>
    <w:rsid w:val="00E561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61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610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5610C"/>
    <w:rPr>
      <w:rFonts w:ascii="Calibri" w:eastAsiaTheme="majorEastAsia" w:hAnsi="Calibri" w:cstheme="majorBidi"/>
      <w:b/>
      <w:iCs/>
      <w:sz w:val="26"/>
    </w:rPr>
  </w:style>
  <w:style w:type="character" w:styleId="Emphasis">
    <w:name w:val="Emphasis"/>
    <w:basedOn w:val="DefaultParagraphFont"/>
    <w:uiPriority w:val="7"/>
    <w:qFormat/>
    <w:rsid w:val="00E5610C"/>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E5610C"/>
    <w:rPr>
      <w:b/>
      <w:bCs/>
      <w:sz w:val="26"/>
      <w:u w:val="none"/>
    </w:rPr>
  </w:style>
  <w:style w:type="character" w:customStyle="1" w:styleId="StyleUnderline">
    <w:name w:val="Style Underline"/>
    <w:aliases w:val="Underline"/>
    <w:basedOn w:val="DefaultParagraphFont"/>
    <w:uiPriority w:val="6"/>
    <w:qFormat/>
    <w:rsid w:val="00E5610C"/>
    <w:rPr>
      <w:b w:val="0"/>
      <w:sz w:val="22"/>
      <w:u w:val="single"/>
    </w:rPr>
  </w:style>
  <w:style w:type="character" w:styleId="Hyperlink">
    <w:name w:val="Hyperlink"/>
    <w:basedOn w:val="DefaultParagraphFont"/>
    <w:uiPriority w:val="99"/>
    <w:unhideWhenUsed/>
    <w:rsid w:val="00E5610C"/>
    <w:rPr>
      <w:color w:val="auto"/>
      <w:u w:val="none"/>
    </w:rPr>
  </w:style>
  <w:style w:type="character" w:styleId="FollowedHyperlink">
    <w:name w:val="FollowedHyperlink"/>
    <w:basedOn w:val="DefaultParagraphFont"/>
    <w:uiPriority w:val="99"/>
    <w:semiHidden/>
    <w:unhideWhenUsed/>
    <w:rsid w:val="00E5610C"/>
    <w:rPr>
      <w:color w:val="auto"/>
      <w:u w:val="none"/>
    </w:rPr>
  </w:style>
  <w:style w:type="character" w:styleId="UnresolvedMention">
    <w:name w:val="Unresolved Mention"/>
    <w:basedOn w:val="DefaultParagraphFont"/>
    <w:uiPriority w:val="99"/>
    <w:semiHidden/>
    <w:unhideWhenUsed/>
    <w:rsid w:val="00F2725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008503">
      <w:bodyDiv w:val="1"/>
      <w:marLeft w:val="0"/>
      <w:marRight w:val="0"/>
      <w:marTop w:val="0"/>
      <w:marBottom w:val="0"/>
      <w:divBdr>
        <w:top w:val="none" w:sz="0" w:space="0" w:color="auto"/>
        <w:left w:val="none" w:sz="0" w:space="0" w:color="auto"/>
        <w:bottom w:val="none" w:sz="0" w:space="0" w:color="auto"/>
        <w:right w:val="none" w:sz="0" w:space="0" w:color="auto"/>
      </w:divBdr>
    </w:div>
    <w:div w:id="650988230">
      <w:bodyDiv w:val="1"/>
      <w:marLeft w:val="0"/>
      <w:marRight w:val="0"/>
      <w:marTop w:val="0"/>
      <w:marBottom w:val="0"/>
      <w:divBdr>
        <w:top w:val="none" w:sz="0" w:space="0" w:color="auto"/>
        <w:left w:val="none" w:sz="0" w:space="0" w:color="auto"/>
        <w:bottom w:val="none" w:sz="0" w:space="0" w:color="auto"/>
        <w:right w:val="none" w:sz="0" w:space="0" w:color="auto"/>
      </w:divBdr>
    </w:div>
    <w:div w:id="731201454">
      <w:bodyDiv w:val="1"/>
      <w:marLeft w:val="0"/>
      <w:marRight w:val="0"/>
      <w:marTop w:val="0"/>
      <w:marBottom w:val="0"/>
      <w:divBdr>
        <w:top w:val="none" w:sz="0" w:space="0" w:color="auto"/>
        <w:left w:val="none" w:sz="0" w:space="0" w:color="auto"/>
        <w:bottom w:val="none" w:sz="0" w:space="0" w:color="auto"/>
        <w:right w:val="none" w:sz="0" w:space="0" w:color="auto"/>
      </w:divBdr>
    </w:div>
    <w:div w:id="922908402">
      <w:bodyDiv w:val="1"/>
      <w:marLeft w:val="0"/>
      <w:marRight w:val="0"/>
      <w:marTop w:val="0"/>
      <w:marBottom w:val="0"/>
      <w:divBdr>
        <w:top w:val="none" w:sz="0" w:space="0" w:color="auto"/>
        <w:left w:val="none" w:sz="0" w:space="0" w:color="auto"/>
        <w:bottom w:val="none" w:sz="0" w:space="0" w:color="auto"/>
        <w:right w:val="none" w:sz="0" w:space="0" w:color="auto"/>
      </w:divBdr>
    </w:div>
    <w:div w:id="196564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einbaum.blogspot.com/2015/10/how-much-would-increasing-top-income.html//ARK1"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ul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E26FF-04CF-4D29-AE3C-3EA873399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1595</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Kulkarni</dc:creator>
  <cp:keywords>5.1.1</cp:keywords>
  <dc:description/>
  <cp:lastModifiedBy>Amit Kulkarni</cp:lastModifiedBy>
  <cp:revision>2</cp:revision>
  <dcterms:created xsi:type="dcterms:W3CDTF">2017-07-20T21:21:00Z</dcterms:created>
  <dcterms:modified xsi:type="dcterms:W3CDTF">2017-07-20T21:21:00Z</dcterms:modified>
</cp:coreProperties>
</file>