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63F5FB" w14:textId="77777777" w:rsidR="00F54650" w:rsidRPr="00D7045C" w:rsidRDefault="005A4715" w:rsidP="00F54650">
      <w:pPr>
        <w:pStyle w:val="Heading1"/>
        <w:rPr>
          <w:rFonts w:cs="Times New Roman"/>
        </w:rPr>
      </w:pPr>
      <w:r w:rsidRPr="00D7045C">
        <w:rPr>
          <w:rFonts w:cs="Times New Roman"/>
        </w:rPr>
        <w:t>Milliken – CNDI 2017</w:t>
      </w:r>
    </w:p>
    <w:p w14:paraId="52E09ACA" w14:textId="77777777" w:rsidR="005A4715" w:rsidRPr="00D7045C" w:rsidRDefault="005A4715" w:rsidP="005A4715">
      <w:pPr>
        <w:pStyle w:val="Heading1"/>
        <w:rPr>
          <w:rFonts w:cs="Times New Roman"/>
        </w:rPr>
      </w:pPr>
      <w:r w:rsidRPr="00D7045C">
        <w:rPr>
          <w:rFonts w:cs="Times New Roman"/>
        </w:rPr>
        <w:t>AFF – Milliken</w:t>
      </w:r>
    </w:p>
    <w:p w14:paraId="0D9F13D9" w14:textId="77777777" w:rsidR="00E34FCD" w:rsidRPr="00D7045C" w:rsidRDefault="00E34FCD" w:rsidP="00E34FCD"/>
    <w:p w14:paraId="0197A1CE" w14:textId="6FE1AE4A" w:rsidR="005A4715" w:rsidRPr="00D7045C" w:rsidRDefault="003D049F" w:rsidP="005A4715">
      <w:pPr>
        <w:pStyle w:val="Heading2"/>
        <w:rPr>
          <w:rFonts w:cs="Times New Roman"/>
        </w:rPr>
      </w:pPr>
      <w:r w:rsidRPr="00D7045C">
        <w:rPr>
          <w:rFonts w:cs="Times New Roman"/>
        </w:rPr>
        <w:t>1AC</w:t>
      </w:r>
      <w:r w:rsidR="005A4715" w:rsidRPr="00D7045C">
        <w:rPr>
          <w:rFonts w:cs="Times New Roman"/>
        </w:rPr>
        <w:t xml:space="preserve"> – Milliken</w:t>
      </w:r>
    </w:p>
    <w:p w14:paraId="312710D0" w14:textId="2B5694AC" w:rsidR="005A4715" w:rsidRPr="00D7045C" w:rsidRDefault="003D049F" w:rsidP="005A4715">
      <w:pPr>
        <w:pStyle w:val="Heading3"/>
        <w:rPr>
          <w:rFonts w:cs="Times New Roman"/>
        </w:rPr>
      </w:pPr>
      <w:r w:rsidRPr="00D7045C">
        <w:rPr>
          <w:rFonts w:cs="Times New Roman"/>
        </w:rPr>
        <w:t>1AC – S</w:t>
      </w:r>
      <w:r w:rsidR="005A4715" w:rsidRPr="00D7045C">
        <w:rPr>
          <w:rFonts w:cs="Times New Roman"/>
        </w:rPr>
        <w:t>egregation</w:t>
      </w:r>
      <w:r w:rsidR="00AE4371" w:rsidRPr="00D7045C">
        <w:rPr>
          <w:rFonts w:cs="Times New Roman"/>
        </w:rPr>
        <w:t xml:space="preserve"> Advantage</w:t>
      </w:r>
    </w:p>
    <w:p w14:paraId="42BCBF26" w14:textId="77777777" w:rsidR="005A4715" w:rsidRPr="00D7045C" w:rsidRDefault="005A4715" w:rsidP="005A4715">
      <w:pPr>
        <w:pStyle w:val="Heading4"/>
        <w:rPr>
          <w:rFonts w:cs="Times New Roman"/>
        </w:rPr>
      </w:pPr>
      <w:r w:rsidRPr="00D7045C">
        <w:rPr>
          <w:rFonts w:cs="Times New Roman"/>
        </w:rPr>
        <w:t xml:space="preserve">Scenario 1 is </w:t>
      </w:r>
      <w:r w:rsidRPr="00D7045C">
        <w:rPr>
          <w:rFonts w:cs="Times New Roman"/>
          <w:i/>
          <w:u w:val="single"/>
        </w:rPr>
        <w:t>district lines</w:t>
      </w:r>
      <w:r w:rsidRPr="00D7045C">
        <w:rPr>
          <w:rFonts w:cs="Times New Roman"/>
          <w:u w:val="single"/>
        </w:rPr>
        <w:t xml:space="preserve"> </w:t>
      </w:r>
      <w:r w:rsidRPr="00D7045C">
        <w:rPr>
          <w:rFonts w:cs="Times New Roman"/>
        </w:rPr>
        <w:t>--</w:t>
      </w:r>
    </w:p>
    <w:p w14:paraId="5DFDF400" w14:textId="77777777" w:rsidR="005A4715" w:rsidRPr="00D7045C" w:rsidRDefault="005A4715" w:rsidP="005A4715">
      <w:pPr>
        <w:pStyle w:val="Heading4"/>
        <w:rPr>
          <w:rFonts w:cs="Times New Roman"/>
          <w:i/>
        </w:rPr>
      </w:pPr>
      <w:r w:rsidRPr="00D7045C">
        <w:rPr>
          <w:rFonts w:cs="Times New Roman"/>
        </w:rPr>
        <w:t xml:space="preserve">The local control principle upon which the Milliken decision is based has </w:t>
      </w:r>
      <w:r w:rsidRPr="00D7045C">
        <w:rPr>
          <w:rFonts w:cs="Times New Roman"/>
          <w:i/>
        </w:rPr>
        <w:t xml:space="preserve">no legal tradition, </w:t>
      </w:r>
      <w:r w:rsidRPr="00D7045C">
        <w:rPr>
          <w:rFonts w:cs="Times New Roman"/>
        </w:rPr>
        <w:t xml:space="preserve">ignored a century of local government law, and is based on a precedent that does not involve an </w:t>
      </w:r>
      <w:r w:rsidRPr="00D7045C">
        <w:rPr>
          <w:rFonts w:cs="Times New Roman"/>
          <w:i/>
        </w:rPr>
        <w:t>explicitly protected constitutional right</w:t>
      </w:r>
    </w:p>
    <w:p w14:paraId="72868867" w14:textId="77777777" w:rsidR="005A4715" w:rsidRPr="00D7045C" w:rsidRDefault="005A4715" w:rsidP="005A4715">
      <w:r w:rsidRPr="00D7045C">
        <w:rPr>
          <w:rStyle w:val="Style13ptBold"/>
        </w:rPr>
        <w:t>Orfield 15</w:t>
      </w:r>
      <w:r w:rsidRPr="00D7045C">
        <w:t xml:space="preserve"> (Myron, “Milliken, Meredith, and Metropolitan Segregation,” UCLA Law Review, 62 UCLA L. Rev. 364, g. 406-410) KC</w:t>
      </w:r>
    </w:p>
    <w:p w14:paraId="2E2BC08B" w14:textId="77777777" w:rsidR="005A4715" w:rsidRPr="00D7045C" w:rsidRDefault="005A4715" w:rsidP="005A4715">
      <w:pPr>
        <w:rPr>
          <w:sz w:val="16"/>
        </w:rPr>
      </w:pPr>
      <w:r w:rsidRPr="00D7045C">
        <w:rPr>
          <w:sz w:val="16"/>
        </w:rPr>
        <w:t xml:space="preserve">A bitterly divided Supreme Court upheld the finding of local and state discrimination in Detroit, but reversed as to the interdistrict remedy. A cryptic concurrence by Justice Potter Stewart controlled the 5–4 decision. The appeal was interlocutory. No governmental consolidation had ever been proposed. No interdistrict plan could be devised until all affected school districts and interest groups and the Michigan Legislature could be fully heard and could participate in the plan’sformation.288 There had been no settlement discussions. Had the Court not intervened at this point, the outcome was still far from certain. Judge Roth had died and would be replaced by a judge less likely to require an extensive remedy. The state legislature might have responded to the Court’s decision with its own remedy, as the Delaware legislature did in the Wilmington school case,289 and state legislatures often did in school finance cases290 and in exclusionary zoning cases.291 The case might have settled. </w:t>
      </w:r>
      <w:r w:rsidRPr="00D7045C">
        <w:rPr>
          <w:rStyle w:val="StyleUnderline"/>
        </w:rPr>
        <w:t>The Milliken majority</w:t>
      </w:r>
      <w:r w:rsidRPr="00D7045C">
        <w:rPr>
          <w:sz w:val="16"/>
        </w:rPr>
        <w:t xml:space="preserve">, however, </w:t>
      </w:r>
      <w:r w:rsidRPr="00D7045C">
        <w:rPr>
          <w:rStyle w:val="StyleUnderline"/>
        </w:rPr>
        <w:t xml:space="preserve">dishonestly treated the case as if a wild liberal judge had consolidated the districts and ordered a sweeping desegregation plan without the involvement of the affected school districts. </w:t>
      </w:r>
      <w:r w:rsidRPr="00D7045C">
        <w:rPr>
          <w:rStyle w:val="Emphasis"/>
        </w:rPr>
        <w:t>The Court’s opinion then proceeded to ignore a century of black-letter local government law and created a murky constitutional status for local government boundaries based on an undefined “tradition” of local control over education</w:t>
      </w:r>
      <w:r w:rsidRPr="00D7045C">
        <w:rPr>
          <w:rStyle w:val="StyleUnderline"/>
        </w:rPr>
        <w:t>.</w:t>
      </w:r>
      <w:r w:rsidRPr="00D7045C">
        <w:rPr>
          <w:sz w:val="16"/>
        </w:rPr>
        <w:t xml:space="preserve"> While the State of Michigan could abolish, reshape, or change the local districts in any way at whim and without limitation</w:t>
      </w:r>
      <w:r w:rsidRPr="00D7045C">
        <w:rPr>
          <w:rStyle w:val="StyleUnderline"/>
        </w:rPr>
        <w:t xml:space="preserve">, after Milliken, a federal court could not require the suburban districts to cooperate in any way with the Detroit school district or its students to reduce segregation </w:t>
      </w:r>
      <w:r w:rsidRPr="00D7045C">
        <w:rPr>
          <w:sz w:val="16"/>
        </w:rPr>
        <w:t>unless it could show the dis- trict orstate committed certain acts. A court could require cooperation only if the suburban district had intentionally committed a constitutional violation that caused segregation in Detroit, or if the state had intentionally drawn the school district boundaries to create segregation between the city and suburbs, or committed an act of housing discrimination that caused the innerdistrict segregation</w:t>
      </w:r>
      <w:r w:rsidRPr="00D7045C">
        <w:rPr>
          <w:rStyle w:val="Emphasis"/>
        </w:rPr>
        <w:t>. Justice Burgerwrote: [T]he notion that school district lines may be casually ignored or treated as a mere administrative convenience is contrary to the history of public education in our country</w:t>
      </w:r>
      <w:r w:rsidRPr="00D7045C">
        <w:rPr>
          <w:sz w:val="16"/>
        </w:rPr>
        <w:t xml:space="preserve">. </w:t>
      </w:r>
      <w:r w:rsidRPr="00D7045C">
        <w:rPr>
          <w:rStyle w:val="StyleUnderline"/>
        </w:rPr>
        <w:t>No single tradition in public education is more deeply rooted than local control over the operation of public schools;</w:t>
      </w:r>
      <w:r w:rsidRPr="00D7045C">
        <w:rPr>
          <w:sz w:val="16"/>
        </w:rPr>
        <w:t xml:space="preserve"> local autonomy has long been thought essential both to the maintenance of community concern and support for public schools and to quality of the educational process.292 </w:t>
      </w:r>
      <w:r w:rsidRPr="00D7045C">
        <w:rPr>
          <w:rStyle w:val="Emphasis"/>
        </w:rPr>
        <w:t>Justice Burger’s opinion never made clear what tradition of local autonomy “essential both to the maintenance of community concern and . . . [school] quality” the court was defending</w:t>
      </w:r>
      <w:r w:rsidRPr="00D7045C">
        <w:rPr>
          <w:sz w:val="16"/>
        </w:rPr>
        <w:t xml:space="preserve">.293 </w:t>
      </w:r>
      <w:r w:rsidRPr="00D7045C">
        <w:rPr>
          <w:rStyle w:val="StyleUnderline"/>
        </w:rPr>
        <w:t>It cited the “local control” language from San Antonio v. Rodrigue</w:t>
      </w:r>
      <w:r w:rsidRPr="00D7045C">
        <w:rPr>
          <w:sz w:val="16"/>
        </w:rPr>
        <w:t xml:space="preserve">z,294 </w:t>
      </w:r>
      <w:r w:rsidRPr="00D7045C">
        <w:rPr>
          <w:rStyle w:val="Emphasis"/>
        </w:rPr>
        <w:t>a state school finance case decided by the Supreme Court the previousterm, but Rodriguez did not involve any explicitly protected constitutional rights</w:t>
      </w:r>
      <w:r w:rsidRPr="00D7045C">
        <w:rPr>
          <w:sz w:val="16"/>
        </w:rPr>
        <w:t xml:space="preserve">.295 </w:t>
      </w:r>
      <w:r w:rsidRPr="00D7045C">
        <w:rPr>
          <w:rStyle w:val="StyleUnderline"/>
        </w:rPr>
        <w:t>More importantly, the Michigan courts</w:t>
      </w:r>
      <w:r w:rsidRPr="00D7045C">
        <w:rPr>
          <w:sz w:val="16"/>
        </w:rPr>
        <w:t xml:space="preserve">, as noted by the lower federal courts, </w:t>
      </w:r>
      <w:r w:rsidRPr="00D7045C">
        <w:rPr>
          <w:rStyle w:val="StyleUnderline"/>
        </w:rPr>
        <w:t xml:space="preserve">had clearly held that </w:t>
      </w:r>
      <w:r w:rsidRPr="00D7045C">
        <w:rPr>
          <w:rStyle w:val="Emphasis"/>
        </w:rPr>
        <w:t>there was no legal local educational autonomy and thus the tradition was state control over education.</w:t>
      </w:r>
      <w:r w:rsidRPr="00D7045C">
        <w:rPr>
          <w:rStyle w:val="StyleUnderline"/>
        </w:rPr>
        <w:t>296 Pursuant to this constitutional authority, Michigan created a tradition by which school districts were financially dependent upon the state and constantly forced to conform their conduct to state policy in every fundamental area of operation. By tradition, local school districts did not control curriculum, the days or even hours they met, or the books they used to teach.</w:t>
      </w:r>
      <w:r w:rsidRPr="00D7045C">
        <w:rPr>
          <w:sz w:val="16"/>
        </w:rPr>
        <w:t xml:space="preserve"> The state set the rules for student conduct and reviewed all suspension and expulsions. Local school districts could only hire teachers certified by the state. They could not teach in a school unaccredited by the state. Local districts could not build or remodel a school—or even choose the location of a school—without state approval. The state had authority over the bus routes. Tradition allowed the state to confiscate and redistribute local school property and remove locally elected school board members without redress. </w:t>
      </w:r>
      <w:r w:rsidRPr="00D7045C">
        <w:rPr>
          <w:rStyle w:val="Emphasis"/>
        </w:rPr>
        <w:t>There was no tradition whatsoever that local school districts had any power over their local boundaries</w:t>
      </w:r>
      <w:r w:rsidRPr="00D7045C">
        <w:rPr>
          <w:sz w:val="16"/>
        </w:rPr>
        <w:t xml:space="preserve">. They could not alter these boundaries or make any decision to merge without state approval. By tradition, they could be and often were merged or abolished by the state at whim and often over local opposition. </w:t>
      </w:r>
      <w:r w:rsidRPr="00D7045C">
        <w:rPr>
          <w:rStyle w:val="StyleUnderline"/>
        </w:rPr>
        <w:t>Was the Court asserting that a local district or its citizens had a traditional right to refuse to allow students from outside the district to be schooled in the area? Or did a school district or its citizens have a traditional right to educate all students living within its boundaries who wanted to be educated there</w:t>
      </w:r>
      <w:r w:rsidRPr="00D7045C">
        <w:rPr>
          <w:sz w:val="16"/>
        </w:rPr>
        <w:t xml:space="preserve">? </w:t>
      </w:r>
      <w:r w:rsidRPr="00D7045C">
        <w:rPr>
          <w:rStyle w:val="StyleUnderline"/>
        </w:rPr>
        <w:t>Had any of the parties, or the Supreme Court itself, asserted these extra-legal traditions, it would be hard to square them with the reality that Detroit had to open its doors to suburban-resident black students whom their home school districts refused to educate. In Michigan, white school districts and white schools traditionally did not have to accept black children and white children traditionally could avoid racially integrated schools. Perhaps this was the tradition of local control over education the Courtsought to defend?</w:t>
      </w:r>
      <w:r w:rsidRPr="00D7045C">
        <w:rPr>
          <w:sz w:val="16"/>
        </w:rPr>
        <w:t xml:space="preserve"> Based on this elusive tradition, Justice Stewart’s concurrence reshaped “the appropriate exercise of federal equity jurisdiction.”297 Swann declared these powers were “broad,” “flexible,” and designed to “correct the condition that offends the constitution”—that the remedial efforts would be judged by their actual effectiveness in eliminating “all the vestiges of state-imposed segregation.”298 Stewart, without saying so, altered the holdings of these cases. </w:t>
      </w:r>
      <w:r w:rsidRPr="00D7045C">
        <w:rPr>
          <w:rStyle w:val="StyleUnderline"/>
        </w:rPr>
        <w:t>After Milliken, these powers were “proportional” and “determined by the nature and extent of the constitutional violation.” Justice Burger had written that “[b]efore the boundaries of separate and autonomous school districts can be set aside by . . . by imposing a cross district remedy, it must first be shown that there has been a constitutional violation within one district that produces a significant segregative effect in another district</w:t>
      </w:r>
      <w:r w:rsidRPr="00D7045C">
        <w:rPr>
          <w:sz w:val="16"/>
        </w:rPr>
        <w:t xml:space="preserve">,”299 Justice Stewart added that where it was shown that state had contributed to segregation by (1)” drawing or redrawing school district lines;” or (2) “by purposeful- ly racially discriminatory use of state housing or zoning laws” that an interdistrict remedy would be “proper” or“even necessary.”300 Under Milliken, innocent suburban school districts could not be punished by requiring the admission of Detroit’s black students. Thus, an appropriate proportional remedy could not provide black students access to integrated schools as Green, Swann, Wright, and Keyes had required. It could only restore them to the position they would be in if Detroit and the state had not committed the violation in Detroit. </w:t>
      </w:r>
      <w:r w:rsidRPr="00D7045C">
        <w:rPr>
          <w:rStyle w:val="StyleUnderline"/>
        </w:rPr>
        <w:t xml:space="preserve">Under Milliken they had the right to attend partially integrated schoolsthat very rapidlywould become segregated. </w:t>
      </w:r>
      <w:r w:rsidRPr="00D7045C">
        <w:rPr>
          <w:sz w:val="16"/>
        </w:rPr>
        <w:t xml:space="preserve">In Wright v. City of Emporia, the Court had prevented the city of Emporia from exercising its right to secede from the Greenville County Public Schools District in Virginia. It had forbidden this even though the state had drawn the boundaries of Emporia without intent to discriminate and even though Emporia and the new Greenville County district would both be majority non-white and racially integrated. The sole reason the Court had prevented Emporia’s secession wasthat it could haveworsened white flight from the Greenville county schools. In 1973, Detroit schools were 75 percent black and the suburbs were 85 percent white. White flight out of the Detroit had been enormous for decades and the court below found that whether there was busing or not, Detroit would soon be an all-black school district. Justice White and Marshall cited Wright for the proposition that white flight should be considered in framing the scope of a remedy. First, they argued that the without the suburbs involved, all of the schools in desegregated Detroit would be overwhelming black and this reality would accelerate the already enormous white flight from Detroit. Such a remedy, they arguedwould not effectively desegregate Detroit’sschools. Justice Stewart, the author of Wright, was silent. Chief Justice Burger responded that Wright stood for the opposite position. He argued that taking into account the racial ratio of black to white students in Detroit and the ratio in an adjoining districts in an effort to prevent white flight and implement a stable integration plan would require prohibited racial balancing. His reading of Wright misrepresents the Court’s holding, which he had himself described in careful detail in dissent.301 His new version of Wright is hard to understand, but seems to be based on the following syllogism: Wright upheld a remedy in the Greenville County Public Schools District where two-thirds of the students were black and one-third white. Burger asserts that the “optimal desegregation plan would have resulted in [each of] the schools’ being 66 percent Negro and 34 percent white.”302 </w:t>
      </w:r>
    </w:p>
    <w:p w14:paraId="5F866857" w14:textId="77777777" w:rsidR="005A4715" w:rsidRPr="00D7045C" w:rsidRDefault="005A4715" w:rsidP="005A4715">
      <w:pPr>
        <w:pStyle w:val="Heading4"/>
        <w:rPr>
          <w:rFonts w:cs="Times New Roman"/>
        </w:rPr>
      </w:pPr>
      <w:r w:rsidRPr="00D7045C">
        <w:rPr>
          <w:rFonts w:cs="Times New Roman"/>
        </w:rPr>
        <w:t xml:space="preserve">The local provision upheld by Milliken permits localities to draw and solidify district lines that relegated black families into low opportunity areas </w:t>
      </w:r>
    </w:p>
    <w:p w14:paraId="425DB543" w14:textId="77777777" w:rsidR="005A4715" w:rsidRPr="00D7045C" w:rsidRDefault="005A4715" w:rsidP="005A4715">
      <w:r w:rsidRPr="00D7045C">
        <w:rPr>
          <w:rStyle w:val="Style13ptBold"/>
        </w:rPr>
        <w:t xml:space="preserve"> Siegel-Hawley 13</w:t>
      </w:r>
      <w:r w:rsidRPr="00D7045C">
        <w:t xml:space="preserve"> (Genevieve, Assistant professor in the Department of Education Leadership at Virginia Commonwealth University’s School of Education, “City Lines, County Lines, Color Lines: The Relationship between School and Housing Segregation in Four Southern Metro Areas” http://wwwhhh.oit.umn.edu/centers/rwc/conferences/fourth/pdf/GSiegel-Hawley-TCRCityLinesCountyLines6.22.12.pdf ) mlm</w:t>
      </w:r>
    </w:p>
    <w:p w14:paraId="1FFF9526" w14:textId="77777777" w:rsidR="005A4715" w:rsidRPr="00D7045C" w:rsidRDefault="005A4715" w:rsidP="005A4715">
      <w:pPr>
        <w:rPr>
          <w:sz w:val="16"/>
        </w:rPr>
      </w:pPr>
      <w:r w:rsidRPr="00D7045C">
        <w:rPr>
          <w:sz w:val="16"/>
        </w:rPr>
        <w:t xml:space="preserve">Two pronouncements uttered more than one hundred years apart, from opposite sides of the racial divide, further separated by an ideological chasm, concurred: lines matter. The contours of those lines, parsed into geographical shorthand by Gov. McDonnell, may look somewhat different today than when Dubois penned the opening paragraph of The Souls of Black Folk, but the fundamental issues remain the same. At present, </w:t>
      </w:r>
      <w:r w:rsidRPr="00D7045C">
        <w:rPr>
          <w:u w:val="single"/>
        </w:rPr>
        <w:t>a network of invisible boundary lines fracture school districts and municipalities, giving structure to low-opportunity areas of racial and socioeconomic isolation</w:t>
      </w:r>
      <w:r w:rsidRPr="00D7045C">
        <w:rPr>
          <w:sz w:val="16"/>
        </w:rPr>
        <w:t xml:space="preserve"> (Briggs, 2005; G. Orfield &amp; McArdle, 2006; Weiher, 1992). </w:t>
      </w:r>
      <w:r w:rsidRPr="00D7045C">
        <w:rPr>
          <w:u w:val="single"/>
        </w:rPr>
        <w:t>And it is largely because of school district boundaries that a child’s educational prospects</w:t>
      </w:r>
      <w:r w:rsidRPr="00D7045C">
        <w:rPr>
          <w:sz w:val="16"/>
        </w:rPr>
        <w:t>—and consequently, his or her future opportunities—</w:t>
      </w:r>
      <w:r w:rsidRPr="00D7045C">
        <w:rPr>
          <w:u w:val="single"/>
        </w:rPr>
        <w:t>are indeed intertwined with his or her zip code</w:t>
      </w:r>
      <w:r w:rsidRPr="00D7045C">
        <w:rPr>
          <w:sz w:val="16"/>
        </w:rPr>
        <w:t xml:space="preserve">. For children, opportunity depends in large part on the neighborhood and schools they will grow up and learn within. Those connected to high opportunity </w:t>
      </w:r>
      <w:r w:rsidRPr="00D7045C">
        <w:rPr>
          <w:u w:val="single"/>
        </w:rPr>
        <w:t>geographic spaces</w:t>
      </w:r>
      <w:r w:rsidRPr="00D7045C">
        <w:rPr>
          <w:sz w:val="16"/>
        </w:rPr>
        <w:t xml:space="preserve">—replete with good housing, strong schools, favorable environmental conditions, quality health care and dependable public serves—come into a very different </w:t>
      </w:r>
      <w:r w:rsidRPr="00D7045C">
        <w:rPr>
          <w:u w:val="single"/>
        </w:rPr>
        <w:t>set of life chances than children locked into segregated, low opportunity areas</w:t>
      </w:r>
      <w:r w:rsidRPr="00D7045C">
        <w:rPr>
          <w:sz w:val="16"/>
        </w:rPr>
        <w:t xml:space="preserve"> (Jargowsky &amp; El Komi, 2011 &amp; Lareau, 2003). These early experiences carry deep consequences for upward mobility, particularly in the form of educational and job prospects. DRAFT: NOT FOR PUBLICATION OR QUOTATION More than four decades ago, the nation’s highest court stood poised to alleviate the segregating effects, and related implications for opportunity, of school district boundary lines. Swann, a 1971 case out of Charlotte, North Carolina, signaled that the Supreme Court recognized the critical link between school and housing segregation. Attempting to disentangle that relationship, and holding that desegregation must be achieved to the greatest extent possible, the justices ordered the two-way busing of black and white students across the already merged citysuburban school system in Charlotte-Mecklenburg (Orfield &amp; Eaton, 1996; Swann v. CharlotteMecklenburg, 1971). A looming question remained, however. </w:t>
      </w:r>
      <w:r w:rsidRPr="00D7045C">
        <w:rPr>
          <w:u w:val="single"/>
        </w:rPr>
        <w:t>How would comprehensive school desegregation be carried out in metropolitan areas where the city-suburban lines remained intact?</w:t>
      </w:r>
      <w:r w:rsidRPr="00D7045C">
        <w:rPr>
          <w:sz w:val="16"/>
        </w:rPr>
        <w:t xml:space="preserve"> In 1974, a Supreme Court stamped with Nixon appointees agreed to take up that question. In </w:t>
      </w:r>
      <w:r w:rsidRPr="00D7045C">
        <w:rPr>
          <w:u w:val="single"/>
        </w:rPr>
        <w:t>Milliken v. Bradley</w:t>
      </w:r>
      <w:r w:rsidRPr="00D7045C">
        <w:rPr>
          <w:sz w:val="16"/>
        </w:rPr>
        <w:t xml:space="preserve">, the newly rightward-leaning court discounted evidence of the government’s past involvement in contributing to racial isolation and ruled against a metropolitan desegregation remedy for Detroit. The decision meant that, barring proof of intentional suburban discrimination, future desegregation efforts occurring across district boundary lines would have to be voluntary.1 </w:t>
      </w:r>
      <w:r w:rsidRPr="00D7045C">
        <w:rPr>
          <w:u w:val="single"/>
        </w:rPr>
        <w:t>Milliken thus hardened the lines—and the inequities—between cities and suburbs</w:t>
      </w:r>
      <w:r w:rsidRPr="00D7045C">
        <w:rPr>
          <w:sz w:val="16"/>
        </w:rPr>
        <w:t xml:space="preserve">. 2 Central to this analysis, though, the splintering effects of the 1974 Milliken decision were somewhat ameliorated in the South. </w:t>
      </w:r>
      <w:r w:rsidRPr="00D7045C">
        <w:rPr>
          <w:u w:val="single"/>
        </w:rPr>
        <w:t>Along with a handful of court-ordered metropolitan mergers, several states in the region, like North Carolina and Tennessee, operate under laws that facilitate city-suburban school consolidation</w:t>
      </w:r>
      <w:r w:rsidRPr="00D7045C">
        <w:rPr>
          <w:sz w:val="16"/>
        </w:rPr>
        <w:t xml:space="preserve">. These regional characteristics created an ideal backdrop for a study examining the long-term school and housing segregation trends associated with metropolitan school districts. DRAFT: NOT FOR PUBLICATION OR QUOTATION Based on widely differing histories with city-suburban school district mergers, four metros—Richmond, Virginia, Charlotte-Mecklenburg County, North Carolina, LouisvilleJefferson County, Kentucky and Chattanooga-Hamilton County, Tennessee—were identified for study between the years 1990 and 2010. These metros are part of a region that is one of the most racially diverse areas in the nation, where the former black-white paradigm has shifted to a situation where one in five students is Latino (G. Orfield, 2009). The South is also the first area of the country to report a majority share of low income students (Southern Education Foundation, 2010). Moreover, after widespread desegregation during the 70s and 80s, since the early 1990s many southern school systems have experienced rapid resegregation (Boger &amp; G. Orfield, 2005; Orfield &amp; Eaton, 1996). The rise of this new South—more diverse and yet containing schools that are rapidly becoming more segregated—raises critical questions about the future provision of equitable educational opportunities in cities and schools across the region. Using cutting-edge spatial and graphic imagery and a multi-disciplinary framework, this analysis adds to the body of evidence related to school desegregation experiences across the South. In the region where the most comprehensive strategies were pursued, this article explores how contemporary (1990-2010) </w:t>
      </w:r>
      <w:r w:rsidRPr="00D7045C">
        <w:rPr>
          <w:u w:val="single"/>
        </w:rPr>
        <w:t>school and housing segregation patterns have been impacted by desegregation policy and the manipulation of district boundary lines in four southern metropolitan areas. Related areas of inquiry include the following: first, how are patterns of school and housing segregation affected by different types of desegregation policy</w:t>
      </w:r>
      <w:r w:rsidRPr="00D7045C">
        <w:rPr>
          <w:sz w:val="16"/>
        </w:rPr>
        <w:t xml:space="preserve"> (e.g. controlled choice versus magnet schools)? Second, in what way do school and housing segregation patterns shift after desegregation plans are discarded? Findings indicated that efforts to overcome the divisive nature of district boundaries, in conjunction with school desegregation policy, were related to unambiguous progress in DRAFT: NOT FOR PUBLICATION OR QUOTATION combating school and housing segregation. Indeed, results revealed that, in some ways, school policy can be housing policy: metros with city-suburban school desegregation plans reported much faster declines in housing segregation than metros lacking such strategies. In a nation experiencing swift demographic transition and rising inequality, evidence from these four southern locales emphasizes the on-going and urgent need for policies explicitly designed to equalize educational and life opportunities. The first section of this article presents background information </w:t>
      </w:r>
    </w:p>
    <w:p w14:paraId="2B09830F" w14:textId="77777777" w:rsidR="005A4715" w:rsidRPr="00D7045C" w:rsidRDefault="005A4715" w:rsidP="005A4715">
      <w:pPr>
        <w:pStyle w:val="Heading4"/>
        <w:rPr>
          <w:rFonts w:cs="Times New Roman"/>
        </w:rPr>
      </w:pPr>
      <w:r w:rsidRPr="00D7045C">
        <w:rPr>
          <w:rFonts w:cs="Times New Roman"/>
        </w:rPr>
        <w:t>Locally drawn district lines are drawn for the purpose of segregation – judicial change is key</w:t>
      </w:r>
    </w:p>
    <w:p w14:paraId="26F5AF64" w14:textId="77777777" w:rsidR="005A4715" w:rsidRPr="00D7045C" w:rsidRDefault="005A4715" w:rsidP="005A4715">
      <w:r w:rsidRPr="00D7045C">
        <w:t xml:space="preserve">Gunn 16 (Dwyer, Journalist @Pacific standard - Wellesley College, “IT’S TIME WE TOOK A CLOSER LOOK AT OUR SCHOOL DISTRICT BORDERS” https://psmag.com/news/its-time-we-took-a-closer-look-at-our-school-district-borders) mlm </w:t>
      </w:r>
    </w:p>
    <w:p w14:paraId="3A565A1B" w14:textId="77777777" w:rsidR="005A4715" w:rsidRPr="00D7045C" w:rsidRDefault="005A4715" w:rsidP="005A4715">
      <w:pPr>
        <w:rPr>
          <w:sz w:val="16"/>
        </w:rPr>
      </w:pPr>
      <w:r w:rsidRPr="00D7045C">
        <w:rPr>
          <w:sz w:val="16"/>
        </w:rPr>
        <w:t xml:space="preserve">Approximately </w:t>
      </w:r>
      <w:hyperlink r:id="rId6" w:anchor=".9g36dclfd" w:history="1">
        <w:r w:rsidRPr="00D7045C">
          <w:rPr>
            <w:rStyle w:val="Hyperlink"/>
            <w:u w:val="single"/>
          </w:rPr>
          <w:t>56 percent of American children today</w:t>
        </w:r>
      </w:hyperlink>
      <w:r w:rsidRPr="00D7045C">
        <w:rPr>
          <w:u w:val="single"/>
        </w:rPr>
        <w:t xml:space="preserve">, the </w:t>
      </w:r>
      <w:hyperlink r:id="rId7" w:anchor=".nlc3xeam8" w:history="1">
        <w:r w:rsidRPr="00D7045C">
          <w:rPr>
            <w:rStyle w:val="Hyperlink"/>
            <w:u w:val="single"/>
          </w:rPr>
          <w:t>majority</w:t>
        </w:r>
      </w:hyperlink>
      <w:r w:rsidRPr="00D7045C">
        <w:rPr>
          <w:u w:val="single"/>
        </w:rPr>
        <w:t xml:space="preserve"> of them black and Latino, attend a public school that’s classified as “high-poverty.” </w:t>
      </w:r>
      <w:r w:rsidRPr="00D7045C">
        <w:rPr>
          <w:sz w:val="16"/>
        </w:rPr>
        <w:t xml:space="preserve">These schools face profound challenges: </w:t>
      </w:r>
      <w:r w:rsidRPr="00D7045C">
        <w:rPr>
          <w:u w:val="single"/>
        </w:rPr>
        <w:t xml:space="preserve">Thanks to our </w:t>
      </w:r>
      <w:hyperlink r:id="rId8" w:anchor=".9aad485zp" w:history="1">
        <w:r w:rsidRPr="00D7045C">
          <w:rPr>
            <w:rStyle w:val="Hyperlink"/>
            <w:u w:val="single"/>
          </w:rPr>
          <w:t>education system’s reliance on local tax revenues for funding</w:t>
        </w:r>
      </w:hyperlink>
      <w:r w:rsidRPr="00D7045C">
        <w:rPr>
          <w:u w:val="single"/>
        </w:rPr>
        <w:t xml:space="preserve">, schools in poor areas are often desperately under-funded, and struggle to retain teachers and provide kids with the services they need. </w:t>
      </w:r>
      <w:r w:rsidRPr="00D7045C">
        <w:rPr>
          <w:sz w:val="16"/>
        </w:rPr>
        <w:t xml:space="preserve">Education advocates have won a number of recent high-profile legal battles aimed at making state school funding formulas more fair. But a </w:t>
      </w:r>
      <w:hyperlink r:id="rId9" w:tgtFrame="_blank" w:history="1">
        <w:r w:rsidRPr="00D7045C">
          <w:rPr>
            <w:rStyle w:val="Hyperlink"/>
            <w:sz w:val="16"/>
          </w:rPr>
          <w:t>new report</w:t>
        </w:r>
      </w:hyperlink>
      <w:r w:rsidRPr="00D7045C">
        <w:rPr>
          <w:sz w:val="16"/>
        </w:rPr>
        <w:t xml:space="preserve">from </w:t>
      </w:r>
      <w:hyperlink r:id="rId10" w:tgtFrame="_blank" w:history="1">
        <w:r w:rsidRPr="00D7045C">
          <w:rPr>
            <w:rStyle w:val="Hyperlink"/>
            <w:sz w:val="16"/>
          </w:rPr>
          <w:t>EdBuild</w:t>
        </w:r>
      </w:hyperlink>
      <w:r w:rsidRPr="00D7045C">
        <w:rPr>
          <w:sz w:val="16"/>
        </w:rPr>
        <w:t>, a non-profit organization dedicated to studying school funding, argues that tweaking school funding formulas isn’t enough; we need to re-think the very boundaries that separate rich kids from poor, and good schools from bad. “Our wealthy are consigning lower-income students to a lesser caste by cordoning off their wealth and hiding behind the notion of ‘local control,’” the report concludes. “</w:t>
      </w:r>
      <w:r w:rsidRPr="00D7045C">
        <w:rPr>
          <w:u w:val="single"/>
        </w:rPr>
        <w:t xml:space="preserve">We’ve created and maintained a system of schools segregated by class and bolstered by arbitrary borders that, in effect, serve as the new status quo for separate but unequal.” </w:t>
      </w:r>
      <w:r w:rsidRPr="00D7045C">
        <w:rPr>
          <w:sz w:val="16"/>
        </w:rPr>
        <w:t xml:space="preserve">To understand the importance of school district boundaries, you have to go back to 1974, when the United States Supreme Court issued a ruling that forever changed education desegregation efforts. Milliken v. Bradley was initially brought to court by the National Association for the Advancement of Colored People, on behalf of a group of African-American families in Detroit, Michigan. It alleged that the Detroit School Board and the State of Michigan (which was governed at the time by William Milliken) had not only engaged in official acts of racial discrimination, but had, in fact, knowingly pursued a policy agenda that worsened segregation in the city’s schools. When the District Court ruled in favor of the plaintiffs, a clear message was sent: Government at all levels had indeed worked to perpetuate racial segregation in schools. It wasn’t entirely clear, however, how exactly to go about desegregating Detroit’s schools. By 1974, the population of Detroit (and, thus, its school district) was so predominantly black that meaningful desegregation within the district was simply impossible. So Steven Roth, the District Court judge for the case, ordered the state of Michigan to come up with a plan to desegregate the entire Detroit metro area across school district lines: essentially, to transfer some of Detroit’s black students to surrounding school districts. “School district lines,” Roth wrote, “are simply matters of political convenience and may not be used to deny constitutional rights.” The surrounding school districts weren’t too thrilled with this plan. Along with the state of Michigan, they soon appealed the desegregation order. In a 5–4 decision, the Supreme Court ruled that the neighboring school districts had the right to refuse to take part in the desegregation plan (so long as those districts themselves hadn’t also been found guilty of discriminatory acts). In other words, Detroit’s wealthy suburbs, and wealthy enclaves around the country, could continue to wall themselves off from neighboring poor areas with impunity. America’s school funding system, meanwhile, has exacerbated the problem by giving wealthy areas further incentives to draw school district boundaries that allow for the concentration of wealth (and those local tax revenues), and the exclusion of low-income families. </w:t>
      </w:r>
      <w:r w:rsidRPr="00D7045C">
        <w:rPr>
          <w:u w:val="single"/>
        </w:rPr>
        <w:t>“In our opinion, the Milliken ruling basically unraveled Brown [v. Board of Education], and gave lots of authority to school districts locally across the country to draw their own boundaries for any reason,”</w:t>
      </w:r>
      <w:r w:rsidRPr="00D7045C">
        <w:rPr>
          <w:sz w:val="16"/>
        </w:rPr>
        <w:t xml:space="preserve"> says EdBuild founder Rebecca Sibilia. “We think that this is actually the lawsuit that created a lot of injustice, in terms of our funding system. And more importantly, it entrenched the reliance on local funding and in that way perpetuated the education inequities.” Today, the school district border between Detroit and Grosse Point, a wealthy suburb, is among the most segregating district borders in the country. Forty-nine percent of children in Detroit today live in poverty. Just a few miles away, in Grosse Point, only 7 percent of children live in poverty. And Detroit’s not alone: EdBuild’s latest report highlights the 50 most segregating borders in the country. The child poverty rate in the Birmingham, Alabama, school district, for example, is 49.2 percent. In neighboring school districts, many of which seceded from the Birmingham district, child poverty rates are much lower — 6.2 percent in the Vestavia Hills City School District and 6.5 percent in the Mountain Brook City School District. Overall, EdBuild found that 3,975 school district borders divide communities with childhood poverty rates that differ by at least 14 percentage points. The majority of the most segregating borders in the U.S. are in the Rust Belt, in places like Ohio and Pennsylvania, although Alabama and New York are big culprits as well. Of the 12 states that draw school district lines along county borders, only one of those states (Alabama) has highly segregated borders. Often, these borders, which are not subject to regular review or modification (unlike the borders of Congressional districts), produce collections of districts that are woefully inefficient. Earlier this year, EdBuild produced a report on “island school districts” — particularly wealthy (or poor) districts surrounded by much poorer (or wealthier) districts. Consider, for example, the Freehold Borough district in New Jersey, a tiny school district serving approximately 1,300 kids with a student poverty rate of 31 percent. It’s surrounded on all sides by the Freehold Township School District, where the student poverty rate is only 5 percent and per-pupil education revenues are almost $5,000 higher. In Nebraska, the Ansley Public School district, with a student poverty rate of 30 percent, has bizarre, non-contiguous islands sprinkled across four different communities, all of which have much lower poverty rates and better education funding. Meanwhile, within the central area of the Ansley district, three wealthier districts have also carved out their own small, non-contiguous islands. These inefficiencies present a real cost to students and taxpayers. In a 2013 report by the Center for American Progress on school district size, researchers concluded that “small, nonremote districts might represent as much as $1 billion in lost annual capacity, by which we mean money that may not have had to be spent if the district was larger.” So what does all this mean for education inequity in America? Sibilia believes that the solution is two-pronged. Revised school funding formulas that lessen school districts’ reliance on local tax revenues will both make for a fairer distribution of resources and decrease the incentives for wealthy areas to wall themselves off. But </w:t>
      </w:r>
      <w:r w:rsidRPr="00D7045C">
        <w:rPr>
          <w:u w:val="single"/>
        </w:rPr>
        <w:t xml:space="preserve">the borders themselves also need to be re-drawn, and must be subject to regular impartial review, in much the same way as Congressional district borders, a process Sibilia believes will likely be driven by the judicial action. </w:t>
      </w:r>
      <w:r w:rsidRPr="00D7045C">
        <w:rPr>
          <w:sz w:val="16"/>
        </w:rPr>
        <w:t>“</w:t>
      </w:r>
      <w:r w:rsidRPr="00D7045C">
        <w:rPr>
          <w:u w:val="single"/>
        </w:rPr>
        <w:t>We can make funding less arbitrary, we can update funding models working with the legislature,” Sibilia says. “But if we’re really going to start attacking this issue of borders in a real way in this country, it’s going to have to go through the courts. There’s no legislature that’s going to willingly redraw boundaries.”</w:t>
      </w:r>
    </w:p>
    <w:p w14:paraId="4915F5A0" w14:textId="77777777" w:rsidR="00E94EC4" w:rsidRPr="00D7045C" w:rsidRDefault="00E94EC4" w:rsidP="00E94EC4">
      <w:pPr>
        <w:keepNext/>
        <w:keepLines/>
        <w:spacing w:before="40"/>
        <w:outlineLvl w:val="3"/>
        <w:rPr>
          <w:rFonts w:eastAsia="MS Gothic"/>
          <w:b/>
          <w:iCs/>
          <w:sz w:val="26"/>
        </w:rPr>
      </w:pPr>
      <w:r w:rsidRPr="00D7045C">
        <w:rPr>
          <w:rFonts w:eastAsia="MS Gothic"/>
          <w:b/>
          <w:iCs/>
          <w:sz w:val="26"/>
        </w:rPr>
        <w:t>Segregation policies perpetuates notions of black disposability that allows for neoliberal commodification and exploitation</w:t>
      </w:r>
    </w:p>
    <w:p w14:paraId="6A7CE67F" w14:textId="77777777" w:rsidR="00E94EC4" w:rsidRPr="00D7045C" w:rsidRDefault="00E94EC4" w:rsidP="00E94EC4">
      <w:pPr>
        <w:rPr>
          <w:rFonts w:eastAsia="Cambria"/>
          <w:b/>
          <w:bCs/>
          <w:sz w:val="26"/>
        </w:rPr>
      </w:pPr>
      <w:r w:rsidRPr="00D7045C">
        <w:rPr>
          <w:rFonts w:eastAsia="Cambria"/>
          <w:b/>
          <w:bCs/>
          <w:sz w:val="26"/>
        </w:rPr>
        <w:t xml:space="preserve">Scott and Keisch 15 </w:t>
      </w:r>
      <w:r w:rsidRPr="00D7045C">
        <w:t xml:space="preserve">(Tim Scott, PhD. in Social Justice Education and Cultural Political Economy, Deborah Keisch, PhD. in Anthropology from University of Massachusetts, Aug. 2 2015, “US Education Reform and the Maintenance of White Supremacy Through Structural Violence,” </w:t>
      </w:r>
      <w:hyperlink r:id="rId11" w:history="1">
        <w:r w:rsidRPr="00D7045C">
          <w:rPr>
            <w:rStyle w:val="Hyperlink"/>
          </w:rPr>
          <w:t>http://www.truth-out.org/news/item/32171-us-education-reform-and-the-maintenance-of-white-supremacy-through-structural-violence)</w:t>
        </w:r>
      </w:hyperlink>
      <w:r w:rsidRPr="00D7045C">
        <w:t xml:space="preserve"> AL</w:t>
      </w:r>
    </w:p>
    <w:p w14:paraId="54A37B24" w14:textId="77777777" w:rsidR="00E94EC4" w:rsidRPr="00D7045C" w:rsidRDefault="00E94EC4" w:rsidP="00E94EC4">
      <w:pPr>
        <w:rPr>
          <w:rFonts w:eastAsia="Cambria"/>
          <w:u w:val="single"/>
        </w:rPr>
      </w:pPr>
      <w:r w:rsidRPr="00D7045C">
        <w:rPr>
          <w:rFonts w:eastAsia="Cambria"/>
          <w:sz w:val="16"/>
        </w:rPr>
        <w:t xml:space="preserve">In the midst of the writing of this article, white police officer Darren Wilson shot and killed unarmed, 18-year old Michael Brown in Ferguson, Missouri. The events that quickly followed—Brown’s bloody body left lying for hours in the street for all to see; the violent militarized police response to community expressions of pain and anger; the perpetuation of a blaming narrative about racial violence by framing Brown as a wilding “demon” who attacked Wilson which provided the subterfuge to exonerate Wilson of the crime; and establishment leaders pathologizing the ensuing social unrest—are emblematic of a deeply rooted violent design in U.S. society. Michael Brown’s murder is just one of countless reminders that </w:t>
      </w:r>
      <w:r w:rsidRPr="00D7045C">
        <w:rPr>
          <w:rFonts w:eastAsia="Cambria"/>
          <w:u w:val="single"/>
        </w:rPr>
        <w:t xml:space="preserve">we live in a society that deems the lives of Black and Brown people disposable. </w:t>
      </w:r>
      <w:r w:rsidRPr="00D7045C">
        <w:rPr>
          <w:rFonts w:eastAsia="Cambria"/>
          <w:b/>
          <w:iCs/>
          <w:u w:val="single"/>
        </w:rPr>
        <w:t>This disposability is never so evident than in the vast racial inequities that have always existed within the U.S. public school system, and now being intensified through policies known as corporate education reform as exemplified by No Child Left Behind and Race to the Top</w:t>
      </w:r>
      <w:r w:rsidRPr="00D7045C">
        <w:rPr>
          <w:rFonts w:eastAsia="Cambria"/>
          <w:sz w:val="16"/>
        </w:rPr>
        <w:t xml:space="preserve">. Charles Blow wrote in the New York Times that “Brown’s mother told a local television station after he was killed just weeks after his high school graduation: “Do you know how hard it was for me to get him to stay in school and graduate? You know how many black men graduate? Not many. Because you bring them down to this type of level, where they feel like they don’t got nothing to live for anyway. ‘They’re going to try to take me out anyway’” (Blow, 2014, para. 22). Poignantly, two months prior to his killing, </w:t>
      </w:r>
      <w:r w:rsidRPr="00D7045C">
        <w:rPr>
          <w:rFonts w:eastAsia="Cambria"/>
          <w:u w:val="single"/>
        </w:rPr>
        <w:t>education historian Diane Ravitch wrote about Brown’s school district, citing it as an egregious example of the neglect of the nation’s promise to end racial segregation in school</w:t>
      </w:r>
      <w:r w:rsidRPr="00D7045C">
        <w:rPr>
          <w:rFonts w:eastAsia="Cambria"/>
          <w:sz w:val="16"/>
        </w:rPr>
        <w:t xml:space="preserve">s. She wrote: That district had been a high-achieving all-white district in the 1950s. After years of white flight, the district became all-African-American. As its test scores fell, the state of Missouri put the district on provisional accreditation. Help was definitely not on the way. After 18 years of provisional accreditation, the state merged the struggling Normandy district with another struggling, all-black district that had been under state supervision for five years. After the merger, the new district was stripped of accreditation (Ravitch, 2014, para. 1). </w:t>
      </w:r>
      <w:r w:rsidRPr="00D7045C">
        <w:rPr>
          <w:rFonts w:eastAsia="Cambria"/>
          <w:u w:val="single"/>
        </w:rPr>
        <w:t xml:space="preserve">Michael Brown’s school district, like </w:t>
      </w:r>
      <w:r w:rsidRPr="00D7045C">
        <w:rPr>
          <w:rFonts w:eastAsia="Cambria"/>
          <w:b/>
          <w:iCs/>
          <w:u w:val="single"/>
        </w:rPr>
        <w:t>many other poor and under resourced districts in the country, is one of numerous examples of the ongoing legacy of institutionalized racism in U.S. society</w:t>
      </w:r>
      <w:r w:rsidRPr="00D7045C">
        <w:rPr>
          <w:rFonts w:eastAsia="Cambria"/>
          <w:u w:val="single"/>
        </w:rPr>
        <w:t xml:space="preserve"> and in U.S. schools</w:t>
      </w:r>
      <w:r w:rsidRPr="00D7045C">
        <w:rPr>
          <w:rFonts w:eastAsia="Cambria"/>
          <w:sz w:val="16"/>
        </w:rPr>
        <w:t xml:space="preserve">. If current policymakers were truly working toward justice in public schooling, it would follow that we would see all children enjoying the privileges of schooling environments that the children of the elite experience. Civil rights activist and the first female African American judge in Alabama, Faya Rouse Touré, critically poses this question, exposing the contradictions between policymakers’ rhetoric and their practices. </w:t>
      </w:r>
      <w:r w:rsidRPr="00D7045C">
        <w:rPr>
          <w:rFonts w:eastAsia="Cambria"/>
          <w:u w:val="single"/>
        </w:rPr>
        <w:t>She contemplates why anyone wouldn’t want an education system that is humane for all children, where every child has the opportunity and the preparation to achieve his or her potential</w:t>
      </w:r>
      <w:r w:rsidRPr="00D7045C">
        <w:rPr>
          <w:rFonts w:eastAsia="Cambria"/>
          <w:sz w:val="16"/>
        </w:rPr>
        <w:t xml:space="preserve">. </w:t>
      </w:r>
      <w:r w:rsidRPr="00D7045C">
        <w:rPr>
          <w:rFonts w:eastAsia="Cambria"/>
          <w:u w:val="single"/>
        </w:rPr>
        <w:t xml:space="preserve">Education systems in all societies are designed to serve as the primary institutions that reproduce dominant social and economic orders, customs and beliefs systems. In </w:t>
      </w:r>
      <w:r w:rsidRPr="00D7045C">
        <w:rPr>
          <w:rFonts w:eastAsia="Cambria"/>
          <w:b/>
          <w:iCs/>
          <w:u w:val="single"/>
        </w:rPr>
        <w:t>U.S. public education, this makes schooling a function of capitalism, white supremacy and their intrinsic restraints on democracy and social equality</w:t>
      </w:r>
      <w:r w:rsidRPr="00D7045C">
        <w:rPr>
          <w:rFonts w:eastAsia="Cambria"/>
          <w:u w:val="single"/>
        </w:rPr>
        <w:t>.</w:t>
      </w:r>
      <w:r w:rsidRPr="00D7045C">
        <w:rPr>
          <w:rFonts w:eastAsia="Cambria"/>
          <w:sz w:val="16"/>
        </w:rPr>
        <w:t xml:space="preserve"> Current efforts to reform primary and secondary public education are based within the violence of white supremacy aligned with the broader brutality of neoliberalism. Elite, Eurocentric education policymakers continue to espouse a language of equity while simultaneously maintaining private elite schools for their own children, spaces that look nothing like the ones they are designing for the masses. </w:t>
      </w:r>
      <w:r w:rsidRPr="00D7045C">
        <w:rPr>
          <w:rFonts w:eastAsia="Cambria"/>
          <w:u w:val="single"/>
        </w:rPr>
        <w:t>This results in a hyper intensification of the sorting of students based on their “value” as defined by a neoliberal worldview steeped in white supremacy. In this system, those identified to have the least amount of value are ultimately deemed disposable.</w:t>
      </w:r>
    </w:p>
    <w:p w14:paraId="1DCBA24A" w14:textId="1F1B7010" w:rsidR="005A4715" w:rsidRPr="00D7045C" w:rsidRDefault="005A4715" w:rsidP="005A4715">
      <w:pPr>
        <w:pStyle w:val="Heading4"/>
        <w:rPr>
          <w:rFonts w:cs="Times New Roman"/>
        </w:rPr>
      </w:pPr>
      <w:r w:rsidRPr="00D7045C">
        <w:rPr>
          <w:rFonts w:cs="Times New Roman"/>
        </w:rPr>
        <w:t xml:space="preserve">Scenario 2 is </w:t>
      </w:r>
      <w:r w:rsidRPr="00D7045C">
        <w:rPr>
          <w:rFonts w:cs="Times New Roman"/>
          <w:i/>
          <w:u w:val="single"/>
        </w:rPr>
        <w:t>precedent</w:t>
      </w:r>
      <w:r w:rsidRPr="00D7045C">
        <w:rPr>
          <w:rFonts w:cs="Times New Roman"/>
        </w:rPr>
        <w:t xml:space="preserve"> </w:t>
      </w:r>
      <w:r w:rsidR="006F1291">
        <w:rPr>
          <w:rFonts w:cs="Times New Roman"/>
        </w:rPr>
        <w:t xml:space="preserve">– </w:t>
      </w:r>
    </w:p>
    <w:p w14:paraId="281DBA9D" w14:textId="15439B7D" w:rsidR="005A4715" w:rsidRPr="00D7045C" w:rsidRDefault="005A4715" w:rsidP="005A4715">
      <w:pPr>
        <w:keepNext/>
        <w:keepLines/>
        <w:spacing w:before="40"/>
        <w:outlineLvl w:val="3"/>
        <w:rPr>
          <w:rFonts w:eastAsia="MS Gothic"/>
          <w:b/>
          <w:iCs/>
          <w:sz w:val="26"/>
        </w:rPr>
      </w:pPr>
      <w:r w:rsidRPr="00D7045C">
        <w:rPr>
          <w:rFonts w:eastAsia="MS Gothic"/>
          <w:b/>
          <w:iCs/>
          <w:sz w:val="26"/>
        </w:rPr>
        <w:t xml:space="preserve">Modern schools are separate </w:t>
      </w:r>
      <w:r w:rsidRPr="00D7045C">
        <w:rPr>
          <w:rFonts w:eastAsia="MS Gothic"/>
          <w:b/>
          <w:i/>
          <w:iCs/>
          <w:sz w:val="26"/>
        </w:rPr>
        <w:t>and</w:t>
      </w:r>
      <w:r w:rsidRPr="00D7045C">
        <w:rPr>
          <w:rFonts w:eastAsia="MS Gothic"/>
          <w:b/>
          <w:iCs/>
          <w:sz w:val="26"/>
        </w:rPr>
        <w:t xml:space="preserve"> unequal – equal resources are key to reversing school segregation</w:t>
      </w:r>
    </w:p>
    <w:p w14:paraId="178CE8B0" w14:textId="77777777" w:rsidR="005A4715" w:rsidRPr="00D7045C" w:rsidRDefault="005A4715" w:rsidP="005A4715">
      <w:r w:rsidRPr="00D7045C">
        <w:rPr>
          <w:rStyle w:val="Style13ptBold"/>
        </w:rPr>
        <w:t>Scott and Keisch 15</w:t>
      </w:r>
      <w:r w:rsidRPr="00D7045C">
        <w:t xml:space="preserve"> (Tim Scott, PhD. in Social Justice Education and Cultural Political Economy, Deborah Keisch, PhD. in Anthropology from University of Massachusetts, Aug. 2 2015, “US Education Reform and the Maintenance of White Supremacy Through Structural Violence,” </w:t>
      </w:r>
      <w:hyperlink r:id="rId12" w:history="1">
        <w:r w:rsidRPr="00D7045C">
          <w:rPr>
            <w:rStyle w:val="Hyperlink"/>
          </w:rPr>
          <w:t>http://www.truth-out.org/news/item/32171-us-education-reform-and-the-maintenance-of-white-supremacy-through-structural-violence)</w:t>
        </w:r>
      </w:hyperlink>
      <w:r w:rsidRPr="00D7045C">
        <w:t xml:space="preserve"> AL</w:t>
      </w:r>
    </w:p>
    <w:p w14:paraId="13C75EA3" w14:textId="77777777" w:rsidR="005A4715" w:rsidRPr="00D7045C" w:rsidRDefault="005A4715" w:rsidP="005A4715">
      <w:pPr>
        <w:rPr>
          <w:rFonts w:eastAsia="Cambria"/>
          <w:sz w:val="16"/>
        </w:rPr>
      </w:pPr>
      <w:r w:rsidRPr="00D7045C">
        <w:rPr>
          <w:rFonts w:eastAsia="Cambria"/>
          <w:u w:val="single"/>
        </w:rPr>
        <w:t>U.S public schools are more segregated today than they have been since before the desegregation efforts</w:t>
      </w:r>
      <w:r w:rsidRPr="00D7045C">
        <w:rPr>
          <w:rFonts w:eastAsia="Cambria"/>
          <w:sz w:val="16"/>
        </w:rPr>
        <w:t xml:space="preserve"> that followed the 1954 Brown v. Board of Education case (Kozol, 2005; Mullins, 2013; Rothstein, 2013; Strauss, 2014; UCLA, 2014). Many education </w:t>
      </w:r>
      <w:r w:rsidRPr="00D7045C">
        <w:rPr>
          <w:rFonts w:eastAsia="Cambria"/>
          <w:u w:val="single"/>
        </w:rPr>
        <w:t>scholars have noted the simultaneous widening of the gap between resourced and under-resourced schools over the same time period that the market-based education reforms, heralded by their proponents as addressing this inequity, have been implemented.</w:t>
      </w:r>
      <w:r w:rsidRPr="00D7045C">
        <w:rPr>
          <w:rFonts w:eastAsia="Cambria"/>
          <w:sz w:val="16"/>
        </w:rPr>
        <w:t xml:space="preserve"> Education activist and author Jonathan Kozol reminds us that </w:t>
      </w:r>
      <w:r w:rsidRPr="00D7045C">
        <w:rPr>
          <w:rFonts w:eastAsia="Cambria"/>
          <w:u w:val="single"/>
        </w:rPr>
        <w:t>the travesty lies not just with segregation of schools but within the combination of segregation and inequity</w:t>
      </w:r>
      <w:r w:rsidRPr="00D7045C">
        <w:rPr>
          <w:rFonts w:eastAsia="Cambria"/>
          <w:sz w:val="16"/>
        </w:rPr>
        <w:t xml:space="preserve"> – and remarks that </w:t>
      </w:r>
      <w:r w:rsidRPr="00D7045C">
        <w:rPr>
          <w:rFonts w:eastAsia="Cambria"/>
          <w:u w:val="single"/>
        </w:rPr>
        <w:t>if we had separate but equal schools we would at least be living up to the Plessy vs. Ferguson</w:t>
      </w:r>
      <w:r w:rsidRPr="00D7045C">
        <w:rPr>
          <w:rFonts w:eastAsia="Cambria"/>
          <w:sz w:val="16"/>
        </w:rPr>
        <w:t xml:space="preserve">, the landmark 1896 U.S. Supreme Court case that upheld state segregation laws but required those segregated public spaces to be “separate but equal.” </w:t>
      </w:r>
      <w:r w:rsidRPr="00D7045C">
        <w:rPr>
          <w:rFonts w:eastAsia="Cambria"/>
          <w:u w:val="single"/>
        </w:rPr>
        <w:t xml:space="preserve">However, as Kozol laments, </w:t>
      </w:r>
      <w:r w:rsidRPr="00D7045C">
        <w:rPr>
          <w:rFonts w:eastAsia="Cambria"/>
          <w:b/>
          <w:iCs/>
          <w:u w:val="single"/>
        </w:rPr>
        <w:t>U.S. schools are decidedly separate and unequal</w:t>
      </w:r>
      <w:r w:rsidRPr="00D7045C">
        <w:rPr>
          <w:rFonts w:eastAsia="Cambria"/>
          <w:sz w:val="16"/>
        </w:rPr>
        <w:t xml:space="preserve">. Despite the 1954 Brown v. Board of Education case, </w:t>
      </w:r>
      <w:r w:rsidRPr="00D7045C">
        <w:rPr>
          <w:rFonts w:eastAsia="Cambria"/>
          <w:u w:val="single"/>
        </w:rPr>
        <w:t>education looks very different for many Black and Brown children than it does for many white children.</w:t>
      </w:r>
      <w:r w:rsidRPr="00D7045C">
        <w:rPr>
          <w:rFonts w:eastAsia="Cambria"/>
          <w:sz w:val="16"/>
        </w:rPr>
        <w:t xml:space="preserve"> But in addition to integrating students of different races, desegregation must also address the racist and white supremacist structures institutionalized within U.S. education policy and practices. As education activist and author Soloman Comissiong writes, “After all, has desegregation cleansed the black community of the infestation of American racism and white supremacy? Integration only truly works when the integratee is allowed the same rights, respect, and overall privileges as the integrator” (Comissiong, 2009, para. 2). Half-century after Brown, </w:t>
      </w:r>
      <w:r w:rsidRPr="00D7045C">
        <w:rPr>
          <w:rFonts w:eastAsia="Cambria"/>
          <w:u w:val="single"/>
        </w:rPr>
        <w:t>racial segregation in U.S. schools is intensifying, while the current desegregation practices that do exist require children of color to assimilate to and model the behaviors, values and appearances of middle-class white America</w:t>
      </w:r>
      <w:r w:rsidRPr="00D7045C">
        <w:rPr>
          <w:rFonts w:eastAsia="Cambria"/>
          <w:sz w:val="16"/>
        </w:rPr>
        <w:t xml:space="preserve"> (Comissiong, 2009). Even if mandates are followed, </w:t>
      </w:r>
      <w:r w:rsidRPr="00D7045C">
        <w:rPr>
          <w:rFonts w:eastAsia="Cambria"/>
          <w:u w:val="single"/>
        </w:rPr>
        <w:t xml:space="preserve">the threat of structural racism continues and equality of opportunity and equality of outcome remains elusive. </w:t>
      </w:r>
      <w:r w:rsidRPr="00D7045C">
        <w:rPr>
          <w:rFonts w:eastAsia="Cambria"/>
          <w:b/>
          <w:iCs/>
          <w:u w:val="single"/>
        </w:rPr>
        <w:t>The reality that children are living their lives in vastly segregated spaces—both in and outside of school—shapes how both white and Black students view themselves and their world</w:t>
      </w:r>
      <w:r w:rsidRPr="00D7045C">
        <w:rPr>
          <w:rFonts w:eastAsia="Cambria"/>
          <w:sz w:val="16"/>
        </w:rPr>
        <w:t xml:space="preserve">. In a talk that New York City public school teacher and education activist Brian Jones gave to a group of parents and teachers during Black History Month in February 2012, he describes the way his 6th grade students understood their schooling environment through the lens of segregation and how current policies and rhetoric ignore what it would take to truly address issues of segregation. A theme in Jones’s stories are the repeated contradictions he points out—that in his class discussion of Ruby Bridges and the success of desegregation—he is speaking to a completely segregated room of Black students, that the schools named after Black civil rights leaders are almost always the most segregated schools and in the most segregated urban areas, and that </w:t>
      </w:r>
      <w:r w:rsidRPr="00D7045C">
        <w:rPr>
          <w:rFonts w:eastAsia="Cambria"/>
          <w:u w:val="single"/>
        </w:rPr>
        <w:t xml:space="preserve">current education policies—driven by notions of excellence rather than equity—ignore the issues that have the </w:t>
      </w:r>
      <w:r w:rsidRPr="00D7045C">
        <w:rPr>
          <w:rFonts w:eastAsia="Cambria"/>
          <w:b/>
          <w:u w:val="single"/>
        </w:rPr>
        <w:t>potential to actually address segregated schooling (i.e., resources)</w:t>
      </w:r>
      <w:r w:rsidRPr="00D7045C">
        <w:rPr>
          <w:rFonts w:eastAsia="Cambria"/>
          <w:b/>
          <w:sz w:val="16"/>
        </w:rPr>
        <w:t>.</w:t>
      </w:r>
      <w:r w:rsidRPr="00D7045C">
        <w:rPr>
          <w:rFonts w:eastAsia="Cambria"/>
          <w:sz w:val="16"/>
        </w:rPr>
        <w:t xml:space="preserve"> </w:t>
      </w:r>
      <w:r w:rsidRPr="00D7045C">
        <w:rPr>
          <w:rFonts w:eastAsia="Cambria"/>
          <w:u w:val="single"/>
        </w:rPr>
        <w:t>No matter how conspicuous the segregation of schooling, it seems to remain hidden from policymakers who choose to omit it from their discourse</w:t>
      </w:r>
      <w:r w:rsidRPr="00D7045C">
        <w:rPr>
          <w:rFonts w:eastAsia="Cambria"/>
          <w:sz w:val="16"/>
        </w:rPr>
        <w:t>. This standpoint of ignoring race, of ignoring struggles related to poverty and equity in public education—of ignoring any policy that might lead to greater social and economic equity for students and communities of color—must be explored within a wider historical context of white supremacy and neoliberal capitalism</w:t>
      </w:r>
    </w:p>
    <w:p w14:paraId="62865D9E" w14:textId="77777777" w:rsidR="005A4715" w:rsidRPr="00D7045C" w:rsidRDefault="005A4715" w:rsidP="005A4715">
      <w:pPr>
        <w:pStyle w:val="Heading4"/>
        <w:rPr>
          <w:rFonts w:cs="Times New Roman"/>
        </w:rPr>
      </w:pPr>
      <w:r w:rsidRPr="00D7045C">
        <w:rPr>
          <w:rFonts w:cs="Times New Roman"/>
        </w:rPr>
        <w:t xml:space="preserve">A lack of federal oversight on integration locks entire communities into poverty – specifically this complacency relegates non-white families into zones that suffer from decay and crumbling infrastructure, limiting social mobility </w:t>
      </w:r>
    </w:p>
    <w:p w14:paraId="57C25E66" w14:textId="77777777" w:rsidR="005A4715" w:rsidRPr="00D7045C" w:rsidRDefault="005A4715" w:rsidP="005A4715">
      <w:r w:rsidRPr="00D7045C">
        <w:rPr>
          <w:rStyle w:val="Style13ptBold"/>
        </w:rPr>
        <w:t>Ayscue &amp; Orfield 14</w:t>
      </w:r>
      <w:r w:rsidRPr="00D7045C">
        <w:t xml:space="preserve"> (Jennifer, The Civil Rights Project/Proyecto Derechos Civiles at UCLA; Gary, American professor of education, law, political science and urban planning at the UCLA Graduate School of Education, “School District Lines Stratify Educational Opportunity by Race and Poverty” </w:t>
      </w:r>
      <w:hyperlink r:id="rId13" w:history="1">
        <w:r w:rsidRPr="00D7045C">
          <w:rPr>
            <w:rStyle w:val="Hyperlink"/>
          </w:rPr>
          <w:t>https://link.springer.com/article/10.1007%2Fs12552-014-9135-0</w:t>
        </w:r>
      </w:hyperlink>
      <w:r w:rsidRPr="00D7045C">
        <w:t>) mlm</w:t>
      </w:r>
    </w:p>
    <w:p w14:paraId="56AC4D63" w14:textId="77777777" w:rsidR="005A4715" w:rsidRPr="00D7045C" w:rsidRDefault="005A4715" w:rsidP="005A4715">
      <w:pPr>
        <w:rPr>
          <w:sz w:val="16"/>
        </w:rPr>
      </w:pPr>
      <w:r w:rsidRPr="00D7045C">
        <w:rPr>
          <w:u w:val="single"/>
        </w:rPr>
        <w:t>In the absence of school desegregation plans or voluntary cooperation among independent school districts, housing patterns determine educational opportunity</w:t>
      </w:r>
      <w:r w:rsidRPr="00D7045C">
        <w:rPr>
          <w:sz w:val="16"/>
        </w:rPr>
        <w:t xml:space="preserve">. Recent studies of two intensely segregated states have confirmed that </w:t>
      </w:r>
      <w:r w:rsidRPr="00D7045C">
        <w:rPr>
          <w:u w:val="single"/>
        </w:rPr>
        <w:t>housing remains highly stratified by race and class</w:t>
      </w:r>
      <w:r w:rsidRPr="00D7045C">
        <w:rPr>
          <w:sz w:val="16"/>
        </w:rPr>
        <w:t xml:space="preserve">.1 </w:t>
      </w:r>
      <w:r w:rsidRPr="00D7045C">
        <w:rPr>
          <w:u w:val="single"/>
        </w:rPr>
        <w:t>Housing patterns and lines on maps define two separate worlds of great educational privilege and greatly diminished opportunity</w:t>
      </w:r>
      <w:r w:rsidRPr="00D7045C">
        <w:rPr>
          <w:sz w:val="16"/>
        </w:rPr>
        <w:t xml:space="preserve">. After World War II, there was a reform movement in American education, the ‘‘school consolidation movement,’’ which sought to eliminate thousands of school districts that were too small to offer adequate curricula and professional staffs. Between 1939 and 2006, 88 % of the nation’s school districts disappeared, declining in number from 117,108 to 13,862 districts and making the basic units sufficiently large, for example, to support a comprehensive high school (Duncombe and Yinger 2010). No such movement, however, affected urban and suburban communities in most of the nation’s states.2 As the differentiation of the metropolitan areas intensified, so too did the differences among their small, almost neighborhood-based school districts. </w:t>
      </w:r>
      <w:r w:rsidRPr="00D7045C">
        <w:rPr>
          <w:u w:val="single"/>
        </w:rPr>
        <w:t>Those with costly housing and restrictive housing and zoning policies had the best-prepared students and teachers and the most educated and affluent parents, usually from overwhelmingly white families</w:t>
      </w:r>
      <w:r w:rsidRPr="00D7045C">
        <w:rPr>
          <w:sz w:val="16"/>
        </w:rPr>
        <w:t xml:space="preserve">. The </w:t>
      </w:r>
      <w:r w:rsidRPr="00D7045C">
        <w:rPr>
          <w:u w:val="single"/>
        </w:rPr>
        <w:t>preservation</w:t>
      </w:r>
      <w:r w:rsidRPr="00D7045C">
        <w:rPr>
          <w:sz w:val="16"/>
        </w:rPr>
        <w:t xml:space="preserve"> </w:t>
      </w:r>
      <w:r w:rsidRPr="00D7045C">
        <w:rPr>
          <w:u w:val="single"/>
        </w:rPr>
        <w:t>of this fragmented system of school districts in metropolitan areas has become a basic mechanism for perpetuating educational and social inequality.</w:t>
      </w:r>
      <w:r w:rsidRPr="00D7045C">
        <w:rPr>
          <w:sz w:val="16"/>
        </w:rPr>
        <w:t xml:space="preserve"> </w:t>
      </w:r>
      <w:r w:rsidRPr="00D7045C">
        <w:rPr>
          <w:u w:val="single"/>
        </w:rPr>
        <w:t>The basic situation</w:t>
      </w:r>
      <w:r w:rsidRPr="00D7045C">
        <w:rPr>
          <w:sz w:val="16"/>
        </w:rPr>
        <w:t xml:space="preserve"> of municipalities and school districts within metropolitan areas </w:t>
      </w:r>
      <w:r w:rsidRPr="00D7045C">
        <w:rPr>
          <w:u w:val="single"/>
        </w:rPr>
        <w:t xml:space="preserve">is an unregulated competitive system with no incentives for cooperation </w:t>
      </w:r>
      <w:r w:rsidRPr="00D7045C">
        <w:rPr>
          <w:sz w:val="16"/>
        </w:rPr>
        <w:t xml:space="preserve">on the part of the more powerful communities that possess abundant resources and commanding market </w:t>
      </w:r>
      <w:r w:rsidRPr="00D7045C">
        <w:rPr>
          <w:u w:val="single"/>
        </w:rPr>
        <w:t>positions. The more powerful communities can use their zoning and land use powers as well as other development tools to continually build on their advantages and to exclude costs, such as lower income families with children and less attractive residential, commercial, and industrial development</w:t>
      </w:r>
      <w:r w:rsidRPr="00D7045C">
        <w:rPr>
          <w:sz w:val="16"/>
        </w:rPr>
        <w:t xml:space="preserve">. Advantages create more advantages. In contrast, </w:t>
      </w:r>
      <w:r w:rsidRPr="00D7045C">
        <w:rPr>
          <w:u w:val="single"/>
        </w:rPr>
        <w:t>disadvantaged, non-white, and low-income communities have very little leverage</w:t>
      </w:r>
      <w:r w:rsidRPr="00D7045C">
        <w:rPr>
          <w:sz w:val="16"/>
        </w:rPr>
        <w:t xml:space="preserve"> (Danielson 1976; Sager 1969; Wachter 1990). </w:t>
      </w:r>
      <w:r w:rsidRPr="00D7045C">
        <w:rPr>
          <w:u w:val="single"/>
        </w:rPr>
        <w:t>They often face a continuing loss of residential and commercial development and a decline in demand for housing and other facilities</w:t>
      </w:r>
      <w:r w:rsidRPr="00D7045C">
        <w:rPr>
          <w:sz w:val="16"/>
        </w:rPr>
        <w:t xml:space="preserve">. </w:t>
      </w:r>
      <w:r w:rsidRPr="00D7045C">
        <w:rPr>
          <w:u w:val="single"/>
        </w:rPr>
        <w:t>Thus, there is less incentive to maintain property or protect their housing market from increasing concentrations of poor families who have limited taxable resources</w:t>
      </w:r>
      <w:r w:rsidRPr="00D7045C">
        <w:rPr>
          <w:sz w:val="16"/>
        </w:rPr>
        <w:t xml:space="preserve"> and many children needing schooling and other services. At their worst, </w:t>
      </w:r>
      <w:r w:rsidRPr="00D7045C">
        <w:rPr>
          <w:u w:val="single"/>
        </w:rPr>
        <w:t>these communities can face a vicious cycle of continuing decay, disinvestment, and isolation in the lower income non-white sector of the housing market</w:t>
      </w:r>
      <w:r w:rsidRPr="00D7045C">
        <w:rPr>
          <w:sz w:val="16"/>
        </w:rPr>
        <w:t xml:space="preserve">. These trends have notable impacts on the schools. </w:t>
      </w:r>
      <w:r w:rsidRPr="00D7045C">
        <w:rPr>
          <w:u w:val="single"/>
        </w:rPr>
        <w:t>There are no institutions with the responsibility to seek the common good of the larger community</w:t>
      </w:r>
      <w:r w:rsidRPr="00D7045C">
        <w:rPr>
          <w:sz w:val="16"/>
        </w:rPr>
        <w:t xml:space="preserve">.  </w:t>
      </w:r>
    </w:p>
    <w:p w14:paraId="1C5D739B" w14:textId="2F927579" w:rsidR="005243AD" w:rsidRPr="00D7045C" w:rsidRDefault="005243AD" w:rsidP="005243AD">
      <w:pPr>
        <w:pStyle w:val="Heading4"/>
        <w:rPr>
          <w:rFonts w:cs="Times New Roman"/>
        </w:rPr>
      </w:pPr>
      <w:r w:rsidRPr="00D7045C">
        <w:rPr>
          <w:rFonts w:cs="Times New Roman"/>
        </w:rPr>
        <w:t xml:space="preserve">Ruling Milliken v Bradley unconstitutional is key to challenging systemic inequalities and combat cycles of poverty while still preserving local control over education </w:t>
      </w:r>
      <w:r>
        <w:rPr>
          <w:rFonts w:cs="Times New Roman"/>
        </w:rPr>
        <w:t xml:space="preserve">– the decision was critical in creating a legal precedent that normalized race neutral policies that allow for segregated schooling </w:t>
      </w:r>
    </w:p>
    <w:p w14:paraId="4828BF33" w14:textId="77777777" w:rsidR="005243AD" w:rsidRPr="00D7045C" w:rsidRDefault="005243AD" w:rsidP="005243AD">
      <w:r w:rsidRPr="00D7045C">
        <w:rPr>
          <w:rStyle w:val="Style13ptBold"/>
        </w:rPr>
        <w:t>Williamson 13</w:t>
      </w:r>
      <w:r w:rsidRPr="00D7045C">
        <w:t xml:space="preserve"> (Thad, Assistant Professor of Leadership Studies and Political Science at the University of Richmond, “Constitutionalizing Property-Owning Democracy”, </w:t>
      </w:r>
      <w:hyperlink r:id="rId14" w:history="1">
        <w:r w:rsidRPr="00D7045C">
          <w:rPr>
            <w:rStyle w:val="Hyperlink"/>
          </w:rPr>
          <w:t>http://www.analyse-und-kritik.net/2013-1/AK_Williamson_2013.pdf</w:t>
        </w:r>
      </w:hyperlink>
      <w:r w:rsidRPr="00D7045C">
        <w:t xml:space="preserve">) mlm </w:t>
      </w:r>
    </w:p>
    <w:p w14:paraId="5E3BE2B7" w14:textId="77777777" w:rsidR="005243AD" w:rsidRPr="00D7045C" w:rsidRDefault="005243AD" w:rsidP="005243AD">
      <w:pPr>
        <w:rPr>
          <w:sz w:val="16"/>
        </w:rPr>
      </w:pPr>
      <w:r w:rsidRPr="00D7045C">
        <w:rPr>
          <w:sz w:val="16"/>
        </w:rPr>
        <w:t xml:space="preserve">There is essentially no hope for realizing property-owning democracy in any substantive sense unless this set of problems is redressed. Hence I propose that the U.S. Constitution be amended so as to provide an explicit federal guarantee of an equal public education. </w:t>
      </w:r>
      <w:r w:rsidRPr="00D7045C">
        <w:rPr>
          <w:u w:val="single"/>
        </w:rPr>
        <w:t>An `equal public education' is to be understood as one that provides equal public resources</w:t>
      </w:r>
      <w:r w:rsidRPr="00D7045C">
        <w:rPr>
          <w:sz w:val="16"/>
        </w:rPr>
        <w:t xml:space="preserve"> (qualitatively and quantitatively) to children not defined as `special need', and further additional resources to children who have one or more special needs. What are special needs? These can be defined as a disability, a diagnosed learning disorder, suffering from emotional problems related to abuse or other experiences of trauma, and/or simply as growing up in a poverty household. Schools ought to be given additional resources proportionate with the number of special need children in attendance. How many additional resources? This is a question that must be settled at the legislative level, but the underlying principle should be to provide sufficient resources to allow all children to achieve a high level of functioning and capability development. </w:t>
      </w:r>
      <w:r w:rsidRPr="00D7045C">
        <w:rPr>
          <w:u w:val="single"/>
        </w:rPr>
        <w:t>Provision of an equal public education must be understood as more than equalizing schooling resource</w:t>
      </w:r>
      <w:r w:rsidRPr="00D7045C">
        <w:rPr>
          <w:sz w:val="16"/>
        </w:rPr>
        <w:t>s</w:t>
      </w:r>
      <w:r w:rsidRPr="00D7045C">
        <w:rPr>
          <w:u w:val="single"/>
        </w:rPr>
        <w:t>. It also must encompass the inequalities that result from the mere fact of the clustering of affl</w:t>
      </w:r>
      <w:r w:rsidRPr="00D7045C">
        <w:rPr>
          <w:u w:val="single"/>
        </w:rPr>
        <w:softHyphen/>
        <w:t>uent students into affl</w:t>
      </w:r>
      <w:r w:rsidRPr="00D7045C">
        <w:rPr>
          <w:u w:val="single"/>
        </w:rPr>
        <w:softHyphen/>
        <w:t>uent school zones and poor children into poor school zones</w:t>
      </w:r>
      <w:r w:rsidRPr="00D7045C">
        <w:rPr>
          <w:sz w:val="16"/>
        </w:rPr>
        <w:t>. Specifcally</w:t>
      </w:r>
      <w:r w:rsidRPr="00D7045C">
        <w:rPr>
          <w:u w:val="single"/>
        </w:rPr>
        <w:t xml:space="preserve">, a </w:t>
      </w:r>
      <w:r w:rsidRPr="00D7045C">
        <w:rPr>
          <w:b/>
          <w:u w:val="single"/>
        </w:rPr>
        <w:t>constitutional amendment should overturn the reasoning in the Milliken v. Bradley decision and provide a legal basis for challenging systemic inequalities within metropolitan areas</w:t>
      </w:r>
      <w:r w:rsidRPr="00D7045C">
        <w:rPr>
          <w:u w:val="single"/>
        </w:rPr>
        <w:t>. One promising approach would focus on the fair distribution of highneeds children across all the schools in a given metropolitan area</w:t>
      </w:r>
      <w:r w:rsidRPr="00D7045C">
        <w:rPr>
          <w:sz w:val="16"/>
        </w:rPr>
        <w:t xml:space="preserve">. For example, </w:t>
      </w:r>
      <w:r w:rsidRPr="00D7045C">
        <w:rPr>
          <w:u w:val="single"/>
        </w:rPr>
        <w:t>in a metropolitan area with a child poverty rate of 15%</w:t>
      </w:r>
      <w:r w:rsidRPr="00D7045C">
        <w:rPr>
          <w:sz w:val="16"/>
        </w:rPr>
        <w:t xml:space="preserve"> (matching the national average for all persons), all districts might be required to have a student poverty population between 12-18%, and all individual schools might be required, wherever feasible, to have a student poverty population between 10-20%.2 In the context of residential segregation, </w:t>
      </w:r>
      <w:r w:rsidRPr="00D7045C">
        <w:rPr>
          <w:u w:val="single"/>
        </w:rPr>
        <w:t xml:space="preserve">achieving such socio-economic balance across schools would likely require either a scheme of busing poor students, or a scheme for facilitating the movement of low-income families from high poverty to low poverty school zones….This approach has several advantages. </w:t>
      </w:r>
      <w:r w:rsidRPr="00D7045C">
        <w:rPr>
          <w:sz w:val="16"/>
        </w:rPr>
        <w:t>First</w:t>
      </w:r>
      <w:r w:rsidRPr="00D7045C">
        <w:rPr>
          <w:u w:val="single"/>
        </w:rPr>
        <w:t>, it ties all the schools in a metropolitan area together without literally forcing the merger of school systems</w:t>
      </w:r>
      <w:r w:rsidRPr="00D7045C">
        <w:rPr>
          <w:sz w:val="16"/>
        </w:rPr>
        <w:t>. Second</w:t>
      </w:r>
      <w:r w:rsidRPr="00D7045C">
        <w:rPr>
          <w:u w:val="single"/>
        </w:rPr>
        <w:t>, it effectively opens up all schools in the metro area to low-income families, offering them a version of `school choice'. Third, it does not rely on the involuntary busing of any children.</w:t>
      </w:r>
      <w:r w:rsidRPr="00D7045C">
        <w:rPr>
          <w:sz w:val="16"/>
        </w:rPr>
        <w:t xml:space="preserve"> No one is to be forced to attend a school out of their neighborhood (although busing or other transportation is to be freely available for those who want it). Fourth, </w:t>
      </w:r>
      <w:r w:rsidRPr="00D7045C">
        <w:rPr>
          <w:u w:val="single"/>
        </w:rPr>
        <w:t>it requires more a</w:t>
      </w:r>
      <w:r w:rsidRPr="00D7045C">
        <w:rPr>
          <w:u w:val="single"/>
        </w:rPr>
        <w:softHyphen/>
        <w:t>ffluent districts to directly compensate neighboring lower-income districts for the added costs of educating a disproportionately high number of poor children</w:t>
      </w:r>
      <w:r w:rsidRPr="00D7045C">
        <w:rPr>
          <w:sz w:val="16"/>
        </w:rPr>
        <w:t xml:space="preserve">. Fifth, over time </w:t>
      </w:r>
      <w:r w:rsidRPr="00D7045C">
        <w:rPr>
          <w:u w:val="single"/>
        </w:rPr>
        <w:t>this approach will increase the number of schools in socio-economic balance, and reduce the number of schools that are overwhelmed by poverty</w:t>
      </w:r>
      <w:r w:rsidRPr="00D7045C">
        <w:rPr>
          <w:sz w:val="16"/>
        </w:rPr>
        <w:t>. Sixth</w:t>
      </w:r>
      <w:r w:rsidRPr="00D7045C">
        <w:rPr>
          <w:u w:val="single"/>
        </w:rPr>
        <w:t>, it will preserve a measure of local control over the content of education, so long as all localities are willing to do their fair share of educating poor children</w:t>
      </w:r>
      <w:r w:rsidRPr="00D7045C">
        <w:rPr>
          <w:sz w:val="16"/>
        </w:rPr>
        <w:t xml:space="preserve"> (or pay compensation for not doing their fair share). Adoption of this approach would require creation of new metropolitan-wide institutionsnot metropolitan school boards, but school oversight boards. </w:t>
      </w:r>
      <w:r w:rsidRPr="00D7045C">
        <w:rPr>
          <w:u w:val="single"/>
        </w:rPr>
        <w:t xml:space="preserve">Any metropolitan area failing to implement this approach could be sued with the creation of united metropolitan school systems a likely legal remedy. </w:t>
      </w:r>
      <w:r w:rsidRPr="00D7045C">
        <w:rPr>
          <w:sz w:val="16"/>
        </w:rPr>
        <w:t>Existing metropolitan planning organizations (MPOs) might be used for this purpose, or new bodies might be called into being. Given the inevitable complexity of any serious proposal to rectify educational inequalities in the United States, a fair question is whether it is really a good idea to embed any particular rectication strategy in the constitution itself. The approach I would favor is having a constitutional amendment speciffcally affirm a) a general right to a substantively equal public education guaranteed by the federal government but implemented by the states and localities, understanding the substance of that right to require b) substantively equal funding of schools within the same state c) compensation for the costs of educating special needs children and d) balancing to the extent possible the distribution of high-need (impoverished) children across school districts and individual schools. This amendment would give each child the right to an education, the right to be educated in a school that is funded at the same level as other schools in one's state (with allowances for the additional costs of educating high-need children), a right to receive appropriate resources to address any special needs one may have as a public school student, and a right to attend a school with a moderate level of poverty (relative to local norms), if one chooses. This, probably, is enough for a constitutional amendment: strong enough to overturn the existing disparities in metropolitan education in the United States, but without permanently enshrining a one-size-ts-all institutional remedy.</w:t>
      </w:r>
    </w:p>
    <w:p w14:paraId="3A75627E" w14:textId="77777777" w:rsidR="005243AD" w:rsidRPr="00D7045C" w:rsidRDefault="005243AD" w:rsidP="005243AD"/>
    <w:p w14:paraId="49226ECB" w14:textId="77777777" w:rsidR="005A4715" w:rsidRPr="00D7045C" w:rsidRDefault="005A4715" w:rsidP="00136B75">
      <w:pPr>
        <w:pStyle w:val="Heading4"/>
        <w:rPr>
          <w:rFonts w:cs="Times New Roman"/>
        </w:rPr>
      </w:pPr>
      <w:r w:rsidRPr="00D7045C">
        <w:rPr>
          <w:rFonts w:cs="Times New Roman"/>
        </w:rPr>
        <w:t xml:space="preserve">Change to current educational disparities are impossible without addressing the racialized history of the United States – we have an obligation to center discussions of white supremacy </w:t>
      </w:r>
    </w:p>
    <w:p w14:paraId="49014B65" w14:textId="77777777" w:rsidR="005A4715" w:rsidRPr="00D7045C" w:rsidRDefault="005A4715" w:rsidP="00136B75">
      <w:pPr>
        <w:rPr>
          <w:sz w:val="18"/>
        </w:rPr>
      </w:pPr>
      <w:r w:rsidRPr="00D7045C">
        <w:rPr>
          <w:rStyle w:val="Style13ptBold"/>
        </w:rPr>
        <w:t>Scott and Keisch 15</w:t>
      </w:r>
      <w:r w:rsidRPr="00D7045C">
        <w:t xml:space="preserve"> </w:t>
      </w:r>
      <w:r w:rsidRPr="00D7045C">
        <w:rPr>
          <w:sz w:val="18"/>
        </w:rPr>
        <w:t xml:space="preserve">(Tim Scott, PhD. in Social Justice Education and Cultural Political Economy, Deborah Keisch, PhD. in Anthropology from University of Massachusetts, Aug. 2 2015, “US Education Reform and the Maintenance of White Supremacy Through Structural Violence,” </w:t>
      </w:r>
      <w:hyperlink r:id="rId15" w:history="1">
        <w:r w:rsidRPr="00D7045C">
          <w:rPr>
            <w:rStyle w:val="Hyperlink"/>
            <w:sz w:val="18"/>
          </w:rPr>
          <w:t>http://www.truth-out.org/news/item/32171-us-education-reform-and-the-maintenance-of-white-supremacy-through-structural-violence)</w:t>
        </w:r>
      </w:hyperlink>
      <w:r w:rsidRPr="00D7045C">
        <w:rPr>
          <w:sz w:val="18"/>
        </w:rPr>
        <w:t xml:space="preserve"> AL</w:t>
      </w:r>
    </w:p>
    <w:p w14:paraId="51B63FE0" w14:textId="77777777" w:rsidR="005A4715" w:rsidRPr="00D7045C" w:rsidRDefault="005A4715" w:rsidP="005A4715">
      <w:pPr>
        <w:rPr>
          <w:rFonts w:eastAsia="Cambria"/>
          <w:sz w:val="16"/>
        </w:rPr>
      </w:pPr>
      <w:r w:rsidRPr="00D7045C">
        <w:rPr>
          <w:rFonts w:eastAsia="Cambria"/>
          <w:u w:val="single"/>
        </w:rPr>
        <w:t xml:space="preserve">During the 15th century the Transatlantic Slave Trade, along with the conquest and colonization of the global south and the western hemisphere by European monarchies, set in motion a genocidal era and a corresponding worldview that has inflicted incalculable suffering to this day. </w:t>
      </w:r>
      <w:r w:rsidRPr="00D7045C">
        <w:rPr>
          <w:rFonts w:eastAsia="Cambria"/>
          <w:sz w:val="16"/>
        </w:rPr>
        <w:t xml:space="preserve">This worldview—known as </w:t>
      </w:r>
      <w:r w:rsidRPr="00D7045C">
        <w:rPr>
          <w:rFonts w:eastAsia="Cambria"/>
          <w:b/>
          <w:iCs/>
          <w:u w:val="single"/>
        </w:rPr>
        <w:t>white supremacy—became firmly established in North America with the conquest, mass murder, enslavement and dehumanization of African and Native people by the white Europeans who founded the United States.</w:t>
      </w:r>
      <w:r w:rsidRPr="00D7045C">
        <w:rPr>
          <w:rFonts w:eastAsia="Cambria"/>
          <w:sz w:val="16"/>
        </w:rPr>
        <w:t xml:space="preserve"> According to sociologist Joseph Feagin, this broad worldview is composed of entrenched </w:t>
      </w:r>
      <w:r w:rsidRPr="00D7045C">
        <w:rPr>
          <w:rFonts w:eastAsia="Cambria"/>
          <w:u w:val="single"/>
        </w:rPr>
        <w:t>racist narratives, racist images, racist biases and racist emotions that together construct a powerful belief system that rationalizes systems of racial violence and oppression</w:t>
      </w:r>
      <w:r w:rsidRPr="00D7045C">
        <w:rPr>
          <w:rFonts w:eastAsia="Cambria"/>
          <w:sz w:val="16"/>
        </w:rPr>
        <w:t xml:space="preserve">. Feagin refers to this worldview as the white racial frame, which has two primary subframes. One white racial subframe, often referred to as </w:t>
      </w:r>
      <w:r w:rsidRPr="00D7045C">
        <w:rPr>
          <w:rFonts w:eastAsia="Cambria"/>
          <w:u w:val="single"/>
        </w:rPr>
        <w:t>“white supremacy,” affirms the superiority of white people in every possible way including intelligence, work habits, religion, morals, civilization, language and appearance. This powerful pro-white frame comes with a set of attitudes, images, emotions and stereotypes</w:t>
      </w:r>
      <w:r w:rsidRPr="00D7045C">
        <w:rPr>
          <w:rFonts w:eastAsia="Cambria"/>
          <w:sz w:val="16"/>
        </w:rPr>
        <w:t xml:space="preserve">. The second </w:t>
      </w:r>
      <w:r w:rsidRPr="00D7045C">
        <w:rPr>
          <w:rFonts w:eastAsia="Cambria"/>
          <w:u w:val="single"/>
        </w:rPr>
        <w:t>white racial subframe targets and dehumanizes people of color and includes anti-Black, anti-Latino, anti-Asian and anti-Indigenous subframes</w:t>
      </w:r>
      <w:r w:rsidRPr="00D7045C">
        <w:rPr>
          <w:rFonts w:eastAsia="Cambria"/>
          <w:sz w:val="16"/>
        </w:rPr>
        <w:t xml:space="preserve"> (Feagin, 2012). This historical context is essential to understanding that </w:t>
      </w:r>
      <w:r w:rsidRPr="00D7045C">
        <w:rPr>
          <w:rFonts w:eastAsia="Cambria"/>
          <w:u w:val="single"/>
        </w:rPr>
        <w:t xml:space="preserve">race is not a biological or genetic concept. Rather, it is a </w:t>
      </w:r>
      <w:r w:rsidRPr="00D7045C">
        <w:rPr>
          <w:rFonts w:eastAsia="Cambria"/>
          <w:b/>
          <w:iCs/>
          <w:u w:val="single"/>
        </w:rPr>
        <w:t>social construct manufactured by a dominant group based on their power to impose boundaries of group membership and define race as a means to justify exploitation, subjugation and murder to establish racial superiority</w:t>
      </w:r>
      <w:r w:rsidRPr="00D7045C">
        <w:rPr>
          <w:rFonts w:eastAsia="Cambria"/>
          <w:sz w:val="16"/>
        </w:rPr>
        <w:t xml:space="preserve">. Racism is based on the assertion of </w:t>
      </w:r>
      <w:r w:rsidRPr="00D7045C">
        <w:rPr>
          <w:rFonts w:eastAsia="Cambria"/>
          <w:u w:val="single"/>
        </w:rPr>
        <w:t>white supremacy</w:t>
      </w:r>
      <w:r w:rsidRPr="00D7045C">
        <w:rPr>
          <w:rFonts w:eastAsia="Cambria"/>
          <w:sz w:val="16"/>
        </w:rPr>
        <w:t xml:space="preserve"> and </w:t>
      </w:r>
      <w:r w:rsidRPr="00D7045C">
        <w:rPr>
          <w:rFonts w:eastAsia="Cambria"/>
          <w:u w:val="single"/>
        </w:rPr>
        <w:t>operationalizes t</w:t>
      </w:r>
      <w:r w:rsidRPr="00D7045C">
        <w:rPr>
          <w:rFonts w:eastAsia="Cambria"/>
          <w:sz w:val="16"/>
        </w:rPr>
        <w:t xml:space="preserve">he </w:t>
      </w:r>
      <w:r w:rsidRPr="00D7045C">
        <w:rPr>
          <w:rFonts w:eastAsia="Cambria"/>
          <w:u w:val="single"/>
        </w:rPr>
        <w:t>ideological, structural, and institutional disparity in the distribution of social and material rewards, benefits, privileges as well as access to resources, capital, property and the possession of social agency, power and influence</w:t>
      </w:r>
      <w:r w:rsidRPr="00D7045C">
        <w:rPr>
          <w:rFonts w:eastAsia="Cambria"/>
          <w:sz w:val="16"/>
        </w:rPr>
        <w:t xml:space="preserve"> (Goodman, 2005; Lusca, 2008; Moses, 2004; Ortiz, 2013; Wells, 2013). </w:t>
      </w:r>
      <w:r w:rsidRPr="00D7045C">
        <w:rPr>
          <w:rFonts w:eastAsia="Cambria"/>
          <w:b/>
          <w:iCs/>
          <w:u w:val="single"/>
        </w:rPr>
        <w:t>Moving beyond an understanding of racism as stereotype or bigotry, and grasping the deeply entrenched racial narratives through which white people view the world is a foundational part of any project of liberation and justice</w:t>
      </w:r>
      <w:r w:rsidRPr="00D7045C">
        <w:rPr>
          <w:rFonts w:eastAsia="Cambria"/>
          <w:sz w:val="16"/>
        </w:rPr>
        <w:t xml:space="preserve">. In addition, </w:t>
      </w:r>
      <w:r w:rsidRPr="00D7045C">
        <w:rPr>
          <w:rFonts w:eastAsia="Cambria"/>
          <w:u w:val="single"/>
        </w:rPr>
        <w:t>it is important to recognize how the virulent legacy of white supremacy persists in all facets of contemporary U.S. society.</w:t>
      </w:r>
      <w:r w:rsidRPr="00D7045C">
        <w:rPr>
          <w:rFonts w:eastAsia="Cambria"/>
          <w:sz w:val="16"/>
        </w:rPr>
        <w:t xml:space="preserve"> While this article presents lived experiences and documented narratives to illustrate the brutal nature of racial terrorism and violence in the U.S., hard data also bear out this reality. People of color make up nearly thirty percent of the U.S. population, yet account for sixty percent of those imprisoned. These </w:t>
      </w:r>
      <w:r w:rsidRPr="00D7045C">
        <w:rPr>
          <w:rFonts w:eastAsia="Cambria"/>
          <w:u w:val="single"/>
        </w:rPr>
        <w:t>incarceration rates disproportionately impact men of color</w:t>
      </w:r>
      <w:r w:rsidRPr="00D7045C">
        <w:rPr>
          <w:rFonts w:eastAsia="Cambria"/>
          <w:sz w:val="16"/>
        </w:rPr>
        <w:t xml:space="preserve">, with 1 in every 15 Black men and 1 in every 36 Latino men incarcerated as opposed to 1 in every 106 white men. </w:t>
      </w:r>
      <w:r w:rsidRPr="00D7045C">
        <w:rPr>
          <w:rFonts w:eastAsia="Cambria"/>
          <w:u w:val="single"/>
        </w:rPr>
        <w:t>One in three Black men will go to prison in their lifetime.</w:t>
      </w:r>
      <w:r w:rsidRPr="00D7045C">
        <w:rPr>
          <w:rFonts w:eastAsia="Cambria"/>
          <w:sz w:val="16"/>
        </w:rPr>
        <w:t xml:space="preserve"> While the number of women incarcerated is relatively low in the U.S. (yet has increased by 800 percent over the last thirty years), </w:t>
      </w:r>
      <w:r w:rsidRPr="00D7045C">
        <w:rPr>
          <w:rFonts w:eastAsia="Cambria"/>
          <w:u w:val="single"/>
        </w:rPr>
        <w:t>Black women are three times more likely than white women to be incarcerated</w:t>
      </w:r>
      <w:r w:rsidRPr="00D7045C">
        <w:rPr>
          <w:rFonts w:eastAsia="Cambria"/>
          <w:sz w:val="16"/>
        </w:rPr>
        <w:t xml:space="preserve">; and Latino women are 69 percent more likely than white women to be incarcerated (ACLU, 2011; Bowman, 2010; Kerby, 2012; Sentencing Project, 2007; Sentencing Project, 2014). </w:t>
      </w:r>
      <w:r w:rsidRPr="00D7045C">
        <w:rPr>
          <w:rFonts w:eastAsia="Cambria"/>
          <w:u w:val="single"/>
        </w:rPr>
        <w:t>Racial profiling also results in people of color having a disproportionate number of encounters with police</w:t>
      </w:r>
      <w:r w:rsidRPr="00D7045C">
        <w:rPr>
          <w:rFonts w:eastAsia="Cambria"/>
          <w:sz w:val="16"/>
        </w:rPr>
        <w:t xml:space="preserve">—they are three times more likely to be searched during a traffic stop compared to white people. Black people are twice as likely to be arrested and almost four times as likely to be subjected to the use of force when encountering the police. Nationwide, </w:t>
      </w:r>
      <w:r w:rsidRPr="00D7045C">
        <w:rPr>
          <w:rFonts w:eastAsia="Cambria"/>
          <w:u w:val="single"/>
        </w:rPr>
        <w:t>young Black males are 21 times more likely to be killed by police compared to young white males</w:t>
      </w:r>
      <w:r w:rsidRPr="00D7045C">
        <w:rPr>
          <w:rFonts w:eastAsia="Cambria"/>
          <w:sz w:val="16"/>
        </w:rPr>
        <w:t xml:space="preserve"> (ACLU, 2007; Gabrielson, Jones &amp; Sagara, 2014; Kerby, 2012). According to the Equal Justice Initiative, an organization that represents prisoners who have been denied fair treatment in the legal system, “</w:t>
      </w:r>
      <w:r w:rsidRPr="00D7045C">
        <w:rPr>
          <w:rFonts w:eastAsia="Cambria"/>
          <w:u w:val="single"/>
        </w:rPr>
        <w:t xml:space="preserve">the lives of African Americans have been profoundly shaped by the era of slavery, the era of racial terror that continued from the end of Reconstruction until World War II, the era of Jim Crow and racial apartheid that produced the civil rights movement, and </w:t>
      </w:r>
      <w:r w:rsidRPr="00D7045C">
        <w:rPr>
          <w:rFonts w:eastAsia="Cambria"/>
          <w:b/>
          <w:iCs/>
          <w:u w:val="single"/>
        </w:rPr>
        <w:t>now the era of mass incarceration</w:t>
      </w:r>
      <w:r w:rsidRPr="00D7045C">
        <w:rPr>
          <w:rFonts w:eastAsia="Cambria"/>
          <w:u w:val="single"/>
        </w:rPr>
        <w:t>”</w:t>
      </w:r>
      <w:r w:rsidRPr="00D7045C">
        <w:rPr>
          <w:rFonts w:eastAsia="Cambria"/>
          <w:sz w:val="16"/>
        </w:rPr>
        <w:t xml:space="preserve"> (2014, para. 2). Additionally, felony-disenfranchisement policies in 11 states deny the right to vote to over 10 percent of their Black population. Current efforts by state legislators to implement restrictive voter ID laws that disproportionately impact people of color along with shortened early voting periods, limits on same-day voter registration, polling places without enough voting machines or poll workers are furthering the marginalization of Black and Latino voters (Kerby, 2012; Liebelson, 2014; Oh, 2014; Sentencing Project, 2009). </w:t>
      </w:r>
      <w:r w:rsidRPr="00D7045C">
        <w:rPr>
          <w:rFonts w:eastAsia="Cambria"/>
          <w:b/>
          <w:iCs/>
          <w:u w:val="single"/>
        </w:rPr>
        <w:t>These forms of racial violence and disenfranchisement disproportionately subject people of color to a life of poverty or economic insecurity that further impedes social, political and economic agency; effectively distressing family systems and severely impacting health outcomes and life expectancy</w:t>
      </w:r>
      <w:r w:rsidRPr="00D7045C">
        <w:rPr>
          <w:rFonts w:eastAsia="Cambria"/>
          <w:sz w:val="16"/>
        </w:rPr>
        <w:t xml:space="preserve"> (Marable, 2001; Goldberg, 2012; Ortiz, 2013; Justice Policy Institute, 2014). </w:t>
      </w:r>
    </w:p>
    <w:p w14:paraId="57BD5A93" w14:textId="77777777" w:rsidR="00DC2901" w:rsidRPr="00D7045C" w:rsidRDefault="00DC2901" w:rsidP="00DC2901">
      <w:pPr>
        <w:pStyle w:val="Heading4"/>
        <w:rPr>
          <w:rFonts w:eastAsia="Cambria" w:cs="Times New Roman"/>
        </w:rPr>
      </w:pPr>
      <w:r w:rsidRPr="00D7045C">
        <w:rPr>
          <w:rFonts w:eastAsia="Cambria" w:cs="Times New Roman"/>
        </w:rPr>
        <w:t xml:space="preserve">Plan: </w:t>
      </w:r>
      <w:r w:rsidR="002F6202" w:rsidRPr="00D7045C">
        <w:rPr>
          <w:rFonts w:eastAsia="Cambria" w:cs="Times New Roman"/>
        </w:rPr>
        <w:t>The Supreme Court of the United States should overturn Milliken v. Bradley</w:t>
      </w:r>
    </w:p>
    <w:p w14:paraId="1648B051" w14:textId="2E2A644C" w:rsidR="005A4715" w:rsidRPr="00D7045C" w:rsidRDefault="003D049F" w:rsidP="005A4715">
      <w:pPr>
        <w:pStyle w:val="Heading3"/>
        <w:rPr>
          <w:rFonts w:cs="Times New Roman"/>
        </w:rPr>
      </w:pPr>
      <w:r w:rsidRPr="00D7045C">
        <w:rPr>
          <w:rFonts w:cs="Times New Roman"/>
        </w:rPr>
        <w:t>1AC – L</w:t>
      </w:r>
      <w:r w:rsidR="005A4715" w:rsidRPr="00D7045C">
        <w:rPr>
          <w:rFonts w:cs="Times New Roman"/>
        </w:rPr>
        <w:t>egalism</w:t>
      </w:r>
      <w:r w:rsidR="00AE4371" w:rsidRPr="00D7045C">
        <w:rPr>
          <w:rFonts w:cs="Times New Roman"/>
        </w:rPr>
        <w:t xml:space="preserve"> Advantage</w:t>
      </w:r>
    </w:p>
    <w:p w14:paraId="7DA0D103" w14:textId="4502717D" w:rsidR="005A4715" w:rsidRPr="00D7045C" w:rsidRDefault="005A4715" w:rsidP="005A4715">
      <w:pPr>
        <w:pStyle w:val="Heading4"/>
        <w:rPr>
          <w:rFonts w:cs="Times New Roman"/>
        </w:rPr>
      </w:pPr>
      <w:r w:rsidRPr="00D7045C">
        <w:rPr>
          <w:rFonts w:cs="Times New Roman"/>
        </w:rPr>
        <w:t>The justification of Milliken hinges on the fictional and uncannily malleable principle of local control which has historically been used to defend white privilege—the decision operate</w:t>
      </w:r>
      <w:r w:rsidR="008B1834">
        <w:rPr>
          <w:rFonts w:cs="Times New Roman"/>
        </w:rPr>
        <w:t>s</w:t>
      </w:r>
      <w:r w:rsidRPr="00D7045C">
        <w:rPr>
          <w:rFonts w:cs="Times New Roman"/>
        </w:rPr>
        <w:t xml:space="preserve"> within a legal framework that misinterprets constitutional amendments meant to increase color-consciousness and anti-subjugation as doctrines of color-disawareness </w:t>
      </w:r>
    </w:p>
    <w:p w14:paraId="1D7F6C22" w14:textId="77777777" w:rsidR="005A4715" w:rsidRPr="00D7045C" w:rsidRDefault="005A4715" w:rsidP="005A4715">
      <w:r w:rsidRPr="00D7045C">
        <w:rPr>
          <w:rStyle w:val="Style13ptBold"/>
        </w:rPr>
        <w:t>Lipsitz 11</w:t>
      </w:r>
      <w:r w:rsidRPr="00D7045C">
        <w:t xml:space="preserve"> (George, PhD, prof of American studies and black studies at UC Santa Barbara, “How Racism Takes Place,” p.44-48) KC</w:t>
      </w:r>
    </w:p>
    <w:p w14:paraId="3C641A8F" w14:textId="77777777" w:rsidR="005A4715" w:rsidRPr="00D7045C" w:rsidRDefault="005A4715" w:rsidP="005A4715">
      <w:pPr>
        <w:rPr>
          <w:sz w:val="16"/>
        </w:rPr>
      </w:pPr>
      <w:r w:rsidRPr="00D7045C">
        <w:rPr>
          <w:sz w:val="16"/>
        </w:rPr>
        <w:t xml:space="preserve">Whites in Pontiac, michigan, and Boston, massachusetts, used violence to try to prevent implementation of federal court orders desegregating schools. Presidents nixon, Ford, and Carter expressed support not for the authority of the courts, but for the opponents of desegregation. President Ford criticized the judge who issued the Boston school desegregation order, not the parents who used violence to defy it. White political leaders in California placed a proposition on the ballot in 1979 to prevent state judges from ordering busing. The proposition passed with nearly 70 percent of the vote.57 At the federal level, Congress passed new laws reining in the ability of the courts to enforce desegregation orders. Finally, </w:t>
      </w:r>
      <w:r w:rsidRPr="00D7045C">
        <w:rPr>
          <w:rStyle w:val="StyleUnderline"/>
        </w:rPr>
        <w:t xml:space="preserve">the supreme Court abandoned the precedent it set in the 1971 Charlotte case with a series of rulings starting with its decision in the Milliken v. Bradley Detroit school segregation case in 1974. lower courts had ruled that city, county, and state officials had designed school district boundaries in Detroit to provide white students with access to superior schools in the city and its suburbs. </w:t>
      </w:r>
      <w:r w:rsidRPr="00D7045C">
        <w:rPr>
          <w:sz w:val="16"/>
        </w:rPr>
        <w:t xml:space="preserve">They found that segregation in Detroit city schools stemmed from deliberate decisions by school officials including building new schools in the center of neighborhoods known to be largely white or largely Black, and permitting white students to transfer out of majority Black schools, while at the same time denying requests by Black students to transfer to majority white schools. </w:t>
      </w:r>
      <w:r w:rsidRPr="00D7045C">
        <w:rPr>
          <w:rStyle w:val="StyleUnderline"/>
        </w:rPr>
        <w:t>The courts ordered a redrawing of district lines to send children in the Detroit area by bus to integrated educational settings. nearly three hundred thousand children in the three-county area covered by the case already rode buses to school</w:t>
      </w:r>
      <w:r w:rsidRPr="00D7045C">
        <w:rPr>
          <w:sz w:val="16"/>
        </w:rPr>
        <w:t xml:space="preserve">. </w:t>
      </w:r>
      <w:r w:rsidRPr="00D7045C">
        <w:rPr>
          <w:rStyle w:val="StyleUnderline"/>
        </w:rPr>
        <w:t>yet a public outcry against this decision depicted busing as outlandish and cruel, as an unnatural act separating young children from their parents. These protests attracted support from political leaders of both major parties, and eventually persuaded the supreme Court to overturn the lower court ruling</w:t>
      </w:r>
      <w:r w:rsidRPr="00D7045C">
        <w:rPr>
          <w:sz w:val="16"/>
        </w:rPr>
        <w:t xml:space="preserve">.58 </w:t>
      </w:r>
      <w:r w:rsidRPr="00D7045C">
        <w:rPr>
          <w:rStyle w:val="StyleUnderline"/>
        </w:rPr>
        <w:t xml:space="preserve">The majority of the Court stated that the basis for their decision was the sanctity of the principle of local control over schools. </w:t>
      </w:r>
      <w:r w:rsidRPr="00D7045C">
        <w:rPr>
          <w:rStyle w:val="Emphasis"/>
        </w:rPr>
        <w:t>“no single tradition in public education is more deeply rooted than local control over the operation of schools,” the majority opinion held, noting “local autonomy has long been thought essential both to the maintenance of community concern and support for public schools and to quality of the educational process.”59 yet in fact, there was no system of local control in force in Detroit in 1974</w:t>
      </w:r>
      <w:r w:rsidRPr="00D7045C">
        <w:rPr>
          <w:rStyle w:val="StyleUnderline"/>
        </w:rPr>
        <w:t>.</w:t>
      </w:r>
      <w:r w:rsidRPr="00D7045C">
        <w:rPr>
          <w:sz w:val="16"/>
        </w:rPr>
        <w:t xml:space="preserve"> </w:t>
      </w:r>
      <w:r w:rsidRPr="00D7045C">
        <w:rPr>
          <w:rStyle w:val="StyleUnderline"/>
        </w:rPr>
        <w:t xml:space="preserve">The supreme Court of michigan had ruled repeatedly that education in the state “is not a matter of local concern but belongs to the state at large.”60 The fiction of local control, however, proved useful in defending privileged access to favored schools for whites. it was used to deny claims for equal justice by children of color and their parents. </w:t>
      </w:r>
      <w:r w:rsidRPr="00D7045C">
        <w:rPr>
          <w:rStyle w:val="Emphasis"/>
        </w:rPr>
        <w:t>Thirty years later, however, conservative supreme Court judges who had declared themselves strict constructionists who would be bound by previous decisions threw out the principle of local control</w:t>
      </w:r>
      <w:r w:rsidRPr="00D7045C">
        <w:rPr>
          <w:rStyle w:val="StyleUnderline"/>
        </w:rPr>
        <w:t xml:space="preserve"> in fully activist fashion when it suited their purposes.</w:t>
      </w:r>
      <w:r w:rsidRPr="00D7045C">
        <w:rPr>
          <w:sz w:val="16"/>
        </w:rPr>
        <w:t xml:space="preserve"> The supreme Court ruled in 2007 that modest school desegregation programs in seattle and louisville violated the rights of white children. When confronted with actions by local school boards in louisville and seattle that actually helped minority children, the Court simply jettisoned the principle of local control. </w:t>
      </w:r>
      <w:r w:rsidRPr="00D7045C">
        <w:rPr>
          <w:rStyle w:val="StyleUnderline"/>
        </w:rPr>
        <w:t>Chief Justice roberts’s opinion went so far as to claim that deference to local school boards “is fundamentally at odds with our equal protection jurisprudence.”61 Just as the school bus had been fine when used for segregation but an affront to decency when deployed for the purpose of desegregation</w:t>
      </w:r>
      <w:r w:rsidRPr="00D7045C">
        <w:rPr>
          <w:rStyle w:val="Emphasis"/>
        </w:rPr>
        <w:t>, local control had been a core principle of constitutional law when it was used as a justification for segregated schools, but became at odds with the Constitution when used to desegregate schools</w:t>
      </w:r>
      <w:r w:rsidRPr="00D7045C">
        <w:rPr>
          <w:rStyle w:val="StyleUnderline"/>
        </w:rPr>
        <w:t xml:space="preserve">. </w:t>
      </w:r>
      <w:r w:rsidRPr="00D7045C">
        <w:rPr>
          <w:rStyle w:val="Emphasis"/>
        </w:rPr>
        <w:t xml:space="preserve">The supreme Court’s about-face in respect to neighborhood schools in the louisville and seattle school desegregation cases follows a disgracefully dishonest and dishonorable legacy of bending the law so that whiteness always wins. </w:t>
      </w:r>
      <w:r w:rsidRPr="00D7045C">
        <w:rPr>
          <w:sz w:val="16"/>
        </w:rPr>
        <w:t xml:space="preserve">The members of the roberts Court who voted to outlaw the seattle and louisville desegregation plans did not present themselves openly as opponents of Black people. They were, they claimed, defenders of limited government who want to protect the original intent of the authors of the Constitution. yet they knew full well that the authors of the Constitution enthusiastically supported extensive government power when it served the interests of white supremacy, just as the roberts Court did. </w:t>
      </w:r>
      <w:r w:rsidRPr="00D7045C">
        <w:rPr>
          <w:rStyle w:val="StyleUnderline"/>
        </w:rPr>
        <w:t>As nathan newman and J. J. Gass explain in their generative work on the forgotten history of the Thirteenth, Fourteenth, and Fifteenth Amendments, aggressive federal power was established in the first place to defend slavery and the group privileges of whites</w:t>
      </w:r>
      <w:r w:rsidRPr="00D7045C">
        <w:rPr>
          <w:sz w:val="16"/>
        </w:rPr>
        <w:t xml:space="preserve">. Constitutional provisions including the three-fifths clause giving slave states extra representation in Congress, the permission granted to continue the slave trade until at least 1808, and the electoral College all emerged as part of efforts to protect slavery. Along with subsequent legislation and court decisions, the Constitution did not simply give individuals who wanted to own slaves the right to do so. it put the full power and force of the federal government behind requiring citizens to help slave catchers return fugitive slaves to their owners. The 1850 Fugitive slave Act authorized federal commissioners to compel private citizens to help them catch runaway slaves and to arrest and imprison anyone who interfered with efforts. even the Confederate Constitution refused to recognize state sovereignty when it came to the central government’s protection of the slaveocracy.62 The “threat” of federal power only became an issue for white jurists and legislators once slavery had been abolished. This is the form of federal power that the roberts Court seeks to rein in today. </w:t>
      </w:r>
      <w:r w:rsidRPr="00D7045C">
        <w:rPr>
          <w:rStyle w:val="StyleUnderline"/>
        </w:rPr>
        <w:t>When newly freed Blacks and their white allies tried to inscribe in the Constitution the same protections for Black freedom that had been previously been given to white slave-owning, cries against excessive government power became dominant in white supremacist circles.</w:t>
      </w:r>
      <w:r w:rsidRPr="00D7045C">
        <w:rPr>
          <w:sz w:val="16"/>
        </w:rPr>
        <w:t xml:space="preserve"> The end of slavery witnessed collective white mobilization to restore slavery under a different name. even after the adoption of the Thirteenth Amendment and its authorization to enact “appropriate legislation” to wipe out all vestiges and badges of the slave system, southern states enacted Black codes to constrain freed people and gave the green light to vigilante violence in order to maintain white rule. in response, Congress passed the Civil rights Act of 1866, a law that applied specifically to Blacks, guaranteeing them the right to conduct business and enjoy the rights, immunities, and privileges of whites (identified expressly by race in the law) in every state. supporters of the Fourteenth Amendment in Congress argued that it not only required the states to enforce the Bill of rights, but also gave Congress the power to criminalize private conduct by individuals attempting to deny constitutional rights to Blacks. They gave the Freedman’s Bureau express authority to provide economic assistance to Blacks (even those who had not been enslaved) and they passed the Civil rights Act of 1875 banning segregation in public accommodations and transportation. </w:t>
      </w:r>
      <w:r w:rsidRPr="00D7045C">
        <w:rPr>
          <w:rStyle w:val="StyleUnderline"/>
        </w:rPr>
        <w:t>Honest believers in original intent would embrace the color-conscious “new birth constitution” created in the 1860s and 1870s. The same power that had been used to deny rights was now being use to provide them. laws had now been passed empowering the state to punish private discrimination and to recognize race in order to remedy the wrongs of racism. The original support for slavery written into the Constitution had at last been addressed and redressed. yet the present-day conservatives who claim to honor original intent ignore this whole history. instead, they interpret civil rights laws of the 1860s and 1870s and the Thirteenth, Fourteenth, and Fifteenth Amendments from the perspective of the enemies of these laws, the whites who transformed the antisubjugation principles of Abolition Democracy into anti-racial-recognition principles that enabled the reestablishment of white supremacy as the law of the land</w:t>
      </w:r>
      <w:r w:rsidRPr="00D7045C">
        <w:rPr>
          <w:sz w:val="16"/>
        </w:rPr>
        <w:t xml:space="preserve">. Conservative jurists in the nineteenth century refused to punish acts of violence by whites against nonviolent Black citizens attempting to exercise their rights. They turned logic and reason upside down in order to come to conclusions that supported the group position of whites. Before the Civil War, the courts said the federal government could prosecute private individuals who interfered with the capture of runaway slaves, but after the war they barred the government from prosecuting individual whites who shot and killed Blacks attempting to vote. in 1878, the supreme Court declared unconstitutional a louisiana law that banned segregation on trains as an illegal state infringement on interstate commerce, yet upheld the constitutionality of a mississippi law requiring segregation on trains.63 Perhaps most egregiously, </w:t>
      </w:r>
      <w:r w:rsidRPr="00D7045C">
        <w:rPr>
          <w:rStyle w:val="Emphasis"/>
        </w:rPr>
        <w:t xml:space="preserve">the expressly color-conscious and antisubjugation principles of the Thirteenth, Fourteenth, and Fifteenth Amendments and the 1866 Civil rights Act were transformed into their opposites by judges who pretended that the purpose of these laws was to prevent the state from recognizing race. </w:t>
      </w:r>
      <w:r w:rsidRPr="00D7045C">
        <w:rPr>
          <w:rStyle w:val="StyleUnderline"/>
        </w:rPr>
        <w:t>A century later, conservative judges would perform the same alchemy on Brown v. Board and the 1964 Civil rights Act</w:t>
      </w:r>
      <w:r w:rsidRPr="00D7045C">
        <w:rPr>
          <w:sz w:val="16"/>
        </w:rPr>
        <w:t xml:space="preserve">. </w:t>
      </w:r>
      <w:r w:rsidRPr="00D7045C">
        <w:rPr>
          <w:rStyle w:val="Emphasis"/>
        </w:rPr>
        <w:t>This checkered history of tailoring decisions to elevate the convenience of whites over the constitutional rights of Blacks provided the background and overarching logic for the supreme Court between 1986 and 2005</w:t>
      </w:r>
      <w:r w:rsidRPr="00D7045C">
        <w:rPr>
          <w:sz w:val="16"/>
        </w:rPr>
        <w:t xml:space="preserve"> when William rehnquist served as Chief Justice. The rehnquist Court argued for the necessity of reigning in federal power and respecting traditions of local governance when it terminated a Kansas City school desegregation plan, but took the opposite position in deploying federal power to overturn the minority set-aside program for city contracts approved by the richmond, virginia, city council in the Croson case and in voiding the north Carolina legislature’s decision to create a congressional district with a slight majority of black residents in Shaw v. Reno. The rehnquist Court did not mind intervening in local matters when white firefighters complained about a court-approved affirmative action hiring program in Birmingham in Martin v. Wilks, or when white teachers litigated against a voluntary collective bargaining agreement between the teachers’ union and the school board in Jackson, michigan, in the Wygant case. yet it presented itself as an impassioned defender of local control when local decisions protected the property and privileges of whites. </w:t>
      </w:r>
    </w:p>
    <w:p w14:paraId="675BC15B" w14:textId="77777777" w:rsidR="003D049F" w:rsidRPr="00D7045C" w:rsidRDefault="003D049F" w:rsidP="00BE7E02">
      <w:pPr>
        <w:pStyle w:val="NoSpacing"/>
      </w:pPr>
    </w:p>
    <w:p w14:paraId="599860B0" w14:textId="77777777" w:rsidR="00163FAF" w:rsidRPr="00D7045C" w:rsidRDefault="00163FAF" w:rsidP="00163FAF">
      <w:pPr>
        <w:pStyle w:val="Heading4"/>
        <w:rPr>
          <w:rFonts w:cs="Times New Roman"/>
        </w:rPr>
      </w:pPr>
      <w:r w:rsidRPr="00D7045C">
        <w:rPr>
          <w:rFonts w:cs="Times New Roman"/>
        </w:rPr>
        <w:t>Law should be viewed as an opportunity</w:t>
      </w:r>
      <w:r w:rsidRPr="00D7045C">
        <w:rPr>
          <w:rFonts w:cs="Times New Roman"/>
          <w:i/>
        </w:rPr>
        <w:t xml:space="preserve"> </w:t>
      </w:r>
      <w:r w:rsidRPr="00D7045C">
        <w:rPr>
          <w:rFonts w:cs="Times New Roman"/>
        </w:rPr>
        <w:t>for minority empowermen</w:t>
      </w:r>
      <w:r>
        <w:rPr>
          <w:rFonts w:cs="Times New Roman"/>
        </w:rPr>
        <w:t>t</w:t>
      </w:r>
      <w:r w:rsidRPr="00D7045C">
        <w:rPr>
          <w:rFonts w:cs="Times New Roman"/>
        </w:rPr>
        <w:t>; criticisms of legal cooptation apply equally to extralegal action</w:t>
      </w:r>
    </w:p>
    <w:p w14:paraId="45C22098" w14:textId="77777777" w:rsidR="00163FAF" w:rsidRPr="00D7045C" w:rsidRDefault="00163FAF" w:rsidP="00163FAF">
      <w:r w:rsidRPr="00D7045C">
        <w:rPr>
          <w:rStyle w:val="Style13ptBold"/>
        </w:rPr>
        <w:t>Lobel 7</w:t>
      </w:r>
      <w:r w:rsidRPr="00D7045C">
        <w:t xml:space="preserve"> (Orly, PhD, prof of Law at U San Diego, “The Paradox of Extralegal Activism: Critical Legal Consciousness and Transformative,” The Harvard Law Review, Vol. 120, No. 4 (Feb., 2007), </w:t>
      </w:r>
      <w:hyperlink r:id="rId16" w:history="1">
        <w:r w:rsidRPr="00D7045C">
          <w:rPr>
            <w:rStyle w:val="Hyperlink"/>
          </w:rPr>
          <w:t>http://www.jstor.org/stable/40041996</w:t>
        </w:r>
      </w:hyperlink>
      <w:r w:rsidRPr="00D7045C">
        <w:t>, pg. 987-988)KC</w:t>
      </w:r>
    </w:p>
    <w:p w14:paraId="43694D32" w14:textId="77777777" w:rsidR="00163FAF" w:rsidRPr="00D7045C" w:rsidRDefault="00163FAF" w:rsidP="00163FAF">
      <w:pPr>
        <w:rPr>
          <w:sz w:val="14"/>
        </w:rPr>
      </w:pPr>
      <w:r w:rsidRPr="00D7045C">
        <w:rPr>
          <w:sz w:val="14"/>
        </w:rPr>
        <w:t xml:space="preserve">Restoring Critical Optimism in the Legal Field "La critique est aisee; Vart difficile." A critique of cooptation often takes an uneasy path. Critique has always been and remains not simply an intellectual exercise but a po- litical and moral act. The question we must constantly pose is how critical accounts of social reform models contribute to our ability to produce scholarship and action that will be constructive. To critique the ability of law to produce social change is inevitably to raise the question of alternatives. In and of itself, </w:t>
      </w:r>
      <w:r w:rsidRPr="00D7045C">
        <w:rPr>
          <w:rStyle w:val="StyleUnderline"/>
        </w:rPr>
        <w:t>the exploration of the limits of law and the search for new possibilities is an insightful field of in- quiry. However, the contemporary message that emerges from critical legal consciousness analysis has often resulted in the distortion of the critical arguments themselves.</w:t>
      </w:r>
      <w:r w:rsidRPr="00D7045C">
        <w:rPr>
          <w:sz w:val="14"/>
        </w:rPr>
        <w:t xml:space="preserve"> </w:t>
      </w:r>
      <w:r w:rsidRPr="00D7045C">
        <w:rPr>
          <w:rStyle w:val="StyleUnderline"/>
        </w:rPr>
        <w:t xml:space="preserve">This distortion denies the potential of legal change in order to illuminate what has yet to be achieved or even imagined. Most importantly, cooptation analysis is not unique to legal reform but can be extended to any process of social action and en- gagement. When claims of legal cooptation are compared to possible alternative forms of activism, the false necessity embedded in the contemporary story emerges - a story that privileges informal extralegal forms as transformative while assuming that a conservative tilt exists in formal legal paths. In the triangular conundrum of "law and social change," law is regularly the first to be questioned, deconstructed, and then critically dismissed. The other two components of the equation - social and change - are often presumed to be immutable and unambiguous. Understanding the limits of legal change reveals the dangers of abso- lute reliance on one system and the need, in any effort for social re- form, to contextualize the discourse, to avoid evasive, open-ended slo- gans, and to develop greater sensitivity to indirect effects and multiple courses of action. </w:t>
      </w:r>
      <w:r w:rsidRPr="00D7045C">
        <w:rPr>
          <w:rStyle w:val="Emphasis"/>
        </w:rPr>
        <w:t>Despite its weaknesses, however, law is an optimis- tic discipline. It operates both in the present and in the future. Order without law is often the privilege of the strong. Marginalized groups have used legal reform precisely because they lacked power.</w:t>
      </w:r>
      <w:r w:rsidRPr="00D7045C">
        <w:rPr>
          <w:rStyle w:val="StyleUnderline"/>
        </w:rPr>
        <w:t xml:space="preserve"> Despite limitations</w:t>
      </w:r>
      <w:r w:rsidRPr="00D7045C">
        <w:rPr>
          <w:rStyle w:val="Emphasis"/>
        </w:rPr>
        <w:t>, these groups have often successfully secured their interests through legislative and judicial victories.</w:t>
      </w:r>
      <w:r w:rsidRPr="00D7045C">
        <w:rPr>
          <w:rStyle w:val="StyleUnderline"/>
        </w:rPr>
        <w:t xml:space="preserve"> Rather than experiencing a disabling disenchantment with the legal system, we can learn from both the successes and failures of past models, with the aim of con- stantly redefining the boundaries of legal reform and making visible law's broad reach</w:t>
      </w:r>
      <w:r w:rsidRPr="00D7045C">
        <w:rPr>
          <w:sz w:val="14"/>
        </w:rPr>
        <w:t xml:space="preserve">. </w:t>
      </w:r>
    </w:p>
    <w:p w14:paraId="0B5BB291" w14:textId="08327CCA" w:rsidR="007E3F74" w:rsidRPr="00163FAF" w:rsidRDefault="007E3F74" w:rsidP="007E3F74">
      <w:pPr>
        <w:pStyle w:val="Heading4"/>
        <w:rPr>
          <w:rFonts w:cs="Times New Roman"/>
        </w:rPr>
      </w:pPr>
      <w:r w:rsidRPr="00D7045C">
        <w:rPr>
          <w:rFonts w:cs="Times New Roman"/>
        </w:rPr>
        <w:t xml:space="preserve">The Milliken decision is doctrinally indefensible—3 reasons: 1) it ducked the core issue regarding the cause of metropolitan segregation, which is </w:t>
      </w:r>
      <w:r w:rsidRPr="00D7045C">
        <w:rPr>
          <w:rFonts w:cs="Times New Roman"/>
          <w:i/>
        </w:rPr>
        <w:t xml:space="preserve">against the Court’s own rules, </w:t>
      </w:r>
      <w:r w:rsidRPr="00D7045C">
        <w:rPr>
          <w:rFonts w:cs="Times New Roman"/>
        </w:rPr>
        <w:t xml:space="preserve">2) it dishonestly conflated a crossdistrict remedy of distinct and intact sub-districts with a district-consolidation order, and 3) is the </w:t>
      </w:r>
      <w:r w:rsidRPr="00D7045C">
        <w:rPr>
          <w:rFonts w:cs="Times New Roman"/>
          <w:i/>
        </w:rPr>
        <w:t>only case in which the sovereignty of a local government limited the remedial power of a federal court</w:t>
      </w:r>
      <w:r w:rsidR="00163FAF">
        <w:rPr>
          <w:rFonts w:cs="Times New Roman"/>
        </w:rPr>
        <w:t>—it’s an undermining of constitutional values for the sake of preserving white privilege</w:t>
      </w:r>
    </w:p>
    <w:p w14:paraId="57DE1C92" w14:textId="77777777" w:rsidR="007E3F74" w:rsidRPr="00D7045C" w:rsidRDefault="007E3F74" w:rsidP="007E3F74">
      <w:r w:rsidRPr="00D7045C">
        <w:rPr>
          <w:rStyle w:val="Style13ptBold"/>
        </w:rPr>
        <w:t>Orfield 15</w:t>
      </w:r>
      <w:r w:rsidRPr="00D7045C">
        <w:t xml:space="preserve"> (Myron, “Milliken, Meredith, and Metropolitan Segregation,” UCLA Law Review, 62 UCLA L. Rev. 364, g. 409-415) KC</w:t>
      </w:r>
    </w:p>
    <w:p w14:paraId="7EFAFA35" w14:textId="77777777" w:rsidR="007E3F74" w:rsidRPr="00D7045C" w:rsidRDefault="007E3F74" w:rsidP="007E3F74">
      <w:pPr>
        <w:rPr>
          <w:rStyle w:val="Emphasis"/>
        </w:rPr>
      </w:pPr>
      <w:r w:rsidRPr="00D7045C">
        <w:rPr>
          <w:sz w:val="16"/>
        </w:rPr>
        <w:t xml:space="preserve">Since it was apparently obvious to Burger that such a ratio would cause white flight, Wright therefore did not consider white flight an important remedial consideration. Burger made no mention of the fact that Emporia was not allowed to form a separate district because the difference in the racial ratio between Emporia and the county districts would cause white flight. Moreover, Justice Burger had no idea what racial ratio the district court would require in Emporia. In cases with demographics like Greenville County, courts seldom ordered such “optimal balance” across all the schools of a district because it would intensify white flight.303 Had the flight out of Greenville County to private schools occurred, over which the law and court had far less power, it would have raised a substantively different issue than the flight from one public school district to another. Justice Burger next asserted that a remedy designed to lessen the effect of white flight required a targeted racial composition for individual schools that was prohibited racial balancing. Burger’s opinion in Swann, defined “racial balancing” as a rigid racial quota for every school that matched the racial composition of the district as a whole. In contrast, Burger had approved the use of a flexible racial ratio of 29:71 as a “starting point.” This flexible ratio is what both the district court and parties below had suggested. On remand, the district court in Milliken ordered a less than root and branch Detroit-only desegregation plan based on the finding that such a remedy would intensify the already rapid white flight in Detroit, which the Court in a opinion by Burger would affirm.304 The Court’s majority conceded that white flight was a relevant consideration to limit a court-ordered remedy, but not to expand it. Justice Powellwould later write: [An objectionable desegregation plan] accelerates the exodus to the suburbs of families able to move. The children of families remaining in the area affected by the court’s decree are denied the opportunity to be a part of an ethnically diverse student body. . . . The general quality of the schools also tends to decline when substantial elements of the community abandon them. The effects of resegregation can be even broader reaching beyond the quality of education in the inner city to the life of the entire community. When the more economically advantaged citizens leave the city, the tax base shrinks and all the city services suffer. And the students who live beyond the reach of the court decree lose the benefits of attending ethnically di- verse schools, an experience that prepares a child for citizenship in our pluralistic society.305 Further, in response to an objection that a Los Angeles-only desegregation plan (a school desegregation case not otherwise discussed in this Article) would increase white flight, Justice Rehnquist flippantly noted that he was troubled by the claim that it was necessary to consider white flight in shaping a remedy, since “it put white students much in the position of text books, visual aids, and the like—an element that every good schoolshould have.”306 </w:t>
      </w:r>
      <w:r w:rsidRPr="00D7045C">
        <w:rPr>
          <w:rStyle w:val="Emphasis"/>
        </w:rPr>
        <w:t>In Keyes, the Court held that when a local school district committed an act of segregation in a portion of the school district, it created a presumption that the entire district was illegally segregated and subject to a root and branch remedy.</w:t>
      </w:r>
      <w:r w:rsidRPr="00D7045C">
        <w:rPr>
          <w:sz w:val="16"/>
        </w:rPr>
        <w:t xml:space="preserve"> The Keyes spread assumption declared that even when a violation involved a portion of the district where only 5 to 10 percent of the students attended school, it presumptively infected the entire district, even schools miles away, in which the boundaries were seemingly set based on neutral neighborhoods criteria. </w:t>
      </w:r>
      <w:r w:rsidRPr="00D7045C">
        <w:rPr>
          <w:rStyle w:val="Emphasis"/>
        </w:rPr>
        <w:t>The repetition presumption similarly declared when illegal segregation was found in a small part of the district, other segregation, wherever it existed in the district, would be presumed to be the product of discrimination</w:t>
      </w:r>
      <w:r w:rsidRPr="00D7045C">
        <w:rPr>
          <w:rStyle w:val="StyleUnderline"/>
        </w:rPr>
        <w:t xml:space="preserve">. While </w:t>
      </w:r>
      <w:r w:rsidRPr="00D7045C">
        <w:rPr>
          <w:rStyle w:val="Emphasis"/>
        </w:rPr>
        <w:t>the court reaffirmed both of these Keyes presumptions</w:t>
      </w:r>
      <w:r w:rsidRPr="00D7045C">
        <w:rPr>
          <w:rStyle w:val="StyleUnderline"/>
        </w:rPr>
        <w:t xml:space="preserve"> in its treatment of conduct within the city of Detroit, it never explained why these evidentiary presumptions applied to the actions of a local school district, but not to the actions of a state government exercising itslegal authority across a metropolitan area.</w:t>
      </w:r>
      <w:r w:rsidRPr="00D7045C">
        <w:rPr>
          <w:sz w:val="16"/>
        </w:rPr>
        <w:t xml:space="preserve"> </w:t>
      </w:r>
      <w:r w:rsidRPr="00D7045C">
        <w:rPr>
          <w:rStyle w:val="StyleUnderline"/>
        </w:rPr>
        <w:t>Keyes used the discriminatory building of one small school intended for black students to create a system wide presumption of segregation throughout the Denver school district. In Milliken, however, the Court found the discriminatory construction of schools throughout Detroit and the state-sponsored suburban construction of schools for 400,000 white students too insignificant to trigger a region-wide presumption of discrimination on the part of the state</w:t>
      </w:r>
      <w:r w:rsidRPr="00D7045C">
        <w:rPr>
          <w:sz w:val="16"/>
        </w:rPr>
        <w:t xml:space="preserve">. </w:t>
      </w:r>
      <w:r w:rsidRPr="00D7045C">
        <w:rPr>
          <w:rStyle w:val="StyleUnderline"/>
        </w:rPr>
        <w:t>Keyes used a small number of racially discriminatory transfers to create a presumption of system-wide segregation in Denver. In Milliken, state approval or acquiescence in an enormous number of such transfers—</w:t>
      </w:r>
      <w:r w:rsidRPr="00D7045C">
        <w:rPr>
          <w:sz w:val="16"/>
        </w:rPr>
        <w:t xml:space="preserve">both within Detroit and between Detroit and its white suburbs—did not create a similar presumption of metropolitan segregation on the part of the State of Michigan. </w:t>
      </w:r>
      <w:r w:rsidRPr="00D7045C">
        <w:rPr>
          <w:rStyle w:val="StyleUnderline"/>
        </w:rPr>
        <w:t>In Keyes, the Court found the intentional segregation in the Park Hill neighborhood of Denver, where only 5 to 10 percent of the children attended schools, created a presumption that the segregation in all other parts of the city was intentional. In Milliken, the Court’s finding of intentional segregation within Detroit, where over half the region’sstudents attended school, created no similar presumption that the segregated pattern of enrollment in diverse suburban school districts was also intentional,</w:t>
      </w:r>
      <w:r w:rsidRPr="00D7045C">
        <w:rPr>
          <w:sz w:val="16"/>
        </w:rPr>
        <w:t xml:space="preserve"> </w:t>
      </w:r>
      <w:r w:rsidRPr="00D7045C">
        <w:rPr>
          <w:rStyle w:val="StyleUnderline"/>
        </w:rPr>
        <w:t>even though the Department of Health, Education and Welfare had made a finding of intentional discrimination in these suburban school districts.</w:t>
      </w:r>
      <w:r w:rsidRPr="00D7045C">
        <w:rPr>
          <w:sz w:val="16"/>
        </w:rPr>
        <w:t xml:space="preserve"> Most grievous perhaps </w:t>
      </w:r>
      <w:r w:rsidRPr="00D7045C">
        <w:rPr>
          <w:rStyle w:val="Emphasis"/>
        </w:rPr>
        <w:t>was the Court ignoring ten days of expert testimony and explicit findings of housing discrimination by the district court. Justice Burger ducked the issue</w:t>
      </w:r>
      <w:r w:rsidRPr="00D7045C">
        <w:rPr>
          <w:sz w:val="16"/>
        </w:rPr>
        <w:t xml:space="preserve">, arguing that the court of appeals had based its affirmance on the conduct of the schools and the state alone.307 Ironically, Justice Stewart’s controlling opinion stated that “[w]ere it to be shown, for example, that state officials had contributed to the separation of the races by . . . purposefully racially discriminatory use of state housing or zoning laws, then a decree calling for transfer of pupils across district lines or a restructuring of district lines might well be appropriate.”308 In response, Justice Stewart deals with the findings of housing discrimination below in a footnote, where he notes cryptically that the causes of residential segregation are “unknown and unknowable”: It is this essential fact of a predominantly Negro school population in Detroit caused by unknown and perhaps unknowable factors such as immigration, birth rates, economic changes, or cumulative acts of private racial fears that accounts for the growing core of Negro schools a core that has grown to include virtually the entire city. . . . No record has been made in this case showing that the racial composition of the Detroit public schools or the residential pattern within Detroit and in the surrounding areas were in any significant measure caused by government activity and it follows that the situation my dissenting Brothers express concern cannot serve as the predicate for the remedy adopted by the District Court and approved by the Court of Appeals.309 A few years earlier, Justice Stewart seemed less unsure about the causes of residential segregation in the United States, writing that “when racial discrimination herds men into ghettos and makes their ability to buy property turn on the color of theirskin . . .[it is a]relic ofslavery.”310 </w:t>
      </w:r>
      <w:r w:rsidRPr="00D7045C">
        <w:rPr>
          <w:rStyle w:val="Emphasis"/>
        </w:rPr>
        <w:t>It could be argued that Justice Stewart’s use of the word “significant” allowed him in a footnote to finesse the district court’s explicit findings of housing discrimination based on ten days of expert testimony</w:t>
      </w:r>
      <w:r w:rsidRPr="00D7045C">
        <w:rPr>
          <w:sz w:val="16"/>
        </w:rPr>
        <w:t xml:space="preserve">. </w:t>
      </w:r>
      <w:r w:rsidRPr="00D7045C">
        <w:rPr>
          <w:rStyle w:val="Emphasis"/>
        </w:rPr>
        <w:t xml:space="preserve">However, both liberal and conservative scholars have condemned the Court’s “willful” refusal to deal with the finding of housing discrimination </w:t>
      </w:r>
      <w:r w:rsidRPr="00D7045C">
        <w:rPr>
          <w:sz w:val="16"/>
        </w:rPr>
        <w:t>below. Justice Powell’s former law clerk, Judge (and former Professor) J. HarvieWilkinson, has written that“[i]n failing to remand to district court for findings on past housing practices or even to explain their relevance</w:t>
      </w:r>
      <w:r w:rsidRPr="00D7045C">
        <w:rPr>
          <w:rStyle w:val="Emphasis"/>
        </w:rPr>
        <w:t>, the Supreme Court failed to address the foremost cause of metropolitan segregation: precisely what Milliken v. Bradley purported to be about.</w:t>
      </w:r>
      <w:r w:rsidRPr="00D7045C">
        <w:rPr>
          <w:sz w:val="16"/>
        </w:rPr>
        <w:t xml:space="preserve">”311 </w:t>
      </w:r>
      <w:r w:rsidRPr="00D7045C">
        <w:rPr>
          <w:rStyle w:val="Emphasis"/>
        </w:rPr>
        <w:t xml:space="preserve">James Ryan, Justice Rehnquist’s former clerk, now Dean of the Harvard Graduate School of Education, calls the Court’s failure to address the housing findings below “willful </w:t>
      </w:r>
      <w:r w:rsidRPr="00D7045C">
        <w:rPr>
          <w:rStyle w:val="Emphasis"/>
          <w:strike/>
        </w:rPr>
        <w:t>blindness</w:t>
      </w:r>
      <w:r w:rsidRPr="00D7045C">
        <w:rPr>
          <w:sz w:val="16"/>
        </w:rPr>
        <w:t xml:space="preserve"> </w:t>
      </w:r>
      <w:r w:rsidRPr="00D7045C">
        <w:rPr>
          <w:rStyle w:val="Emphasis"/>
        </w:rPr>
        <w:t>ignorance</w:t>
      </w:r>
      <w:r w:rsidRPr="00D7045C">
        <w:rPr>
          <w:sz w:val="16"/>
        </w:rPr>
        <w:t xml:space="preserve">.”312 It is particularly ironic that a concurrence, which would place state action in housing segregation in the center of future school cases, ignored a detailed finding ofsuch evidence in the case before it. Supreme Court practice permits the party prevailing in the lower court to urge any ground in support of the judgment, including those rejected or ignored below.313 Had the Supreme Court felt that the alternative ground of housing discrimination had not been appropriately developed in the lower courts, it should have sent it back for full consideration. Solicitor General Robert Bork had urged such an approach in both his brief and in oral argument.314 </w:t>
      </w:r>
      <w:r w:rsidRPr="00D7045C">
        <w:rPr>
          <w:rStyle w:val="Emphasis"/>
        </w:rPr>
        <w:t>The Court’s own rules do not allow it to ignore such a critical issue altogether.</w:t>
      </w:r>
      <w:r w:rsidRPr="00D7045C">
        <w:rPr>
          <w:sz w:val="16"/>
        </w:rPr>
        <w:t xml:space="preserve"> When asked why his team did not try to reassert the finding of state housing discrimination on remand, plaintiff’s council Paul Dimond stated: “We had the clearest findings that could possibly be made on the record to satisfy the court’s standard. It was clear to us that no matter we could have proved, and no matter how much time and money we spent, this Court had foreclosed any metropolitan relief in Detroit, period.”315 </w:t>
      </w:r>
      <w:r w:rsidRPr="00D7045C">
        <w:rPr>
          <w:rStyle w:val="Emphasis"/>
        </w:rPr>
        <w:t>The actual question before the Milliken Court was whether intact local school districts and the state could be required to cooperate to protect the Fourteenth Amendment rights of black schoolchildren</w:t>
      </w:r>
      <w:r w:rsidRPr="00D7045C">
        <w:rPr>
          <w:sz w:val="16"/>
        </w:rPr>
        <w:t>. As plaintiff’s counsel Paul general public. “Stewart told his clerks that he had ridden the bus on the Charlotte and Denver cases, but Richmond was different. ‘It is where I get off,’ he said.” Dimond recounted, the issue could be reduced to the question, “</w:t>
      </w:r>
      <w:r w:rsidRPr="00D7045C">
        <w:rPr>
          <w:rStyle w:val="StyleUnderline"/>
        </w:rPr>
        <w:t>Could one black child have the right to cross the street to go to an integrated school in another school district?”</w:t>
      </w:r>
      <w:r w:rsidRPr="00D7045C">
        <w:rPr>
          <w:sz w:val="16"/>
        </w:rPr>
        <w:t xml:space="preserve">316 As noted, </w:t>
      </w:r>
      <w:r w:rsidRPr="00D7045C">
        <w:rPr>
          <w:rStyle w:val="Emphasis"/>
        </w:rPr>
        <w:t>the Milliken Court dishonestly conflated a crossdistrict remedy that required the participation of intact suburban districts with an order consolidating these districts and completely eliminating their separate identity</w:t>
      </w:r>
      <w:r w:rsidRPr="00D7045C">
        <w:rPr>
          <w:rStyle w:val="StyleUnderline"/>
        </w:rPr>
        <w:t>. Yet, even had the lower court gone this far, the record showed that local school districts in Michigan never in the state’s history had any authority to draw or alter their boundaries in any respect.</w:t>
      </w:r>
      <w:r w:rsidRPr="00D7045C">
        <w:rPr>
          <w:sz w:val="16"/>
        </w:rPr>
        <w:t xml:space="preserve"> </w:t>
      </w:r>
      <w:r w:rsidRPr="00D7045C">
        <w:rPr>
          <w:rStyle w:val="StyleUnderline"/>
        </w:rPr>
        <w:t xml:space="preserve">The only tradition that existed was that the state, and the state alone, exercised this authority exclusively. </w:t>
      </w:r>
      <w:r w:rsidRPr="00D7045C">
        <w:rPr>
          <w:rStyle w:val="Emphasis"/>
        </w:rPr>
        <w:t>In Reynolds v. Sims, 317 the Court found that the objective of the Alabama Constitution and statutes to apportion legislative districts to local governments was valid and rational. Local control was an important goal that deserved legislative representation. But when the apportionment resulted in the dilution of some citizens’ voting power and denied them equal protection of the law, it was unconstitutional. In Reynolds, the Court held that normally sacrosanct state-drawn boundaries, even rationally drawn decades before any alleged violation, and even if drawn without intent to discriminate, could not stand if they denied individual rights guaranteed by the Equal Protection Clause. In Milliken, Michigan had denied the equal protection rights of black children to attend schools free of racial discrimination. Like the individual right to an undiluted vote in Reynolds, the Court declared that such an education is “required in the performance of our most basic responsibilities,” and “the very foundation of good citizenship” and “successin life.</w:t>
      </w:r>
      <w:r w:rsidRPr="00D7045C">
        <w:rPr>
          <w:sz w:val="16"/>
        </w:rPr>
        <w:t xml:space="preserve">”318 </w:t>
      </w:r>
      <w:r w:rsidRPr="00D7045C">
        <w:rPr>
          <w:rStyle w:val="StyleUnderline"/>
        </w:rPr>
        <w:t>In Reynolds, the rational and important—but not constitutionally protected—interest in local government control had to yield to the constitutionally protected right to vote</w:t>
      </w:r>
      <w:r w:rsidRPr="00D7045C">
        <w:rPr>
          <w:rStyle w:val="Emphasis"/>
        </w:rPr>
        <w:t>. It is hard to see how</w:t>
      </w:r>
      <w:r w:rsidRPr="00D7045C">
        <w:rPr>
          <w:rStyle w:val="StyleUnderline"/>
        </w:rPr>
        <w:t xml:space="preserve"> </w:t>
      </w:r>
      <w:r w:rsidRPr="00D7045C">
        <w:rPr>
          <w:rStyle w:val="Emphasis"/>
        </w:rPr>
        <w:t>the rational and important, but not constitutionally protected, local control of school districts</w:t>
      </w:r>
      <w:r w:rsidRPr="00D7045C">
        <w:rPr>
          <w:rStyle w:val="StyleUnderline"/>
        </w:rPr>
        <w:t>—which in Michigan never actually involved the power to create or amend local boundaries—</w:t>
      </w:r>
      <w:r w:rsidRPr="00D7045C">
        <w:rPr>
          <w:rStyle w:val="Emphasis"/>
        </w:rPr>
        <w:t>would not similarly have to accommodate the rights of students to attend schools free from racial segregation</w:t>
      </w:r>
      <w:r w:rsidRPr="00D7045C">
        <w:rPr>
          <w:rStyle w:val="StyleUnderline"/>
        </w:rPr>
        <w:t xml:space="preserve"> </w:t>
      </w:r>
      <w:r w:rsidRPr="00D7045C">
        <w:rPr>
          <w:rStyle w:val="Emphasis"/>
        </w:rPr>
        <w:t>prohibited by the Fourteenth Amendment</w:t>
      </w:r>
      <w:r w:rsidRPr="00D7045C">
        <w:rPr>
          <w:sz w:val="16"/>
        </w:rPr>
        <w:t xml:space="preserve">. </w:t>
      </w:r>
      <w:r w:rsidRPr="00D7045C">
        <w:rPr>
          <w:rStyle w:val="Emphasis"/>
        </w:rPr>
        <w:t>If state boundaries could be redrawn to protect individual voting rights in spite of rational and legitimate local government interests in legislative representation, why could school districts simply be required to cooperate with each other to protect the rights of black children to attend nonracially segregated schools? The</w:t>
      </w:r>
      <w:r w:rsidRPr="00D7045C">
        <w:rPr>
          <w:sz w:val="16"/>
        </w:rPr>
        <w:t xml:space="preserve"> </w:t>
      </w:r>
      <w:r w:rsidRPr="00D7045C">
        <w:rPr>
          <w:rStyle w:val="Emphasis"/>
        </w:rPr>
        <w:t>Milliken Court could have fairly reached this conclusion by overruling Green, Swann, Keyes, and Wright. Instead, the Court chose to distort the holdings of those recently decided cases. Local government scholars today see Milliken as a politically motivated, doctrinally indefensible</w:t>
      </w:r>
      <w:r w:rsidRPr="00D7045C">
        <w:rPr>
          <w:sz w:val="16"/>
        </w:rPr>
        <w:t xml:space="preserve"> part of the Burger Court’s effort to bolster the power of local governments to resist constitutional civil rights challenges,319 or as an alternative vision of localism which focuses on the locality as a real polity, not just an arm of the state as traditional black letter doctrine describes it—“Our Localism” as Richard Briffault calls it.320 Yet even among these cases—which fail to expand protected classes, require proof of intentional discrimination to establish violations, or limit standing—</w:t>
      </w:r>
      <w:r w:rsidRPr="00D7045C">
        <w:rPr>
          <w:rStyle w:val="Emphasis"/>
        </w:rPr>
        <w:t>Milliken stands out as the only case in which both a state constitutional violation of the Fourteenth Amendment was actually established and the constitutional sovereignty of a local government limited the remedial power of a federal court.</w:t>
      </w:r>
      <w:r w:rsidRPr="00D7045C">
        <w:rPr>
          <w:sz w:val="16"/>
        </w:rPr>
        <w:t xml:space="preserve"> Attesting to Milliken’s doctrinal expediency,321 three yearslater in HoltCivic Club v. City of Tuscaloosa, 322 the Court held that residents living in an unincorporated area outside the city limits of Tuscaloosa had no right to vote in Tuscaloosa elections, even though Tuscaloosa could tax, arrest, fine, and impose penal sanctions on them for violation of municipal ordinances.323 The Court held that Tuscaloosa had a valid interest in regulating conduct outside its borders that affected its own citizens and its governmental operations.324 Justice Rehnquist noted, “Given this country’s history of popular sovereignty, appellants’ claimed right to vote . . . is not without some logical appeal.”325 Sounding eerily like Judge Roth, Rehnquist continued: All rights tend to declare themselves absolute to their logical extreme. Yet all in fact are limited by the neighborhood of principles of policy which are other than those on which the particular right is founded, and which become strong enough to hold their own when a certain point is reached. . . . The boundary at which conflicting interests balance cannot be determined by any particular formula in advance, but points in the line, or helping to establish it, are fixed by decisions that this or that concrete case falls on the nearer or farther side.326 Citing Hunter327 andReynolds, 328 the Court held that citizen control over local government authority, even when such authority involved penal sanctions, did not embody an “Austinian notion of sovereignty.”329 On the contrary, Rehnquist wrote that local governments were “administrative conveniences” or mere “techniques” of the state government.330 </w:t>
      </w:r>
      <w:r w:rsidRPr="00D7045C">
        <w:rPr>
          <w:rStyle w:val="StyleUnderline"/>
        </w:rPr>
        <w:t>Within a few years of Milliken, beginning with the Nation at Risk Report in 1983, the same political movement that extolled local control to shield white suburbs from integration embarked on a massive federal effort to wrest that same local control not only from local school boards, but also from states themselves.</w:t>
      </w:r>
      <w:r w:rsidRPr="00D7045C">
        <w:rPr>
          <w:sz w:val="16"/>
        </w:rPr>
        <w:t xml:space="preserve"> </w:t>
      </w:r>
      <w:r w:rsidRPr="00D7045C">
        <w:rPr>
          <w:rStyle w:val="Emphasis"/>
        </w:rPr>
        <w:t>The No Child Left Behind Act331 would impose a federally driven set of education standards and mandates that would profoundly limit local educational decision-making in every city and suburban public school district in the United States.</w:t>
      </w:r>
    </w:p>
    <w:p w14:paraId="57F7FFFB" w14:textId="77777777" w:rsidR="00DB70B5" w:rsidRDefault="00DB70B5" w:rsidP="00DB70B5">
      <w:pPr>
        <w:pStyle w:val="Heading4"/>
      </w:pPr>
      <w:r>
        <w:t>Constitutional values critical to fostering social progress and constitutional law spills down to grassroots mobilization; now is key—courts and constitutional law is an instrument to impede Trump’s violent politics</w:t>
      </w:r>
    </w:p>
    <w:p w14:paraId="6024336C" w14:textId="77777777" w:rsidR="00DB70B5" w:rsidRPr="00CA6B47" w:rsidRDefault="00DB70B5" w:rsidP="00DB70B5">
      <w:r w:rsidRPr="00CE7AA7">
        <w:rPr>
          <w:rStyle w:val="Style13ptBold"/>
        </w:rPr>
        <w:t>Purdy 17</w:t>
      </w:r>
      <w:r>
        <w:t xml:space="preserve"> (Jedediah, PhD, prof of law at Duke University, “Citizen Activism and the Courts,” The American Prospect, </w:t>
      </w:r>
      <w:hyperlink r:id="rId17" w:history="1">
        <w:r w:rsidRPr="00D546A2">
          <w:rPr>
            <w:rStyle w:val="Hyperlink"/>
          </w:rPr>
          <w:t>http://prospect.org/article/citizen-activism-and-courts</w:t>
        </w:r>
      </w:hyperlink>
      <w:r>
        <w:t>)KC</w:t>
      </w:r>
    </w:p>
    <w:p w14:paraId="67D59E02" w14:textId="77777777" w:rsidR="00DB70B5" w:rsidRDefault="00DB70B5" w:rsidP="00DB70B5">
      <w:r>
        <w:t xml:space="preserve">David Cole’s Engines of Liberty is a welcome corrective to a conventional way of narrating constitutional law as being the work of federal courts, especially the Supreme Court, whose justices are nerd-celebrities, internet memes, and partisan heroes or villains. Cole argues that </w:t>
      </w:r>
      <w:r w:rsidRPr="00C53920">
        <w:rPr>
          <w:rStyle w:val="StyleUnderline"/>
        </w:rPr>
        <w:t>constitutional law comes from sources that are more democratic, and more obscure, than judges.</w:t>
      </w:r>
      <w:r>
        <w:t xml:space="preserve"> It begins in the work of citizen activists, quixotic lawyers, and legal scholars willing to buck mainstream views and take unfamiliar ideas to their logical conclusions. </w:t>
      </w:r>
      <w:r w:rsidRPr="00C53920">
        <w:rPr>
          <w:rStyle w:val="Emphasis"/>
        </w:rPr>
        <w:t xml:space="preserve">If progressives hope the courts will stand in the way of Donald Trump’s enormities, </w:t>
      </w:r>
      <w:r>
        <w:t xml:space="preserve">Cole’s arguments suggest, </w:t>
      </w:r>
      <w:r w:rsidRPr="00C53920">
        <w:rPr>
          <w:rStyle w:val="Emphasis"/>
        </w:rPr>
        <w:t>they had better mobilize now for the constitutional values they hope to see judges protect in a few years</w:t>
      </w:r>
      <w:r>
        <w:t xml:space="preserve">. </w:t>
      </w:r>
      <w:r w:rsidRPr="00C53920">
        <w:rPr>
          <w:rStyle w:val="StyleUnderline"/>
        </w:rPr>
        <w:t>Cole makes his arguments by telling the background stories behind three important legal developments of the last 15 years: the Supreme Court’s embrace of same-sex marriage in 2015, its announcement of a constitutional right to individual gun possession in 2008, and its pushback against George W. Bush’s “War on Terror” in a series of cases concerning the rights of detainees and other targets of that “war.” In each instance, courts behaved surprisingly.</w:t>
      </w:r>
      <w:r>
        <w:t xml:space="preserve"> As late as 1990, Warren </w:t>
      </w:r>
      <w:r w:rsidRPr="00C53920">
        <w:rPr>
          <w:rStyle w:val="StyleUnderline"/>
        </w:rPr>
        <w:t>Burger</w:t>
      </w:r>
      <w:r>
        <w:t xml:space="preserve">, the conservative former chief justice of the Supreme Court, </w:t>
      </w:r>
      <w:r w:rsidRPr="00C53920">
        <w:rPr>
          <w:rStyle w:val="StyleUnderline"/>
        </w:rPr>
        <w:t>called the idea of constitutional right to gun possession a “fraud</w:t>
      </w:r>
      <w:r>
        <w:t xml:space="preserve">.” </w:t>
      </w:r>
      <w:r w:rsidRPr="00C53920">
        <w:rPr>
          <w:rStyle w:val="StyleUnderline"/>
        </w:rPr>
        <w:t>Most courts and constitutional scholars agreed with him.</w:t>
      </w:r>
      <w:r>
        <w:t xml:space="preserve"> </w:t>
      </w:r>
      <w:r w:rsidRPr="00C53920">
        <w:rPr>
          <w:rStyle w:val="StyleUnderline"/>
        </w:rPr>
        <w:t>Less than a decade before the Court announced a right to same-sex marriage in Obergefell v. Hodges, leading advocates for marriage equality adamantly opposed such a suit because they expected their side to lose badly.</w:t>
      </w:r>
      <w:r>
        <w:t xml:space="preserve"> </w:t>
      </w:r>
      <w:r w:rsidRPr="00C53920">
        <w:rPr>
          <w:rStyle w:val="StyleUnderline"/>
        </w:rPr>
        <w:t>Pushback against the war on terrorism is less clean-cut, but the federal courts, in times of war and perceived emergency, have often approved draconian measures</w:t>
      </w:r>
      <w:r>
        <w:t xml:space="preserve">, such as internment of Japanese Americans in World War II, imprisonment of pacifists and other radicals during World War I, and criminalization of communist activity during the Cold War. Although lawyers at the </w:t>
      </w:r>
      <w:r w:rsidRPr="00C53920">
        <w:rPr>
          <w:rStyle w:val="StyleUnderline"/>
        </w:rPr>
        <w:t>A</w:t>
      </w:r>
      <w:r>
        <w:t xml:space="preserve">merican </w:t>
      </w:r>
      <w:r w:rsidRPr="00C53920">
        <w:rPr>
          <w:rStyle w:val="StyleUnderline"/>
        </w:rPr>
        <w:t>C</w:t>
      </w:r>
      <w:r>
        <w:t xml:space="preserve">ivil </w:t>
      </w:r>
      <w:r w:rsidRPr="00C53920">
        <w:rPr>
          <w:rStyle w:val="StyleUnderline"/>
        </w:rPr>
        <w:t>L</w:t>
      </w:r>
      <w:r>
        <w:t xml:space="preserve">iberties </w:t>
      </w:r>
      <w:r w:rsidRPr="00C53920">
        <w:rPr>
          <w:rStyle w:val="StyleUnderline"/>
        </w:rPr>
        <w:t>U</w:t>
      </w:r>
      <w:r>
        <w:t xml:space="preserve">nion, the Center for Constitutional Rights, </w:t>
      </w:r>
      <w:r w:rsidRPr="00C53920">
        <w:rPr>
          <w:rStyle w:val="StyleUnderline"/>
        </w:rPr>
        <w:t>and other advocacy groups had no doubt that they needed to swing into action</w:t>
      </w:r>
      <w:r>
        <w:t xml:space="preserve"> against the Bush administration’s response to the al-Qaeda attacks of September 11, 2001, Cole tells us that they had little expectation of success. (He would know. He is now the national legal director of the ACLU, and, besides teaching at Georgetown Law School, has a long history of work as a civil-liberties lawyer.) </w:t>
      </w:r>
      <w:r w:rsidRPr="00C53920">
        <w:rPr>
          <w:rStyle w:val="StyleUnderline"/>
        </w:rPr>
        <w:t>Part of the reason so many elite lawyers and judges underestimated the changeability and surprise of constitutional law is that they took court precedents and standard legal reasoning too seriously, and put too little weight on the creativity and power of grassroots politics.</w:t>
      </w:r>
      <w:r>
        <w:t xml:space="preserve"> </w:t>
      </w:r>
      <w:r w:rsidRPr="00C53920">
        <w:rPr>
          <w:rStyle w:val="StyleUnderline"/>
        </w:rPr>
        <w:t>Advocates for same-sex marriage</w:t>
      </w:r>
      <w:r>
        <w:t xml:space="preserve"> spent many years pressing for intermediate forms of legal recognition, especially civil unions. They engaged in political campaigns for sympathy and inclusion in receptive states like Massachusetts and Vermont. </w:t>
      </w:r>
      <w:r w:rsidRPr="00C53920">
        <w:t xml:space="preserve">They </w:t>
      </w:r>
      <w:r w:rsidRPr="00C53920">
        <w:rPr>
          <w:rStyle w:val="StyleUnderline"/>
        </w:rPr>
        <w:t>tried out constitutional arguments in state courts</w:t>
      </w:r>
      <w:r>
        <w:t xml:space="preserve">, winning marriage equality in 2004 in Massachusetts (chosen partly for its liberal politics, partly because a cumbersome amendment process made it unlikely that voters would overturn the decision by changing the state constitution); </w:t>
      </w:r>
      <w:r w:rsidRPr="00C53920">
        <w:rPr>
          <w:rStyle w:val="StyleUnderline"/>
        </w:rPr>
        <w:t>the same arguments ended up carrying the day in Obergefell in 2015,</w:t>
      </w:r>
      <w:r>
        <w:t xml:space="preserve"> but almost certainly would have failed at the Supreme Court in 2004. The most important thing was that enough of the country got used to the idea that a same-sex couple’s marriage was really a marriage. With that done, it was a relatively short step to conclude that constitutional freedom and equality required legal recognition of that marriage. While marriage equality was moving from a radical goal to a constitutional guarantee, gun-rights activists were helping their favorite liberty along the same path. As Cole tells it, the National Rifle Association began its long march in 1977, concentrating on state legislatures to win laws blessing the carrying of concealed guns, guaranteeing a handgun license to most law-abiding applicants, and authorizing the notorious “stand your ground” response to perceived threats. Gun advocates also won state-constitutional rulings and amendments protecting a right to gun ownership. (Some states, such as Pennsylvania and Vermont, had protected individual rights to own guns for hunting or self-defense in their state constitutions since before the federal constitution existed.) Although the official consensus of elite lawyers and judges was still that the Second Amendment’s “right of the people to keep and bear arms” applied only in connection with service in what the amendment calls a “well regulated militia,” that view was being undercut on the ground. Gun-rights advocates also benefited from, and sometimes helped to finance, a groundswell of historical scholarship suggesting that an individual right to gun possession was a widely recognized part of founding-era legal culture, and that the Second Amendment might well have been intended to protect it even apart from militia service. Cole suggests that this scholarship, along with the increasing influence of constitutional originalism, gave five Supreme Court justices confidence in a ruling that would have been nearly unimaginable a few years earlier. The lawyerly resistance to the “War on Terror” fits Cole’s grassroots story less cleanly. As he points out, in the aftermath of September 11, there was little constituency for terror suspects. But an unrelenting series of challenges moved the Bush administration back from its original impulse to embrace torture, military tribunals with no judicial oversight, and “extraordinary rendition” of suspects to countries with more savage interrogation techniques than waterboarding. The results were mixed—today, drone assassinations and surveillance continue, and restraints on the latter owe more to Edward Snowden than to the ACLU—but </w:t>
      </w:r>
      <w:r w:rsidRPr="006E6402">
        <w:rPr>
          <w:rStyle w:val="Emphasis"/>
        </w:rPr>
        <w:t>a series of Supreme Court decisions, congressional actions, and presidential reversals brought counterterrorism policy from an extra-legal zone into a measure of procedural regularity, oversight, and transparency</w:t>
      </w:r>
      <w:r>
        <w:t xml:space="preserve">. Cole’s main points here are tactical. Without a strong domestic constituency, civil-liberties advocates built alliances with foreign governments whose citizens the United States was holding without due process, moving the terrain of advocacy from state-level grassroots work to international diplomacy. Rhetorically, they identified Bush’s policies as lawless, and appealed to courts’ sense of duty (and to that of some politicians) to defend “the rule of law” against unchecked official power. Cole argues that, when the Supreme Court asserted legal oversight of the Guantanamo prison camp, the justices were self-consciously trying to stay on the right side of history, and had in mind the notorious 1944 decision of Korematsu v. United States, which upheld Franklin Roosevelt’s internment policy. (Civil-liberties lawyers had filed a friend-of-the-court brief in the name of Fred Korematsu, whose resistance to internment lent his name to the case.) This book leads one gently toward a pair of conclusions: first, that </w:t>
      </w:r>
      <w:r w:rsidRPr="006E6402">
        <w:rPr>
          <w:rStyle w:val="Emphasis"/>
        </w:rPr>
        <w:t>constitutional law is a form of politics</w:t>
      </w:r>
      <w:r>
        <w:t>,</w:t>
      </w:r>
      <w:r w:rsidRPr="006E6402">
        <w:rPr>
          <w:rStyle w:val="Emphasis"/>
        </w:rPr>
        <w:t xml:space="preserve"> and</w:t>
      </w:r>
      <w:r>
        <w:t xml:space="preserve"> second, that </w:t>
      </w:r>
      <w:r w:rsidRPr="006E6402">
        <w:rPr>
          <w:rStyle w:val="Emphasis"/>
        </w:rPr>
        <w:t>this fact should be somewhat heartening at the present moment</w:t>
      </w:r>
      <w:r>
        <w:t xml:space="preserve">. </w:t>
      </w:r>
      <w:r w:rsidRPr="006E6402">
        <w:rPr>
          <w:rStyle w:val="Emphasis"/>
        </w:rPr>
        <w:t>Constitutional rulings move from unimaginable to possible to mainstream because of the sincere conviction and activism of the present generation</w:t>
      </w:r>
      <w:r>
        <w:t xml:space="preserve">, not because of James Madison’s design or the third alternative definition of the word “arms” in an 18th-century dictionary. </w:t>
      </w:r>
      <w:r w:rsidRPr="006E6402">
        <w:rPr>
          <w:rStyle w:val="Emphasis"/>
        </w:rPr>
        <w:t xml:space="preserve">Even originalism, </w:t>
      </w:r>
      <w:r w:rsidRPr="006E6402">
        <w:rPr>
          <w:rStyle w:val="StyleUnderline"/>
        </w:rPr>
        <w:t>whose advocates present it as an exit ramp from politicized jurisprudence</w:t>
      </w:r>
      <w:r>
        <w:t xml:space="preserve">, </w:t>
      </w:r>
      <w:r w:rsidRPr="006E6402">
        <w:rPr>
          <w:rStyle w:val="Emphasis"/>
        </w:rPr>
        <w:t>is really a form of political advocacy</w:t>
      </w:r>
      <w:r>
        <w:t xml:space="preserve">: no NRA, no new Second Amendment law, never mind what a few law professors might dig up in the historical archives. Although </w:t>
      </w:r>
      <w:r w:rsidRPr="006E6402">
        <w:rPr>
          <w:rStyle w:val="Emphasis"/>
        </w:rPr>
        <w:t>Cole</w:t>
      </w:r>
      <w:r>
        <w:t xml:space="preserve">’s book appeared just as Donald Trump was emerging as the candidate to beat in the 2016 Republican primaries, and so is written for the ever-receding world of Hillary Clinton and Jeb Bush, it </w:t>
      </w:r>
      <w:r w:rsidRPr="006E6402">
        <w:rPr>
          <w:rStyle w:val="Emphasis"/>
        </w:rPr>
        <w:t>speaks to the many everyday people who raced to airports to protest the Trump administration’s travel ban, who began phoning representatives daily or showing up at town-hall meetings, and who generally feel that their country is at stake in the next four years</w:t>
      </w:r>
      <w:r>
        <w:t xml:space="preserve">. </w:t>
      </w:r>
      <w:r w:rsidRPr="006E6402">
        <w:rPr>
          <w:rStyle w:val="StyleUnderline"/>
        </w:rPr>
        <w:t>That feeling is part of what marks constitutional politics</w:t>
      </w:r>
      <w:r>
        <w:t xml:space="preserve">, whether it belongs to the Tea Party or to mobilized progressives. If Cole’s argument holds, these protests, along with a lot of other organizing and legal advocacy, will help to decide whether the federal courts go along with Trump’s nationalist attacks on civil liberties and basic legal protections, or defend and even expand the rights of dissenters and noncitizens. Besides their political relevance and civic usefulness, Cole’s stories translate more than a decade of groundbreaking work by other legal scholars. In 2004, Larry Kramer, a legal historian, published The People Themselves, a study of the role of popular politics and direct mobilization in shaping and enforcing constitutional law. Since then, leading constitutional theorists have doubled as students of social movements and organizing strategies, producing illuminating studies of the constitutional politics of originalism, gun rights, marriage equality, and much more. </w:t>
      </w:r>
      <w:r w:rsidRPr="006E6402">
        <w:rPr>
          <w:rStyle w:val="Emphasis"/>
        </w:rPr>
        <w:t>The study and practice of law are infused</w:t>
      </w:r>
      <w:r>
        <w:t xml:space="preserve"> these days </w:t>
      </w:r>
      <w:r w:rsidRPr="006E6402">
        <w:rPr>
          <w:rStyle w:val="Emphasis"/>
        </w:rPr>
        <w:t>with</w:t>
      </w:r>
      <w:r>
        <w:t xml:space="preserve"> the kind of </w:t>
      </w:r>
      <w:r w:rsidRPr="006E6402">
        <w:rPr>
          <w:rStyle w:val="Emphasis"/>
        </w:rPr>
        <w:t>political self-consciousness</w:t>
      </w:r>
      <w:r>
        <w:t xml:space="preserve"> that Cole celebrates. </w:t>
      </w:r>
    </w:p>
    <w:p w14:paraId="64B87F0B" w14:textId="63B12245" w:rsidR="00E4150E" w:rsidRPr="00D7045C" w:rsidRDefault="00E4150E" w:rsidP="00E4150E">
      <w:pPr>
        <w:pStyle w:val="Heading4"/>
        <w:rPr>
          <w:rFonts w:cs="Times New Roman"/>
        </w:rPr>
      </w:pPr>
      <w:r w:rsidRPr="00D7045C">
        <w:rPr>
          <w:rFonts w:cs="Times New Roman"/>
        </w:rPr>
        <w:t xml:space="preserve">Legal empowerment is an effective vehicle for social change and addressing injustice—just the </w:t>
      </w:r>
      <w:r w:rsidRPr="00D7045C">
        <w:rPr>
          <w:rFonts w:cs="Times New Roman"/>
          <w:i/>
        </w:rPr>
        <w:t xml:space="preserve">perception </w:t>
      </w:r>
      <w:r w:rsidRPr="00D7045C">
        <w:rPr>
          <w:rFonts w:cs="Times New Roman"/>
        </w:rPr>
        <w:t xml:space="preserve">of justice through the law promotes political activism </w:t>
      </w:r>
      <w:r w:rsidR="00FB1CBD">
        <w:rPr>
          <w:rFonts w:cs="Times New Roman"/>
        </w:rPr>
        <w:t>and spills down to strengthen grassroots movements</w:t>
      </w:r>
    </w:p>
    <w:p w14:paraId="14EEC42E" w14:textId="77777777" w:rsidR="00E4150E" w:rsidRPr="00D7045C" w:rsidRDefault="00E4150E" w:rsidP="00E4150E">
      <w:r w:rsidRPr="00D7045C">
        <w:rPr>
          <w:rStyle w:val="Style13ptBold"/>
        </w:rPr>
        <w:t>Maru 10</w:t>
      </w:r>
      <w:r w:rsidRPr="00D7045C">
        <w:t xml:space="preserve"> (Vivek, CEO at Namati: Innovations in Legal Empowerment, “Social accountability and legal empowerment,” Health and Human Rights, Vol. 12, No. 1 (June 2010), </w:t>
      </w:r>
      <w:hyperlink r:id="rId18" w:history="1">
        <w:r w:rsidRPr="00D7045C">
          <w:rPr>
            <w:rStyle w:val="Hyperlink"/>
          </w:rPr>
          <w:t>http://www.jstor.org/stable/healhumarigh.12.1.83</w:t>
        </w:r>
      </w:hyperlink>
      <w:r w:rsidRPr="00D7045C">
        <w:t>, pp. 83-93)KC</w:t>
      </w:r>
    </w:p>
    <w:p w14:paraId="26E8E3DE" w14:textId="7FE4BB36" w:rsidR="00E4150E" w:rsidRDefault="00E4150E" w:rsidP="00E4150E">
      <w:pPr>
        <w:rPr>
          <w:sz w:val="14"/>
        </w:rPr>
      </w:pPr>
      <w:r w:rsidRPr="00D7045C">
        <w:rPr>
          <w:rStyle w:val="StyleUnderline"/>
        </w:rPr>
        <w:t>Legal empowerment efforts seek to demonstrate</w:t>
      </w:r>
      <w:r w:rsidRPr="00324CE2">
        <w:rPr>
          <w:sz w:val="14"/>
        </w:rPr>
        <w:t xml:space="preserve">, case by case, </w:t>
      </w:r>
      <w:r w:rsidRPr="00D7045C">
        <w:rPr>
          <w:rStyle w:val="StyleUnderline"/>
        </w:rPr>
        <w:t xml:space="preserve">that even in environments accustomed to arbitrariness and unfairness, </w:t>
      </w:r>
      <w:r w:rsidRPr="00D7045C">
        <w:rPr>
          <w:rStyle w:val="Emphasis"/>
        </w:rPr>
        <w:t xml:space="preserve">justice is possible. </w:t>
      </w:r>
      <w:r w:rsidRPr="00D7045C">
        <w:rPr>
          <w:rStyle w:val="StyleUnderline"/>
        </w:rPr>
        <w:t xml:space="preserve">Injustice is interpreted to include intra-community disputes as well as problems and abuses that arise health and human rights in practice between citizens and traditional authorities, between citizens and state institutions, and between citizens and private firms. Legal empowerment organizations by no means win every battle they take on, and the remedies they do reach are incremental improvements on the status quo rather than pure moral victories. </w:t>
      </w:r>
      <w:r w:rsidRPr="00D7045C">
        <w:rPr>
          <w:rStyle w:val="Emphasis"/>
        </w:rPr>
        <w:t>But above all else, an organization’s judgment of its own performance, and the trust it receives from communities, rests on its capacity to achieve concrete solutions to instances of injustice</w:t>
      </w:r>
      <w:r w:rsidRPr="00324CE2">
        <w:rPr>
          <w:sz w:val="14"/>
        </w:rPr>
        <w:t xml:space="preserve">. </w:t>
      </w:r>
      <w:r w:rsidRPr="00D7045C">
        <w:rPr>
          <w:rStyle w:val="StyleUnderline"/>
        </w:rPr>
        <w:t>Open-ended awareness raising, or advocacy for large-scale political change</w:t>
      </w:r>
      <w:r w:rsidRPr="00324CE2">
        <w:rPr>
          <w:sz w:val="14"/>
        </w:rPr>
        <w:t xml:space="preserve">, say, </w:t>
      </w:r>
      <w:r w:rsidRPr="00D7045C">
        <w:rPr>
          <w:rStyle w:val="StyleUnderline"/>
        </w:rPr>
        <w:t>are both important tools but not in themselves sufficient.</w:t>
      </w:r>
      <w:r w:rsidRPr="00324CE2">
        <w:rPr>
          <w:sz w:val="14"/>
        </w:rPr>
        <w:t xml:space="preserve"> </w:t>
      </w:r>
      <w:r w:rsidRPr="00D7045C">
        <w:rPr>
          <w:rStyle w:val="Emphasis"/>
        </w:rPr>
        <w:t xml:space="preserve">It is the solving of people’s daily problems that defines </w:t>
      </w:r>
      <w:r w:rsidRPr="00324CE2">
        <w:rPr>
          <w:sz w:val="14"/>
        </w:rPr>
        <w:t xml:space="preserve">the grassroots practice of </w:t>
      </w:r>
      <w:r w:rsidRPr="00D7045C">
        <w:rPr>
          <w:rStyle w:val="Emphasis"/>
        </w:rPr>
        <w:t>legal empowerment</w:t>
      </w:r>
      <w:r w:rsidRPr="00324CE2">
        <w:rPr>
          <w:sz w:val="14"/>
        </w:rPr>
        <w:t xml:space="preserve">: a mother receives support for her children from their hitherto derelict father; a community association succeeds in advocating with local government for repair of a dangerous broken bridge; a school is required to stop using its students for forced farm labor; a wrongfully detained juvenile is released; a group of farmers receives compensation from the mining company that damaged the farmers’ land. A combination of litigation and high-level advocacy with more flexible, grassroots tools A wide set of tools — including community education, organizing, local advocacy, and mediation — allows for constructive and cost-effective solutions, while the sparing, strategic use of litigation and highlevel advocacy backs frontline efforts with greater power of enforcement. </w:t>
      </w:r>
      <w:r w:rsidRPr="00D7045C">
        <w:rPr>
          <w:rStyle w:val="Emphasis"/>
        </w:rPr>
        <w:t>The credible threat of litigation lends weight to the advocacy of frontline workers.</w:t>
      </w:r>
      <w:r w:rsidRPr="00324CE2">
        <w:rPr>
          <w:sz w:val="14"/>
        </w:rPr>
        <w:t xml:space="preserve"> </w:t>
      </w:r>
      <w:r w:rsidRPr="00D7045C">
        <w:rPr>
          <w:rStyle w:val="StyleUnderline"/>
        </w:rPr>
        <w:t>This is the case even in a state like Sierra Leone, where the courts are significantly dysfunctional</w:t>
      </w:r>
      <w:r w:rsidRPr="00324CE2">
        <w:rPr>
          <w:sz w:val="14"/>
        </w:rPr>
        <w:t xml:space="preserve">. A pragmatic, synthetic approach to plural legal systems A legal missionary outlook toward traditional institutions is not uncommon among human rights advocates: the aspiration to banish traditional darkness with modern legal light. This </w:t>
      </w:r>
      <w:r w:rsidRPr="00D7045C">
        <w:rPr>
          <w:rStyle w:val="StyleUnderline"/>
        </w:rPr>
        <w:t>contempt of traditional institutions and norms makes as little sense as sanguine romanticization</w:t>
      </w:r>
      <w:r w:rsidRPr="00324CE2">
        <w:rPr>
          <w:sz w:val="14"/>
        </w:rPr>
        <w:t xml:space="preserve">. In most cases I would argue for </w:t>
      </w:r>
      <w:r w:rsidRPr="00D7045C">
        <w:rPr>
          <w:rStyle w:val="Emphasis"/>
        </w:rPr>
        <w:t>engaging and respecting both traditional and modern legal regimes</w:t>
      </w:r>
      <w:r w:rsidRPr="00324CE2">
        <w:rPr>
          <w:sz w:val="14"/>
        </w:rPr>
        <w:t xml:space="preserve">, for building bridges between them, and for advocating for the positive evolution of each. </w:t>
      </w:r>
    </w:p>
    <w:p w14:paraId="05423193" w14:textId="77777777" w:rsidR="00DD05B3" w:rsidRPr="00D7045C" w:rsidRDefault="00DD05B3" w:rsidP="00DD05B3">
      <w:pPr>
        <w:pStyle w:val="Heading3"/>
        <w:rPr>
          <w:rFonts w:cs="Times New Roman"/>
        </w:rPr>
      </w:pPr>
      <w:r w:rsidRPr="00D7045C">
        <w:rPr>
          <w:rFonts w:cs="Times New Roman"/>
        </w:rPr>
        <w:t>1AC – Legitimacy Advantage</w:t>
      </w:r>
    </w:p>
    <w:p w14:paraId="57747F69" w14:textId="77777777" w:rsidR="00DD05B3" w:rsidRPr="00D7045C" w:rsidRDefault="00DD05B3" w:rsidP="00DD05B3">
      <w:pPr>
        <w:pStyle w:val="Heading4"/>
        <w:rPr>
          <w:rFonts w:cs="Times New Roman"/>
        </w:rPr>
      </w:pPr>
      <w:r w:rsidRPr="00D7045C">
        <w:rPr>
          <w:rFonts w:cs="Times New Roman"/>
        </w:rPr>
        <w:t xml:space="preserve">First is public </w:t>
      </w:r>
      <w:r w:rsidRPr="00D7045C">
        <w:rPr>
          <w:rFonts w:cs="Times New Roman"/>
          <w:i/>
          <w:u w:val="single"/>
        </w:rPr>
        <w:t>opinion</w:t>
      </w:r>
      <w:r w:rsidRPr="00D7045C">
        <w:rPr>
          <w:rFonts w:cs="Times New Roman"/>
        </w:rPr>
        <w:t xml:space="preserve"> -- </w:t>
      </w:r>
    </w:p>
    <w:p w14:paraId="2B48C307" w14:textId="77777777" w:rsidR="00DD05B3" w:rsidRPr="00D7045C" w:rsidRDefault="00DD05B3" w:rsidP="00DD05B3">
      <w:pPr>
        <w:pStyle w:val="Heading4"/>
        <w:rPr>
          <w:rFonts w:cs="Times New Roman"/>
        </w:rPr>
      </w:pPr>
      <w:r w:rsidRPr="00D7045C">
        <w:rPr>
          <w:rFonts w:cs="Times New Roman"/>
        </w:rPr>
        <w:t>Supreme Court decisions heavily influence public opinion and legitimacy – media and ACA proves</w:t>
      </w:r>
    </w:p>
    <w:p w14:paraId="216E9BE4" w14:textId="77777777" w:rsidR="00DD05B3" w:rsidRPr="00D7045C" w:rsidRDefault="00DD05B3" w:rsidP="00DD05B3">
      <w:pPr>
        <w:rPr>
          <w:rStyle w:val="Style13ptBold"/>
        </w:rPr>
      </w:pPr>
      <w:r w:rsidRPr="00D7045C">
        <w:rPr>
          <w:rStyle w:val="Style13ptBold"/>
        </w:rPr>
        <w:t>Linos et al 17</w:t>
      </w:r>
      <w:r w:rsidRPr="00D7045C">
        <w:rPr>
          <w:rStyle w:val="Style13ptBold"/>
          <w:sz w:val="22"/>
        </w:rPr>
        <w:t xml:space="preserve"> </w:t>
      </w:r>
      <w:r w:rsidRPr="00D7045C">
        <w:rPr>
          <w:sz w:val="18"/>
        </w:rPr>
        <w:t xml:space="preserve">(Katerina, Berkeley Law School, Kimberly Twist, Ph.D. in 2015 from the Travers Department of Political Science at the University of California, Berkeley, “Controversial Supreme Court decisions change public opinion — in part because the media mostly report on them uncritically”, https://www.washingtonpost.com/news/monkey-cage/wp/2017/06/28/controversial-supreme-court-decisions-change-public-opinion-in-part-because-the-media-mostly-report-on-them-uncritically/?utm_term=.bd2039a7087d) </w:t>
      </w:r>
      <w:r w:rsidRPr="00D7045C">
        <w:t>DGA</w:t>
      </w:r>
    </w:p>
    <w:p w14:paraId="2B5F4415" w14:textId="77777777" w:rsidR="00DD05B3" w:rsidRPr="00D7045C" w:rsidRDefault="00DD05B3" w:rsidP="00DD05B3">
      <w:pPr>
        <w:rPr>
          <w:sz w:val="14"/>
        </w:rPr>
      </w:pPr>
      <w:r w:rsidRPr="00D7045C">
        <w:rPr>
          <w:sz w:val="14"/>
        </w:rPr>
        <w:t xml:space="preserve">This week the Supreme Court announced its most controversial decision of the year, allowing parts of President Trump’s immigration ban to go into effect and inviting oral arguments in the fall. How might this decision affect public support for the president’s ban, and for his immigration agenda? In a recent article in the </w:t>
      </w:r>
      <w:r w:rsidRPr="00D7045C">
        <w:rPr>
          <w:rStyle w:val="StyleUnderline"/>
        </w:rPr>
        <w:t>Journal of Legal Studies</w:t>
      </w:r>
      <w:r w:rsidRPr="00D7045C">
        <w:rPr>
          <w:sz w:val="14"/>
        </w:rPr>
        <w:t xml:space="preserve">, we </w:t>
      </w:r>
      <w:r w:rsidRPr="00D7045C">
        <w:rPr>
          <w:rStyle w:val="StyleUnderline"/>
        </w:rPr>
        <w:t>found that Supreme Court rulings can affect how ordinary Americans perceive the issues under consideration in those rulings</w:t>
      </w:r>
      <w:r w:rsidRPr="00D7045C">
        <w:rPr>
          <w:sz w:val="14"/>
        </w:rPr>
        <w:t xml:space="preserve">. Why? </w:t>
      </w:r>
      <w:r w:rsidRPr="00D7045C">
        <w:rPr>
          <w:rStyle w:val="StyleUnderline"/>
        </w:rPr>
        <w:t>Because of the news media</w:t>
      </w:r>
      <w:r w:rsidRPr="00D7045C">
        <w:rPr>
          <w:sz w:val="14"/>
        </w:rPr>
        <w:t xml:space="preserve">. </w:t>
      </w:r>
      <w:r w:rsidRPr="00D7045C">
        <w:rPr>
          <w:rStyle w:val="StyleUnderline"/>
        </w:rPr>
        <w:t xml:space="preserve">Justices keep their distance from the public. The news media interpret for them. </w:t>
      </w:r>
      <w:r w:rsidRPr="00D7045C">
        <w:rPr>
          <w:sz w:val="14"/>
        </w:rPr>
        <w:t xml:space="preserve">Unlike presidents or members of Congress, </w:t>
      </w:r>
      <w:r w:rsidRPr="00D7045C">
        <w:rPr>
          <w:rStyle w:val="StyleUnderline"/>
        </w:rPr>
        <w:t>justices do not speak directly to the public. Their decisions pass through media outlets, which must decide how to explain them. Therefore, the messages used by media,</w:t>
      </w:r>
      <w:r w:rsidRPr="00D7045C">
        <w:rPr>
          <w:sz w:val="14"/>
        </w:rPr>
        <w:t xml:space="preserve"> and television news in particular</w:t>
      </w:r>
      <w:r w:rsidRPr="00D7045C">
        <w:rPr>
          <w:rStyle w:val="StyleUnderline"/>
        </w:rPr>
        <w:t>, have tremendous ability to shape how Americans respond to the Supreme Court</w:t>
      </w:r>
      <w:r w:rsidRPr="00D7045C">
        <w:rPr>
          <w:sz w:val="14"/>
        </w:rPr>
        <w:t>. And media outlets tend to be far more deferential in reporting on court decisions than when reporting on Congress or the presidency</w:t>
      </w:r>
      <w:r w:rsidRPr="00D7045C">
        <w:rPr>
          <w:rStyle w:val="StyleUnderline"/>
        </w:rPr>
        <w:t>. They often treat a court decision as the final word, rather than the beginning of a debate.</w:t>
      </w:r>
      <w:r w:rsidRPr="00D7045C">
        <w:rPr>
          <w:sz w:val="14"/>
        </w:rPr>
        <w:t xml:space="preserve"> </w:t>
      </w:r>
      <w:r w:rsidRPr="00D7045C">
        <w:rPr>
          <w:rStyle w:val="StyleUnderline"/>
        </w:rPr>
        <w:t>The ruling temporarily allows the administration to ban travelers from six mostly-Muslim countries from entering the country</w:t>
      </w:r>
      <w:r w:rsidRPr="00D7045C">
        <w:rPr>
          <w:sz w:val="14"/>
        </w:rPr>
        <w:t xml:space="preserve"> — unless those travelers have a “bona fide” connection to some person or entity in the United States, such as a family member or a job. The news media could cover this in many ways. For example, they could portray the ruling as a victory for the administration, as a win for families looking to be reunited, as a question of national security or as an issue of fundamental rights. To understand how the news media report on the Supreme Court, we examined how evening news programs covered aspects of two 2012 Supreme Court rulings: the Affordable Care Act’s individual mandate, under consideration in National Federation of Independent Business v. Sebelius, and the controversial “show your papers” provision of Arizona’s immigration law, Senate Bill 10170, under consideration in Arizona v. United States. The six networks in our study were ABC, CBS, CNN, Fox News, MSNBC, and NBC. We coded the extent to which these programs included messages — whether from hosts, guests, or politicians — that supported or criticized the majority opinions. Support included discussion about, for example, how the individual mandate would decrease the number of uninsured Americans or how the “show your papers” law could help keep the border secure. Criticism included discussion about the individual mandate as a tax or how the Arizona law could increase discriminatory racial profiling. Here’s what was striking: The networks largely — or almost exclusively — conveyed support for these court rulings. Of the 12 evening news programs in our study — two decisions, each reported on by six networks — nearly half covered the rulings with one-sided support, while the rest divided their coverage more evenly between support and criticism. Not once did we find one-sided negative coverage. Even when Fox covered the Obamacare decision, and when MSNBC covered the Arizona decision, each featured some arguments that supported the court majority. </w:t>
      </w:r>
      <w:r w:rsidRPr="00D7045C">
        <w:rPr>
          <w:rStyle w:val="StyleUnderline"/>
        </w:rPr>
        <w:t>To answer how coverage affected public opinion, we paired this media study with a two-wave nationally representative survey. A few weeks before each ruling and in the days afterward, we asked respondents how strongly they supported or opposed the ACA’s individual mandate or the Arizona “papers” provision. We also asked respondents which evening news programs they watched, to see how those</w:t>
      </w:r>
      <w:r w:rsidRPr="00D7045C">
        <w:rPr>
          <w:sz w:val="14"/>
        </w:rPr>
        <w:t xml:space="preserve"> outlets’ media coverage </w:t>
      </w:r>
      <w:r w:rsidRPr="00D7045C">
        <w:rPr>
          <w:rStyle w:val="StyleUnderline"/>
        </w:rPr>
        <w:t>shifted public opinion</w:t>
      </w:r>
      <w:r w:rsidRPr="00D7045C">
        <w:rPr>
          <w:sz w:val="14"/>
        </w:rPr>
        <w:t xml:space="preserve">. Because viewers choose their news outlets, we coupled this research with an experiment in which we randomly assigned supportive and critical messages. Viewers who watched networks that covered the decisions supportively were likely to increase their support of the provisions. Viewers who watched networks that offered mixed coverage did not change their minds. </w:t>
      </w:r>
      <w:r w:rsidRPr="00D7045C">
        <w:rPr>
          <w:rStyle w:val="StyleUnderline"/>
        </w:rPr>
        <w:t>Those effects are significant.</w:t>
      </w:r>
      <w:r w:rsidRPr="00D7045C">
        <w:rPr>
          <w:rStyle w:val="Emphasis"/>
        </w:rPr>
        <w:t xml:space="preserve"> Immediately after the court’s ACA ruling, support for the individual mandate jumped from 29 to 35 percent among our respondents, who were representative of the U.S. population</w:t>
      </w:r>
      <w:r w:rsidRPr="00D7045C">
        <w:rPr>
          <w:sz w:val="14"/>
        </w:rPr>
        <w:t>. That jump was even bigger among those who saw only supportive coverage.</w:t>
      </w:r>
    </w:p>
    <w:p w14:paraId="00C3B3B2" w14:textId="77777777" w:rsidR="00DD05B3" w:rsidRPr="00D7045C" w:rsidRDefault="00DD05B3" w:rsidP="00DD05B3">
      <w:pPr>
        <w:pStyle w:val="NoSpacing"/>
      </w:pPr>
    </w:p>
    <w:p w14:paraId="6ED173E0" w14:textId="77777777" w:rsidR="00DD05B3" w:rsidRPr="00D7045C" w:rsidRDefault="00DD05B3" w:rsidP="00DD05B3">
      <w:pPr>
        <w:pStyle w:val="Heading4"/>
        <w:rPr>
          <w:rFonts w:cs="Times New Roman"/>
        </w:rPr>
      </w:pPr>
      <w:r w:rsidRPr="00D7045C">
        <w:rPr>
          <w:rFonts w:cs="Times New Roman"/>
        </w:rPr>
        <w:t xml:space="preserve">Courts can influence public opinion and create tangible social change </w:t>
      </w:r>
    </w:p>
    <w:p w14:paraId="74574BC3" w14:textId="77777777" w:rsidR="00DD05B3" w:rsidRPr="00D7045C" w:rsidRDefault="00DD05B3" w:rsidP="00DD05B3">
      <w:r w:rsidRPr="00D7045C">
        <w:rPr>
          <w:rStyle w:val="Style13ptBold"/>
        </w:rPr>
        <w:t xml:space="preserve">Schauer 17 </w:t>
      </w:r>
      <w:r w:rsidRPr="00D7045C">
        <w:t>(Frederick, Distinguished Professor of Law, University of Virginia, “The Supreme Court as a Public Educator?”, University of Colorado Law Review, p. 336-338) AY</w:t>
      </w:r>
    </w:p>
    <w:p w14:paraId="54027917" w14:textId="77777777" w:rsidR="00DD05B3" w:rsidRPr="00D7045C" w:rsidRDefault="00DD05B3" w:rsidP="00DD05B3">
      <w:pPr>
        <w:rPr>
          <w:sz w:val="16"/>
        </w:rPr>
      </w:pPr>
      <w:r w:rsidRPr="00D7045C">
        <w:rPr>
          <w:sz w:val="16"/>
        </w:rPr>
        <w:t xml:space="preserve">According to the conventional wisdom, </w:t>
      </w:r>
      <w:r w:rsidRPr="00D7045C">
        <w:rPr>
          <w:u w:val="single"/>
        </w:rPr>
        <w:t>too much of a focus on compliance</w:t>
      </w:r>
      <w:r w:rsidRPr="00D7045C">
        <w:rPr>
          <w:sz w:val="16"/>
        </w:rPr>
        <w:t xml:space="preserve"> (or non-compliance) </w:t>
      </w:r>
      <w:r w:rsidRPr="00D7045C">
        <w:rPr>
          <w:u w:val="single"/>
        </w:rPr>
        <w:t xml:space="preserve">may still represent an excessively narrow preoccupation with </w:t>
      </w:r>
      <w:r w:rsidRPr="00D7045C">
        <w:rPr>
          <w:i/>
          <w:iCs/>
          <w:u w:val="single"/>
        </w:rPr>
        <w:t xml:space="preserve">direct </w:t>
      </w:r>
      <w:r w:rsidRPr="00D7045C">
        <w:rPr>
          <w:u w:val="single"/>
        </w:rPr>
        <w:t xml:space="preserve">behavioral compliance and consequently ignore the way in which law and judicial opinions can and do change public attitudes </w:t>
      </w:r>
      <w:r w:rsidRPr="00D7045C">
        <w:rPr>
          <w:sz w:val="16"/>
        </w:rPr>
        <w:t xml:space="preserve">about the topics that law chooses to address. </w:t>
      </w:r>
      <w:r w:rsidRPr="00D7045C">
        <w:rPr>
          <w:u w:val="single"/>
        </w:rPr>
        <w:t>Thus it is sometimes claimed that the Supreme Court, to take the most salient example of a court whose decisions are thought to influence public opinion more generally, acts as a moral and social educator</w:t>
      </w:r>
      <w:r w:rsidRPr="00D7045C">
        <w:rPr>
          <w:sz w:val="16"/>
        </w:rPr>
        <w:t>.</w:t>
      </w:r>
      <w:r w:rsidRPr="00D7045C">
        <w:rPr>
          <w:sz w:val="16"/>
          <w:szCs w:val="24"/>
        </w:rPr>
        <w:t xml:space="preserve"> </w:t>
      </w:r>
      <w:r w:rsidRPr="00D7045C">
        <w:rPr>
          <w:sz w:val="16"/>
          <w:szCs w:val="16"/>
        </w:rPr>
        <w:t xml:space="preserve">21 </w:t>
      </w:r>
      <w:r w:rsidRPr="00D7045C">
        <w:rPr>
          <w:sz w:val="16"/>
        </w:rPr>
        <w:t xml:space="preserve">The authority and prestige of the Court, coupled with the visibility of its rulings, can have what we might call a propaganda effect, but without the pejorative connotations of that word. </w:t>
      </w:r>
      <w:r w:rsidRPr="00D7045C">
        <w:rPr>
          <w:u w:val="single"/>
        </w:rPr>
        <w:t xml:space="preserve">Thus, it is often asserted that cases like </w:t>
      </w:r>
      <w:r w:rsidRPr="00D7045C">
        <w:rPr>
          <w:i/>
          <w:iCs/>
          <w:u w:val="single"/>
        </w:rPr>
        <w:t xml:space="preserve">Brown </w:t>
      </w:r>
      <w:r w:rsidRPr="00D7045C">
        <w:rPr>
          <w:u w:val="single"/>
        </w:rPr>
        <w:t>have had the effect of helping to change people's views not only about school integration, but also about race in general.</w:t>
      </w:r>
      <w:r w:rsidRPr="00D7045C">
        <w:rPr>
          <w:sz w:val="24"/>
          <w:szCs w:val="24"/>
          <w:u w:val="single"/>
        </w:rPr>
        <w:t xml:space="preserve"> </w:t>
      </w:r>
      <w:r w:rsidRPr="00D7045C">
        <w:rPr>
          <w:u w:val="single"/>
        </w:rPr>
        <w:t xml:space="preserve">More recently, it has been argued that Supreme Court decisions </w:t>
      </w:r>
      <w:r w:rsidRPr="00D7045C">
        <w:rPr>
          <w:sz w:val="16"/>
        </w:rPr>
        <w:t xml:space="preserve">such as </w:t>
      </w:r>
      <w:r w:rsidRPr="00D7045C">
        <w:rPr>
          <w:i/>
          <w:iCs/>
          <w:sz w:val="16"/>
        </w:rPr>
        <w:t>Romer v. Evans,</w:t>
      </w:r>
      <w:r w:rsidRPr="00D7045C">
        <w:rPr>
          <w:sz w:val="16"/>
          <w:szCs w:val="24"/>
        </w:rPr>
        <w:t xml:space="preserve"> </w:t>
      </w:r>
      <w:r w:rsidRPr="00D7045C">
        <w:rPr>
          <w:i/>
          <w:iCs/>
          <w:sz w:val="16"/>
          <w:szCs w:val="16"/>
        </w:rPr>
        <w:t xml:space="preserve">23 </w:t>
      </w:r>
      <w:r w:rsidRPr="00D7045C">
        <w:rPr>
          <w:i/>
          <w:iCs/>
          <w:sz w:val="16"/>
        </w:rPr>
        <w:t>Lawrence v. Texas,</w:t>
      </w:r>
      <w:r w:rsidRPr="00D7045C">
        <w:rPr>
          <w:sz w:val="16"/>
          <w:szCs w:val="24"/>
        </w:rPr>
        <w:t xml:space="preserve"> </w:t>
      </w:r>
      <w:r w:rsidRPr="00D7045C">
        <w:rPr>
          <w:i/>
          <w:iCs/>
          <w:sz w:val="16"/>
          <w:szCs w:val="16"/>
        </w:rPr>
        <w:t xml:space="preserve">24 </w:t>
      </w:r>
      <w:r w:rsidRPr="00D7045C">
        <w:rPr>
          <w:i/>
          <w:iCs/>
          <w:sz w:val="16"/>
        </w:rPr>
        <w:t>United States v. Windsor,</w:t>
      </w:r>
      <w:r w:rsidRPr="00D7045C">
        <w:rPr>
          <w:sz w:val="16"/>
          <w:szCs w:val="24"/>
        </w:rPr>
        <w:t xml:space="preserve"> </w:t>
      </w:r>
      <w:r w:rsidRPr="00D7045C">
        <w:rPr>
          <w:i/>
          <w:iCs/>
          <w:sz w:val="16"/>
          <w:szCs w:val="16"/>
        </w:rPr>
        <w:t xml:space="preserve">25 </w:t>
      </w:r>
      <w:r w:rsidRPr="00D7045C">
        <w:rPr>
          <w:sz w:val="16"/>
        </w:rPr>
        <w:t xml:space="preserve">and, most recently, </w:t>
      </w:r>
      <w:r w:rsidRPr="00D7045C">
        <w:rPr>
          <w:i/>
          <w:iCs/>
          <w:sz w:val="16"/>
        </w:rPr>
        <w:t>Obergefell v. Hodges,</w:t>
      </w:r>
      <w:r w:rsidRPr="00D7045C">
        <w:rPr>
          <w:sz w:val="16"/>
          <w:szCs w:val="24"/>
        </w:rPr>
        <w:t xml:space="preserve"> </w:t>
      </w:r>
      <w:r w:rsidRPr="00D7045C">
        <w:rPr>
          <w:u w:val="single"/>
        </w:rPr>
        <w:t>have played a substantial causal role in making the population at large more accepting of a wide variety of non-traditional sexual orientations.</w:t>
      </w:r>
      <w:r w:rsidRPr="00D7045C">
        <w:rPr>
          <w:sz w:val="24"/>
          <w:szCs w:val="24"/>
          <w:u w:val="single"/>
        </w:rPr>
        <w:t xml:space="preserve"> </w:t>
      </w:r>
      <w:r w:rsidRPr="00D7045C">
        <w:rPr>
          <w:sz w:val="16"/>
          <w:szCs w:val="16"/>
          <w:u w:val="single"/>
        </w:rPr>
        <w:t>2</w:t>
      </w:r>
    </w:p>
    <w:p w14:paraId="7DEC4DEE" w14:textId="7522C026" w:rsidR="00DD05B3" w:rsidRDefault="00DD05B3" w:rsidP="00DD05B3">
      <w:pPr>
        <w:pStyle w:val="Heading4"/>
        <w:rPr>
          <w:rFonts w:cs="Times New Roman"/>
        </w:rPr>
      </w:pPr>
      <w:r w:rsidRPr="00D7045C">
        <w:rPr>
          <w:rFonts w:cs="Times New Roman"/>
        </w:rPr>
        <w:t xml:space="preserve">Second is </w:t>
      </w:r>
      <w:r w:rsidRPr="00D7045C">
        <w:rPr>
          <w:rFonts w:cs="Times New Roman"/>
          <w:i/>
          <w:u w:val="single"/>
        </w:rPr>
        <w:t>legitimacy</w:t>
      </w:r>
      <w:r w:rsidRPr="00D7045C">
        <w:rPr>
          <w:rFonts w:cs="Times New Roman"/>
        </w:rPr>
        <w:t xml:space="preserve"> </w:t>
      </w:r>
      <w:r>
        <w:rPr>
          <w:rFonts w:cs="Times New Roman"/>
        </w:rPr>
        <w:t>–</w:t>
      </w:r>
    </w:p>
    <w:p w14:paraId="51325A7B" w14:textId="77777777" w:rsidR="00DD05B3" w:rsidRDefault="00DD05B3" w:rsidP="00DD05B3">
      <w:pPr>
        <w:pStyle w:val="Heading4"/>
      </w:pPr>
      <w:r>
        <w:t xml:space="preserve">Supreme court legitimacy is intrinsically tied to the public perception of the decision </w:t>
      </w:r>
    </w:p>
    <w:p w14:paraId="13C5F116" w14:textId="77777777" w:rsidR="00DD05B3" w:rsidRPr="00662E9C" w:rsidRDefault="00DD05B3" w:rsidP="00DD05B3">
      <w:r w:rsidRPr="00662E9C">
        <w:rPr>
          <w:rStyle w:val="Style13ptBold"/>
        </w:rPr>
        <w:t>Gibson 16</w:t>
      </w:r>
      <w:r>
        <w:t xml:space="preserve"> (James, Professor of Government at Washington University in St. Louis and Professor Extraordinary in Political Science at Stellenbosch University, “CHANGE IN INSTITUTIONAL SUPPORT FOR THE US SUPREME COURT IS THE COURT’S LEGITIMACY IMPERILED BY THE DECISIONS IT MAKES?” </w:t>
      </w:r>
      <w:hyperlink r:id="rId19" w:history="1">
        <w:r w:rsidRPr="004905F9">
          <w:rPr>
            <w:rStyle w:val="Hyperlink"/>
          </w:rPr>
          <w:t>https://academic.oup.com/poq/article-abstract/80/3/622/1752884/Change-in-Institutional-Support-for-the-US-Supreme?redirectedFrom=PDF</w:t>
        </w:r>
      </w:hyperlink>
      <w:r>
        <w:t xml:space="preserve">) mlm </w:t>
      </w:r>
    </w:p>
    <w:p w14:paraId="2BBE88A6" w14:textId="77777777" w:rsidR="00DD05B3" w:rsidRPr="001F4D7B" w:rsidRDefault="00DD05B3" w:rsidP="00DD05B3">
      <w:pPr>
        <w:rPr>
          <w:u w:val="single"/>
        </w:rPr>
      </w:pPr>
      <w:r w:rsidRPr="00DD05B3">
        <w:rPr>
          <w:sz w:val="14"/>
        </w:rPr>
        <w:t>By now</w:t>
      </w:r>
      <w:r w:rsidRPr="001F4D7B">
        <w:rPr>
          <w:u w:val="single"/>
        </w:rPr>
        <w:t>, the theory of institutional legitimacy upon which this and an extraordinary</w:t>
      </w:r>
      <w:r>
        <w:rPr>
          <w:u w:val="single"/>
        </w:rPr>
        <w:t xml:space="preserve"> </w:t>
      </w:r>
      <w:r w:rsidRPr="001F4D7B">
        <w:rPr>
          <w:u w:val="single"/>
        </w:rPr>
        <w:t>body of recent research relies is well known</w:t>
      </w:r>
      <w:r w:rsidRPr="00DD05B3">
        <w:rPr>
          <w:sz w:val="14"/>
        </w:rPr>
        <w:t xml:space="preserve"> (see Tyler [2006] for a review). 624 Gibson and Nelson Scholars distinguish between performance evaluations (“specific support”) and institutional support (“diffuse support”), and argue that institutional support provides a “reservoir of goodwill” (institutional loyalty) that allows the institution to rule against the preferences of the majority, at least in the short term. If citizens are willing to stand by the institution even when dissatisfied with its decisions, then the institution is free to do its job as it sees fit. Measuring and understanding citizen attitudes toward the Supreme Court is therefore of considerable importance. Bartels and Johnston (2013) recently introduced an important finding to the literature on institutional support for the Supreme Court. They examined the effects of a single decision upon citizens’ evaluations of the Court’s legitimacy. Respondents in their experiment were randomly assigned to read a vignette stating that the Court had recently decided a government surveillance case in either a liberal or conservative direction. They discovered an interactive effect between citizens’ policy preferences and the ruling:</w:t>
      </w:r>
      <w:r w:rsidRPr="001F4D7B">
        <w:rPr>
          <w:u w:val="single"/>
        </w:rPr>
        <w:t xml:space="preserve"> individuals told about a</w:t>
      </w:r>
      <w:r>
        <w:rPr>
          <w:u w:val="single"/>
        </w:rPr>
        <w:t xml:space="preserve"> </w:t>
      </w:r>
      <w:r w:rsidRPr="001F4D7B">
        <w:rPr>
          <w:u w:val="single"/>
        </w:rPr>
        <w:t>decision contrary to their own policy preferences tended to have lower evaluations</w:t>
      </w:r>
      <w:r>
        <w:rPr>
          <w:u w:val="single"/>
        </w:rPr>
        <w:t xml:space="preserve"> </w:t>
      </w:r>
      <w:r w:rsidRPr="001F4D7B">
        <w:rPr>
          <w:u w:val="single"/>
        </w:rPr>
        <w:t xml:space="preserve">of the Court’s legitimacy </w:t>
      </w:r>
      <w:r w:rsidRPr="00DD05B3">
        <w:rPr>
          <w:sz w:val="14"/>
        </w:rPr>
        <w:t>(a finding that dovetails with their observational data). In short, policy dissatisfaction can subtract from diffuse support. Christenson and Glick (2015) investigated the effects of the Supreme Court’s decision on Obamacare, examining the consequences of Chief Justice Roberts’s vote switch (from finding the law unconstitutional to judging it constitutional). Like Bartels and Johnston, they conclude that “</w:t>
      </w:r>
      <w:r w:rsidRPr="001F4D7B">
        <w:rPr>
          <w:u w:val="single"/>
        </w:rPr>
        <w:t>the decision provides new information</w:t>
      </w:r>
      <w:r>
        <w:rPr>
          <w:u w:val="single"/>
        </w:rPr>
        <w:t xml:space="preserve"> </w:t>
      </w:r>
      <w:r w:rsidRPr="001F4D7B">
        <w:rPr>
          <w:u w:val="single"/>
        </w:rPr>
        <w:t>that people can use to update their assessments of the Court’s ideology</w:t>
      </w:r>
      <w:r w:rsidRPr="00DD05B3">
        <w:rPr>
          <w:sz w:val="14"/>
        </w:rPr>
        <w:t xml:space="preserve">, </w:t>
      </w:r>
      <w:r w:rsidRPr="001F4D7B">
        <w:rPr>
          <w:u w:val="single"/>
        </w:rPr>
        <w:t xml:space="preserve">and that these updates affect assessments of legitimacy” </w:t>
      </w:r>
      <w:r w:rsidRPr="00DD05B3">
        <w:rPr>
          <w:sz w:val="14"/>
        </w:rPr>
        <w:t>(415).</w:t>
      </w:r>
      <w:r>
        <w:rPr>
          <w:u w:val="single"/>
        </w:rPr>
        <w:t xml:space="preserve"> </w:t>
      </w:r>
      <w:r w:rsidRPr="00DD05B3">
        <w:rPr>
          <w:sz w:val="14"/>
        </w:rPr>
        <w:t xml:space="preserve">An important challenge to legitimacy theory arising from these scholars’ work thus concerns the stability of institutional support attitudes: researchers differ on the nature of the relationship between change in performance satisfaction and institutional support. Extant empirical literature provides only the most limited evidence of change in legitimacy attitudes, mainly because no long-term panel data including such measures exist. Still, using cohort analysis on cross-sectional data, Gibson and Caldeira (1992) show that the attitudes of African Americans toward the Court changed over time, most likely owing to the slow accumulation of dissatisfactions with Court decisions that turned against their interests. In addition, Gibson and Caldeira (2009) report panel data revealing that the confirmation battle over Samuel Alito took a swipe at the Court’s legitimacy. Furthermore, the mere fact that specific support and diffuse support are typically moderately correlated (Caldeira and Gibson 1992) indicates that change in one attitude is to some degree associated with change in the other attitude. </w:t>
      </w:r>
      <w:r w:rsidRPr="001F4D7B">
        <w:rPr>
          <w:u w:val="single"/>
        </w:rPr>
        <w:t>Furthermore, repeated disappointments can</w:t>
      </w:r>
      <w:r>
        <w:rPr>
          <w:u w:val="single"/>
        </w:rPr>
        <w:t xml:space="preserve"> </w:t>
      </w:r>
      <w:r w:rsidRPr="001F4D7B">
        <w:rPr>
          <w:u w:val="single"/>
        </w:rPr>
        <w:t>cause loyalty to dissolve, reinstating an instrumental, quid-pro-quo calculus</w:t>
      </w:r>
      <w:r w:rsidRPr="00DD05B3">
        <w:rPr>
          <w:sz w:val="14"/>
        </w:rPr>
        <w:t xml:space="preserve">. JUSTIFYING THE RESEARCH HYPOTHESIS Our overarching hypothesis is that diffuse support for the Supreme Court is not undermined when the Court makes a decision with which people disagree. Change in US Supreme Court Legitimacy 625 </w:t>
      </w:r>
    </w:p>
    <w:p w14:paraId="2F1DC58E" w14:textId="77777777" w:rsidR="001821CC" w:rsidRPr="00EF09DA" w:rsidRDefault="001821CC" w:rsidP="001821CC">
      <w:pPr>
        <w:keepNext/>
        <w:keepLines/>
        <w:spacing w:before="40"/>
        <w:outlineLvl w:val="3"/>
        <w:rPr>
          <w:rFonts w:eastAsia="SimSun"/>
          <w:b/>
          <w:iCs/>
          <w:sz w:val="26"/>
        </w:rPr>
      </w:pPr>
      <w:r w:rsidRPr="00EF09DA">
        <w:rPr>
          <w:rFonts w:eastAsia="SimSun"/>
          <w:b/>
          <w:iCs/>
          <w:sz w:val="26"/>
        </w:rPr>
        <w:t>Supreme Court legitimacy is critical to the enforcement of rulings – even its judges recognize</w:t>
      </w:r>
    </w:p>
    <w:p w14:paraId="24309F65" w14:textId="77777777" w:rsidR="001821CC" w:rsidRPr="00EF09DA" w:rsidRDefault="001821CC" w:rsidP="001821CC">
      <w:pPr>
        <w:rPr>
          <w:rFonts w:eastAsia="Calibri" w:cs="Calibri"/>
        </w:rPr>
      </w:pPr>
      <w:r w:rsidRPr="00EF09DA">
        <w:rPr>
          <w:rFonts w:eastAsia="Calibri"/>
          <w:b/>
          <w:bCs/>
          <w:sz w:val="26"/>
        </w:rPr>
        <w:t>Gibson and Nelson 14</w:t>
      </w:r>
      <w:r w:rsidRPr="00EF09DA">
        <w:rPr>
          <w:rFonts w:eastAsia="Calibri" w:cs="Calibri"/>
        </w:rPr>
        <w:t xml:space="preserve"> (James, Sidney W. Souers Professor of Government Department of Political Science at Washington University in St. Louis and Michael, Ph.D. Candidate, Department of Political Science at Washington University in St. Louis, “The Legitimacy of the U.S. Supreme Court: Conventional Wisdoms, and Recent Challenges Thereto”, Annual Review of Law and Social Science, Volume 10, 2014  Gibson, </w:t>
      </w:r>
      <w:hyperlink r:id="rId20" w:history="1">
        <w:r w:rsidRPr="00EF09DA">
          <w:rPr>
            <w:rFonts w:eastAsia="Calibri" w:cs="Calibri"/>
          </w:rPr>
          <w:t>http://mjnelson.wustl.edu/papers/AnnualReview.pdf</w:t>
        </w:r>
      </w:hyperlink>
      <w:r w:rsidRPr="00EF09DA">
        <w:rPr>
          <w:rFonts w:eastAsia="Calibri" w:cs="Calibri"/>
        </w:rPr>
        <w:t>) KJR</w:t>
      </w:r>
    </w:p>
    <w:p w14:paraId="6D7696D9" w14:textId="0A410D3B" w:rsidR="00DD05B3" w:rsidRDefault="001821CC" w:rsidP="00DD05B3">
      <w:pPr>
        <w:rPr>
          <w:rFonts w:eastAsia="Calibri" w:cs="Calibri"/>
          <w:sz w:val="14"/>
        </w:rPr>
      </w:pPr>
      <w:r w:rsidRPr="001821CC">
        <w:rPr>
          <w:rFonts w:eastAsia="Calibri"/>
          <w:sz w:val="14"/>
        </w:rPr>
        <w:t xml:space="preserve">The particular problem of </w:t>
      </w:r>
      <w:r w:rsidRPr="00EF09DA">
        <w:rPr>
          <w:rFonts w:eastAsia="Calibri"/>
          <w:u w:val="single"/>
        </w:rPr>
        <w:t>the U.S. Supreme Court</w:t>
      </w:r>
      <w:r w:rsidRPr="001821CC">
        <w:rPr>
          <w:rFonts w:eastAsia="Calibri"/>
          <w:sz w:val="14"/>
        </w:rPr>
        <w:t xml:space="preserve">3 is that it </w:t>
      </w:r>
      <w:r w:rsidRPr="00EF09DA">
        <w:rPr>
          <w:rFonts w:eastAsia="Calibri"/>
          <w:u w:val="single"/>
        </w:rPr>
        <w:t>is heavily dependent upon legitimacy for</w:t>
      </w:r>
      <w:r w:rsidRPr="001821CC">
        <w:rPr>
          <w:rFonts w:eastAsia="Calibri"/>
          <w:sz w:val="14"/>
        </w:rPr>
        <w:t xml:space="preserve"> its efficacy and</w:t>
      </w:r>
      <w:r w:rsidRPr="00EF09DA">
        <w:rPr>
          <w:rFonts w:eastAsia="Calibri"/>
          <w:u w:val="single"/>
        </w:rPr>
        <w:t xml:space="preserve"> survival</w:t>
      </w:r>
      <w:r w:rsidRPr="001821CC">
        <w:rPr>
          <w:rFonts w:eastAsia="Calibri" w:cs="Calibri"/>
          <w:sz w:val="14"/>
        </w:rPr>
        <w:t xml:space="preserve">. As all undergraduates learn, the </w:t>
      </w:r>
      <w:r w:rsidRPr="00EF09DA">
        <w:rPr>
          <w:rFonts w:eastAsia="Calibri"/>
          <w:u w:val="single"/>
        </w:rPr>
        <w:t>federal courts</w:t>
      </w:r>
      <w:r w:rsidRPr="001821CC">
        <w:rPr>
          <w:rFonts w:eastAsia="Calibri" w:cs="Calibri"/>
          <w:sz w:val="14"/>
        </w:rPr>
        <w:t xml:space="preserve"> have neither the power of the purse (carrots) nor the sword (sticks) and </w:t>
      </w:r>
      <w:r w:rsidRPr="00EF09DA">
        <w:rPr>
          <w:rFonts w:eastAsia="Calibri"/>
          <w:u w:val="single"/>
        </w:rPr>
        <w:t>are</w:t>
      </w:r>
      <w:r w:rsidRPr="001821CC">
        <w:rPr>
          <w:rFonts w:eastAsia="Calibri" w:cs="Calibri"/>
          <w:sz w:val="14"/>
        </w:rPr>
        <w:t xml:space="preserve"> therefore</w:t>
      </w:r>
      <w:r w:rsidRPr="00EF09DA">
        <w:rPr>
          <w:rFonts w:eastAsia="Calibri"/>
          <w:u w:val="single"/>
        </w:rPr>
        <w:t xml:space="preserve"> uncommonly dependent upon voluntary</w:t>
      </w:r>
      <w:r w:rsidRPr="001821CC">
        <w:rPr>
          <w:rFonts w:eastAsia="Calibri" w:cs="Calibri"/>
          <w:sz w:val="14"/>
        </w:rPr>
        <w:t xml:space="preserve"> </w:t>
      </w:r>
      <w:r w:rsidRPr="00EF09DA">
        <w:rPr>
          <w:rFonts w:eastAsia="Calibri"/>
          <w:u w:val="single"/>
        </w:rPr>
        <w:t>compliance</w:t>
      </w:r>
      <w:r w:rsidRPr="001821CC">
        <w:rPr>
          <w:rFonts w:eastAsia="Calibri" w:cs="Calibri"/>
          <w:sz w:val="14"/>
        </w:rPr>
        <w:t xml:space="preserve"> from their constituents.4 Moreover, and perhaps even more important, </w:t>
      </w:r>
      <w:r w:rsidRPr="00EF09DA">
        <w:rPr>
          <w:rFonts w:eastAsia="Calibri"/>
          <w:u w:val="single"/>
        </w:rPr>
        <w:t>the</w:t>
      </w:r>
      <w:r w:rsidRPr="001821CC">
        <w:rPr>
          <w:rFonts w:eastAsia="Calibri" w:cs="Calibri"/>
          <w:sz w:val="14"/>
        </w:rPr>
        <w:t xml:space="preserve"> U.S. </w:t>
      </w:r>
      <w:r w:rsidRPr="00EF09DA">
        <w:rPr>
          <w:rFonts w:eastAsia="Calibri"/>
          <w:u w:val="single"/>
        </w:rPr>
        <w:t>Supreme Court is</w:t>
      </w:r>
      <w:r w:rsidRPr="001821CC">
        <w:rPr>
          <w:rFonts w:eastAsia="Calibri" w:cs="Calibri"/>
          <w:sz w:val="14"/>
        </w:rPr>
        <w:t xml:space="preserve"> particularly </w:t>
      </w:r>
      <w:r w:rsidRPr="00EF09DA">
        <w:rPr>
          <w:rFonts w:eastAsia="Calibri"/>
          <w:u w:val="single"/>
        </w:rPr>
        <w:t>vulnerable to backlashes against its decisions because it often rules against the preferences of the majority</w:t>
      </w:r>
      <w:r w:rsidRPr="001821CC">
        <w:rPr>
          <w:rFonts w:eastAsia="Calibri" w:cs="Calibri"/>
          <w:sz w:val="14"/>
        </w:rPr>
        <w:t xml:space="preserve">, 5 and because, as an institution, it is unusually dependent upon the actions of other actors and institutions. </w:t>
      </w:r>
      <w:r w:rsidRPr="00EF09DA">
        <w:rPr>
          <w:rFonts w:eastAsia="Calibri"/>
          <w:u w:val="single"/>
        </w:rPr>
        <w:t>The Supreme Court has little meaningful</w:t>
      </w:r>
      <w:r w:rsidRPr="001821CC">
        <w:rPr>
          <w:rFonts w:eastAsia="Calibri" w:cs="Calibri"/>
          <w:sz w:val="14"/>
        </w:rPr>
        <w:t xml:space="preserve"> inherent or constitutional </w:t>
      </w:r>
      <w:r w:rsidRPr="00EF09DA">
        <w:rPr>
          <w:rFonts w:eastAsia="Calibri"/>
          <w:u w:val="single"/>
        </w:rPr>
        <w:t>jurisdiction; instead, it gets its power to decide issues from ordinary legislation</w:t>
      </w:r>
      <w:r w:rsidRPr="001821CC">
        <w:rPr>
          <w:rFonts w:eastAsia="Calibri" w:cs="Calibri"/>
          <w:sz w:val="14"/>
        </w:rPr>
        <w:t xml:space="preserve">. </w:t>
      </w:r>
      <w:r w:rsidRPr="00EF09DA">
        <w:rPr>
          <w:rFonts w:eastAsia="Calibri"/>
          <w:u w:val="single"/>
        </w:rPr>
        <w:t>What Congress giveth, Congress can taketh away</w:t>
      </w:r>
      <w:r w:rsidRPr="001821CC">
        <w:rPr>
          <w:rFonts w:eastAsia="Calibri" w:cs="Calibri"/>
          <w:sz w:val="14"/>
        </w:rPr>
        <w:t xml:space="preserve">. Even the fundamental structure of the institution – e.g., the number of justices on the Court – can change (and has throughout American history). </w:t>
      </w:r>
      <w:r w:rsidRPr="00EF09DA">
        <w:rPr>
          <w:rFonts w:eastAsia="Calibri"/>
          <w:u w:val="single"/>
        </w:rPr>
        <w:t>Without legitimacy, the Supreme Court can be punished for the disagreeable decisions it makes, and/or those decisions can be ignored</w:t>
      </w:r>
      <w:r w:rsidRPr="001821CC">
        <w:rPr>
          <w:rFonts w:eastAsia="Calibri" w:cs="Calibri"/>
          <w:sz w:val="14"/>
        </w:rPr>
        <w:t xml:space="preserve"> (for an important analysis of the Court/Congressional relations, see Clark 2011). </w:t>
      </w:r>
      <w:r w:rsidRPr="00EF09DA">
        <w:rPr>
          <w:rFonts w:eastAsia="Calibri"/>
          <w:u w:val="single"/>
        </w:rPr>
        <w:t>The justices of Court are</w:t>
      </w:r>
      <w:r w:rsidRPr="001821CC">
        <w:rPr>
          <w:rFonts w:eastAsia="Calibri" w:cs="Calibri"/>
          <w:sz w:val="14"/>
        </w:rPr>
        <w:t xml:space="preserve"> keenly aware of the importance of legitimacy to their institution, </w:t>
      </w:r>
      <w:r w:rsidRPr="00EF09DA">
        <w:rPr>
          <w:rFonts w:eastAsia="Calibri"/>
          <w:u w:val="single"/>
        </w:rPr>
        <w:t>often discussing the concept in their rulings</w:t>
      </w:r>
      <w:r w:rsidRPr="001821CC">
        <w:rPr>
          <w:rFonts w:eastAsia="Calibri" w:cs="Calibri"/>
          <w:sz w:val="14"/>
        </w:rPr>
        <w:t xml:space="preserve">. For example, Justices O’Connor, Souter, and Kennedy, in their well-known opinion in Planned Parenthood v. Casey (1992) write: The Court's power lies, rather, in its legitimacy, a product of substance and perception that shows itself in the people's acceptance of the Judiciary as fit to determine what the Nation's law means, and to declare what it demands. . . </w:t>
      </w:r>
      <w:r w:rsidRPr="00EF09DA">
        <w:rPr>
          <w:rFonts w:eastAsia="Calibri"/>
          <w:u w:val="single"/>
        </w:rPr>
        <w:t>The Court must take care to speak and act in ways that allow people to accept its decisions on the terms the Court claims for them</w:t>
      </w:r>
      <w:r w:rsidRPr="001821CC">
        <w:rPr>
          <w:rFonts w:eastAsia="Calibri" w:cs="Calibri"/>
          <w:sz w:val="14"/>
        </w:rPr>
        <w:t xml:space="preserve">, as grounded truly in principle, not as compromises with social and political pressures having, as such, no bearing on the principled choices that the Court is obliged to make. Thus, the Court's legitimacy depends on making legally principled decisions under circumstances in which their principled character is sufficiently plausible to be accepted by the Nation (865-866). The Casey example is not unique; Farganis (2012, 207) reports that “since the Court’s 1954 decision in Brown, in fact, the justices have made seventy-one such references to the Court’s institutional legitimacy, compared with just nine in the 164 years up to that point.” Beyond the justices’ opinions, journalistic accounts of the Court often describe actions taken by the justices to preserve institutional legitimacy. In a particularly stark case, Crawford (2012) reports that Chief Justice Roberts acted strategically out of concern for institutional legitimacy during the opinionwriting process for National Federation of Independent Business v. Sebelius, changing his vote from one to strike down the Affordable Care Act to one that preserved the constitutionality of the legislation. Crawford writes, “As Chief Justice, [Roberts] is keenly aware of his leadership role on the Court, and he is also sensitive to how the Court is perceived by the public. There were countless news articles in May warning of damage to the Court – and to Robert’s reputation – if the Court were to strike down the mandate.” In short, legitimacy is a concept with both practical and scholarly importance. With this in mind, legitimacy has become a commanding focus of a wide slew of social scientists, journalists, and judges. Over the past decade, research on this topic has flourished, with scholars probing the concept from all angles. Indeed, with so much new and concerted attention to issues of legitimacy, it should not be surprising that some of the longstanding conventional wisdoms are being challenged and revised. We focus here in particular on four such challenges, structuring this chapter as follows. After defining legitimacy and embedding it within a theory of institutional support and efficacy, we present some fairly recent empirical evidence on the Supreme Court’s current level of institutional legitimacy. </w:t>
      </w:r>
    </w:p>
    <w:p w14:paraId="6E216BE6" w14:textId="77777777" w:rsidR="001821CC" w:rsidRPr="00EF09DA" w:rsidRDefault="001821CC" w:rsidP="001821CC">
      <w:pPr>
        <w:keepNext/>
        <w:keepLines/>
        <w:spacing w:before="40"/>
        <w:outlineLvl w:val="3"/>
        <w:rPr>
          <w:rFonts w:eastAsia="SimSun"/>
          <w:b/>
          <w:iCs/>
          <w:sz w:val="26"/>
        </w:rPr>
      </w:pPr>
      <w:r w:rsidRPr="00EF09DA">
        <w:rPr>
          <w:rFonts w:eastAsia="SimSun"/>
          <w:b/>
          <w:iCs/>
          <w:sz w:val="26"/>
        </w:rPr>
        <w:t>Even if there’s initial pushback, the Supreme Court influences public opinion in the long run AND it can be used to advance society-wide social change</w:t>
      </w:r>
    </w:p>
    <w:p w14:paraId="13353F88" w14:textId="77777777" w:rsidR="001821CC" w:rsidRPr="00EF09DA" w:rsidRDefault="001821CC" w:rsidP="001821CC">
      <w:pPr>
        <w:rPr>
          <w:rFonts w:eastAsia="Calibri"/>
        </w:rPr>
      </w:pPr>
      <w:r w:rsidRPr="00EF09DA">
        <w:rPr>
          <w:rFonts w:eastAsia="Calibri"/>
          <w:b/>
          <w:bCs/>
          <w:sz w:val="26"/>
        </w:rPr>
        <w:t>Ura 14</w:t>
      </w:r>
      <w:r w:rsidRPr="00EF09DA">
        <w:rPr>
          <w:rFonts w:eastAsia="Calibri"/>
        </w:rPr>
        <w:t xml:space="preserve"> (Joseph,  an Associate Professor, the Director of Undergraduate Studies, and Director of the American Politics Program in the Department of Political Science at Texas A&amp;M University, “In the long run, the Supreme Court leads public opinion on controversial issues”, LSE US Centre’s daily blog on American Politics and Policy, 2/20/14, http://blogs.lse.ac.uk/usappblog/2014/02/20/in-the-long-run-the-supreme-court-leads-public-opinion-on-controversial-issues/)KJR</w:t>
      </w:r>
    </w:p>
    <w:p w14:paraId="7CA54C4C" w14:textId="52D436E0" w:rsidR="001821CC" w:rsidRDefault="001821CC" w:rsidP="001821CC">
      <w:pPr>
        <w:rPr>
          <w:rFonts w:eastAsia="Calibri"/>
          <w:sz w:val="14"/>
        </w:rPr>
      </w:pPr>
      <w:r w:rsidRPr="00EF09DA">
        <w:rPr>
          <w:rFonts w:eastAsia="Calibri"/>
          <w:u w:val="single"/>
        </w:rPr>
        <w:t>It has always been a matter of debate if Supreme Court rulings consolidate opposition to an issue or lead to greater public acceptance of it</w:t>
      </w:r>
      <w:r w:rsidRPr="001821CC">
        <w:rPr>
          <w:rFonts w:eastAsia="Calibri"/>
          <w:sz w:val="14"/>
        </w:rPr>
        <w:t xml:space="preserve">. Using a statistical model of the American “policy mood” after major rulings, Joseph Ura finds that, </w:t>
      </w:r>
      <w:r w:rsidRPr="00EF09DA">
        <w:rPr>
          <w:rFonts w:eastAsia="Calibri"/>
          <w:u w:val="single"/>
        </w:rPr>
        <w:t>while there may be a short-term backlash immediately after a decision, public opinion in the long run tends to follow the position adopted by the Supreme Court</w:t>
      </w:r>
      <w:r w:rsidRPr="001821CC">
        <w:rPr>
          <w:rFonts w:eastAsia="Calibri"/>
          <w:sz w:val="14"/>
        </w:rPr>
        <w:t xml:space="preserve">. Because of this, he writes, the Supreme Court may ultimately be able to shape the broader political climate in the United States. </w:t>
      </w:r>
      <w:r w:rsidRPr="00EF09DA">
        <w:rPr>
          <w:rFonts w:eastAsia="Calibri"/>
          <w:u w:val="single"/>
        </w:rPr>
        <w:t>The Supreme Court often looms large in</w:t>
      </w:r>
      <w:r w:rsidRPr="001821CC">
        <w:rPr>
          <w:rFonts w:eastAsia="Calibri"/>
          <w:sz w:val="14"/>
        </w:rPr>
        <w:t xml:space="preserve"> narratives </w:t>
      </w:r>
      <w:r w:rsidRPr="00EF09DA">
        <w:rPr>
          <w:rFonts w:eastAsia="Calibri"/>
          <w:u w:val="single"/>
        </w:rPr>
        <w:t xml:space="preserve">of American political development </w:t>
      </w:r>
      <w:r w:rsidRPr="001821CC">
        <w:rPr>
          <w:rFonts w:eastAsia="Calibri"/>
          <w:sz w:val="14"/>
        </w:rPr>
        <w:t xml:space="preserve">since World War II. The Court’s decisions are cast in leading roles in the history of the great expansion of legal equality and individual liberty that marked much of the last sixty years of American politics. For example, Roe v. Wade (1973), which invalidated state laws banning abortions, was “a milestone for women in America” that ensured that women could “participate fully in society” by protecting their “dignity…and health.” Likewise, </w:t>
      </w:r>
      <w:r w:rsidRPr="00EF09DA">
        <w:rPr>
          <w:rFonts w:eastAsia="Calibri"/>
          <w:u w:val="single"/>
        </w:rPr>
        <w:t>Brown v. Board of Education (1954), which struck down state laws mandating racial segregation in public education, is portrayed as a starting point for the civil rights movement and a decision that “ignited a legal and social revolution in race relations</w:t>
      </w:r>
      <w:r w:rsidRPr="001821CC">
        <w:rPr>
          <w:rFonts w:eastAsia="Calibri"/>
          <w:sz w:val="14"/>
        </w:rPr>
        <w:t xml:space="preserve">.” This perspective rests on the idea that the Supreme Court can lead public opinion—an ideal with special appeal for mid-twentieth century progressives who hoped that the judicial action might catalyze broad social change. These scholars envisioned the Court as a “republican schoolmaster” that could “transfer to the minds of the citizens the modes of thought lying behind legal language and the notions of right fundamental to the regime” or an “educational body” leading “a vital national seminar.” They argued that </w:t>
      </w:r>
      <w:r w:rsidRPr="00EF09DA">
        <w:rPr>
          <w:rFonts w:eastAsia="Calibri"/>
          <w:u w:val="single"/>
        </w:rPr>
        <w:t>the moral force of the Supreme Court and American’s deep loyalty to the Court and the Constitution for which it presumed to speak might</w:t>
      </w:r>
      <w:r w:rsidRPr="001821CC">
        <w:rPr>
          <w:rFonts w:eastAsia="Calibri"/>
          <w:sz w:val="14"/>
        </w:rPr>
        <w:t xml:space="preserve"> “appeal to men’s better natures” and </w:t>
      </w:r>
      <w:r w:rsidRPr="00EF09DA">
        <w:rPr>
          <w:rFonts w:eastAsia="Calibri"/>
          <w:u w:val="single"/>
        </w:rPr>
        <w:t>remind them of their fundamental commitments to equality and equity</w:t>
      </w:r>
      <w:r w:rsidRPr="001821CC">
        <w:rPr>
          <w:rFonts w:eastAsia="Calibri"/>
          <w:sz w:val="14"/>
        </w:rPr>
        <w:t xml:space="preserve"> “which may have been forgotten in the moment’s hue and cry.” Despite these expectations, though, evidence of the Supreme Court’s ability to shape Americans’ political attitudes has been mixed. Franklin and Kosaki’s seminal study of public responses to Roe v. Wade (1973), for example, found that </w:t>
      </w:r>
      <w:r w:rsidRPr="00EF09DA">
        <w:rPr>
          <w:rFonts w:eastAsia="Calibri"/>
          <w:u w:val="single"/>
        </w:rPr>
        <w:t>public support for access to legal abortion to protect a mother’s life and in cases of rape or probable birth defects increased from 1972 (prior to Roe) to 1973 (after the Court’s abortion decision)</w:t>
      </w:r>
      <w:r w:rsidRPr="001821CC">
        <w:rPr>
          <w:rFonts w:eastAsia="Calibri"/>
          <w:sz w:val="14"/>
        </w:rPr>
        <w:t xml:space="preserve"> while there was no significant change in the level of public. support from 1972 to 1973 for legal abortion due to families’ economic circumstances, a mother’s marital status, or parents’ desire to have no more children. Subsequent studies examining year-over-year changes in attitudes about the death penalty and gay rights have similarly found uneven support for the idea that the Court pulls public opinion toward its position. More broadly, in two separate studies, Marshall compares a total of fortysix pre-decision and post-decision polls (eighteen in the 1989 study and another twenty-eight in the 2008 study) U.S. Supreme Court Credit : OZinOH (Creative Commons BY NC) asked in similar forms, though at substantially variable intervals, investigating public attitudes on issues before the Court, finding that “poll shifts’” away from positions adopted by the Court happen as often as shifts toward the Court’s positions. Despite its development over the last three decades, though, the literature on public responses to Supreme Court decisions is limited in two important ways. First, these prior studies tend to focus on the effects of individual cases on public attitudes. This approach prevents scholars from identifying effects associated with the accumulated influence of Supreme Court decisions— either within or across issues. Second, the literature emphasizes comparisons of public opinion shortly before and shortly after Supreme Court decisions. This methodological choice has prevented scholars from identifying long-term dynamics that might follow from Supreme Court decisions. To overcome these obstacles and reconsider the Supreme Court’s ability to influence American’s hearts and minds, I borrow from research examining American’s aggregate responses to policymaking in the elected branches of government and national economic conditions. I use data on the overall level of liberalism or conservatism in American public opinion since the mid-1950s developed by Jim Stimson at the University of North Carolina at Chapel Hill. This “policy mood” data collapses scores of national survey questions into a single measure of the country’s overall demand for greater or lesser policy liberalism. I use these data to estimate a model of the cumulative influence of Supreme Court decisions on Americans’ overall levels of liberalism or conservatism. The particular statistical model I utilize also allows me to identify whether the Court influence public opinion in the short-run, the long-run, or both. The data show that public responses to important Supreme Court decisions are generally marked by a backlash in public opinion in the short-term that decays and is replaced by a long-run movement in public opinion toward the positions adopted by the Court. In other words, on average, there is negative reaction in public opinion against important decisions of the Supreme Court. However, these negative responses are relatively short lived. </w:t>
      </w:r>
      <w:r w:rsidRPr="00EF09DA">
        <w:rPr>
          <w:rFonts w:eastAsia="Calibri"/>
          <w:u w:val="single"/>
        </w:rPr>
        <w:t xml:space="preserve">Over the long run, backlash against the Court’s decisions tends to be replaced by significant movement toward positions taken by the Supreme Court. The key result of the study is that the Supreme Court generally leads public opinion in an important way—even if there is typically some initial pushback against its decisions in public opinion. </w:t>
      </w:r>
      <w:r w:rsidRPr="001821CC">
        <w:rPr>
          <w:rFonts w:eastAsia="Calibri"/>
          <w:sz w:val="14"/>
        </w:rPr>
        <w:t xml:space="preserve">This effect is manifest as an incremental, long-run ideological shift toward the cumulative results of Supreme Court decisions. By focusing on the relationship between the Supreme Court and public opinion considered one case at a time and only over the short run, previous studies have overlooked the aggregate, dynamic relationship between the Court and public opinion. By stepping back and taking long-run view, the data show significant evidence that the cumulative liberalism or conservatism in Supreme Court decisions has an important influence on ideological changes in American public opinion. Moreover, this study shows that the Court may have incentives to push or challenge public opinion with its decisions. Though the Court will generally face some backlash against its actions, public opinion will gradually move toward the Court, creating a political climate more consistent with the preferences of a controlling majority on the Court. Ultimately, it may indirectly influence the composition and behavior of other branches of government in ways supportive of the Court and its decisions. </w:t>
      </w:r>
      <w:r w:rsidRPr="00EF09DA">
        <w:rPr>
          <w:rFonts w:eastAsia="Calibri"/>
          <w:u w:val="single"/>
        </w:rPr>
        <w:t xml:space="preserve">The potential for the Supreme Court to help create political climates that reinforce and extend the policy implications of its own decisions may provide new ways to interpret and investigate a variety of important social movements and public opinion trends that have ultimately played out in the Court, Congress, and public opinion including the development of the civil rights movement </w:t>
      </w:r>
      <w:r w:rsidRPr="001821CC">
        <w:rPr>
          <w:rFonts w:eastAsia="Calibri"/>
          <w:sz w:val="14"/>
        </w:rPr>
        <w:t>and the emergence of the</w:t>
      </w:r>
      <w:r>
        <w:rPr>
          <w:rFonts w:eastAsia="Calibri"/>
          <w:sz w:val="14"/>
        </w:rPr>
        <w:t xml:space="preserve"> modern conservative movement.</w:t>
      </w:r>
    </w:p>
    <w:p w14:paraId="5EBD643A" w14:textId="77777777" w:rsidR="00D17980" w:rsidRDefault="00D17980" w:rsidP="00D17980">
      <w:pPr>
        <w:pStyle w:val="Heading4"/>
      </w:pPr>
      <w:r>
        <w:t>Societal progress is key to the economy and political stability</w:t>
      </w:r>
    </w:p>
    <w:p w14:paraId="22BAEC2C" w14:textId="77777777" w:rsidR="00D17980" w:rsidRDefault="00D17980" w:rsidP="00D17980">
      <w:r w:rsidRPr="00BA3BE0">
        <w:rPr>
          <w:rStyle w:val="Style13ptBold"/>
        </w:rPr>
        <w:t>Porter 15</w:t>
      </w:r>
      <w:r>
        <w:t xml:space="preserve"> (Michael, </w:t>
      </w:r>
      <w:r w:rsidRPr="00BA3BE0">
        <w:t>Professor at Harvard Business School, is chairman of the Advisory Board to</w:t>
      </w:r>
      <w:r>
        <w:t xml:space="preserve"> the Social Progress Imperative, “</w:t>
      </w:r>
      <w:r w:rsidRPr="00BA3BE0">
        <w:t>Why Social Progress Matters</w:t>
      </w:r>
      <w:r>
        <w:t xml:space="preserve">”, Project Syndicate, 4/9/15, </w:t>
      </w:r>
      <w:r w:rsidRPr="00BA3BE0">
        <w:t>https://www.project-syndicate.org/commentary/economic-development-social-progress-index-by-michael-porter-2015-04</w:t>
      </w:r>
      <w:r>
        <w:t>)KJR</w:t>
      </w:r>
    </w:p>
    <w:p w14:paraId="78032B6C" w14:textId="77777777" w:rsidR="00D17980" w:rsidRDefault="00D17980" w:rsidP="00D17980">
      <w:r>
        <w:t xml:space="preserve">CAMBRIDGE – Economic growth has lifted hundreds of millions of people out of poverty and improved the lives of many more over the last half-century. Yet it is increasingly evident that </w:t>
      </w:r>
      <w:r w:rsidRPr="00BA3BE0">
        <w:rPr>
          <w:rStyle w:val="StyleUnderline"/>
        </w:rPr>
        <w:t>a model of human development based on economic progress alone is incomplete.</w:t>
      </w:r>
      <w:r>
        <w:t xml:space="preserve"> </w:t>
      </w:r>
      <w:r w:rsidRPr="00BA3BE0">
        <w:rPr>
          <w:rStyle w:val="StyleUnderline"/>
        </w:rPr>
        <w:t>A society which fails to</w:t>
      </w:r>
      <w:r>
        <w:t xml:space="preserve"> address basic human needs, equip citizens to improve their quality of life, protect the environment, and </w:t>
      </w:r>
      <w:r w:rsidRPr="00BA3BE0">
        <w:rPr>
          <w:rStyle w:val="StyleUnderline"/>
        </w:rPr>
        <w:t>provide opportunity for many of its citizens is not succeeding.</w:t>
      </w:r>
      <w:r>
        <w:t xml:space="preserve"> Inclusive growth requires both economic and social progress. The pitfalls of focusing on GDP alone are evident in the findings of the 2015 Social Progress Index, launched on April 9. The SPI, created in collaboration with Scott Stern of MIT and the nonprofit Social Progress Imperative, measures the performance of 133 countries on various dimensions of social and environmental performance. It is the most comprehensive framework developed for measuring social progress, and the first to measure social progress independently of GDP. Drawing on 52 indicators of a country’s social performance, the SPI offers a practical tool for government and business leaders to benchmark country performance and prioritize those areas where social improvement is most needed. The SPI thus provides a systematic, empirical foundation to guide strategy for inclusive growth. </w:t>
      </w:r>
      <w:r w:rsidRPr="00BA3BE0">
        <w:t>The data reveal that many aspects of social progress</w:t>
      </w:r>
      <w:r>
        <w:t xml:space="preserve">, not surprisingly, tend to improve with income growth. Wealthier countries, such as Norway (which holds the top spot on this year’s SPI), generally deliver better social outcomes than lower-income countries. But a striking finding is that </w:t>
      </w:r>
      <w:r w:rsidRPr="00BA3BE0">
        <w:rPr>
          <w:rStyle w:val="StyleUnderline"/>
        </w:rPr>
        <w:t>GDP is far from being the sole determinant of social progress.</w:t>
      </w:r>
      <w:r>
        <w:t xml:space="preserve"> </w:t>
      </w:r>
      <w:r w:rsidRPr="00BA3BE0">
        <w:rPr>
          <w:rStyle w:val="StyleUnderline"/>
        </w:rPr>
        <w:t xml:space="preserve">Costa Rica, </w:t>
      </w:r>
      <w:r>
        <w:t xml:space="preserve">for example, </w:t>
      </w:r>
      <w:r w:rsidRPr="00BA3BE0">
        <w:rPr>
          <w:rStyle w:val="StyleUnderline"/>
        </w:rPr>
        <w:t>has achieved a higher level of social progress than Italy, with barely a third of Italy’s per capita GDP.</w:t>
      </w:r>
      <w:r>
        <w:t xml:space="preserve"> And Costa Rica is not an isolated case. Across the spectrum of countries, from rich to poor, we see examples, such as New Zealand and Senegal, that are far more successful at translating their economic growth into social progress than others, such as the United States and Nigeria. Many of the fast-growing emerging economies, including </w:t>
      </w:r>
      <w:r w:rsidRPr="00BA3BE0">
        <w:rPr>
          <w:rStyle w:val="StyleUnderline"/>
        </w:rPr>
        <w:t>China and India, have also not yet been able to attain the level of social progress that their economic progress enables</w:t>
      </w:r>
      <w:r>
        <w:t xml:space="preserve">. </w:t>
      </w:r>
      <w:r w:rsidRPr="00BA3BE0">
        <w:rPr>
          <w:rStyle w:val="StyleUnderline"/>
        </w:rPr>
        <w:t>Where there is an imbalance between economic growth and social progress, political instability and unrest often arise, as in Russia and Egypt</w:t>
      </w:r>
      <w:r w:rsidRPr="00BA3BE0">
        <w:rPr>
          <w:b/>
        </w:rPr>
        <w:t xml:space="preserve">. </w:t>
      </w:r>
      <w:r w:rsidRPr="00BA3BE0">
        <w:rPr>
          <w:rStyle w:val="StyleUnderline"/>
        </w:rPr>
        <w:t>Lagging social progress also holds back economic growth in these and other countries that fail to address human needs, build social capital, and create opportunity for their citizens</w:t>
      </w:r>
      <w:r>
        <w:t xml:space="preserve">. Countries must invest in social progress, not just economic institutions, to create the proper foundation for economic growth. In my own experience, I have seen how Rwanda made investing in social progress – including gender equity, a 61% reduction in child mortality in a single decade, and 95% primary school enrollment – integral to its economic development strategy. </w:t>
      </w:r>
      <w:r w:rsidRPr="00BA3BE0">
        <w:rPr>
          <w:rStyle w:val="StyleUnderline"/>
        </w:rPr>
        <w:t>Rwanda’s positive economic performance would not have been possible without improvement in</w:t>
      </w:r>
      <w:r>
        <w:t xml:space="preserve"> these and other dimensions of </w:t>
      </w:r>
      <w:r w:rsidRPr="00BA3BE0">
        <w:rPr>
          <w:rStyle w:val="StyleUnderline"/>
        </w:rPr>
        <w:t>social progress</w:t>
      </w:r>
      <w:r>
        <w:t>. Focusing on social progress in this way leads to better development strategies, and builds political support for the controversial steps sometimes needed to increase prosperity. Rigorous measurement of social performance, alongside traditional economic indicators, is crucial to starting the virtuous circle by which GDP growth improves social and environmental performance in ways that drive even greater economic success. And, by avoiding narrow debates, such as GDP versus income inequality, the SPI provides an essential tool with which to craft a feasible agenda that does just that. Interest in the SPI has grown exponentially since its beta release in 2013. Findings are being shared among millions of citizens around the world, making it a tool for citizens to hold their leaders accountable. Moreover, strategic initiatives to drive improvement in social progress are underway in more than 40 countries. Paraguay, for example, has adopted the SPI to guide an inclusive national development plan for 2030. And the SPI is being used not just at the national level, but by regional and municipal authorities as well. States such as Para in Brazil, along with cities like Bogota and Rio de Janeiro in Latin America and Somerville in the US state of Massachusetts, are starting to use the SPI as a measure of development success. This year, the European Commission will roll out regional SPIs across Europe. And companies, such as Coca-Cola and Natura, are using the SPI to inform their social investment strategies and build collaborative relationships with public and private partners. DONATE NOW GDP has been the benchmark guiding economic development for more than a half-century. The SPI is intended to complement (not replace) it as a core metric of national performance. Measuring social progress offers citizens and leaders a more complete picture of how their country is developing. And that will help societies make better choices, create stronger communities, and enable people to lead more fulfilling lives.</w:t>
      </w:r>
    </w:p>
    <w:p w14:paraId="2CA5CD77" w14:textId="77777777" w:rsidR="00D17980" w:rsidRDefault="00D17980" w:rsidP="00D17980"/>
    <w:p w14:paraId="324A12BB" w14:textId="77777777" w:rsidR="00D17980" w:rsidRPr="001821CC" w:rsidRDefault="00D17980" w:rsidP="001821CC">
      <w:pPr>
        <w:rPr>
          <w:rFonts w:eastAsia="Calibri"/>
          <w:u w:val="single"/>
        </w:rPr>
      </w:pPr>
    </w:p>
    <w:p w14:paraId="07BB0842" w14:textId="617CA13B" w:rsidR="003D049F" w:rsidRPr="00D7045C" w:rsidRDefault="003D049F" w:rsidP="003D049F">
      <w:pPr>
        <w:pStyle w:val="Heading3"/>
        <w:rPr>
          <w:rFonts w:cs="Times New Roman"/>
        </w:rPr>
      </w:pPr>
      <w:r w:rsidRPr="00D7045C">
        <w:rPr>
          <w:rFonts w:cs="Times New Roman"/>
        </w:rPr>
        <w:t>1AC – Solvency</w:t>
      </w:r>
    </w:p>
    <w:p w14:paraId="74EAC34A" w14:textId="11E5AA11" w:rsidR="00C9035D" w:rsidRDefault="00C9035D" w:rsidP="00C9035D">
      <w:pPr>
        <w:pStyle w:val="Heading4"/>
      </w:pPr>
      <w:r>
        <w:t>Thus, the United States Supreme Court should rule that Milliken v Bradley is unconstitutional on the grounds that local choice violates the 14</w:t>
      </w:r>
      <w:r w:rsidRPr="00C9035D">
        <w:rPr>
          <w:vertAlign w:val="superscript"/>
        </w:rPr>
        <w:t>th</w:t>
      </w:r>
      <w:r>
        <w:t xml:space="preserve"> Amendment of the United States Constitution.</w:t>
      </w:r>
    </w:p>
    <w:p w14:paraId="32B9FB35" w14:textId="77777777" w:rsidR="00C9035D" w:rsidRPr="00C9035D" w:rsidRDefault="00C9035D" w:rsidP="00C9035D"/>
    <w:p w14:paraId="2D388E84" w14:textId="4717BE42" w:rsidR="003D049F" w:rsidRPr="00D7045C" w:rsidRDefault="003D049F" w:rsidP="003D049F">
      <w:pPr>
        <w:pStyle w:val="Heading4"/>
        <w:rPr>
          <w:rFonts w:cs="Times New Roman"/>
        </w:rPr>
      </w:pPr>
      <w:r w:rsidRPr="00D7045C">
        <w:rPr>
          <w:rFonts w:cs="Times New Roman"/>
        </w:rPr>
        <w:t xml:space="preserve">Legal reform is the </w:t>
      </w:r>
      <w:r w:rsidRPr="00D7045C">
        <w:rPr>
          <w:rFonts w:cs="Times New Roman"/>
          <w:i/>
        </w:rPr>
        <w:t>only effective strategy of political change</w:t>
      </w:r>
      <w:r w:rsidRPr="00D7045C">
        <w:rPr>
          <w:rFonts w:cs="Times New Roman"/>
        </w:rPr>
        <w:t>—extralegal theory insistent on externalizing social movements from legality results in right wing cooption and the creation of a “myth of exit”—a romanticized sphere of activism—that is problematic for mobilizing change in numerous ways. Lit insistent on tying cooptation to legalism is reductionist and simple-minded.</w:t>
      </w:r>
    </w:p>
    <w:p w14:paraId="6DC01CD1" w14:textId="77777777" w:rsidR="003D049F" w:rsidRPr="00D7045C" w:rsidRDefault="003D049F" w:rsidP="003D049F">
      <w:r w:rsidRPr="00D7045C">
        <w:rPr>
          <w:rStyle w:val="Style13ptBold"/>
        </w:rPr>
        <w:t>Lobel 7</w:t>
      </w:r>
      <w:r w:rsidRPr="00D7045C">
        <w:t xml:space="preserve"> (Orly, PhD, prof of Law at U San Diego, “The Paradox of Extralegal Activism: Critical Legal Consciousness and Transformative,” The Harvard Law Review, Vol. 120, No. 4 (Feb., 2007), </w:t>
      </w:r>
      <w:hyperlink r:id="rId21" w:history="1">
        <w:r w:rsidRPr="00D7045C">
          <w:rPr>
            <w:rStyle w:val="Hyperlink"/>
          </w:rPr>
          <w:t>http://www.jstor.org/stable/40041996</w:t>
        </w:r>
      </w:hyperlink>
      <w:r w:rsidRPr="00D7045C">
        <w:t>, pg. 971-978) KC</w:t>
      </w:r>
    </w:p>
    <w:p w14:paraId="7E1E66F9" w14:textId="77777777" w:rsidR="003D049F" w:rsidRPr="00D7045C" w:rsidRDefault="003D049F" w:rsidP="003D049F">
      <w:pPr>
        <w:rPr>
          <w:sz w:val="14"/>
        </w:rPr>
      </w:pPr>
      <w:r w:rsidRPr="00D7045C">
        <w:rPr>
          <w:sz w:val="14"/>
        </w:rPr>
        <w:t xml:space="preserve">Practical Failures: When Extralegal Alternatives Are Vehicles for Conservative Agendas </w:t>
      </w:r>
      <w:r w:rsidRPr="00D7045C">
        <w:rPr>
          <w:rStyle w:val="StyleUnderline"/>
        </w:rPr>
        <w:t>We don't want the 1950s back. What we want is to edit them.</w:t>
      </w:r>
      <w:r w:rsidRPr="00D7045C">
        <w:rPr>
          <w:sz w:val="14"/>
        </w:rPr>
        <w:t xml:space="preserve"> We want to keep the safe streets, the friendly grocers, and the milk and cookies, while blotting out the political bosses, the tyrannical headmasters, the in- flexible rules, and the lectures on 100 percent Americanism and the sinful- ness of dissent.163 </w:t>
      </w:r>
      <w:r w:rsidRPr="00D7045C">
        <w:rPr>
          <w:rStyle w:val="Emphasis"/>
        </w:rPr>
        <w:t xml:space="preserve">A basic structure of cooptation arguments as developed in relation to the labor and civil rights movements has been to show how, in the move from theory to practice, the ideal that was promoted by a social group takes on unintended content, and the group thus fails to realize the original vision. </w:t>
      </w:r>
      <w:r w:rsidRPr="00D7045C">
        <w:rPr>
          <w:rStyle w:val="StyleUnderline"/>
        </w:rPr>
        <w:t>This risk is particularly high when ideals are framed in broad terms that are open to multiple interpretations</w:t>
      </w:r>
      <w:r w:rsidRPr="00D7045C">
        <w:rPr>
          <w:sz w:val="14"/>
        </w:rPr>
        <w:t xml:space="preserve">. </w:t>
      </w:r>
      <w:r w:rsidRPr="00D7045C">
        <w:rPr>
          <w:rStyle w:val="StyleUnderline"/>
        </w:rPr>
        <w:t xml:space="preserve">Moreover, the pitfalls of the potential risks presented under the um- brella of cooptation are in fact accentuated in current proposals. </w:t>
      </w:r>
      <w:r w:rsidRPr="00D7045C">
        <w:rPr>
          <w:rStyle w:val="Emphasis"/>
        </w:rPr>
        <w:t>Paradoxically, as the extralegal movement is framed by way of opposi- tion to formal legal reform paths, without sufficiently defining its goals, it runs the very risks it sought to avoid by working outside the legal system</w:t>
      </w:r>
      <w:r w:rsidRPr="00D7045C">
        <w:rPr>
          <w:sz w:val="14"/>
        </w:rPr>
        <w:t xml:space="preserve">. Extralegal paths are depicted mostly in negative terms and as re- sorting to new alternative forms of action rather than established mod- els. Accordingly, </w:t>
      </w:r>
      <w:r w:rsidRPr="00D7045C">
        <w:rPr>
          <w:rStyle w:val="Emphasis"/>
        </w:rPr>
        <w:t>because the ideas of social organizing, civil society, and legal pluralism are framed in open-ended contrarian terms, they do not translate into specific visions of social justice reform</w:t>
      </w:r>
      <w:r w:rsidRPr="00D7045C">
        <w:rPr>
          <w:sz w:val="14"/>
        </w:rPr>
        <w:t xml:space="preserve">. </w:t>
      </w:r>
      <w:r w:rsidRPr="00D7045C">
        <w:rPr>
          <w:rStyle w:val="StyleUnderline"/>
        </w:rPr>
        <w:t>The idea of civil society, which has been embraced by people from a broad ar- ray of often conflicting ideological commitments, is particularly de- monstrative.</w:t>
      </w:r>
      <w:r w:rsidRPr="00D7045C">
        <w:rPr>
          <w:sz w:val="14"/>
        </w:rPr>
        <w:t xml:space="preserve"> Critics argue that "[s]ome ideas fail because they never make the light of day. The idea of civil society . . . failed because it 163 Alan Ehrenhalt, Where Have All the Followers Gone?, in COMMUNITY WORKS, supra note 124, at 93-96. This content downloaded from 192.31.105.195 on Fri, 30 Jun 2017 00:08:12 UTC All use subject to http://about.jstor.org/terms 972 HARVARD LAW REVIEW [Vol. 120:937 became too popular."164 Such a broadly conceived ideal as civil society sows the seeds of its own destruction. In former eras, </w:t>
      </w:r>
      <w:r w:rsidRPr="00D7045C">
        <w:rPr>
          <w:rStyle w:val="StyleUnderline"/>
        </w:rPr>
        <w:t xml:space="preserve">the claims about the legal cooptation of the trans- formative visions of workplace justice and racial equality suggested that through legal strategies the visions became stripped of their initial depth and fragmented and framed in ways that were narrow and often merely symbolic. </w:t>
      </w:r>
      <w:r w:rsidRPr="00D7045C">
        <w:rPr>
          <w:sz w:val="14"/>
        </w:rPr>
        <w:t>This observation seems accurate in the contempo- rary political arena</w:t>
      </w:r>
      <w:r w:rsidRPr="00D7045C">
        <w:rPr>
          <w:rStyle w:val="StyleUnderline"/>
        </w:rPr>
        <w:t>; the idea of civil society revivalism evoked by pro- gressive activists has been reduced to symbolic acts with very little substance</w:t>
      </w:r>
      <w:r w:rsidRPr="00D7045C">
        <w:rPr>
          <w:rStyle w:val="Emphasis"/>
        </w:rPr>
        <w:t>. On the left, progressive advocates envision decentralized activism in a third, nongovernmental sphere as a way of reviving de- mocratic participation and rebuilding the state from the bottom up. By contrast, the idea of civil society has been embraced by conserva- tive politicians as a means for replacing government-funded programs and steering away from state intervention. As a result, recent political uses of civil society have subverted the ideals of progressive social re- form and replaced them with conservative agendas that reject egalitar- ian views of social provision</w:t>
      </w:r>
      <w:r w:rsidRPr="00D7045C">
        <w:rPr>
          <w:sz w:val="14"/>
        </w:rPr>
        <w:t xml:space="preserve">. In particular, recent calls to strengthen civil society have been ad- vanced by politicians interested in dismantling the modern welfare sys- tem. </w:t>
      </w:r>
      <w:r w:rsidRPr="00D7045C">
        <w:rPr>
          <w:rStyle w:val="StyleUnderline"/>
        </w:rPr>
        <w:t>Conservative civil society revivalism often equates the idea of self-help through extralegal means with traditional family structures, and blames the breakdown of those structures</w:t>
      </w:r>
      <w:r w:rsidRPr="00D7045C">
        <w:rPr>
          <w:sz w:val="14"/>
        </w:rPr>
        <w:t xml:space="preserve"> (for example, the rise of the single parent family) </w:t>
      </w:r>
      <w:r w:rsidRPr="00D7045C">
        <w:rPr>
          <w:rStyle w:val="StyleUnderline"/>
        </w:rPr>
        <w:t>for the increase in reliance and dependency on government aid</w:t>
      </w:r>
      <w:r w:rsidRPr="00D7045C">
        <w:rPr>
          <w:sz w:val="14"/>
        </w:rPr>
        <w:t xml:space="preserve">.165 This recent depiction of the third sphere of civic life works against legal reform precisely because state interven- tion may support newer, nontraditional social structures. For conser- vative thinkers, legal reform also risks increasing dependency on social services by groups who have traditionally been marginalized, including disproportionate reliance on public funds by people of color and single mothers. Indeed, the end of welfare as we knew it,166 as well as the 164 Alan Wolfe, Is Civil Society Obsolete? Revisiting Predictions of the Decline of Civil Society in Whose Keeper?, in COMMUNITY WORKS, supra note 124, at 18. 165 See Linda C. McClain, The Domain of Civic Virtue in a Good Society: Families, Schools, and Sex Equality, 69 FORDHAM L. REV. 1617, 162 1 (2001). Examples of such claims about the causal connection between the breakdown of traditional civil society/family structures and reli- ance on government aid are found in documents such as COUNCIL ON CIVIL SOC'Y, A CALL TO Civil Society: Why Democracy Needs Moral Truths (1998), and Nat'l Comm'n on Civic Renewal, A Nation of Spectators: How Civic Disengagement Weakens America and What We Can Do About It (1998). For a critique from the perspective of racial justice, see Derrick Bell &amp; Preeta Bansal, The Republican Revival and Racial Politics, 97 YaleLJ. 1609(1988). 166 See, e.g., Martha Minow, Choice or Commonality: Welfare and Schooling After the End of Welfare as We Knew It, 49 DUKE LJ. 493 (1999). This content downloaded from 192.31.105.195 on Fri, 30 Jun 2017 00:08:12 UTC All use subject to http://about.jstor.org/terms 2007] THE PARADOX OF EXTRALEGAL ACTIVISM 973 transformation of work as we knew it,167 is closely related to the quest of thinkers from all sides of the political spectrum for a third space that could replace the traditional functions of work and welfare. Strikingly, a range of liberal and conservative visions have thus con- verged into the same agenda, such as the recent welfare-to-work re- forms, which rely on myriad non-governmental institutions and activi- ties to support them.168 When analyzed from the perspective of the unbundled cooptation critique, it becomes evident that there are multiple limits to the con- temporary extralegal current. First, there have been significant prob- lems with resources and zero-sum energies in the recent campaigns promoting community development and welfare. For example, the ini- tial vision of welfare-to-work supported by liberal reformers was a multifaceted, dynamic system that would reshape the roles and respon- sibilities of the welfare bureaucracy. The Personal Responsibility and Work Opportunity Reconciliation Act of 1996169 (PRWORA), sup- ported by President Clinton, was designed to convert various welfare programs, including Aid to Families with Dependent Children, into a single block grant program. The aim was to transform passive cash assistance into a more active welfare system, in which individuals would be better assisted, by both the government and the community, to return to the labor force and find opportunities to support them- selves. Yet from the broad vision to actual implementation, the pro- gram quickly became limited in focus and in resources. Indeed, PRWORA placed new limits on welfare provision by eliminating eligi- bility categories and by placing rigid time limits on the provision of benefits.170 Moreover, the need to frame questions relating to work, welfare, and poverty in institutional arrangements and professional jargon and to comply with various funding block grants has made some issues, such as the statistical reduction of welfare recipients, more salient, whereas other issues, such as the quality of jobs offered, have been largely eliminated from policymakers' consideration. Despite aspects of the reform that were hailed as empowering for those groups they were designed to help, such as individual private training vouchers, serious questions have been raised about the adequacy of the particu- 167 See generally Orly Lobel, The Four Pillars of Work Law, 104 MICH. L. REV. 1539 (2006) (describing changes in work relations and modes of production in the past several decades and analyzing the way these developments should affect policy). 168 See Scott L. Cummings, Mobilization Lawyering: Community Economic Development in the Figueroa Corridor, in CAUSE LAWYERS AND SOCIAL MOVEMENTS, supra note 49, at 302, 307- 08; Matthew Diller, Form and Substance in the Privatization of Poverty Programs, 49 UCLA L. Rev. 1739(2002). 169 Pub. L. No. 104-193, no Stat. 2105 (1996). 17° See id. This content downloaded from 192.31.105.195 on Fri, 30 Jun 2017 00:08:12 UTC All use subject to http://about.jstor.org/terms 974 HARVARD LAW REVIEW [Vol. 120:937 lar policy design because resources and institutional support have been found lacking.171 The reforms require individual choices and rely on the ability of private recipients to mine through a vast range of infor- mation. </w:t>
      </w:r>
      <w:r w:rsidRPr="00D7045C">
        <w:rPr>
          <w:rStyle w:val="StyleUnderline"/>
        </w:rPr>
        <w:t>As in the areas of child care, health care, and educational vouchers, critics worry that the most disadvantaged workers in the new market will not be able to take advantage of the reforms.172 Un- der such conditions, the goal of eliminating poverty may be eroded and replaced by other goals, such as reducing public expenses. Thus, re- calling the earlier cooptation critique, once reforms are envisioned, even when they need not be framed in legalistic terms, they in some ways become reduced to a handful of issues, while fragmenting, ne- glecting, and ultimately neutralizing other possibilities</w:t>
      </w:r>
      <w:r w:rsidRPr="00D7045C">
        <w:rPr>
          <w:sz w:val="14"/>
        </w:rPr>
        <w:t xml:space="preserve">. At this point, </w:t>
      </w:r>
      <w:r w:rsidRPr="00D7045C">
        <w:rPr>
          <w:rStyle w:val="Emphasis"/>
        </w:rPr>
        <w:t>the paradox of extralegal activism unfolds</w:t>
      </w:r>
      <w:r w:rsidRPr="00D7045C">
        <w:rPr>
          <w:sz w:val="14"/>
        </w:rPr>
        <w:t xml:space="preserve">. </w:t>
      </w:r>
      <w:r w:rsidRPr="00D7045C">
        <w:rPr>
          <w:rStyle w:val="Emphasis"/>
        </w:rPr>
        <w:t>While public interest thinkers increasingly embrace an axiomatic rejection of law as the primary form of progress, their preferred form of activism presents the very risks they seek to avoid</w:t>
      </w:r>
      <w:r w:rsidRPr="00D7045C">
        <w:rPr>
          <w:sz w:val="14"/>
        </w:rPr>
        <w:t xml:space="preserve">. </w:t>
      </w:r>
      <w:r w:rsidRPr="00D7045C">
        <w:rPr>
          <w:rStyle w:val="Emphasis"/>
        </w:rPr>
        <w:t>The rejected "myth of the law" is replaced by a "myth of activism" or a "myth of exit," romanti- cizing a distinct sphere that can better solve social conflict. Yet these myths, like other myths, come complete with their own perpetual per- ils. The myth of exit exemplifies the myriad concerns of cooptation</w:t>
      </w:r>
      <w:r w:rsidRPr="00D7045C">
        <w:rPr>
          <w:sz w:val="14"/>
        </w:rPr>
        <w:t xml:space="preserve">. </w:t>
      </w:r>
      <w:r w:rsidRPr="00D7045C">
        <w:rPr>
          <w:rStyle w:val="StyleUnderline"/>
        </w:rPr>
        <w:t>For feminist agendas, for example, the separation of the world into dis- tinct spheres of action has been a continuous impediment to meaning- ful reform. Efforts to create better possibilities for women to balance work and family responsibilities, including relaxing home work rules and supporting stay-at-home parents through federal child care legisla- tion, have been couched in terms of support for individual choice and private decisionmaking.</w:t>
      </w:r>
      <w:r w:rsidRPr="00D7045C">
        <w:rPr>
          <w:sz w:val="14"/>
        </w:rPr>
        <w:t xml:space="preserve">173 Indeed, recent initiatives in federal child care legislation to support stay-at-home parents have been clouded by preconceptions of the separation of spheres and the need to make one- or-the-other life choices. Most importantly, the emergence of a sphere- oriented discourse abandons a critical perspective that distinguishes between valuing traditional gender-based characteristics and celebrat- ing feminine difference in a universalist and essentialist manner.174 171 See Diller, supra note 168, at 1748-49; John Michaels, Deforming Welfare: How the Domi- nant Narratives of Devolution and Privatization Subverted Federal Welfare Reform, 34 SETON HALL L. REV. 573, 604-22 (2004); Peter Edelman, The Worst Thing Bill Clinton Has Done, AT- LANTIC Monthly, Mar. 1997, at 43, 49-50. 172 See, e.g., JOEL F. HANDLER &amp; YEHESKEL HASENFELD, BLAME WELFARE, IGNORE POVERTY AND INEQUALITY 55-63, 133-35, 343~45 (2006). 173 See generally Nancy E. Dowd, Work and Family: Restructuring the Workplace, 32 ARIZ. L. REV. 431, 431 (1990) ("Conflict between work and family responsibilities is a critical workplace issue. . . . [There exists] an ideology of individual choice and individual burdens which masks the nature of the structure and the basis of the conflict."). 174 See Judith Stacey, In The Name of the Family: Rethinking Family Values IN THE POSTMODERN AGE (1996); Frances E. Olsen, The Family and the Market, 96 HARV. L. Rev. 1497 (1983). This content downloaded from 192.31.105.195 on Fri, 30 Jun 2017 00:08:12 UTC All use subject to http://about.jstor.org/terms 2OO7] THE PARADOX OF EXTRALEGAL ACTIVISM 975 Not surprisingly then, some feminist writers have responded to civil society revivalism with great skepticism, arguing that efforts to align feminine values and agendas with classic republican theory of civil so- ciety activism should be understood, at least in part, as a way of le- gitimizing historical social structures that subordinated women.175 </w:t>
      </w:r>
      <w:r w:rsidRPr="00D7045C">
        <w:rPr>
          <w:rStyle w:val="StyleUnderline"/>
        </w:rPr>
        <w:t>The feminist lesson on the law/exit pendulum reveals a broader pattern. In a classic example of cooptation, activists should be con- cerned about the infusion (or indeed confusion) of nonlegal strategies with conservative privatization agendas.</w:t>
      </w:r>
      <w:r w:rsidRPr="00D7045C">
        <w:rPr>
          <w:sz w:val="14"/>
        </w:rPr>
        <w:t xml:space="preserve"> Indeed, </w:t>
      </w:r>
      <w:r w:rsidRPr="00D7045C">
        <w:rPr>
          <w:rStyle w:val="StyleUnderline"/>
        </w:rPr>
        <w:t>in significant social policy contexts, legal scholarship oriented toward the exploration of ex- tralegal paths reinforces the exact narrative that it originally resisted</w:t>
      </w:r>
      <w:r w:rsidRPr="00D7045C">
        <w:rPr>
          <w:sz w:val="14"/>
        </w:rPr>
        <w:t xml:space="preserve"> - </w:t>
      </w:r>
      <w:r w:rsidRPr="00D7045C">
        <w:rPr>
          <w:rStyle w:val="StyleUnderline"/>
        </w:rPr>
        <w:t>that the state cannot and should not be accountable for sustaining and improving the lifeworld of individuals in the twenty-first-century economy and that we must seek alternative ways to bring about social reform</w:t>
      </w:r>
      <w:r w:rsidRPr="00D7045C">
        <w:rPr>
          <w:sz w:val="14"/>
        </w:rPr>
        <w:t xml:space="preserve">. </w:t>
      </w:r>
      <w:r w:rsidRPr="00D7045C">
        <w:rPr>
          <w:rStyle w:val="Emphasis"/>
        </w:rPr>
        <w:t>Whether using the terminology of a path-dependent process, an inevitable downward spiral, a transnational prisoner's dilemma, or a global race to the bottom, current analyses often suggest a lack of control over the forces of new economic realities</w:t>
      </w:r>
      <w:r w:rsidRPr="00D7045C">
        <w:rPr>
          <w:rStyle w:val="StyleUnderline"/>
        </w:rPr>
        <w:t>. Rather than counter- ing the story of lack of control, pointing to the ongoing role of gov- ernment and showing the contradictions between that which is being kept regulated and that which is privatized, alternative extralegal scholarship accepts these developments as natural and inevitable</w:t>
      </w:r>
      <w:r w:rsidRPr="00D7045C">
        <w:rPr>
          <w:sz w:val="14"/>
        </w:rPr>
        <w:t xml:space="preserve">. Similar to the arguments developed in relation to the labor movement - in which focusing on a limited right to collective bargaining demo- bilized workers and stripped them of their voice, participation, and de- cisionmaking power - contemporary extralegal agendas are limited to very narrow and patterned sets of reforms. A striking example has been the focus on welfare reform as the single frontier of economic redistribution without a connection being made between these reforms and social services in which the middle class has a strong interest, such as Social Security and Medicare. Simi- larly, on the legal pluralism frontier, when activists call for more cor- porate social responsibility, the initial expressions are those of broad demands for sustainable development and overall industry obligations for the social and environmental consequences of their activities.176 The discourse, however, quickly becomes coopted by a shift to a narrow focus on charitable donations and corporate philanthropy or 175 See, e.g., Dowd, supra note 173, at 486; Suzanna Sherry, Civic Virtue and the Feminine Voice in Constitutional Adjudication, 72 VA. L. REV. 543 (1986). 176 See World Business Council for Sustainable Development, Corporate Social Responsibility: Meeting Changing Expectations (1999), available at http://www.wbcsd.org (follow "Publications &amp; Reports" hyperlink; then follow "Corporate Social Responsibility: Meeting changing expectations" hyperlink). This content downloaded from 192.31.105.195 on Fri, 30 Jun 2017 00:08:12 UTC All use subject to http://about.jstor.org/terms 976 HARVARD LAW REVIEW [Vol. 120:937 private reporting absent an institutionalized compliance structure.177 Moreover, because of institutional limitations and crowding out effects possible in any type of reform agenda, the focus shifts to the benefits of corporate social responsibility to businesses, as marketing, recruit- ment, public relations, and "greenwashing" strategies.178 Critics therefore become deeply cynical about the industry's real commitments to ethical conduct. A similar process can be described with regard to the literature on globalization. Globalization scholarship often attempts to produce a unifying narrative and an image of unitary struggle when in fact such unity does not exist. Embodied in the aforementioned irony of a "global anti-globalization" movement, social reform activism that re- sides under the umbrella of global movements is greatly diverse, some of it highly conservative. An "anti-globalization" movement can be a defensive nationalist movement infused with xenophobia and protec- tive ideologies.179 In fact, during central instances of collective action, such as those in Seattle, Quebec, Puerto Alegre, and Genoa, competing and conflicting claims were frequently encompassed in the same pro- test.180 Nevertheless, there is a tendency to celebrate and idealize these protests as united and world-altering. Similarly, at the local level, grassroots politics often lack a clear agenda and are particularly ripe for cooptation resulting in far lesser achievements than what may have been expected by the groups in- volved. In a critical introduction to the law and organizing model, Professor Scott Cummings and Ingrid Eagly describe the ways in which new community-based approaches to progressive lawyering privilege grassroots activism over legal reform efforts and the facilita- tion of community mobilization over conventional lawyering.181 After carefully unpacking the ways in which community lawyers embrace 177 See, e.g., Symposium, Corporate Social Responsibility: Paradigm or Paradox?, 84 Cornell L. Rev. 1282, 1311 (1999). 178 See Christine Parker, The Open Corporation: Effective Self-Regulation AND DEMOCRACY 135-67 (2002); John M. Conley &amp; Cynthia A. Williams, Engage, Embed, and Embellish: Theory Versus Practice in the Corporate Social Responsibility Movement, 31 J. CORP. L. 1, 13-18 (2005). On greenwashing, see William A. Laufer, Social Accountability and Corporate Greenwashing, 43 J. BUS. ETHICS 253 (2003) (describing greenwashing as a "form[] of disinforma- tion from organizations seeking to repair public reputations and further public images"). 179 See Lynch, supra note 132. 180 See, e.g., Richard Bondreaux &amp; Marjorie Miller, Genoa on Minds of Protestors, L.A. TIMES, July 18, 2001, at Ai (noting that the "summit-hopping movement for global justice" that began in Seattle "embraces Greenpeace environmentalists, Greek trade unions, Basque separatists, German punkers, faith-based groups such as Christian Aid and more"); The WTO History Project, Or- ganizations Opposed to the WTO, http://depts.washington.edu/wtohist/orgs.htm (last visited Jan. 14, 2007) (listing the over 1400 organizations, representing all sorts of interests, that signed a peti- tion opposing the WTO in connection with the Seattle protest). 181 See Cummings &amp; Eagly, supra note 40. This content downloaded from 192.31.105.195 on Fri, 30 Jun 2017 00:08:12 UTC All use subject to http://about.jstor.org/terms 2007] THE PARADOX OF EXTRALEGAL ACTIVISM 977 law and organizing, Professor Cummings and Eagly rightfully warn against "exaggerating the ineffectiveness of traditional legal interven- tions" and "closing off potential avenues for redress."182 Significantly, the strategies embraced by new public interest lawyers have not been shown to produce effective change in communities, and certainly there has been no assurance that these strategies fare comparatively better than legal reform. Moreover, </w:t>
      </w:r>
      <w:r w:rsidRPr="00D7045C">
        <w:rPr>
          <w:rStyle w:val="StyleUnderline"/>
        </w:rPr>
        <w:t>what are meant to be progressive pro- jects of community action and community economic development fre- quently can have a hidden effect of excluding worse-off groups, such as migrant workers, because of the geographical scope and zoning re- strictions of the project.</w:t>
      </w:r>
      <w:r w:rsidRPr="00D7045C">
        <w:rPr>
          <w:sz w:val="14"/>
        </w:rPr>
        <w:t xml:space="preserve">183 In the same way that the labor and corpo- rate social responsibility movements have failed because of their em- brace of a legal framework, the community economic development movement - so diverse in its ideological appeal yet so prominent since the early 1990s as a major approach to poverty relief - may bring about its own destruction by fracture and diffusion.184 In all of these cases, </w:t>
      </w:r>
      <w:r w:rsidRPr="00D7045C">
        <w:rPr>
          <w:rStyle w:val="Emphasis"/>
        </w:rPr>
        <w:t>it is the act of engagement, not law</w:t>
      </w:r>
      <w:r w:rsidRPr="00D7045C">
        <w:rPr>
          <w:sz w:val="14"/>
        </w:rPr>
        <w:t xml:space="preserve">, </w:t>
      </w:r>
      <w:r w:rsidRPr="00D7045C">
        <w:rPr>
          <w:rStyle w:val="Emphasis"/>
        </w:rPr>
        <w:t>that holds the risks of cooptation and the politics of compromise</w:t>
      </w:r>
      <w:r w:rsidRPr="00D7045C">
        <w:rPr>
          <w:sz w:val="14"/>
        </w:rPr>
        <w:t xml:space="preserve">. It is not the particularities of lawyers as a professional group that create depend- ency. Rather, it is the dynamics between skilled, networked, and re- sourced components and those who need them that may submerge goals and create reliance. </w:t>
      </w:r>
      <w:r w:rsidRPr="00D7045C">
        <w:rPr>
          <w:rStyle w:val="Emphasis"/>
        </w:rPr>
        <w:t>It is not the particularities of the structural limitations of the judiciary that threaten to limit the progressive vision of social movements. Rather, it is the essential difficulties of imple- menting theory into practice. Life is simply messier than abstract ideals</w:t>
      </w:r>
      <w:r w:rsidRPr="00D7045C">
        <w:rPr>
          <w:sz w:val="14"/>
        </w:rPr>
        <w:t xml:space="preserve">. </w:t>
      </w:r>
      <w:r w:rsidRPr="00D7045C">
        <w:rPr>
          <w:rStyle w:val="StyleUnderline"/>
        </w:rPr>
        <w:t>Cooptation analysis exposes the broad, general risk of assuming ownership over a rhetorical and conceptual framework of a movement for change.</w:t>
      </w:r>
      <w:r w:rsidRPr="00D7045C">
        <w:rPr>
          <w:sz w:val="14"/>
        </w:rPr>
        <w:t xml:space="preserve"> Subsequently, when, in practice, other factions in the po- litical debate embrace the language and frame their projects in similar terms, groups experience a sense of loss of control or possession of "their" vision. In sum, in the contemporary context, in the absence of a more programmatic and concrete vision of what alternative models of social reform activism need to achieve, the conclusions and rhetoric of the contemporary critical legal consciousness are appropriated by advocates representing a wide range of political commitments. Under- 182 Id. at 491. 183 See, e.g., Audrey G. McFarlane, Race, Space, and Place: The Geography of Economic Devel- opment, 36 San Diego L. Rev. 295, 318 (1999). 184 See William H. Simon, The Community Economic Development Movement (2001); Scott L. Cummings, Community Economic Development as Progressive Politics: Toward a Grassroots Movement for Economic Justice, 54 STAN. L. REV. 399 (2001); Louise A. Howells, The Dimensions of Micro enterprise: A Critical Look at Micro enterprise as a Tool To Alleviate Poverty, 9 J. Affordable Housing &amp; Community Dev. L. 161 (2000); Shah, supra note m, at 218; Patricia A. Wilson, Empowerment: Community Economic Development from the Inside Out, 33 Urb. Stud. 617 (1996). This content downloaded from 192.31.105.195 on Fri, 30 Jun 2017 00:08:12 UTC All use subject to http://about.jstor.org/terms 978 HARVARD LAW REVIEW [Vol. 120:937 stood from this perspective, cooptation is not the result of the turn to a particular reform strategy. Rather, cooptation occurs when imagined ideals are left unchecked and seemingly progressive rhetoric is repro- duced by a conservative agenda. Dominant interpretations such as privatization and market competitiveness come out ahead, whereas other values, such as group empowerment and redistributive justice, receive only symbolic recognition, and in turn serve to facilitate and stabilize the process.</w:t>
      </w:r>
    </w:p>
    <w:p w14:paraId="6F6151C5" w14:textId="77777777" w:rsidR="003D049F" w:rsidRPr="00D7045C" w:rsidRDefault="003D049F" w:rsidP="00BE7E02">
      <w:pPr>
        <w:pStyle w:val="NoSpacing"/>
      </w:pPr>
    </w:p>
    <w:p w14:paraId="038AE164" w14:textId="77777777" w:rsidR="003D049F" w:rsidRPr="00D7045C" w:rsidRDefault="003D049F" w:rsidP="003D049F">
      <w:pPr>
        <w:pStyle w:val="Heading4"/>
        <w:rPr>
          <w:rFonts w:cs="Times New Roman"/>
        </w:rPr>
      </w:pPr>
      <w:r w:rsidRPr="00D7045C">
        <w:rPr>
          <w:rFonts w:cs="Times New Roman"/>
        </w:rPr>
        <w:t>The aff allows for a transition to new desegregation techniques – unification, reshaping districts, magnet schools</w:t>
      </w:r>
    </w:p>
    <w:p w14:paraId="01F55F52" w14:textId="77777777" w:rsidR="003D049F" w:rsidRPr="00D7045C" w:rsidRDefault="003D049F" w:rsidP="003D049F">
      <w:r w:rsidRPr="00D7045C">
        <w:rPr>
          <w:rStyle w:val="Style13ptBold"/>
        </w:rPr>
        <w:t>Theoharis 15</w:t>
      </w:r>
      <w:r w:rsidRPr="00D7045C">
        <w:t xml:space="preserve"> </w:t>
      </w:r>
      <w:r w:rsidRPr="00D7045C">
        <w:rPr>
          <w:sz w:val="18"/>
        </w:rPr>
        <w:t xml:space="preserve">(George, professor and a chair in the School of Education at Syracuse University, “‘Forced busing’ didn’t fail. Desegregation is the best way to improve our schools”, https://www.washingtonpost.com/posteverything/wp/2015/10/23/forced-busing-didnt-fail-desegregation-is-the-best-way-to-improve-our-schools/?utm_term=.07925e148b83) </w:t>
      </w:r>
      <w:r w:rsidRPr="00D7045C">
        <w:t>DGA</w:t>
      </w:r>
    </w:p>
    <w:p w14:paraId="3D5683C9" w14:textId="77777777" w:rsidR="003D049F" w:rsidRPr="00D7045C" w:rsidRDefault="003D049F" w:rsidP="003D049F">
      <w:pPr>
        <w:rPr>
          <w:rStyle w:val="StyleUnderline"/>
        </w:rPr>
      </w:pPr>
      <w:r w:rsidRPr="00D7045C">
        <w:rPr>
          <w:rStyle w:val="StyleUnderline"/>
        </w:rPr>
        <w:t>While much has been said about the failure of busing, it’s time to move beyond this myth. In one of the most famous examples of court-ordered desegregation,</w:t>
      </w:r>
      <w:r w:rsidRPr="00D7045C">
        <w:rPr>
          <w:sz w:val="16"/>
        </w:rPr>
        <w:t xml:space="preserve"> </w:t>
      </w:r>
      <w:r w:rsidRPr="00D7045C">
        <w:rPr>
          <w:rStyle w:val="StyleUnderline"/>
        </w:rPr>
        <w:t>Boston began busing students between white and black neighborhoods in 1974, sparking violent white protests and boycotts</w:t>
      </w:r>
      <w:r w:rsidRPr="00D7045C">
        <w:rPr>
          <w:sz w:val="16"/>
        </w:rPr>
        <w:t xml:space="preserve"> by white students. </w:t>
      </w:r>
      <w:r w:rsidRPr="00D7045C">
        <w:rPr>
          <w:rStyle w:val="StyleUnderline"/>
        </w:rPr>
        <w:t>White families fled to the suburbs. Supporting neighborhood</w:t>
      </w:r>
      <w:r w:rsidRPr="00D7045C">
        <w:rPr>
          <w:sz w:val="16"/>
        </w:rPr>
        <w:t xml:space="preserve"> schools and opposing school bus rides </w:t>
      </w:r>
      <w:r w:rsidRPr="00D7045C">
        <w:rPr>
          <w:rStyle w:val="StyleUnderline"/>
        </w:rPr>
        <w:t>became rhetoric to fight desegregation without overtly racist language</w:t>
      </w:r>
      <w:r w:rsidRPr="00D7045C">
        <w:rPr>
          <w:sz w:val="16"/>
        </w:rPr>
        <w:t xml:space="preserve">. But as black activists in Boston noted at the time, “It’s not the bus, it’s us.” Before the court order, nearly 90 percent of high school students rode a bus to school without protest. </w:t>
      </w:r>
      <w:r w:rsidRPr="00D7045C">
        <w:rPr>
          <w:rStyle w:val="StyleUnderline"/>
        </w:rPr>
        <w:t>Today, most children get on a school bus to attend a segregated school. Busing ended because of a combination of white protest, media that overemphasized resistance, and the lack of systematic collection to judge the impact of desegregation.</w:t>
      </w:r>
      <w:r w:rsidRPr="00D7045C">
        <w:rPr>
          <w:sz w:val="16"/>
        </w:rPr>
        <w:t xml:space="preserve"> So </w:t>
      </w:r>
      <w:r w:rsidRPr="00D7045C">
        <w:rPr>
          <w:rStyle w:val="StyleUnderline"/>
        </w:rPr>
        <w:t>we need to be sober about our history: Busing didn’t fail; the nation’s resolve and commitment to equal and excellent desegregated schools did</w:t>
      </w:r>
      <w:r w:rsidRPr="00D7045C">
        <w:rPr>
          <w:sz w:val="16"/>
        </w:rPr>
        <w:t xml:space="preserve">. </w:t>
      </w:r>
      <w:r w:rsidRPr="00D7045C">
        <w:rPr>
          <w:rStyle w:val="StyleUnderline"/>
        </w:rPr>
        <w:t xml:space="preserve">Busing is not the only way to desegregate our schools. We can unify school districts so they encompass racially and economically diverse neighborhoods. The countywide district centered in Raleigh, for instance, has been successful in integrating schools and achieving academic success, in contrast to the 18 schools districts across the metropolitan </w:t>
      </w:r>
      <w:r w:rsidRPr="00D7045C">
        <w:rPr>
          <w:sz w:val="16"/>
        </w:rPr>
        <w:t xml:space="preserve">Syracuse area. </w:t>
      </w:r>
      <w:r w:rsidRPr="00D7045C">
        <w:rPr>
          <w:rStyle w:val="StyleUnderline"/>
        </w:rPr>
        <w:t>Shaping districts like pie pieces, so they cut across urban, suburban and even rural spaces, could have the same effect.</w:t>
      </w:r>
      <w:r w:rsidRPr="00D7045C">
        <w:rPr>
          <w:sz w:val="16"/>
        </w:rPr>
        <w:t xml:space="preserve"> </w:t>
      </w:r>
      <w:r w:rsidRPr="00D7045C">
        <w:rPr>
          <w:rStyle w:val="StyleUnderline"/>
        </w:rPr>
        <w:t>Creating more open-enrollment magnet schools would also bring families of various races and incomes into well-funded and themed schools</w:t>
      </w:r>
      <w:r w:rsidRPr="00D7045C">
        <w:rPr>
          <w:sz w:val="16"/>
        </w:rPr>
        <w:t xml:space="preserve">. For existing public schools, </w:t>
      </w:r>
      <w:r w:rsidRPr="00D7045C">
        <w:rPr>
          <w:rStyle w:val="StyleUnderline"/>
        </w:rPr>
        <w:t>we could merge two neighborhood campuses in segregated communities, so they attend one neighborhood school together from kindergarten through second grade and the other from third through fifth grades</w:t>
      </w:r>
      <w:r w:rsidRPr="00D7045C">
        <w:rPr>
          <w:sz w:val="16"/>
        </w:rPr>
        <w:t xml:space="preserve">. Or </w:t>
      </w:r>
      <w:r w:rsidRPr="00D7045C">
        <w:rPr>
          <w:rStyle w:val="StyleUnderline"/>
        </w:rPr>
        <w:t>we can incentivize school districts to take action, imposing</w:t>
      </w:r>
      <w:r w:rsidRPr="00D7045C">
        <w:rPr>
          <w:sz w:val="16"/>
        </w:rPr>
        <w:t xml:space="preserve"> segregation </w:t>
      </w:r>
      <w:r w:rsidRPr="00D7045C">
        <w:rPr>
          <w:rStyle w:val="StyleUnderline"/>
        </w:rPr>
        <w:t>and providing financial resources to districts with aggressive desegregation plans.</w:t>
      </w:r>
    </w:p>
    <w:p w14:paraId="3B0A9C4D" w14:textId="77777777" w:rsidR="003D049F" w:rsidRPr="00D7045C" w:rsidRDefault="003D049F" w:rsidP="00BE7E02">
      <w:pPr>
        <w:pStyle w:val="NoSpacing"/>
      </w:pPr>
    </w:p>
    <w:p w14:paraId="211AFE21" w14:textId="77777777" w:rsidR="003D049F" w:rsidRPr="00D7045C" w:rsidRDefault="003D049F" w:rsidP="003D049F">
      <w:pPr>
        <w:pStyle w:val="Heading4"/>
        <w:rPr>
          <w:rFonts w:cs="Times New Roman"/>
        </w:rPr>
      </w:pPr>
      <w:r w:rsidRPr="00D7045C">
        <w:rPr>
          <w:rFonts w:cs="Times New Roman"/>
        </w:rPr>
        <w:t>Data shows integrated schooling improves overall educational quality – test scores, careers</w:t>
      </w:r>
    </w:p>
    <w:p w14:paraId="23940EC2" w14:textId="77777777" w:rsidR="003D049F" w:rsidRPr="00D7045C" w:rsidRDefault="003D049F" w:rsidP="003D049F">
      <w:r w:rsidRPr="00D7045C">
        <w:rPr>
          <w:rStyle w:val="Style13ptBold"/>
        </w:rPr>
        <w:t>Orfield 15</w:t>
      </w:r>
      <w:r w:rsidRPr="00D7045C">
        <w:t xml:space="preserve"> (Myron, Professor of Law and Director of the Institute for Metropolitan Opportunity at the University of Minnesota, 2015,  “Milliken, Meredith, and Metropolitan Segregation,” UCLA Law Review, Law Rev. 364, pg. 424-426) KVA</w:t>
      </w:r>
    </w:p>
    <w:p w14:paraId="0206E8FE" w14:textId="77777777" w:rsidR="003D049F" w:rsidRPr="00D7045C" w:rsidRDefault="003D049F" w:rsidP="003D049F">
      <w:pPr>
        <w:spacing w:line="240" w:lineRule="auto"/>
        <w:rPr>
          <w:rFonts w:eastAsia="Times New Roman"/>
          <w:sz w:val="14"/>
          <w:lang w:eastAsia="zh-CN"/>
        </w:rPr>
      </w:pPr>
      <w:r w:rsidRPr="00D7045C">
        <w:rPr>
          <w:rStyle w:val="StyleUnderline"/>
          <w:lang w:eastAsia="zh-CN"/>
        </w:rPr>
        <w:t>The pro-integration briefs cited scholarly evidence on the benefits of school integration</w:t>
      </w:r>
      <w:r w:rsidRPr="00D7045C">
        <w:rPr>
          <w:rFonts w:eastAsia="Times New Roman"/>
          <w:sz w:val="14"/>
          <w:lang w:eastAsia="zh-CN"/>
        </w:rPr>
        <w:t xml:space="preserve">. </w:t>
      </w:r>
      <w:r w:rsidRPr="00D7045C">
        <w:rPr>
          <w:rStyle w:val="StyleUnderline"/>
          <w:lang w:eastAsia="zh-CN"/>
        </w:rPr>
        <w:t>Extensive research</w:t>
      </w:r>
      <w:r w:rsidRPr="00D7045C">
        <w:rPr>
          <w:rFonts w:eastAsia="Times New Roman"/>
          <w:sz w:val="14"/>
          <w:lang w:eastAsia="zh-CN"/>
        </w:rPr>
        <w:t xml:space="preserve"> literature </w:t>
      </w:r>
      <w:r w:rsidRPr="00D7045C">
        <w:rPr>
          <w:rStyle w:val="StyleUnderline"/>
          <w:lang w:eastAsia="zh-CN"/>
        </w:rPr>
        <w:t>documents that racial and economic segregation hurts children and the potential positive effects of creating more integrated schools</w:t>
      </w:r>
      <w:r w:rsidRPr="00D7045C">
        <w:rPr>
          <w:rFonts w:eastAsia="Times New Roman"/>
          <w:sz w:val="14"/>
          <w:lang w:eastAsia="zh-CN"/>
        </w:rPr>
        <w:t xml:space="preserve"> are broad and long-lasting. The research shows that </w:t>
      </w:r>
      <w:r w:rsidRPr="00D7045C">
        <w:rPr>
          <w:rStyle w:val="Emphasis"/>
          <w:lang w:eastAsia="zh-CN"/>
        </w:rPr>
        <w:t>integrated schools boost academic achievement</w:t>
      </w:r>
      <w:r w:rsidRPr="00D7045C">
        <w:rPr>
          <w:rFonts w:eastAsia="Times New Roman"/>
          <w:sz w:val="14"/>
          <w:lang w:eastAsia="zh-CN"/>
        </w:rPr>
        <w:t xml:space="preserve"> (defined </w:t>
      </w:r>
      <w:r w:rsidRPr="00D7045C">
        <w:rPr>
          <w:rStyle w:val="Emphasis"/>
          <w:lang w:eastAsia="zh-CN"/>
        </w:rPr>
        <w:t>in terms of test scores, attainment</w:t>
      </w:r>
      <w:r w:rsidRPr="00D7045C">
        <w:rPr>
          <w:rFonts w:eastAsia="Times New Roman"/>
          <w:sz w:val="14"/>
          <w:lang w:eastAsia="zh-CN"/>
        </w:rPr>
        <w:t xml:space="preserve"> (years in school and number of degrees), and expectations), </w:t>
      </w:r>
      <w:r w:rsidRPr="00D7045C">
        <w:rPr>
          <w:rStyle w:val="Emphasis"/>
          <w:lang w:eastAsia="zh-CN"/>
        </w:rPr>
        <w:t>improve opportunities for students of color, and generate valuable social and economic benefits</w:t>
      </w:r>
      <w:r w:rsidRPr="00D7045C">
        <w:rPr>
          <w:rFonts w:eastAsia="Times New Roman"/>
          <w:sz w:val="14"/>
          <w:lang w:eastAsia="zh-CN"/>
        </w:rPr>
        <w:t xml:space="preserve"> (</w:t>
      </w:r>
      <w:r w:rsidRPr="00D7045C">
        <w:rPr>
          <w:rStyle w:val="StyleUnderline"/>
          <w:lang w:eastAsia="zh-CN"/>
        </w:rPr>
        <w:t>better jobs with better benefits, greater ease of living, and diverse future work</w:t>
      </w:r>
      <w:r w:rsidRPr="00D7045C">
        <w:rPr>
          <w:rStyle w:val="StyleUnderline"/>
        </w:rPr>
        <w:t xml:space="preserve"> </w:t>
      </w:r>
      <w:r w:rsidRPr="00D7045C">
        <w:rPr>
          <w:rStyle w:val="StyleUnderline"/>
          <w:lang w:eastAsia="zh-CN"/>
        </w:rPr>
        <w:t>environments</w:t>
      </w:r>
      <w:r w:rsidRPr="00D7045C">
        <w:rPr>
          <w:rFonts w:eastAsia="Times New Roman"/>
          <w:sz w:val="14"/>
          <w:lang w:eastAsia="zh-CN"/>
        </w:rPr>
        <w:t xml:space="preserve">). </w:t>
      </w:r>
      <w:r w:rsidRPr="00D7045C">
        <w:rPr>
          <w:rStyle w:val="StyleUnderline"/>
          <w:lang w:eastAsia="zh-CN"/>
        </w:rPr>
        <w:t>Integrated schools also enhance the cultural competence of white students and prepare them for a more diverse workplace and society. Attending racially integrated schools and classrooms improves the academic achievement of minority students</w:t>
      </w:r>
      <w:r w:rsidRPr="00D7045C">
        <w:rPr>
          <w:rFonts w:eastAsia="Times New Roman"/>
          <w:sz w:val="14"/>
          <w:lang w:eastAsia="zh-CN"/>
        </w:rPr>
        <w:t xml:space="preserve"> (measured by test scores).399 Since the research also shows that integrated schools do not lower test scores for white students, racially integrated schools are one of the very few strategies demonstrated to ease one of the most difficult public policy problems of our time—the racial achievement gap. Other academic benefits for minority students include completing more years of education and higher college attendance rates. </w:t>
      </w:r>
      <w:r w:rsidRPr="00D7045C">
        <w:rPr>
          <w:rStyle w:val="Emphasis"/>
          <w:lang w:eastAsia="zh-CN"/>
        </w:rPr>
        <w:t>Long-term economic benefits include a tendency to choose more lucrative occupations in which minorities are historically underrepresented</w:t>
      </w:r>
      <w:r w:rsidRPr="00D7045C">
        <w:rPr>
          <w:rFonts w:eastAsia="Times New Roman"/>
          <w:sz w:val="14"/>
          <w:lang w:eastAsia="zh-CN"/>
        </w:rPr>
        <w:t xml:space="preserve">.400 Integrated schools also generate long-term social benefits for students. </w:t>
      </w:r>
      <w:r w:rsidRPr="00D7045C">
        <w:rPr>
          <w:rStyle w:val="StyleUnderline"/>
          <w:lang w:eastAsia="zh-CN"/>
        </w:rPr>
        <w:t>Students who experience interracial contact in integrated school settings are more likely to live, work, and attend college in more integrated settings</w:t>
      </w:r>
      <w:r w:rsidRPr="00D7045C">
        <w:rPr>
          <w:rFonts w:eastAsia="Times New Roman"/>
          <w:sz w:val="14"/>
          <w:lang w:eastAsia="zh-CN"/>
        </w:rPr>
        <w:t xml:space="preserve">.401 </w:t>
      </w:r>
      <w:r w:rsidRPr="00D7045C">
        <w:rPr>
          <w:rStyle w:val="StyleUnderline"/>
          <w:lang w:eastAsia="zh-CN"/>
        </w:rPr>
        <w:t>Integrated classrooms improve the stability of interracial friendships</w:t>
      </w:r>
      <w:r w:rsidRPr="00D7045C">
        <w:rPr>
          <w:rFonts w:eastAsia="Times New Roman"/>
          <w:sz w:val="14"/>
          <w:lang w:eastAsia="zh-CN"/>
        </w:rPr>
        <w:t xml:space="preserve"> and increase the likelihood of interracial friendships as adults.402 Both white and nonwhite students</w:t>
      </w:r>
      <w:r w:rsidRPr="00D7045C">
        <w:rPr>
          <w:rFonts w:eastAsia="Times New Roman"/>
          <w:sz w:val="14"/>
        </w:rPr>
        <w:t xml:space="preserve"> </w:t>
      </w:r>
      <w:r w:rsidRPr="00D7045C">
        <w:rPr>
          <w:rFonts w:eastAsia="Times New Roman"/>
          <w:sz w:val="14"/>
          <w:lang w:eastAsia="zh-CN"/>
        </w:rPr>
        <w:t xml:space="preserve">tend to have higher educational aspirations if they have cross-race friendships.403 </w:t>
      </w:r>
      <w:r w:rsidRPr="00D7045C">
        <w:rPr>
          <w:rStyle w:val="StyleUnderline"/>
          <w:lang w:eastAsia="zh-CN"/>
        </w:rPr>
        <w:t>Interracial contact in desegregated settings decreases racial prejudice among students and facilitates more positive interracial relations.404 Students who attend integrated schools report an increased sense of civic engagement compared to their segregated peers</w:t>
      </w:r>
      <w:r w:rsidRPr="00D7045C">
        <w:rPr>
          <w:rFonts w:eastAsia="Times New Roman"/>
          <w:sz w:val="14"/>
          <w:lang w:eastAsia="zh-CN"/>
        </w:rPr>
        <w:t>.405</w:t>
      </w:r>
    </w:p>
    <w:p w14:paraId="5E251ACF" w14:textId="77777777" w:rsidR="003D049F" w:rsidRPr="00D7045C" w:rsidRDefault="003D049F" w:rsidP="00BE7E02">
      <w:pPr>
        <w:pStyle w:val="NoSpacing"/>
      </w:pPr>
    </w:p>
    <w:p w14:paraId="50825C6E" w14:textId="77777777" w:rsidR="003D049F" w:rsidRPr="00D7045C" w:rsidRDefault="003D049F" w:rsidP="003D049F">
      <w:pPr>
        <w:pStyle w:val="Heading4"/>
        <w:rPr>
          <w:rFonts w:cs="Times New Roman"/>
        </w:rPr>
      </w:pPr>
      <w:r w:rsidRPr="00D7045C">
        <w:rPr>
          <w:rFonts w:cs="Times New Roman"/>
        </w:rPr>
        <w:t xml:space="preserve">Overturning Milliken solidifies Brown v. Board and makes racist education practices visible </w:t>
      </w:r>
    </w:p>
    <w:p w14:paraId="3420C1A7" w14:textId="77777777" w:rsidR="003D049F" w:rsidRPr="00D7045C" w:rsidRDefault="003D049F" w:rsidP="003D049F">
      <w:pPr>
        <w:rPr>
          <w:rFonts w:eastAsia="Times New Roman"/>
        </w:rPr>
      </w:pPr>
      <w:r w:rsidRPr="00D7045C">
        <w:rPr>
          <w:rStyle w:val="Style13ptBold"/>
        </w:rPr>
        <w:t>Powell 16</w:t>
      </w:r>
      <w:r w:rsidRPr="00D7045C">
        <w:rPr>
          <w:rFonts w:eastAsia="Times New Roman"/>
        </w:rPr>
        <w:t xml:space="preserve"> (Cedric, Professor of Law at University of Louisville, Septermber 7, 2015, “Milliken, ‘Neutral Principles,’ And Post-Racial Determinism,” University of Louisville School of Law Legal Studies Research, Series 2016-2, pg. 33-35) KVA</w:t>
      </w:r>
    </w:p>
    <w:p w14:paraId="67B1E767" w14:textId="77777777" w:rsidR="003D049F" w:rsidRPr="00D7045C" w:rsidRDefault="003D049F" w:rsidP="003D049F">
      <w:pPr>
        <w:rPr>
          <w:rFonts w:eastAsia="Times New Roman"/>
          <w:sz w:val="14"/>
        </w:rPr>
      </w:pPr>
      <w:r w:rsidRPr="00D7045C">
        <w:rPr>
          <w:rStyle w:val="StyleUnderline"/>
        </w:rPr>
        <w:t>Milliken is such a race-neutral institutional decision because, under the ostensibly neutral rationale of local control in school decision-making</w:t>
      </w:r>
      <w:r w:rsidRPr="00D7045C">
        <w:rPr>
          <w:rFonts w:eastAsia="Times New Roman"/>
          <w:sz w:val="14"/>
        </w:rPr>
        <w:t xml:space="preserve">,148 it locks in inequality by creating the novel constitutional principle that school district lines are inviolate.149 </w:t>
      </w:r>
      <w:r w:rsidRPr="00D7045C">
        <w:rPr>
          <w:rStyle w:val="StyleUnderline"/>
        </w:rPr>
        <w:t>This distorted proposition should be rejected and replaced with a constitutional analysis rooted in the Fourteenth Amendment’s mandate to eliminate, in every form, caste-based oppression</w:t>
      </w:r>
      <w:r w:rsidRPr="00D7045C">
        <w:rPr>
          <w:rFonts w:eastAsia="Times New Roman"/>
          <w:sz w:val="14"/>
        </w:rPr>
        <w:t xml:space="preserve">. </w:t>
      </w:r>
      <w:r w:rsidRPr="00D7045C">
        <w:rPr>
          <w:rStyle w:val="Emphasis"/>
        </w:rPr>
        <w:t>This would restore the doctrinal vibrancy and validity of Brown, and it would reinvigorate the Fourteenth Amendment as a guarantor of substantive equality</w:t>
      </w:r>
      <w:r w:rsidRPr="00D7045C">
        <w:rPr>
          <w:rFonts w:eastAsia="Times New Roman"/>
          <w:sz w:val="14"/>
        </w:rPr>
        <w:t xml:space="preserve">. Thus, the structural inequality theory would advance the following doctrinal conceptions under the Fourteenth Amendment: </w:t>
      </w:r>
      <w:r w:rsidRPr="00D7045C">
        <w:rPr>
          <w:rStyle w:val="StyleUnderline"/>
        </w:rPr>
        <w:t>1. Formalistic equality should be rejected: intentional discrimination should not be the evidentiary prerequisite for a finding of systemic inequality that perpetuates caste</w:t>
      </w:r>
      <w:r w:rsidRPr="00D7045C">
        <w:rPr>
          <w:rFonts w:eastAsia="Times New Roman"/>
          <w:sz w:val="14"/>
        </w:rPr>
        <w:t xml:space="preserve"> (in the form of dual school systems) </w:t>
      </w:r>
      <w:r w:rsidRPr="00D7045C">
        <w:rPr>
          <w:rStyle w:val="StyleUnderline"/>
        </w:rPr>
        <w:t>in violation of the Fourteenth Amendment</w:t>
      </w:r>
      <w:r w:rsidRPr="00D7045C">
        <w:rPr>
          <w:rFonts w:eastAsia="Times New Roman"/>
          <w:sz w:val="14"/>
        </w:rPr>
        <w:t>;150 2</w:t>
      </w:r>
      <w:r w:rsidRPr="00D7045C">
        <w:rPr>
          <w:rStyle w:val="Emphasis"/>
        </w:rPr>
        <w:t>. While race is inherently suspect, the State itself, or federal courts, exercising their equitable remedial powers, must be permitted to use race as a positive remedial measure, especially when other “neutral” alternatives are practically futile</w:t>
      </w:r>
      <w:r w:rsidRPr="00D7045C">
        <w:rPr>
          <w:rFonts w:eastAsia="Times New Roman"/>
          <w:sz w:val="14"/>
        </w:rPr>
        <w:t xml:space="preserve">;151 3. </w:t>
      </w:r>
      <w:r w:rsidRPr="00D7045C">
        <w:rPr>
          <w:rStyle w:val="StyleUnderline"/>
        </w:rPr>
        <w:t>Voluntary remedial efforts by school boards to substantively integrate schools by redrawing boundary lines to consolidate communities and resources should be affirmed by the courts</w:t>
      </w:r>
      <w:r w:rsidRPr="00D7045C">
        <w:rPr>
          <w:rFonts w:eastAsia="Times New Roman"/>
          <w:sz w:val="14"/>
        </w:rPr>
        <w:t xml:space="preserve">;152 4. Structural and systemic inequality are clearly evinced by the present day effects of past discrimination, in the form of disparate impacts, that should be remedied by </w:t>
      </w:r>
      <w:r w:rsidRPr="00D7045C">
        <w:rPr>
          <w:rStyle w:val="StyleUnderline"/>
        </w:rPr>
        <w:t>comprehensive remedies unlimited by artificial school district lines;</w:t>
      </w:r>
      <w:r w:rsidRPr="00D7045C">
        <w:rPr>
          <w:rFonts w:eastAsia="Times New Roman"/>
          <w:sz w:val="14"/>
        </w:rPr>
        <w:t xml:space="preserve"> 153 and 5. </w:t>
      </w:r>
      <w:r w:rsidRPr="00D7045C">
        <w:rPr>
          <w:rStyle w:val="StyleUnderline"/>
        </w:rPr>
        <w:t xml:space="preserve">Post-racial determinism must be rejected: the Fourteenth Amendment is not color-blind so race should be considered to advance substantive equality </w:t>
      </w:r>
      <w:r w:rsidRPr="00D7045C">
        <w:rPr>
          <w:rStyle w:val="Emphasis"/>
        </w:rPr>
        <w:t>The structural inequality theory fully complements the Fourteenth Amendment’s anti-caste principle: it rejects post-racial determinism’s contrived neutrality and does not assume that discrimination is a rare and discrete occurrence</w:t>
      </w:r>
      <w:r w:rsidRPr="00D7045C">
        <w:rPr>
          <w:rFonts w:eastAsia="Times New Roman"/>
          <w:sz w:val="14"/>
        </w:rPr>
        <w:t xml:space="preserve"> (and therefore, raceconscious remedies should never be used);155 it focuses on systemic outcomes, like disproportionate impact, as endemic to structural inequality;156 it shifts the evidentiary standard from an unattainable intent requirement to a more nuanced conception that acknowledges the subtleties of structural power;157 and </w:t>
      </w:r>
      <w:r w:rsidRPr="00D7045C">
        <w:rPr>
          <w:rStyle w:val="StyleUnderline"/>
        </w:rPr>
        <w:t>it construes state action as a series of reinforcing decisions, either by the State or the courts, that preserve the status quo by advancing neutral rhetoric that promotes and expands white privilege.</w:t>
      </w:r>
      <w:r w:rsidRPr="00D7045C">
        <w:rPr>
          <w:rFonts w:eastAsia="Times New Roman"/>
          <w:sz w:val="14"/>
        </w:rPr>
        <w:t xml:space="preserve"> 158 Justice Marshall’s dissent in Milliken is canonical in that he articulates all of the dominant principles underlying the structural inequality theory in his dissent. </w:t>
      </w:r>
    </w:p>
    <w:p w14:paraId="2F073C0D" w14:textId="77777777" w:rsidR="003D049F" w:rsidRPr="00D7045C" w:rsidRDefault="003D049F" w:rsidP="00BE7E02">
      <w:pPr>
        <w:pStyle w:val="NoSpacing"/>
      </w:pPr>
    </w:p>
    <w:p w14:paraId="61CEFC60" w14:textId="77777777" w:rsidR="003D049F" w:rsidRPr="00D7045C" w:rsidRDefault="003D049F" w:rsidP="003D049F">
      <w:pPr>
        <w:pStyle w:val="Heading4"/>
        <w:rPr>
          <w:rFonts w:cs="Times New Roman"/>
        </w:rPr>
      </w:pPr>
      <w:r w:rsidRPr="00D7045C">
        <w:rPr>
          <w:rFonts w:cs="Times New Roman"/>
        </w:rPr>
        <w:t xml:space="preserve">Racial integration is the most </w:t>
      </w:r>
      <w:r w:rsidRPr="00D7045C">
        <w:rPr>
          <w:rFonts w:cs="Times New Roman"/>
          <w:i/>
          <w:u w:val="single"/>
        </w:rPr>
        <w:t>robust</w:t>
      </w:r>
      <w:r w:rsidRPr="00D7045C">
        <w:rPr>
          <w:rFonts w:cs="Times New Roman"/>
        </w:rPr>
        <w:t xml:space="preserve"> internal link – social networks rely on each other</w:t>
      </w:r>
    </w:p>
    <w:p w14:paraId="5CB4D2E7" w14:textId="77777777" w:rsidR="003D049F" w:rsidRPr="00D7045C" w:rsidRDefault="003D049F" w:rsidP="003D049F">
      <w:r w:rsidRPr="00D7045C">
        <w:rPr>
          <w:rStyle w:val="Style13ptBold"/>
        </w:rPr>
        <w:t>Colby 14</w:t>
      </w:r>
      <w:r w:rsidRPr="00D7045C">
        <w:t xml:space="preserve"> (Tanner, Co-author of Remember the Time, author of Some of My Best Friends Are Black: The Strange Story of Integration in America, Feb. 3 2014, “The Massive Liberal Failure on Race,” Slate, </w:t>
      </w:r>
      <w:hyperlink r:id="rId22" w:history="1">
        <w:r w:rsidRPr="00D7045C">
          <w:rPr>
            <w:rStyle w:val="Hyperlink"/>
          </w:rPr>
          <w:t>http://www.slate.com/articles/life/history/features/2014/the_liberal_failure_on_race/how_the_left_s_embrace_of_busing_hurt_the_cause_of_integration.html)</w:t>
        </w:r>
      </w:hyperlink>
      <w:r w:rsidRPr="00D7045C">
        <w:t xml:space="preserve"> KVA</w:t>
      </w:r>
    </w:p>
    <w:p w14:paraId="200BD491" w14:textId="77777777" w:rsidR="003D049F" w:rsidRPr="00D7045C" w:rsidRDefault="003D049F" w:rsidP="003D049F">
      <w:pPr>
        <w:shd w:val="clear" w:color="auto" w:fill="FFFFFF"/>
        <w:spacing w:before="240" w:after="240" w:line="240" w:lineRule="auto"/>
        <w:rPr>
          <w:sz w:val="16"/>
          <w:lang w:eastAsia="zh-CN"/>
        </w:rPr>
      </w:pPr>
      <w:r w:rsidRPr="00D7045C">
        <w:rPr>
          <w:rStyle w:val="StyleUnderline"/>
          <w:lang w:eastAsia="zh-CN"/>
        </w:rPr>
        <w:t xml:space="preserve">The left’s third blunder on integration: Sending white kids to black schools. </w:t>
      </w:r>
      <w:r w:rsidRPr="00D7045C">
        <w:rPr>
          <w:sz w:val="16"/>
          <w:lang w:eastAsia="zh-CN"/>
        </w:rPr>
        <w:t xml:space="preserve">After </w:t>
      </w:r>
      <w:r w:rsidRPr="00D7045C">
        <w:rPr>
          <w:i/>
          <w:iCs/>
          <w:sz w:val="16"/>
          <w:lang w:eastAsia="zh-CN"/>
        </w:rPr>
        <w:t>Brown</w:t>
      </w:r>
      <w:r w:rsidRPr="00D7045C">
        <w:rPr>
          <w:sz w:val="16"/>
          <w:lang w:eastAsia="zh-CN"/>
        </w:rPr>
        <w:t xml:space="preserve">, white parents fought for 15 years, doing everything in their power to keep black students out of white schools. But </w:t>
      </w:r>
      <w:r w:rsidRPr="00D7045C">
        <w:rPr>
          <w:rStyle w:val="StyleUnderline"/>
          <w:lang w:eastAsia="zh-CN"/>
        </w:rPr>
        <w:t>when the courts started mandating that white students bus into black schools, white parents</w:t>
      </w:r>
      <w:r w:rsidRPr="00D7045C">
        <w:rPr>
          <w:sz w:val="16"/>
          <w:lang w:eastAsia="zh-CN"/>
        </w:rPr>
        <w:t xml:space="preserve"> didn’t fight for much longer. They </w:t>
      </w:r>
      <w:r w:rsidRPr="00D7045C">
        <w:rPr>
          <w:rStyle w:val="StyleUnderline"/>
          <w:lang w:eastAsia="zh-CN"/>
        </w:rPr>
        <w:t>just left</w:t>
      </w:r>
      <w:r w:rsidRPr="00D7045C">
        <w:rPr>
          <w:sz w:val="16"/>
          <w:lang w:eastAsia="zh-CN"/>
        </w:rPr>
        <w:t xml:space="preserve">. </w:t>
      </w:r>
      <w:r w:rsidRPr="00D7045C">
        <w:rPr>
          <w:rStyle w:val="Emphasis"/>
          <w:lang w:eastAsia="zh-CN"/>
        </w:rPr>
        <w:t>They fled for gated communities and private academies; they opted out of the social contract and they haven’t been back since, at least not as far as public education is concerned</w:t>
      </w:r>
      <w:r w:rsidRPr="00D7045C">
        <w:rPr>
          <w:rStyle w:val="StyleUnderline"/>
          <w:lang w:eastAsia="zh-CN"/>
        </w:rPr>
        <w:t>. Even in Berkeley,</w:t>
      </w:r>
      <w:r w:rsidRPr="00D7045C">
        <w:rPr>
          <w:sz w:val="16"/>
          <w:lang w:eastAsia="zh-CN"/>
        </w:rPr>
        <w:t xml:space="preserve"> Calif.—bastion of liberal, progressive America—when the school district tried to implement a busing plan in 1964 that would take white students into black schools, </w:t>
      </w:r>
      <w:r w:rsidRPr="00D7045C">
        <w:rPr>
          <w:rStyle w:val="StyleUnderline"/>
          <w:lang w:eastAsia="zh-CN"/>
        </w:rPr>
        <w:t xml:space="preserve">local white parents </w:t>
      </w:r>
      <w:hyperlink r:id="rId23" w:tgtFrame="_blank" w:history="1">
        <w:r w:rsidRPr="00D7045C">
          <w:rPr>
            <w:rStyle w:val="StyleUnderline"/>
            <w:lang w:eastAsia="zh-CN"/>
          </w:rPr>
          <w:t>launched a recall election</w:t>
        </w:r>
      </w:hyperlink>
      <w:r w:rsidRPr="00D7045C">
        <w:rPr>
          <w:rStyle w:val="StyleUnderline"/>
          <w:lang w:eastAsia="zh-CN"/>
        </w:rPr>
        <w:t xml:space="preserve"> to try and throw out the entire school board. </w:t>
      </w:r>
      <w:r w:rsidRPr="00D7045C">
        <w:rPr>
          <w:sz w:val="16"/>
          <w:lang w:eastAsia="zh-CN"/>
        </w:rPr>
        <w:t xml:space="preserve">Were those parents being petulant, entitled, and racist? Yes. They also weren’t wrong. Because integration is two different things. It is “intergroup, interpersonal living,” learning to empathize with one another through shared cultural experience. But </w:t>
      </w:r>
      <w:r w:rsidRPr="00D7045C">
        <w:rPr>
          <w:rStyle w:val="StyleUnderline"/>
          <w:lang w:eastAsia="zh-CN"/>
        </w:rPr>
        <w:t xml:space="preserve">integration is </w:t>
      </w:r>
      <w:r w:rsidRPr="00D7045C">
        <w:rPr>
          <w:sz w:val="16"/>
          <w:lang w:eastAsia="zh-CN"/>
        </w:rPr>
        <w:t xml:space="preserve">also </w:t>
      </w:r>
      <w:r w:rsidRPr="00D7045C">
        <w:rPr>
          <w:rStyle w:val="StyleUnderline"/>
          <w:lang w:eastAsia="zh-CN"/>
        </w:rPr>
        <w:t>about access to wealth and power</w:t>
      </w:r>
      <w:r w:rsidRPr="00D7045C">
        <w:rPr>
          <w:sz w:val="16"/>
          <w:lang w:eastAsia="zh-CN"/>
        </w:rPr>
        <w:t xml:space="preserve">. </w:t>
      </w:r>
      <w:r w:rsidRPr="00D7045C">
        <w:rPr>
          <w:rStyle w:val="StyleUnderline"/>
          <w:lang w:eastAsia="zh-CN"/>
        </w:rPr>
        <w:t>Integration is the means through which marginalized groups gain entrance to the benefits already enjoyed by the majority</w:t>
      </w:r>
      <w:r w:rsidRPr="00D7045C">
        <w:rPr>
          <w:sz w:val="16"/>
          <w:lang w:eastAsia="zh-CN"/>
        </w:rPr>
        <w:t xml:space="preserve">. “I cannot see,” King said, “how the Negro will be totally liberated from the crushing weight of poor education, squalid housing, and economic strangulation until he is integrated, with power, into every level of American life.” </w:t>
      </w:r>
      <w:r w:rsidRPr="00D7045C">
        <w:rPr>
          <w:rStyle w:val="Emphasis"/>
          <w:lang w:eastAsia="zh-CN"/>
        </w:rPr>
        <w:t>In this sense, integration is the process of moving in and up.</w:t>
      </w:r>
      <w:r w:rsidRPr="00D7045C">
        <w:rPr>
          <w:sz w:val="16"/>
          <w:lang w:eastAsia="zh-CN"/>
        </w:rPr>
        <w:t xml:space="preserve"> </w:t>
      </w:r>
      <w:r w:rsidRPr="00D7045C">
        <w:rPr>
          <w:rStyle w:val="StyleUnderline"/>
          <w:lang w:eastAsia="zh-CN"/>
        </w:rPr>
        <w:t>Recognizing that access to power in America is controlled by the social networks and cultural norms of the white majority, the Supreme Court declared that black students had the right to gain access to those resources</w:t>
      </w:r>
      <w:r w:rsidRPr="00D7045C">
        <w:rPr>
          <w:sz w:val="16"/>
          <w:lang w:eastAsia="zh-CN"/>
        </w:rPr>
        <w:t xml:space="preserve">. </w:t>
      </w:r>
      <w:r w:rsidRPr="00D7045C">
        <w:rPr>
          <w:rStyle w:val="StyleUnderline"/>
          <w:lang w:eastAsia="zh-CN"/>
        </w:rPr>
        <w:t>But in the quixotic quest to produce racial balance across vast metropolitan areas, as in Detroit, liberal judges and legislators decided to start sending working- and middle-class white kids in the opposite direction, to low-income, majority black schools—in other words, away from centers of power</w:t>
      </w:r>
      <w:r w:rsidRPr="00D7045C">
        <w:rPr>
          <w:sz w:val="16"/>
          <w:lang w:eastAsia="zh-CN"/>
        </w:rPr>
        <w:t xml:space="preserve">. Sending a couple dozen white kids to a majority-black school may offer a rewarding cultural experience, it may count as “diversity,” but it is not integration. </w:t>
      </w:r>
      <w:r w:rsidRPr="00D7045C">
        <w:rPr>
          <w:rStyle w:val="StyleUnderline"/>
          <w:lang w:eastAsia="zh-CN"/>
        </w:rPr>
        <w:t>A black school may offer a perfectly good education, academically speaking, but the one thing a majority-black school does not offer—not in America, anyway—is greater access to the social networks and cultural norms that govern the allocation of wealth and power.</w:t>
      </w:r>
      <w:r w:rsidRPr="00D7045C">
        <w:rPr>
          <w:sz w:val="16"/>
          <w:lang w:eastAsia="zh-CN"/>
        </w:rPr>
        <w:t xml:space="preserve"> For integration to be taking place, by definition, you have to have a critical mass of middle-class, upwardly mobile people </w:t>
      </w:r>
      <w:r w:rsidRPr="00D7045C">
        <w:rPr>
          <w:i/>
          <w:iCs/>
          <w:sz w:val="16"/>
          <w:lang w:eastAsia="zh-CN"/>
        </w:rPr>
        <w:t>into which</w:t>
      </w:r>
      <w:r w:rsidRPr="00D7045C">
        <w:rPr>
          <w:sz w:val="16"/>
          <w:lang w:eastAsia="zh-CN"/>
        </w:rPr>
        <w:t xml:space="preserve"> the marginalized group can then be integrated.</w:t>
      </w:r>
    </w:p>
    <w:p w14:paraId="00E680B1" w14:textId="77777777" w:rsidR="005A4715" w:rsidRPr="00D7045C" w:rsidRDefault="003D049F" w:rsidP="005A4715">
      <w:pPr>
        <w:pStyle w:val="Heading2"/>
        <w:rPr>
          <w:rFonts w:cs="Times New Roman"/>
        </w:rPr>
      </w:pPr>
      <w:r w:rsidRPr="00D7045C">
        <w:rPr>
          <w:rFonts w:cs="Times New Roman"/>
        </w:rPr>
        <w:t>Case Extensions</w:t>
      </w:r>
    </w:p>
    <w:p w14:paraId="1933F71C" w14:textId="77777777" w:rsidR="00D67A22" w:rsidRDefault="00D67A22" w:rsidP="00D67A22">
      <w:pPr>
        <w:pStyle w:val="Heading3"/>
        <w:rPr>
          <w:rFonts w:cs="Times New Roman"/>
        </w:rPr>
      </w:pPr>
      <w:r>
        <w:rPr>
          <w:rFonts w:cs="Times New Roman"/>
        </w:rPr>
        <w:t>Add-on – Constitutional Redemption</w:t>
      </w:r>
    </w:p>
    <w:p w14:paraId="799B9FB5" w14:textId="77777777" w:rsidR="00D67A22" w:rsidRDefault="00D67A22" w:rsidP="00D67A22">
      <w:pPr>
        <w:pStyle w:val="Heading4"/>
      </w:pPr>
      <w:r>
        <w:t>Individual politics shapes constitutional construction; the constitution is important for shaping American ideals and providing a vehicle of social progress/change</w:t>
      </w:r>
    </w:p>
    <w:p w14:paraId="624AE397" w14:textId="77777777" w:rsidR="00D67A22" w:rsidRPr="004359C0" w:rsidRDefault="00D67A22" w:rsidP="00D67A22">
      <w:r w:rsidRPr="004359C0">
        <w:rPr>
          <w:rStyle w:val="Style13ptBold"/>
        </w:rPr>
        <w:t>NeJaime 13</w:t>
      </w:r>
      <w:r>
        <w:t xml:space="preserve"> (Douglas, PhD., prof of law at UCLA, “Constitutional Change, Courts, and Social Movements,” 111 Mich. L. Rev. 877 (2013), http://repository.law.umich.edu/mlr/vol111/iss6/4)KC</w:t>
      </w:r>
    </w:p>
    <w:p w14:paraId="6E0A119D" w14:textId="77777777" w:rsidR="00D67A22" w:rsidRPr="001B0874" w:rsidRDefault="00D67A22" w:rsidP="00D67A22">
      <w:pPr>
        <w:rPr>
          <w:sz w:val="16"/>
        </w:rPr>
      </w:pPr>
      <w:r w:rsidRPr="001B0874">
        <w:rPr>
          <w:sz w:val="16"/>
        </w:rPr>
        <w:t xml:space="preserve">In Constitutional Redemption, </w:t>
      </w:r>
      <w:r w:rsidRPr="00991300">
        <w:rPr>
          <w:rStyle w:val="StyleUnderline"/>
        </w:rPr>
        <w:t>Balkin offers an account of</w:t>
      </w:r>
      <w:r w:rsidRPr="001B0874">
        <w:rPr>
          <w:sz w:val="16"/>
        </w:rPr>
        <w:t xml:space="preserve"> </w:t>
      </w:r>
      <w:r w:rsidRPr="00991300">
        <w:rPr>
          <w:rStyle w:val="StyleUnderline"/>
        </w:rPr>
        <w:t>constitutional change that ties mobilization around the Constitution's text to changing constitutional (and cultural) norms both inside and outside the courts</w:t>
      </w:r>
      <w:r w:rsidRPr="001B0874">
        <w:rPr>
          <w:sz w:val="16"/>
        </w:rPr>
        <w:t xml:space="preserve">. First, he </w:t>
      </w:r>
      <w:r w:rsidRPr="00991300">
        <w:rPr>
          <w:rStyle w:val="StyleUnderline"/>
        </w:rPr>
        <w:t>offers a positive account of how constitutional change occurs in the United States.</w:t>
      </w:r>
      <w:r w:rsidRPr="001B0874">
        <w:rPr>
          <w:sz w:val="16"/>
        </w:rPr>
        <w:t xml:space="preserve"> Next, he endorses the normative dimensions of that account</w:t>
      </w:r>
      <w:r w:rsidRPr="00991300">
        <w:rPr>
          <w:rStyle w:val="StyleUnderline"/>
        </w:rPr>
        <w:t>, embracing a process of change in which political and social mobilizations shape constitutional construction, and courts respond to claims constructed in the context of broader political and cultural struggles</w:t>
      </w:r>
      <w:r w:rsidRPr="001B0874">
        <w:rPr>
          <w:sz w:val="16"/>
        </w:rPr>
        <w:t xml:space="preserve">. Finally, Balkin sets out his interpretive theory of "framework originalism," in which the method of "text and principle" allows successive generations to interpret and contest constitutional commitments and ultimately make some of those interpretations part of our positive law. This Part describes Balkin's contribution in Constitutional Redemption along these three dimensions but does so by focusing on Balkin's attention to the relationship among the Constitution, social movements, and courts. A. A Positive Account The Constitution itself plays a central role in Balkin's story of redemption.8 </w:t>
      </w:r>
      <w:r w:rsidRPr="00991300">
        <w:rPr>
          <w:rStyle w:val="Emphasis"/>
        </w:rPr>
        <w:t>The Constitution serves as "basic law" (setting the framework of governance), "higher law" (articulating the values to which the country aspires), and "our law" (connecting Americans to a common project)</w:t>
      </w:r>
      <w:r w:rsidRPr="001B0874">
        <w:rPr>
          <w:sz w:val="16"/>
        </w:rPr>
        <w:t xml:space="preserve"> (p. 239). Thus, </w:t>
      </w:r>
      <w:r w:rsidRPr="00991300">
        <w:rPr>
          <w:rStyle w:val="Emphasis"/>
        </w:rPr>
        <w:t>the Constitution, at least partly, sets the terms of debate both inside and outside the courts, furnishes ideals that Americans invoke in political and moral conflict, and provides the glue that binds us together.</w:t>
      </w:r>
      <w:r w:rsidRPr="001B0874">
        <w:rPr>
          <w:sz w:val="16"/>
        </w:rPr>
        <w:t xml:space="preserve"> </w:t>
      </w:r>
      <w:r w:rsidRPr="00991300">
        <w:rPr>
          <w:rStyle w:val="Emphasis"/>
        </w:rPr>
        <w:t xml:space="preserve">We work collectively to redeem our Constitution-making it live up to the values that we believe it represents </w:t>
      </w:r>
      <w:r w:rsidRPr="001B0874">
        <w:rPr>
          <w:sz w:val="16"/>
        </w:rPr>
        <w:t xml:space="preserve">(p. 10). </w:t>
      </w:r>
      <w:r w:rsidRPr="00991300">
        <w:rPr>
          <w:rStyle w:val="StyleUnderline"/>
        </w:rPr>
        <w:t>All of us</w:t>
      </w:r>
      <w:r w:rsidRPr="001B0874">
        <w:rPr>
          <w:sz w:val="16"/>
        </w:rPr>
        <w:t xml:space="preserve">, then, </w:t>
      </w:r>
      <w:r w:rsidRPr="00991300">
        <w:rPr>
          <w:rStyle w:val="StyleUnderline"/>
        </w:rPr>
        <w:t>have a stake in the constitutional project</w:t>
      </w:r>
      <w:r w:rsidRPr="001B0874">
        <w:rPr>
          <w:sz w:val="16"/>
        </w:rPr>
        <w:t xml:space="preserve">, </w:t>
      </w:r>
      <w:r w:rsidRPr="00991300">
        <w:rPr>
          <w:rStyle w:val="StyleUnderline"/>
        </w:rPr>
        <w:t>and many of us participate in the process of constitutional construction</w:t>
      </w:r>
      <w:r w:rsidRPr="001B0874">
        <w:rPr>
          <w:sz w:val="16"/>
        </w:rPr>
        <w:t xml:space="preserve">. In this sense, the judiciary is merely one of many players shaping constitutional meaning over time. Here, Balkin relies on Professor Sanford Levinson's concept of constitutional protestantism 9 -"the idea that no institution of government, and especially not the Supreme Court, has a monopoly on the meaning of the Constitution" (p. 10). Individuals may "refuse to defer to judges" and instead "assert a wide range of different meanings about the Constitution."' 0 Accordingly, our constitutional culture is populated by multiple, competing, and inconsistent constitutional visions. Individuals often make claims on the Constitution by organizing into social movements that construct, develop, and disseminate constitutional visions. These social movements are vital participants in our protestant constitutional culture (p. 71). If successful, these movements influence public opinion in their favor, changing the culture with which constitutional law interacts. Courts and other institutions absorb the resultant cultural shifts. At the same time, movements convince political parties to support their views, and those parties may ultimately appoint judges with similar outlooks (p. 71). Even though Balkin focuses extensively on the impact of extrajudicial forces on constitutional construction (pp. 97-98), </w:t>
      </w:r>
      <w:r w:rsidRPr="002F3931">
        <w:rPr>
          <w:rStyle w:val="Emphasis"/>
        </w:rPr>
        <w:t xml:space="preserve">courts </w:t>
      </w:r>
      <w:r w:rsidRPr="001B0874">
        <w:rPr>
          <w:sz w:val="16"/>
        </w:rPr>
        <w:t xml:space="preserve">still </w:t>
      </w:r>
      <w:r w:rsidRPr="002F3931">
        <w:rPr>
          <w:rStyle w:val="Emphasis"/>
        </w:rPr>
        <w:t>play a significant role in the contest over constitutional meaning</w:t>
      </w:r>
      <w:r w:rsidRPr="001B0874">
        <w:rPr>
          <w:sz w:val="16"/>
        </w:rPr>
        <w:t xml:space="preserve">. As an initial matter, the claimsmaking process itself renders courts important venues in the process of constitutional and social change. </w:t>
      </w:r>
      <w:r w:rsidRPr="002F3931">
        <w:rPr>
          <w:rStyle w:val="Emphasis"/>
        </w:rPr>
        <w:t>In courts, constitutional meanings can be asserted and defended</w:t>
      </w:r>
      <w:r w:rsidRPr="001B0874">
        <w:rPr>
          <w:sz w:val="16"/>
        </w:rPr>
        <w:t>. Courts, therefore, offer opportunities for extrajudicial actors to articulate and hone a variety of constitutional visions</w:t>
      </w:r>
      <w:r w:rsidRPr="002F3931">
        <w:rPr>
          <w:rStyle w:val="StyleUnderline"/>
        </w:rPr>
        <w:t xml:space="preserve">. Once courts intervene in favor of a social movement, Balkin's account stresses their responsiveness to broader cultural and political changes. </w:t>
      </w:r>
      <w:r w:rsidRPr="001B0874">
        <w:rPr>
          <w:sz w:val="16"/>
        </w:rPr>
        <w:t xml:space="preserve">He argues that </w:t>
      </w:r>
      <w:r w:rsidRPr="002F3931">
        <w:rPr>
          <w:rStyle w:val="StyleUnderline"/>
        </w:rPr>
        <w:t>"[w]hen social movement contestation succeeds in delegitimating a practice sufficiently, it also usually succeeds in getting courts to ratify that conclusion through their interpretations of the Constitution" (</w:t>
      </w:r>
      <w:r w:rsidRPr="001B0874">
        <w:rPr>
          <w:sz w:val="16"/>
        </w:rPr>
        <w:t>p. 70).</w:t>
      </w:r>
      <w:r w:rsidRPr="002F3931">
        <w:rPr>
          <w:rStyle w:val="StyleUnderline"/>
        </w:rPr>
        <w:t xml:space="preserve"> </w:t>
      </w:r>
      <w:r w:rsidRPr="002F3931">
        <w:rPr>
          <w:rStyle w:val="Emphasis"/>
        </w:rPr>
        <w:t>Courts eventually validate meanings that</w:t>
      </w:r>
      <w:r w:rsidRPr="002F3931">
        <w:rPr>
          <w:rStyle w:val="StyleUnderline"/>
        </w:rPr>
        <w:t xml:space="preserve"> have become reasonable through tional visions to </w:t>
      </w:r>
      <w:r w:rsidRPr="002F3931">
        <w:rPr>
          <w:rStyle w:val="Emphasis"/>
        </w:rPr>
        <w:t xml:space="preserve">articulate and agitate </w:t>
      </w:r>
      <w:r w:rsidRPr="002F3931">
        <w:rPr>
          <w:rStyle w:val="StyleUnderline"/>
        </w:rPr>
        <w:t xml:space="preserve">for </w:t>
      </w:r>
      <w:r w:rsidRPr="002F3931">
        <w:rPr>
          <w:rStyle w:val="Emphasis"/>
        </w:rPr>
        <w:t>"transformational politics."</w:t>
      </w:r>
      <w:r w:rsidRPr="001B0874">
        <w:rPr>
          <w:sz w:val="16"/>
        </w:rPr>
        <w:t xml:space="preserve"> </w:t>
      </w:r>
    </w:p>
    <w:p w14:paraId="1352943F" w14:textId="77777777" w:rsidR="00D67A22" w:rsidRDefault="00D67A22" w:rsidP="00D67A22">
      <w:pPr>
        <w:pStyle w:val="Heading4"/>
      </w:pPr>
      <w:r>
        <w:t>We must contest past constitutional decisions by the courts for constitutional redemption</w:t>
      </w:r>
    </w:p>
    <w:p w14:paraId="620DF10D" w14:textId="77777777" w:rsidR="00D67A22" w:rsidRPr="004359C0" w:rsidRDefault="00D67A22" w:rsidP="00D67A22">
      <w:r w:rsidRPr="004359C0">
        <w:rPr>
          <w:rStyle w:val="Style13ptBold"/>
        </w:rPr>
        <w:t>NeJaime 13</w:t>
      </w:r>
      <w:r>
        <w:t xml:space="preserve"> (Douglas, PhD., prof of law at UCLA, “Constitutional Change, Courts, and Social Movements,” 111 Mich. L. Rev. 877 (2013), http://repository.law.umich.edu/mlr/vol111/iss6/4)KC</w:t>
      </w:r>
    </w:p>
    <w:p w14:paraId="4BE57A74" w14:textId="77777777" w:rsidR="00D67A22" w:rsidRPr="001B0874" w:rsidRDefault="00D67A22" w:rsidP="00D67A22">
      <w:pPr>
        <w:rPr>
          <w:sz w:val="16"/>
        </w:rPr>
      </w:pPr>
      <w:r w:rsidRPr="001B0874">
        <w:rPr>
          <w:sz w:val="16"/>
        </w:rPr>
        <w:t xml:space="preserve">Accordingly, </w:t>
      </w:r>
      <w:r w:rsidRPr="002F3931">
        <w:rPr>
          <w:rStyle w:val="StyleUnderline"/>
        </w:rPr>
        <w:t>constitutional redemption depends on individuals constructing and fighting over constitutional meaning, rather than simply submitting to the authority of judges or blithely accepting the equal worth of differing constitutional views</w:t>
      </w:r>
      <w:r w:rsidRPr="001B0874">
        <w:rPr>
          <w:sz w:val="16"/>
        </w:rPr>
        <w:t xml:space="preserve"> (p. 184). Drawing on the work of Professors Robert Post and Reva Siegel, Balkin asserts that </w:t>
      </w:r>
      <w:r w:rsidRPr="004E0304">
        <w:rPr>
          <w:rStyle w:val="StyleUnderline"/>
        </w:rPr>
        <w:t>"democratic constitutionalism is not simply a fact of life; it is a responsibility</w:t>
      </w:r>
      <w:r w:rsidRPr="001B0874">
        <w:rPr>
          <w:sz w:val="16"/>
        </w:rPr>
        <w:t xml:space="preserve">" (p. 184). That popular mobilizations shape the direction of official jurisprudence lends legitimacy not only to the constitutional project writ large, but also to the role of courts in that project. Because </w:t>
      </w:r>
      <w:r w:rsidRPr="004E0304">
        <w:rPr>
          <w:rStyle w:val="StyleUnderline"/>
        </w:rPr>
        <w:t>courts</w:t>
      </w:r>
      <w:r w:rsidRPr="001B0874">
        <w:rPr>
          <w:sz w:val="16"/>
        </w:rPr>
        <w:t xml:space="preserve"> do not drive social and constitutional change, but instead respond to and advance changes emanating from outside the courts, they </w:t>
      </w:r>
      <w:r w:rsidRPr="004E0304">
        <w:rPr>
          <w:rStyle w:val="StyleUnderline"/>
        </w:rPr>
        <w:t>participate as legitimate actors in a democratic process of constitutional construction</w:t>
      </w:r>
      <w:r w:rsidRPr="001B0874">
        <w:rPr>
          <w:sz w:val="16"/>
        </w:rPr>
        <w:t xml:space="preserve"> (p. 63). By pointing to their democratic responsiveness, Balkin's account legitimizes the role of courts in constitutional change. C. An Interpretive Framework Balkin's positive account and its normative dimensions connect to his interpretive theory. In his model of "framework originalism"-and the corresponding method of "text and principle"-the constitutional text plays a central role.2 ' This interpretive approach distinguishes "hardwired rules," which "limit discretion," from "vague standards or abstract principles," which are intended "to channel political judgment but delegate the task of application to future generations" (p. 229). Under this approach, </w:t>
      </w:r>
      <w:r w:rsidRPr="004E0304">
        <w:rPr>
          <w:rStyle w:val="StyleUnderline"/>
        </w:rPr>
        <w:t>constitutional interpretation is not an isolated or internal undertaking. Instead, "[c]hanging social, political, and historical conditions" influence the plausibility of constitutional claims</w:t>
      </w:r>
      <w:r w:rsidRPr="001B0874">
        <w:rPr>
          <w:sz w:val="16"/>
        </w:rPr>
        <w:t xml:space="preserve"> (p. 176). In this way, framework originalism does not lead to a stunting originalism that repudiates change. Instead, it </w:t>
      </w:r>
      <w:r w:rsidRPr="004E0304">
        <w:rPr>
          <w:rStyle w:val="StyleUnderline"/>
        </w:rPr>
        <w:t>permits a textually grounded, living constitutionalism, in which open-ended constitutional principles are entrusted to future generations to resolve in the context of contemporary realities</w:t>
      </w:r>
      <w:r w:rsidRPr="001B0874">
        <w:rPr>
          <w:sz w:val="16"/>
        </w:rPr>
        <w:t xml:space="preserve"> (pp. 6, 229). Furthermore, framework originalism is not an elite theory reserved for judges and legal professionals; rather, </w:t>
      </w:r>
      <w:r w:rsidRPr="004E0304">
        <w:rPr>
          <w:rStyle w:val="StyleUnderline"/>
        </w:rPr>
        <w:t>it is available to social movements and individual citizens to press their constitutional visions</w:t>
      </w:r>
      <w:r w:rsidRPr="001B0874">
        <w:rPr>
          <w:sz w:val="16"/>
        </w:rPr>
        <w:t xml:space="preserve"> (pp. 237-38). The constitutional text provides an understandable, common language on which Americans can make claims (p. 243). The principles underlying the text embody shared commitments, and each generation attempts to work those principles out in practice. 22  </w:t>
      </w:r>
    </w:p>
    <w:p w14:paraId="3D97A236" w14:textId="77777777" w:rsidR="00D67A22" w:rsidRPr="004359C0" w:rsidRDefault="00D67A22" w:rsidP="00D67A22">
      <w:pPr>
        <w:pStyle w:val="Heading4"/>
        <w:rPr>
          <w:i/>
        </w:rPr>
      </w:pPr>
      <w:r>
        <w:t xml:space="preserve">Constitutional redemption is critical to social change; it both acknowledges limitations of the court and utilizes the strategic advantages of the courts—without constitutional redemption, the courts become a </w:t>
      </w:r>
      <w:r>
        <w:rPr>
          <w:i/>
        </w:rPr>
        <w:t>rigid institution that impedes social change</w:t>
      </w:r>
    </w:p>
    <w:p w14:paraId="7D36C4EF" w14:textId="77777777" w:rsidR="00D67A22" w:rsidRPr="007374BA" w:rsidRDefault="00D67A22" w:rsidP="00D67A22">
      <w:r w:rsidRPr="004359C0">
        <w:rPr>
          <w:rStyle w:val="Style13ptBold"/>
        </w:rPr>
        <w:t>NeJaime 13</w:t>
      </w:r>
      <w:r>
        <w:t xml:space="preserve"> (Douglas, PhD., prof of law at UCLA, “Constitutional Change, Courts, and Social Movements,” 111 Mich. L. Rev. 877 (2013), http://repository.law.umich.edu/mlr/vol111/iss6/4)KC</w:t>
      </w:r>
    </w:p>
    <w:p w14:paraId="392E046E" w14:textId="77777777" w:rsidR="00D67A22" w:rsidRPr="001B0874" w:rsidRDefault="00D67A22" w:rsidP="00D67A22">
      <w:pPr>
        <w:rPr>
          <w:sz w:val="16"/>
        </w:rPr>
      </w:pPr>
      <w:r w:rsidRPr="001B0874">
        <w:rPr>
          <w:sz w:val="16"/>
        </w:rPr>
        <w:t xml:space="preserve">Therefore, for Balkin, </w:t>
      </w:r>
      <w:r w:rsidRPr="004E0304">
        <w:rPr>
          <w:rStyle w:val="StyleUnderline"/>
        </w:rPr>
        <w:t>constitutional redemption does not emerge from a theory of judicial minimalism or an instrumental emphasis on stare decisis that seeks to preserve gains from an earlier era.</w:t>
      </w:r>
      <w:r w:rsidRPr="001B0874">
        <w:rPr>
          <w:sz w:val="16"/>
        </w:rPr>
        <w:t xml:space="preserve">54 Rather, </w:t>
      </w:r>
      <w:r w:rsidRPr="004E0304">
        <w:rPr>
          <w:rStyle w:val="Emphasis"/>
        </w:rPr>
        <w:t>productive constitutional change comes</w:t>
      </w:r>
      <w:r w:rsidRPr="001B0874">
        <w:rPr>
          <w:sz w:val="16"/>
        </w:rPr>
        <w:t xml:space="preserve">, over the long run, </w:t>
      </w:r>
      <w:r w:rsidRPr="004E0304">
        <w:rPr>
          <w:rStyle w:val="Emphasis"/>
        </w:rPr>
        <w:t>from robust, substantive constitutional visions</w:t>
      </w:r>
      <w:r w:rsidRPr="001B0874">
        <w:rPr>
          <w:sz w:val="16"/>
        </w:rPr>
        <w:t xml:space="preserve"> </w:t>
      </w:r>
      <w:r w:rsidRPr="004E0304">
        <w:rPr>
          <w:rStyle w:val="StyleUnderline"/>
        </w:rPr>
        <w:t>pursued both in and out of court</w:t>
      </w:r>
      <w:r w:rsidRPr="001B0874">
        <w:rPr>
          <w:sz w:val="16"/>
        </w:rPr>
        <w:t>. As Post and Siegel insist, "</w:t>
      </w:r>
      <w:r w:rsidRPr="004E0304">
        <w:rPr>
          <w:rStyle w:val="StyleUnderline"/>
        </w:rPr>
        <w:t xml:space="preserve">Progressives ... need substantive constitutional ideals. </w:t>
      </w:r>
      <w:r w:rsidRPr="001B0874">
        <w:rPr>
          <w:sz w:val="16"/>
        </w:rPr>
        <w:t xml:space="preserve">55 Putting it more strongly, Balkin declares that "[c]laims of constitutional modesty are not a solution to the problem of constitutional evil; they are a restatement of it" (p. 137). This is not to suggest that courts invariably make positive contributions to the process of constitutional and social change. Indeed, courts may suppress alternative constitutional visions, especially in a culture that prioritizes adjudication. Nor is it to deny the real limitations and constraints that courts face. Courts have relatively limited implementation and enforcement powers. Instead, it is to argue that </w:t>
      </w:r>
      <w:r w:rsidRPr="004E0304">
        <w:rPr>
          <w:rStyle w:val="Emphasis"/>
        </w:rPr>
        <w:t>the role of courts in constitutional and social change is dynamic, contingent, and context specific.</w:t>
      </w:r>
      <w:r w:rsidRPr="001B0874">
        <w:rPr>
          <w:sz w:val="16"/>
        </w:rPr>
        <w:t xml:space="preserve"> In other words, </w:t>
      </w:r>
      <w:r w:rsidRPr="004E0304">
        <w:rPr>
          <w:rStyle w:val="StyleUnderline"/>
        </w:rPr>
        <w:t>rather than produce a unitary account of courts, Balkin's analysis points toward a more fine-grained theory.</w:t>
      </w:r>
      <w:r w:rsidRPr="001B0874">
        <w:rPr>
          <w:sz w:val="16"/>
        </w:rPr>
        <w:t xml:space="preserve"> </w:t>
      </w:r>
      <w:r w:rsidRPr="004E0304">
        <w:rPr>
          <w:rStyle w:val="StyleUnderline"/>
        </w:rPr>
        <w:t>Such a theory would work to specify both the pro- ductive impact that courts may have on constitutional and social change, and the limitations that courts</w:t>
      </w:r>
      <w:r w:rsidRPr="001B0874">
        <w:rPr>
          <w:sz w:val="16"/>
        </w:rPr>
        <w:t xml:space="preserve"> (and court-based strategies</w:t>
      </w:r>
      <w:r w:rsidRPr="004E0304">
        <w:rPr>
          <w:rStyle w:val="StyleUnderline"/>
        </w:rPr>
        <w:t>) impose on such change.56 Balkin's contribution in Constitutional Redemption joins a growing body of work that looks at constitutional change through the lens of social movement contestation, and in doing so, recognizes the multidimensional role of courts in social change</w:t>
      </w:r>
      <w:r w:rsidRPr="001B0874">
        <w:rPr>
          <w:sz w:val="16"/>
        </w:rPr>
        <w:t xml:space="preserve">.57 By mapping the contours of a comprehen- sive theory of the relationship between courts and social movements, Balkin's contribution complements other influential accounts, most notably Post and Siegel's democratic constitutionalism, that acknowledge the dynamic and contingent effects of courts. 8. These models embrace important dimensions of legislative and popular constitutionalism, 9 but by devoting explicit attention to social movements' relationship to court-based tactics, they maintain a significant (and democratically legitimate) role for courts in the process of constitutional (and social) change. 6 1 In this way, these models reject the broad brushstrokes with which important iterations of legislative and popular constitutionalism paint courts, and therefore resist determining courts' influence ex ante. Instead, they integrate courts into broader political conflicts and assess the impact of courts in a contextual and contingent way. By doing so, </w:t>
      </w:r>
      <w:r w:rsidRPr="004E0304">
        <w:rPr>
          <w:rStyle w:val="Emphasis"/>
        </w:rPr>
        <w:t>they urge scholars and activists to engage-rather than abandon-courts</w:t>
      </w:r>
      <w:r w:rsidRPr="001B0874">
        <w:rPr>
          <w:sz w:val="16"/>
        </w:rPr>
        <w:t xml:space="preserve">. III. SOCIAL MOVEMENT THEORY AND CONSTITUTIONAL SCHOLARSHIP Even as Balkin's account of constitutional redemption places social movements at the center, he does not explicitly draw on theoretical concepts from the social movement literature in sociology and related disciplines. 61 In this sense, Balkin's work in Constitutional Redemption is consistent with much of the constitutional scholarship that adopts a social movement lenswhile attention to social movements sheds important light on constitutional culture, legal scholarship has yet to directly incorporate concepts and frameworks from social movement theory in a sustained way.62 In this Part, I argue that adopting social movement theory to reframe some of Balkin's central contributions in Constitutional Redemption both lends support to Balkin's account of constitutional change, and suggests important limitations and complexities that constitutional scholars should address. Social movement scholarship </w:t>
      </w:r>
      <w:r w:rsidRPr="004359C0">
        <w:rPr>
          <w:rStyle w:val="StyleUnderline"/>
        </w:rPr>
        <w:t>points toward a bottom-up model of social change in which courts and social movements participate in the complex process of constitutional construction. In doing so, it challenges pessimistic accounts that turn away from courts and instead supports a more dynamic, contingent, and relational approach to constitutional change</w:t>
      </w:r>
      <w:r w:rsidRPr="001B0874">
        <w:rPr>
          <w:sz w:val="16"/>
        </w:rPr>
        <w:t xml:space="preserve">. That is, an approach informed by social movement theory bolsters Balkin's account of courts and thereby strengthens arguments against the claims and models described in Section II.A. At the same time, social movement theory highlights the constraints imposed by strategies reliant on law and courts. Interestingly then, the more pessimistic accounts of courts may find some support in social movement scholarship but would be pushed to specify more carefully the conditions under which courts hinder social change. In other words, social movement theory would produce a more contingent and dynamic model of courts' limitations and, in this way, would reject a comprehensive turn away from courts. To show this, I situate Balkin's account of constitutional change within the three major theoretical frameworks in social movement scholarship: (1) framing, (2) resource mobilization, and (3) political process. While each framework has been dominant at different times, more recent work has attempted to integrate them into a comprehensive approach. 63 A. Law as a Frame Framing theory draws attention to social movement actors' discursive and ideational work as they identify grievances and make demands.' Movements engage in "conscious strategic efforts ... to fashion shared understandings of the world and of themselves that legitimate and motivate collective action. '65 Frames, therefore, identify problems, expose responsible parties, and suggest solutions. 66 Accordingly, scholars have focused on the use of frames both to mobilize movement members and to persuade bystanders,67 and they have explored the relationship between frames and a variety of movement elements, including tactics, identity, and ideology.6 i </w:t>
      </w:r>
      <w:r w:rsidRPr="007374BA">
        <w:rPr>
          <w:rStyle w:val="Emphasis"/>
        </w:rPr>
        <w:t>The Constitution offers resonant frames for social movement actors.</w:t>
      </w:r>
      <w:r w:rsidRPr="001B0874">
        <w:rPr>
          <w:sz w:val="16"/>
        </w:rPr>
        <w:t xml:space="preserve"> In this sense, Balkin's interpretive method aligns with framing theory by attending to the impact of constitutional meanings constructed by movement activists (p. 236). His method of "text and principle" furnishes the tools with which individuals can "mobilize and persuade others by appealing to common values, symbols, and commitments. </w:t>
      </w:r>
      <w:r w:rsidRPr="007374BA">
        <w:rPr>
          <w:rStyle w:val="Emphasis"/>
        </w:rPr>
        <w:t>'69 Social movement activists draw on symbols that are accessible and resonant, and Balkin shows that the Constitution and canonical judicial decisions provide those symbols</w:t>
      </w:r>
      <w:r w:rsidRPr="001B0874">
        <w:rPr>
          <w:sz w:val="16"/>
        </w:rPr>
        <w:t xml:space="preserve">. Moreover, he underscores the contested nature of constitutional principles. </w:t>
      </w:r>
      <w:r w:rsidRPr="007374BA">
        <w:rPr>
          <w:rStyle w:val="Emphasis"/>
        </w:rPr>
        <w:t>In the terminology of framing theory, the Constitution allows movement actors to engage in frame alignment</w:t>
      </w:r>
      <w:r w:rsidRPr="001B0874">
        <w:rPr>
          <w:sz w:val="16"/>
        </w:rPr>
        <w:t xml:space="preserve"> (linking movement orientations with individual values) by amplifying frames (elaborating specific values and beliefs) and extending frames (expanding movement values to appeal to a broader range of adherents).70 </w:t>
      </w:r>
      <w:r w:rsidRPr="007374BA">
        <w:rPr>
          <w:rStyle w:val="Emphasis"/>
        </w:rPr>
        <w:t>Viewing constitutional frames in this way suggests the importance of courts in movement conflict</w:t>
      </w:r>
      <w:r w:rsidRPr="001B0874">
        <w:rPr>
          <w:sz w:val="16"/>
        </w:rPr>
        <w:t xml:space="preserve"> and yet also supports Balkin's move to deemphasize adjudication as the definitive moment in constitutional change. 7' </w:t>
      </w:r>
      <w:r w:rsidRPr="007374BA">
        <w:rPr>
          <w:rStyle w:val="Emphasis"/>
        </w:rPr>
        <w:t>Since constitutional frames are also political and moral frames, courts serve as venues in which movements can articulate, disseminate, and gain attention for their broader demands</w:t>
      </w:r>
      <w:r w:rsidRPr="001B0874">
        <w:rPr>
          <w:sz w:val="16"/>
        </w:rPr>
        <w:t xml:space="preserve">. Because frames are circulating both in and out of court, it is difficult to detach what happens in the courtroom from what is happening in the halls of Congress and in the streets. </w:t>
      </w:r>
      <w:r w:rsidRPr="007374BA">
        <w:rPr>
          <w:rStyle w:val="StyleUnderline"/>
        </w:rPr>
        <w:t>Courts serve not only as venues for mobilization but also as sites of contestation and conflict. Social movement work on movementcountermovement struggles demonstrates the need for movement activists to meet their adversaries on all relevant battlegrounds</w:t>
      </w:r>
      <w:r w:rsidRPr="001B0874">
        <w:rPr>
          <w:sz w:val="16"/>
        </w:rPr>
        <w:t xml:space="preserve">. 72 If one movement is pushing its agenda in the courts, it is nearly impossible and also ill advised for the opposing movement to surrender that territory. </w:t>
      </w:r>
      <w:r w:rsidRPr="007374BA">
        <w:rPr>
          <w:rStyle w:val="Emphasis"/>
        </w:rPr>
        <w:t xml:space="preserve">Courts, therefore, provide venues in which to contest constitutional meanings that relate to and signify broader political and moral commitments. </w:t>
      </w:r>
      <w:r w:rsidRPr="001B0874">
        <w:rPr>
          <w:sz w:val="16"/>
        </w:rPr>
        <w:t>Here, scholarship examining the impact of movement-countermovement struggles on frames could be applied to court-based interactions to better understand how constitutional and political meanings change through movement conflict.</w:t>
      </w:r>
    </w:p>
    <w:p w14:paraId="356CB053" w14:textId="77777777" w:rsidR="00D67A22" w:rsidRPr="00991300" w:rsidRDefault="00D67A22" w:rsidP="00D67A22"/>
    <w:p w14:paraId="25B53B1E" w14:textId="77777777" w:rsidR="00D67A22" w:rsidRDefault="00D67A22" w:rsidP="00D67A22"/>
    <w:p w14:paraId="34A9B502" w14:textId="77777777" w:rsidR="00D67A22" w:rsidRPr="00D00730" w:rsidRDefault="00D67A22" w:rsidP="00D67A22"/>
    <w:p w14:paraId="25E3BAC1" w14:textId="26BFF09A" w:rsidR="005A4715" w:rsidRDefault="003D049F" w:rsidP="005A4715">
      <w:pPr>
        <w:pStyle w:val="Heading3"/>
        <w:rPr>
          <w:rFonts w:cs="Times New Roman"/>
        </w:rPr>
      </w:pPr>
      <w:r w:rsidRPr="00D7045C">
        <w:rPr>
          <w:rFonts w:cs="Times New Roman"/>
        </w:rPr>
        <w:t>Extension – S</w:t>
      </w:r>
      <w:r w:rsidR="005A4715" w:rsidRPr="00D7045C">
        <w:rPr>
          <w:rFonts w:cs="Times New Roman"/>
        </w:rPr>
        <w:t>egregation</w:t>
      </w:r>
    </w:p>
    <w:p w14:paraId="7886B086" w14:textId="77777777" w:rsidR="002A5B87" w:rsidRDefault="002A5B87" w:rsidP="002A5B87"/>
    <w:p w14:paraId="622EF30C" w14:textId="77777777" w:rsidR="002A5B87" w:rsidRDefault="002A5B87" w:rsidP="002A5B87">
      <w:pPr>
        <w:pStyle w:val="Heading4"/>
      </w:pPr>
      <w:r>
        <w:t>Post-Milliken school districting reproduces inequities, fuels white flight, and reifies white privilege—urban school district case study proves</w:t>
      </w:r>
    </w:p>
    <w:p w14:paraId="3E2F02A1" w14:textId="77777777" w:rsidR="002A5B87" w:rsidRDefault="002A5B87" w:rsidP="002A5B87">
      <w:r w:rsidRPr="007F1A8E">
        <w:rPr>
          <w:rStyle w:val="Style13ptBold"/>
        </w:rPr>
        <w:t>Holme</w:t>
      </w:r>
      <w:r w:rsidRPr="009B280A">
        <w:t>, Associate Professor at University of Texas at Austin, Finnigan, director of the educational policy program at University of Rochester, and Diem, Associate Professor of Educational Leadership and Policy Analysis at University of Missouri, 20</w:t>
      </w:r>
      <w:r w:rsidRPr="007F1A8E">
        <w:rPr>
          <w:rStyle w:val="Style13ptBold"/>
        </w:rPr>
        <w:t xml:space="preserve">16 </w:t>
      </w:r>
      <w:r w:rsidRPr="009B280A">
        <w:t>(Jennifer Jellison, Ph.D. in Urban Schooling from UCLA, Kara S., Ph.D. University of Wisconsin-Madison, Sarah, Ph.D. in Educational Policy and Planning from the University of Texas at Austin, "Challenging Boundaries, Changing Fate? Metropolitan Inequality and the Legacy of Milliken", Teacher College Record, 118, accessed on 6/27/17, BEN)</w:t>
      </w:r>
    </w:p>
    <w:p w14:paraId="2C84AA37" w14:textId="77777777" w:rsidR="002A5B87" w:rsidRPr="009B280A" w:rsidRDefault="002A5B87" w:rsidP="002A5B87">
      <w:pPr>
        <w:rPr>
          <w:rStyle w:val="StyleUnderline"/>
        </w:rPr>
      </w:pPr>
      <w:r>
        <w:t xml:space="preserve">In this section, we first discuss the cross case findings of the three metropolitan contexts </w:t>
      </w:r>
      <w:r w:rsidRPr="007F46A8">
        <w:rPr>
          <w:rStyle w:val="StyleUnderline"/>
        </w:rPr>
        <w:t>where no court-ordered merger occurred</w:t>
      </w:r>
      <w:r>
        <w:t xml:space="preserve">--Detroit, Philadelphia, and St. Louis—as we found striking similarities across the urban districts in these metro areas: First, </w:t>
      </w:r>
      <w:r w:rsidRPr="007F46A8">
        <w:rPr>
          <w:rStyle w:val="StyleUnderline"/>
        </w:rPr>
        <w:t>each of the urban districts have</w:t>
      </w:r>
      <w:r>
        <w:t xml:space="preserve">, since 1970, </w:t>
      </w:r>
      <w:r w:rsidRPr="007F46A8">
        <w:rPr>
          <w:rStyle w:val="StyleUnderline"/>
        </w:rPr>
        <w:t>experienced sharp declines in student enrollment</w:t>
      </w:r>
      <w:r>
        <w:t xml:space="preserve">, ranging from losses of 40% to more than 80% over 40 years. </w:t>
      </w:r>
      <w:r w:rsidRPr="007F46A8">
        <w:rPr>
          <w:rStyle w:val="StyleUnderline"/>
        </w:rPr>
        <w:t>These losses are attributable both to White and middle class flight out of the districts, and also enrollment in charter schools as parents flee increasingly distressed schools</w:t>
      </w:r>
      <w:r>
        <w:t xml:space="preserve">. Second, </w:t>
      </w:r>
      <w:r w:rsidRPr="007F46A8">
        <w:rPr>
          <w:rStyle w:val="StyleUnderline"/>
        </w:rPr>
        <w:t>each of the districts are even more segregated than when the Milliken case was filed, each having 80% or greater nonWhite enrollments</w:t>
      </w:r>
      <w:r>
        <w:t xml:space="preserve">. Third, </w:t>
      </w:r>
      <w:r w:rsidRPr="007F46A8">
        <w:rPr>
          <w:rStyle w:val="StyleUnderline"/>
        </w:rPr>
        <w:t>each of these urban districts have extremely high rates of poverty</w:t>
      </w:r>
      <w:r>
        <w:t>, at 80% or more, attributable partly to the migration of middle class families to suburbs, as well as de-industrialization which resulted in the loss of middle class jobs (Drier et al., 2013). Fourth, these districts are all experiencing significant financial strain as a result of enrollment declines, pension costs, bond debt, and building maintenance costs. These strains, when coupled with low tax resources, have led to significant budget deficits. These deficits have, in turn, caused reductions in bond ratings, raising the cost of borrowing money. A final similarity is the serious academic difficulties faced by their schools. Indeed</w:t>
      </w:r>
      <w:r w:rsidRPr="007F46A8">
        <w:rPr>
          <w:rStyle w:val="Emphasis"/>
        </w:rPr>
        <w:t>, all three of the case study urban districts have low levels of student proficiency, and have deemed failing academically by their states and/or the federal government</w:t>
      </w:r>
      <w:r>
        <w:t xml:space="preserve">. </w:t>
      </w:r>
      <w:r w:rsidRPr="007F46A8">
        <w:rPr>
          <w:rStyle w:val="StyleUnderline"/>
        </w:rPr>
        <w:t>These urban districts provide concrete examples of the way in which socially constructed boundaries of districts within metropolitan areas actually serve to reproduce inequities, by confining an increasingly isolated population of low income students of color into underfunded schools, thereby prompting further flight and fueling academic and fiscal decline</w:t>
      </w:r>
      <w:r>
        <w:t xml:space="preserve">. We also found commonalities among the segregated suburbs in our case study metro areas. In fact, the older, high poverty, and segregated suburban school districts have faced some of the most difficult struggles. Each of the suburbs has become even more racially isolated and high poverty after Milliken, and each has faced serious financial difficulties. Due to fiscal problems, the State of Michigan dissolved the Inkster School District; Chester Upland’s finances were in such disarray that the financial management was taken over by the state; and Ferguson-Florissant has faced a significant operating debt. These districts also face academic challenges: Ferguson-Florissant hovers at the brink of disaccreditation, which would require it to allow students to transfer to other districts at its expense; Chester Upland is in 11th year of corrective action under NCLB and one of the lowest rated school districts in the state. </w:t>
      </w:r>
      <w:r w:rsidRPr="007F46A8">
        <w:rPr>
          <w:rStyle w:val="Emphasis"/>
        </w:rPr>
        <w:t>The story of the segregated suburbs when considering spatial causality is one in which these inner-ring suburbs must compete with the resource rich communities that have not had the racial and demographic shifts and, as a result, they hover on the brink of crisis. In the same metropolitan areas that have seen urban and segregated suburban districts facing fiscal and academic distress, affluent suburbs have thrived with strong tax bases, solid bond ratings, and high academic performance. Several have become slightly more racially diverse but they each remain overwhelmingly White and higher income</w:t>
      </w:r>
      <w:r>
        <w:t xml:space="preserve">. Remember that each of these districts sit only a few miles from the urban and segregated suburban districts in these metropolitan areas yet operate as distinct entities. This was what the plaintiffs in Milliken were fighting against—that in a community that is considered one metropolitan area there could be such extreme inequities based upon both the human created and socially constructed boundaries that encircle (or exclude) community members. </w:t>
      </w:r>
      <w:r w:rsidRPr="007F46A8">
        <w:rPr>
          <w:rStyle w:val="StyleUnderline"/>
        </w:rPr>
        <w:t>The theory of spatial causality illustrates how these differential situations are no accident, but rather the result of intentional policies and practices including school district boundaries, that serve to reinforce the geopolitical power base in those communities with power and undermine those without it</w:t>
      </w:r>
      <w:r>
        <w:t xml:space="preserve">. Even the interdistrict transfer remedy adopted in St. Louis did not alter these dynamics: In the end, the school district boundary lines remained intact, the tax bases remained divided, housing patterns went untouched, and the dynamics of inequality still worked in much the same way as Detroit and Philadelphia, which did not have these plans. However, as we mentioned previously, the state integration aid proved critical to keep the district out of bankruptcy, and thus in this way the metro court order did work to that district’s advantage. The one metro in which a complete merger occurred between city and suburbs, Louisville, Kentucky, has met a different fate: The tax base remains strong, schools remain diverse, and the district is improving with no threat of corrective action. The merger plus the integration plan may have also positively affected housing choices of families (Siegel-Hawley, 2013). What can be learned from Louisville is that </w:t>
      </w:r>
      <w:r w:rsidRPr="009B280A">
        <w:rPr>
          <w:rStyle w:val="StyleUnderline"/>
        </w:rPr>
        <w:t xml:space="preserve">when the artificial boundaries that cause competition between districts are eliminated, the inequities across metro areas may be substantially reduced. </w:t>
      </w:r>
    </w:p>
    <w:p w14:paraId="7882BDA5" w14:textId="77777777" w:rsidR="002A5B87" w:rsidRDefault="002A5B87" w:rsidP="002A5B87"/>
    <w:p w14:paraId="4AB24F96" w14:textId="77777777" w:rsidR="002A5B87" w:rsidRDefault="002A5B87" w:rsidP="002A5B87"/>
    <w:p w14:paraId="35A41605" w14:textId="77777777" w:rsidR="002A5B87" w:rsidRDefault="002A5B87" w:rsidP="002A5B87">
      <w:pPr>
        <w:pStyle w:val="Heading4"/>
      </w:pPr>
      <w:r>
        <w:t>School district boundary lines reproduce inequality and resource monopoly by white spaces—overturning Milliken is key to addressing spatial inequity</w:t>
      </w:r>
    </w:p>
    <w:p w14:paraId="72ED8033" w14:textId="77777777" w:rsidR="002A5B87" w:rsidRDefault="002A5B87" w:rsidP="002A5B87">
      <w:r w:rsidRPr="007F1A8E">
        <w:rPr>
          <w:rStyle w:val="Style13ptBold"/>
        </w:rPr>
        <w:t>Holme</w:t>
      </w:r>
      <w:r w:rsidRPr="009B280A">
        <w:t>, Associate Professor at University of Texas at Austin, Finnigan, director of the educational policy program at University of Rochester, and Diem, Associate Professor of Educational Leadership and Policy Analysis at University of Missouri, 20</w:t>
      </w:r>
      <w:r w:rsidRPr="007F1A8E">
        <w:rPr>
          <w:rStyle w:val="Style13ptBold"/>
        </w:rPr>
        <w:t>16</w:t>
      </w:r>
      <w:r w:rsidRPr="009B280A">
        <w:t xml:space="preserve"> (Jennifer Jellison, Ph.D. in Urban Schooling from UCLA, Kara S., Ph.D. University of Wisconsin-Madison, Sarah, Ph.D. in Educational Policy and Planning from the University of Texas at Austin, "Challenging Boundaries, Changing Fate? Metropolitan Inequality and the Legacy of Milliken", Teacher College Record, 118, accessed on 6/27/17, BEN)</w:t>
      </w:r>
    </w:p>
    <w:p w14:paraId="2C7DFE04" w14:textId="57764C3C" w:rsidR="002A5B87" w:rsidRPr="002A5B87" w:rsidRDefault="002A5B87" w:rsidP="002A5B87">
      <w:pPr>
        <w:rPr>
          <w:sz w:val="16"/>
        </w:rPr>
      </w:pPr>
      <w:r w:rsidRPr="002A5B87">
        <w:rPr>
          <w:sz w:val="16"/>
        </w:rPr>
        <w:t xml:space="preserve">While we provide an analysis of the trends across districts within these metropolitan areas, a limitation of our study is that we cannot make direct causal claims about the relationship between the Milliken ruling—in terms of whether or not a metropolitan remedy was ordered—and resulting patterns of inequality between school districts in metropolitan areas, because these trends are also tied to broader housing, banking, employment trends, as well as city boundary lines. However, </w:t>
      </w:r>
      <w:r w:rsidRPr="00CE09D8">
        <w:rPr>
          <w:rStyle w:val="Emphasis"/>
        </w:rPr>
        <w:t>evidence about patterns of inequality over time do shed light on the extent to which the problems that Milliken was trying to address (segregation, academic performance, as well as resources) have evolved in the presence or absence of court-orders over time.</w:t>
      </w:r>
      <w:r w:rsidRPr="002A5B87">
        <w:rPr>
          <w:sz w:val="16"/>
        </w:rPr>
        <w:t xml:space="preserve"> Another limitation is that we focused our cases on three districts within these metropolitan areas and thus we are not able to provide the full picture of the shifts across these communities. In spite of these limitations. our study suggests that </w:t>
      </w:r>
      <w:r w:rsidRPr="00CE09D8">
        <w:rPr>
          <w:rStyle w:val="Emphasis"/>
        </w:rPr>
        <w:t>socially constructed political boundaries, like school district boundary lines, by carving up political geography along the lines of race and class, can take on an active role in the reproduction of inequality</w:t>
      </w:r>
      <w:r w:rsidRPr="002A5B87">
        <w:rPr>
          <w:sz w:val="16"/>
        </w:rPr>
        <w:t xml:space="preserve"> (Briffault, 1996; Soja, 2011a; Tonkiss, 2011). The segregated and high poverty districts in the three metro areas where courts left districts intact (Detroit, Philadelphia, and St. Louis) have been, since Milliken, increasingly hemmed in by their boundaries: struggling with growing concentrations of need, low resources to meet those needs, and as a result falling into fiscal and academic decline. In contrast, </w:t>
      </w:r>
      <w:r w:rsidRPr="00CE09D8">
        <w:rPr>
          <w:rStyle w:val="StyleUnderline"/>
        </w:rPr>
        <w:t>the maintenance of district boundaries by the courts has allowed the affluent suburbs in these contexts, over time, to benefit from a number of policies and practices that allowed them to accrue and protect advantage through exclusionary zoning policies and housing discrimination</w:t>
      </w:r>
      <w:r w:rsidRPr="002A5B87">
        <w:rPr>
          <w:sz w:val="16"/>
        </w:rPr>
        <w:t xml:space="preserve"> (Drier et al., 2013). Together, </w:t>
      </w:r>
      <w:r w:rsidRPr="00CE09D8">
        <w:rPr>
          <w:rStyle w:val="StyleUnderline"/>
        </w:rPr>
        <w:t>these policies have promoted and protected the affluence and advantage in each of these contexts, which has in turn attracted investment and allowed these districts to maintain strong financial standing over time.</w:t>
      </w:r>
      <w:r w:rsidRPr="002A5B87">
        <w:rPr>
          <w:sz w:val="16"/>
        </w:rPr>
        <w:t xml:space="preserve"> Since Milliken, federal and state policies have largely ignored the role of school district boundaries in creating, and deepening, inequalities for students. Instead, reformers have responded to the academic crises by instituting policies that largely place the blame for failure on the districts themselves: Accountability policies that demand improvement or face the threat of punishment; or market-based reforms like charter schools that seek to spur improvement through competition. The district boundaries that constrain these districts and have created segregated, high poverty districts within larger metro areas, however, have gone largely ignored in policy debates</w:t>
      </w:r>
      <w:r w:rsidRPr="00CE09D8">
        <w:rPr>
          <w:rStyle w:val="StyleUnderline"/>
        </w:rPr>
        <w:t xml:space="preserve">. The failure to recognize how boundaries have contributed over time to urban and inner ring suburban district difficulties has meant that these school systems have faced serious challenges and penalties </w:t>
      </w:r>
      <w:r w:rsidRPr="002A5B87">
        <w:rPr>
          <w:sz w:val="16"/>
        </w:rPr>
        <w:t xml:space="preserve">(i.e., takeover or bankruptcy), </w:t>
      </w:r>
      <w:r w:rsidRPr="00CE09D8">
        <w:rPr>
          <w:rStyle w:val="StyleUnderline"/>
        </w:rPr>
        <w:t>while affluent suburbs remain largely protected under those systems despite being in the same metropolitan areas and therefore benefitting from the same metro economy and infrastructure</w:t>
      </w:r>
      <w:r w:rsidRPr="002A5B87">
        <w:rPr>
          <w:sz w:val="16"/>
        </w:rPr>
        <w:t xml:space="preserve">. In Louisville, the court’s dissolution of the dividing line between the city and suburbs has enabled the district to maintain a diverse student population and a strong tax base, to implement an integration plan to keep schools racially diverse, and maintain solid academic standing. Thus, </w:t>
      </w:r>
      <w:r w:rsidRPr="00CE09D8">
        <w:rPr>
          <w:rStyle w:val="Emphasis"/>
        </w:rPr>
        <w:t>eradicating the district boundary lines in Louisville appeared to have had a substantial positive impact on patterns of inequality</w:t>
      </w:r>
      <w:r w:rsidRPr="002A5B87">
        <w:rPr>
          <w:sz w:val="16"/>
        </w:rPr>
        <w:t xml:space="preserve"> when compared with the other locales. The work of Soja (2011a) and Tonkiss (2011) suggests that the creation of a more equitable metro context in Louisville will have a strong positive effect on individuals’ life chances in these communities. We do not mean to overstate this, as many in these communities will still likely struggle to be successful in schools, find jobs, etc., but what the Louisville story suggests is that low income or children of color in Louisville will be less likely to be “stuck” based upon their geography because they will no longer be served in schools that are segregated by race and class as is the case for a student growing up in Philadelphia or Ferguson. Importantly, </w:t>
      </w:r>
      <w:r w:rsidRPr="00CE09D8">
        <w:rPr>
          <w:rStyle w:val="StyleUnderline"/>
        </w:rPr>
        <w:t>by reversing the cycle of “intensely segregated schools” in the Louisville area, the district has been able to more equitable serve all students in the greater Louisville area</w:t>
      </w:r>
      <w:r w:rsidRPr="002A5B87">
        <w:rPr>
          <w:sz w:val="16"/>
        </w:rPr>
        <w:t xml:space="preserve">. Our study suggests that </w:t>
      </w:r>
      <w:r w:rsidRPr="007F46A8">
        <w:rPr>
          <w:rStyle w:val="Emphasis"/>
        </w:rPr>
        <w:t>policymakers must revisit</w:t>
      </w:r>
      <w:r w:rsidRPr="002A5B87">
        <w:rPr>
          <w:sz w:val="16"/>
        </w:rPr>
        <w:t xml:space="preserve"> the issues at the core of the Milliken case—</w:t>
      </w:r>
      <w:r w:rsidRPr="007F46A8">
        <w:rPr>
          <w:rStyle w:val="Emphasis"/>
        </w:rPr>
        <w:t>from segregation to competition within metro areas—by considering spatial inequities rather than continue to address urban district challenges through “place blind” means such as through accountability and market-based reforms. These efforts would require a policy shift away from blaming struggling districts for their own failures toward policy solutions that begin to get at the root of these larger social problems, such as through the elimination of the boundaries themselves, which has been successfully accomplished without a court order in a handful of metro areas</w:t>
      </w:r>
      <w:r w:rsidRPr="002A5B87">
        <w:rPr>
          <w:sz w:val="16"/>
        </w:rPr>
        <w:t xml:space="preserve"> (Holme &amp; Finnigan, 2013). In lieu of boundary elimination, which is politically difficult, policymakers could instead work to enact policies that have been shown to promote equity across communities and school districts: fair housing policy, tax-base sharing, school choice plans to promote racial and socioeconomic diversity across district lines; and strong state investment in high poverty districts to create high quality schools that draw students back into diverse and equitable schools within the city (see Finnigan &amp; Holme, in press). As Ford (2004) writes, the victories of Brown v. Board of Education (1954) are often celebrated despite the fact that the ruling was seriously undermined by Milliken and the multitude of policies (i.e., housing, transit, and employment) that undergird contemporary city/suburban segregation. Fifty years ago Linda Brown became an American heroine, risking social ostracism, isolation, and violence because she and her family believed that racial integration was important enough to fight and sacrifice for. Today it’s easy to pay lip service to the litigation the bears that family’s name, comfortable in the presumption that the hard fights have long since been on, the sacrifices long ago made. (Ford, 2004, pp. 1332–1333) Yet, he writes, in light of the inequities that continue to exist today: “</w:t>
      </w:r>
      <w:r w:rsidRPr="007F46A8">
        <w:rPr>
          <w:rStyle w:val="Emphasis"/>
        </w:rPr>
        <w:t>If we want to make the promise of a socially, economically, and politically integrated society a reality, we should stop celebrating a victory we’ve yet to win and start trying to breathe new life into Brown’s ghost</w:t>
      </w:r>
      <w:r w:rsidRPr="002A5B87">
        <w:rPr>
          <w:sz w:val="16"/>
        </w:rPr>
        <w:t>” (p. 1333).</w:t>
      </w:r>
    </w:p>
    <w:p w14:paraId="2C803749" w14:textId="77777777" w:rsidR="005A4715" w:rsidRPr="00D7045C" w:rsidRDefault="005A4715" w:rsidP="005A4715">
      <w:pPr>
        <w:pStyle w:val="Heading4"/>
        <w:rPr>
          <w:rFonts w:cs="Times New Roman"/>
        </w:rPr>
      </w:pPr>
      <w:r w:rsidRPr="00D7045C">
        <w:rPr>
          <w:rFonts w:cs="Times New Roman"/>
        </w:rPr>
        <w:t>Milliken v. Bradley hurts minority education and success – all major studies show strong trends with majority black schools having failing infrastructure while majority white schools have proper recourses</w:t>
      </w:r>
    </w:p>
    <w:p w14:paraId="4DD5C133" w14:textId="77777777" w:rsidR="005A4715" w:rsidRPr="00D7045C" w:rsidRDefault="005A4715" w:rsidP="005A4715">
      <w:r w:rsidRPr="00D7045C">
        <w:rPr>
          <w:rStyle w:val="Style13ptBold"/>
        </w:rPr>
        <w:t>Theoharis 15</w:t>
      </w:r>
      <w:r w:rsidRPr="00D7045C">
        <w:t xml:space="preserve"> </w:t>
      </w:r>
      <w:r w:rsidRPr="00D7045C">
        <w:rPr>
          <w:sz w:val="18"/>
        </w:rPr>
        <w:t xml:space="preserve">(George, professor and a chair in the School of Education at Syracuse University, “‘Forced busing’ didn’t fail. Desegregation is the best way to improve our schools”, https://www.washingtonpost.com/posteverything/wp/2015/10/23/forced-busing-didnt-fail-desegregation-is-the-best-way-to-improve-our-schools/?utm_term=.07925e148b83) </w:t>
      </w:r>
      <w:r w:rsidRPr="00D7045C">
        <w:t>DGA</w:t>
      </w:r>
    </w:p>
    <w:p w14:paraId="1C61A346" w14:textId="77777777" w:rsidR="005A4715" w:rsidRPr="00D7045C" w:rsidRDefault="005A4715" w:rsidP="005A4715">
      <w:pPr>
        <w:rPr>
          <w:rStyle w:val="StyleUnderline"/>
        </w:rPr>
      </w:pPr>
      <w:r w:rsidRPr="00D7045C">
        <w:rPr>
          <w:sz w:val="16"/>
        </w:rPr>
        <w:t xml:space="preserve">Two miles from my office in Syracuse, N.Y., </w:t>
      </w:r>
      <w:r w:rsidRPr="00D7045C">
        <w:rPr>
          <w:rStyle w:val="StyleUnderline"/>
        </w:rPr>
        <w:t>Westside Academy Middle School has been in need of repairs for decades. Located in one of the nation’s poorest census tracts, 85 percent of its students are black or Latino, and 86 percent are poor enough to qualify for free or reduced-price lunches</w:t>
      </w:r>
      <w:r w:rsidRPr="00D7045C">
        <w:rPr>
          <w:sz w:val="16"/>
        </w:rPr>
        <w:t xml:space="preserve">. The 400 students have limited creative outlets, with no orchestra or band and just two music teachers. </w:t>
      </w:r>
      <w:r w:rsidRPr="00D7045C">
        <w:rPr>
          <w:rStyle w:val="StyleUnderline"/>
        </w:rPr>
        <w:t>Ten miles away, Wellwood Middle School, in a suburban district, offers students a stately auditorium and well-equipped technology rooms. There, 88 percent of the students are white and only 10 percent qualify for free or reduced-price lunch. The 700 students have at least five music teachers, band, orchestra, choir, musical theater and dozens of other clubs and activities. Fifty percent of Wellwood’s eighth graders passed the state math assessment. At Westwood, none did</w:t>
      </w:r>
      <w:r w:rsidRPr="00D7045C">
        <w:rPr>
          <w:sz w:val="16"/>
        </w:rPr>
        <w:t xml:space="preserve">. The disparate student outcomes are no surprise. Since the Reagan administration’s “A Nation at Risk” report pronounced that schools across the country were failing, every president has touted a new plan to close the racial academic achievement gap: President Obama installed Race to the Top; George W. Bush had No Child Left Behind; and Clinton pushed Goals 2000. </w:t>
      </w:r>
      <w:r w:rsidRPr="00D7045C">
        <w:rPr>
          <w:rStyle w:val="StyleUnderline"/>
        </w:rPr>
        <w:t>The nation has commissioned studies, held conferences and engaged in endless public lamentation over how to get poor students and children of color to achieve at the level of wealthy white students — as if how to close this opportunity gap was a mystery. But we forget that we’ve done it before. Racial achievement gaps were narrowest at the height of school integration. U.S. schools have become more segregated since 1990, and students in major metropolitan areas have been most severely divided by race and income, according to the University of California at Los Angeles’s Civil Rights Project</w:t>
      </w:r>
      <w:r w:rsidRPr="00D7045C">
        <w:rPr>
          <w:sz w:val="16"/>
        </w:rPr>
        <w:t>.</w:t>
      </w:r>
      <w:r w:rsidRPr="00D7045C">
        <w:rPr>
          <w:rStyle w:val="StyleUnderline"/>
        </w:rPr>
        <w:t xml:space="preserve"> Racially homogenous neighborhoods that resulted from historic housing practices such as red-lining have driven school segregation. The problem is worst in the Northeast — the region that, in many ways, never desegregated — where students face some of the largest academic achievement gaps</w:t>
      </w:r>
      <w:r w:rsidRPr="00D7045C">
        <w:rPr>
          <w:sz w:val="16"/>
        </w:rPr>
        <w:t xml:space="preserve">: in Connecticut, Maryland, Massachusetts and the District of Columbia. More than 60 years after Brown v. Board of Education, federal education policies still implicitly accept the myth of “separate but equal,” by attempting to improve student outcomes without integrating schools. </w:t>
      </w:r>
      <w:r w:rsidRPr="00D7045C">
        <w:rPr>
          <w:rStyle w:val="StyleUnderline"/>
        </w:rPr>
        <w:t>Policymakers have tried creating national standards, encouraging charter schools, implementing high-stakes teacher evaluations and tying testing to school sanctions and funding. These efforts sought to make separate schools better but not less segregated. Ending achievement and opportunity gaps requires implementing a variety of desegregation methods – busing, magnet schools, or merging school districts,</w:t>
      </w:r>
      <w:r w:rsidRPr="00D7045C">
        <w:rPr>
          <w:sz w:val="16"/>
        </w:rPr>
        <w:t xml:space="preserve"> for instance </w:t>
      </w:r>
      <w:r w:rsidRPr="00D7045C">
        <w:rPr>
          <w:rStyle w:val="StyleUnderline"/>
        </w:rPr>
        <w:t>– to create a more just public education system that successfully educates all children.</w:t>
      </w:r>
      <w:r w:rsidRPr="00D7045C">
        <w:rPr>
          <w:sz w:val="16"/>
        </w:rPr>
        <w:t xml:space="preserve"> </w:t>
      </w:r>
      <w:r w:rsidRPr="00D7045C">
        <w:rPr>
          <w:rStyle w:val="StyleUnderline"/>
        </w:rPr>
        <w:t>Public radio’s “This American Life”</w:t>
      </w:r>
      <w:r w:rsidRPr="00D7045C">
        <w:rPr>
          <w:sz w:val="16"/>
        </w:rPr>
        <w:t xml:space="preserve"> reminded us of this reality in a two-part report this summer, called “The Problem We All Live With.” The program </w:t>
      </w:r>
      <w:r w:rsidRPr="00D7045C">
        <w:rPr>
          <w:rStyle w:val="Emphasis"/>
        </w:rPr>
        <w:t>noted that, despite declarations that busing to desegregate schools failed in the 1970s and 1980s, that era actually saw significant improvement in educational equity</w:t>
      </w:r>
      <w:r w:rsidRPr="00D7045C">
        <w:rPr>
          <w:sz w:val="16"/>
        </w:rPr>
        <w:t xml:space="preserve">. When the National Assessment of Educational Progress began in the early 1970s, there was a 53-point gap in reading scores between black and white 17-year-olds. That chasm narrowed to 20 points by 1988. During that time, </w:t>
      </w:r>
      <w:r w:rsidRPr="00D7045C">
        <w:rPr>
          <w:rStyle w:val="StyleUnderline"/>
        </w:rPr>
        <w:t xml:space="preserve">every region of the country except the Northeast saw steady gains in school integration. </w:t>
      </w:r>
      <w:r w:rsidRPr="00D7045C">
        <w:rPr>
          <w:sz w:val="16"/>
        </w:rPr>
        <w:t xml:space="preserve">In the South in 1968, 78 percent of black children attended schools with almost exclusively minority students; by 1988, only 24 percent did. In the West during that period, the figure declined from 51 percent to 29 percent. But since 1988, </w:t>
      </w:r>
      <w:r w:rsidRPr="00D7045C">
        <w:rPr>
          <w:rStyle w:val="StyleUnderline"/>
        </w:rPr>
        <w:t xml:space="preserve">when education policy shifted away from desegregation efforts, the reading test score gap has grown — to 26 points in 2012 — with segregated schooling increasing in every region of the country. Research has shown that integration is a critical factor in narrowing the achievement gap. In a 2010 research review, Harvard University’s Susan Eaton noted that </w:t>
      </w:r>
      <w:r w:rsidRPr="00D7045C">
        <w:rPr>
          <w:rStyle w:val="Emphasis"/>
        </w:rPr>
        <w:t>racial segregation in schools has such a severe impact on the test score-gap that it outweighs the positive effects of a higher family income for minority students.</w:t>
      </w:r>
      <w:r w:rsidRPr="00D7045C">
        <w:rPr>
          <w:sz w:val="16"/>
        </w:rPr>
        <w:t xml:space="preserve"> </w:t>
      </w:r>
      <w:r w:rsidRPr="00D7045C">
        <w:rPr>
          <w:rStyle w:val="StyleUnderline"/>
        </w:rPr>
        <w:t>Further, a 2010 study of students’ improvements in math found that the level of integration</w:t>
      </w:r>
      <w:r w:rsidRPr="00D7045C">
        <w:rPr>
          <w:sz w:val="16"/>
        </w:rPr>
        <w:t xml:space="preserve"> was the only school characteristic (vs. safety and community commitment to math) that </w:t>
      </w:r>
      <w:r w:rsidRPr="00D7045C">
        <w:rPr>
          <w:rStyle w:val="StyleUnderline"/>
        </w:rPr>
        <w:t>significantly affected students’ learning growth.</w:t>
      </w:r>
    </w:p>
    <w:p w14:paraId="68C17936" w14:textId="77777777" w:rsidR="005A4715" w:rsidRPr="00D7045C" w:rsidRDefault="005A4715" w:rsidP="005A4715">
      <w:pPr>
        <w:pStyle w:val="Heading4"/>
        <w:rPr>
          <w:rFonts w:cs="Times New Roman"/>
        </w:rPr>
      </w:pPr>
      <w:r w:rsidRPr="00D7045C">
        <w:rPr>
          <w:rFonts w:cs="Times New Roman"/>
        </w:rPr>
        <w:t>Lack of cross-racial empathy of white America—results in erasure and whitewashing of racial divides, the belief in “race-neutrality” and the inability or refusal to address racism, and victim blaming</w:t>
      </w:r>
    </w:p>
    <w:p w14:paraId="61540314" w14:textId="77777777" w:rsidR="005A4715" w:rsidRPr="00D7045C" w:rsidRDefault="005A4715" w:rsidP="005A4715">
      <w:r w:rsidRPr="00D7045C">
        <w:t>3 main ways by which lack of cross racial empathy results in the above:</w:t>
      </w:r>
    </w:p>
    <w:p w14:paraId="6F06F6C5" w14:textId="77777777" w:rsidR="005A4715" w:rsidRPr="00D7045C" w:rsidRDefault="005A4715" w:rsidP="005A4715">
      <w:pPr>
        <w:pStyle w:val="ListParagraph"/>
        <w:numPr>
          <w:ilvl w:val="0"/>
          <w:numId w:val="11"/>
        </w:numPr>
      </w:pPr>
      <w:r w:rsidRPr="00D7045C">
        <w:t>Construct of race as biologically valid</w:t>
      </w:r>
    </w:p>
    <w:p w14:paraId="7935E1F8" w14:textId="77777777" w:rsidR="005A4715" w:rsidRPr="00D7045C" w:rsidRDefault="005A4715" w:rsidP="005A4715">
      <w:pPr>
        <w:pStyle w:val="ListParagraph"/>
        <w:numPr>
          <w:ilvl w:val="0"/>
          <w:numId w:val="11"/>
        </w:numPr>
      </w:pPr>
      <w:r w:rsidRPr="00D7045C">
        <w:t>Racism is a matter of individual belief and can be corrected by education; the denial of racism as systemic</w:t>
      </w:r>
    </w:p>
    <w:p w14:paraId="232AD16B" w14:textId="77777777" w:rsidR="005A4715" w:rsidRPr="00D7045C" w:rsidRDefault="005A4715" w:rsidP="005A4715">
      <w:pPr>
        <w:pStyle w:val="ListParagraph"/>
        <w:numPr>
          <w:ilvl w:val="0"/>
          <w:numId w:val="11"/>
        </w:numPr>
      </w:pPr>
      <w:r w:rsidRPr="00D7045C">
        <w:t>Prejudice is part of the human condition</w:t>
      </w:r>
    </w:p>
    <w:p w14:paraId="3CB0C61F" w14:textId="77777777" w:rsidR="005A4715" w:rsidRPr="00D7045C" w:rsidRDefault="005A4715" w:rsidP="005A4715">
      <w:r w:rsidRPr="00D7045C">
        <w:rPr>
          <w:rStyle w:val="Style13ptBold"/>
        </w:rPr>
        <w:t xml:space="preserve">Mikulich 17 </w:t>
      </w:r>
      <w:r w:rsidRPr="00D7045C">
        <w:t xml:space="preserve">(Alex, PhD, prof. of race and social ethics at Loyola University, “Race, Racism, and Whiteness,” </w:t>
      </w:r>
      <w:hyperlink r:id="rId24" w:history="1">
        <w:r w:rsidRPr="00D7045C">
          <w:rPr>
            <w:rStyle w:val="Hyperlink"/>
          </w:rPr>
          <w:t>http://www.loyno.edu/jsri/race-racism-and-whiteness</w:t>
        </w:r>
      </w:hyperlink>
      <w:r w:rsidRPr="00D7045C">
        <w:t>) KC</w:t>
      </w:r>
    </w:p>
    <w:p w14:paraId="64AD5B57" w14:textId="77777777" w:rsidR="005A4715" w:rsidRPr="00D7045C" w:rsidRDefault="005A4715" w:rsidP="005A4715">
      <w:pPr>
        <w:rPr>
          <w:sz w:val="16"/>
        </w:rPr>
      </w:pPr>
      <w:r w:rsidRPr="00D7045C">
        <w:rPr>
          <w:rStyle w:val="StyleUnderline"/>
        </w:rPr>
        <w:t>Francis Cardinal George, archbishop of the Archdiocese</w:t>
      </w:r>
      <w:r w:rsidRPr="00D7045C">
        <w:rPr>
          <w:sz w:val="16"/>
        </w:rPr>
        <w:t xml:space="preserve"> </w:t>
      </w:r>
      <w:r w:rsidRPr="00D7045C">
        <w:rPr>
          <w:rStyle w:val="StyleUnderline"/>
        </w:rPr>
        <w:t>of</w:t>
      </w:r>
      <w:r w:rsidRPr="00D7045C">
        <w:rPr>
          <w:sz w:val="16"/>
        </w:rPr>
        <w:t xml:space="preserve"> </w:t>
      </w:r>
      <w:r w:rsidRPr="00D7045C">
        <w:rPr>
          <w:rStyle w:val="StyleUnderline"/>
        </w:rPr>
        <w:t>Chicago,</w:t>
      </w:r>
      <w:r w:rsidRPr="00D7045C">
        <w:rPr>
          <w:sz w:val="16"/>
        </w:rPr>
        <w:t xml:space="preserve"> </w:t>
      </w:r>
      <w:r w:rsidRPr="00D7045C">
        <w:rPr>
          <w:rStyle w:val="StyleUnderline"/>
        </w:rPr>
        <w:t>in his pastoral letter Dwell in My Love, utilizes the term “spatial racism” to describe residential hyper-segregation. Cardinal George notices how spatial racism creates</w:t>
      </w:r>
      <w:r w:rsidRPr="00D7045C">
        <w:rPr>
          <w:sz w:val="16"/>
        </w:rPr>
        <w:t xml:space="preserve"> </w:t>
      </w:r>
      <w:r w:rsidRPr="00D7045C">
        <w:rPr>
          <w:rStyle w:val="StyleUnderline"/>
        </w:rPr>
        <w:t>a “visible chasm between rich and poor, and between whites and people of color.”[24] Yet whites tend not to be aware of this chasm, or view it as normal and natural.</w:t>
      </w:r>
      <w:r w:rsidRPr="00D7045C">
        <w:rPr>
          <w:sz w:val="16"/>
        </w:rPr>
        <w:t xml:space="preserve"> More importantly, </w:t>
      </w:r>
      <w:r w:rsidRPr="00D7045C">
        <w:rPr>
          <w:rStyle w:val="Emphasis"/>
        </w:rPr>
        <w:t>white physical, social, and moral separation from people of color is tied up with whites’ inability to understand or feel empathy for people of color</w:t>
      </w:r>
      <w:r w:rsidRPr="00D7045C">
        <w:rPr>
          <w:sz w:val="16"/>
        </w:rPr>
        <w:t xml:space="preserve">, much less practice the solidarity called for by Roman Catholic social teaching. </w:t>
      </w:r>
      <w:r w:rsidRPr="00D7045C">
        <w:rPr>
          <w:rStyle w:val="StyleUnderline"/>
        </w:rPr>
        <w:t>Sociologists call hyper-segregation the “structural lynchpin” of American racial inequality</w:t>
      </w:r>
      <w:r w:rsidRPr="00D7045C">
        <w:rPr>
          <w:sz w:val="16"/>
        </w:rPr>
        <w:t xml:space="preserve">.[25] </w:t>
      </w:r>
      <w:r w:rsidRPr="00D7045C">
        <w:rPr>
          <w:rStyle w:val="StyleUnderline"/>
        </w:rPr>
        <w:t>Housing location is critical to predicting access to quality public education, development of personal wealth, employment, health and safety, democratic participation, transportation, and child care. The national extent of white hyper-segregation cannot happen without the participation of the vast majority of white people and institutions, including whites who claim good intentions toward people of color.</w:t>
      </w:r>
      <w:r w:rsidRPr="00D7045C">
        <w:rPr>
          <w:sz w:val="16"/>
        </w:rPr>
        <w:t xml:space="preserve"> The linkage between home ownership and relative wealth or poverty is well established. Nationally, whites are more likely to gain home ownership, are able to acquire more home equity over a lifetime, and will own a home earlier in life than people of color.[26] Studies indicate that the relatively higher proportion of initial wealth of whites is dependent upon inheritances and gifts.[27] At age 25, nearly 40 percent of whites and fewer than 20 percent of nonwhites are homeowners. By age 35, nearly 80 percent of whites own their home, compared with less than half of nonwhites. More importantly, whites are 2.65 times more likely than nonwhites to achieve $50,000 in home equity, 3.9 times more likely to achieve $100,000, and 6.15 times more likely to achieve $200,000 in home equity. The real estate mantra “location, location, location,” is also about the ways that home valuation is color-coded.[28] Even the wealthiest African American suburban communities lack access to the opportunities available in predominantly white neighborhoods. </w:t>
      </w:r>
      <w:r w:rsidRPr="00D7045C">
        <w:rPr>
          <w:rStyle w:val="StyleUnderline"/>
        </w:rPr>
        <w:t>People of color find it increasingly difficult to translate economic gains, including homeownership, into neighborhood quality. Real estate steering and discrimination, exclusionary zoning and localism, and discriminatory lending practices compound and exacerbate the geography of racial wealth disparity</w:t>
      </w:r>
      <w:r w:rsidRPr="00D7045C">
        <w:rPr>
          <w:sz w:val="16"/>
        </w:rPr>
        <w:t xml:space="preserve">. A study by the Center for Responsible Lending finds that African American and Latino borrowers are more likely to receive higher-rate subprime loans than white borrowers, even when studies are controlled for legitimate risk factors.[29] </w:t>
      </w:r>
      <w:r w:rsidRPr="00D7045C">
        <w:rPr>
          <w:rStyle w:val="StyleUnderline"/>
        </w:rPr>
        <w:t>Institutional discrimination in housing and lending markets is one significant way that racial wealth inequality extends into the future. Racial inequality and segregation are not only evident between cities and suburbs; increasingly, in the South “within city segregation and within-suburb segregation contribute equally to overall metropolitan segregation levels</w:t>
      </w:r>
      <w:r w:rsidRPr="00D7045C">
        <w:rPr>
          <w:sz w:val="16"/>
        </w:rPr>
        <w:t xml:space="preserve">.[30] Segregation may be even greater in suburbs and more difficult to change. For example, in Louisiana, the white section of Baton Rouge has the highest median earnings ($32,631), the lowest percentage of adults without a high school diploma (8.8 percent) and the second highest life expectancy (77.3 years) in the state. This part of Baton Rouge is nearly 70 percent white, 23 percent African American, and 5 percent Latino. Yet the neighboring and predominantly African American part of Baton Rouge has the lowest median earnings ($16, 398), the third-lowest life expectancy (72.7 years), and its population is 88 percent African American, 9 percent white, and one percent Latino.[31] </w:t>
      </w:r>
      <w:r w:rsidRPr="00D7045C">
        <w:rPr>
          <w:rStyle w:val="Emphasis"/>
        </w:rPr>
        <w:t>Housing re-segregation also contributes to re-segregation of the nation’s schools, another key site of the reproduction of U.S. racial inequality</w:t>
      </w:r>
      <w:r w:rsidRPr="00D7045C">
        <w:rPr>
          <w:rStyle w:val="StyleUnderline"/>
        </w:rPr>
        <w:t>.</w:t>
      </w:r>
      <w:r w:rsidRPr="00D7045C">
        <w:rPr>
          <w:sz w:val="16"/>
        </w:rPr>
        <w:t xml:space="preserve"> Fifty years after the U.S. Supreme Court decided that school segregation is unconstitutional and “inherently unequal,” re-segregation of schools shows that “white students remain the most segregated from all other races in their schools. Whites on average attend schools where less than 20 percent of the students are from all other racial and ethnic groups combined. On average, blacks and Latinos attend schools with 53% to 55% students of their own group.” Gary Orfield concludes that “research consistently shows that segregated schools are usually isolated by both race and poverty, and offer vastly unequal educational opportunities.”[32] Gulf Southern states, which had made tremendous gains in educational integration in the 1980s, now are losing their leadership as the nation’s most integrated schools.[33] The Where and How of Whiteness </w:t>
      </w:r>
      <w:r w:rsidRPr="00D7045C">
        <w:rPr>
          <w:rStyle w:val="StyleUnderline"/>
        </w:rPr>
        <w:t xml:space="preserve">White Americans tend not to be aware of the chasm of spatial racism that Cardinal Francis George addresses in Dwell in My Love. If they are aware of it, whites tend to view the chasm as natural and normal. The problem, of course, is that there is nothing natural and normal about white physical, social, and moral separation from people of color. The problem of this chasm is that it has been created by, and contributes to, the inability of whites to understand or feel compassion for people of color, much less practice the solidarity called for by the Church. This inability is termed “social </w:t>
      </w:r>
      <w:r w:rsidRPr="00D7045C">
        <w:rPr>
          <w:rStyle w:val="StyleUnderline"/>
          <w:strike/>
        </w:rPr>
        <w:t>alexithymia</w:t>
      </w:r>
      <w:r w:rsidRPr="00D7045C">
        <w:rPr>
          <w:rStyle w:val="StyleUnderline"/>
        </w:rPr>
        <w:t xml:space="preserve">” by social scientists. </w:t>
      </w:r>
      <w:r w:rsidRPr="00D7045C">
        <w:rPr>
          <w:rStyle w:val="Emphasis"/>
        </w:rPr>
        <w:t xml:space="preserve">This “white frame of mind” has difficulty understanding where people of color are coming from and what the racialized experiences of people of color are like. Most simply put, social </w:t>
      </w:r>
      <w:r w:rsidRPr="00D7045C">
        <w:rPr>
          <w:rStyle w:val="Emphasis"/>
          <w:strike/>
        </w:rPr>
        <w:t>alexithymia</w:t>
      </w:r>
      <w:r w:rsidRPr="00D7045C">
        <w:rPr>
          <w:rStyle w:val="Emphasis"/>
        </w:rPr>
        <w:t xml:space="preserve"> is the “significant lack of cross-racial empathy.”[</w:t>
      </w:r>
      <w:r w:rsidRPr="00D7045C">
        <w:rPr>
          <w:sz w:val="16"/>
        </w:rPr>
        <w:t xml:space="preserve">34] </w:t>
      </w:r>
      <w:r w:rsidRPr="00D7045C">
        <w:rPr>
          <w:rStyle w:val="StyleUnderline"/>
        </w:rPr>
        <w:t>Lack of cross-racial empathy becomes apparent in the everyday assumptions by which whites live.[35] White “folk theory” or common sense knowledge takes things for granted as the way things are.</w:t>
      </w:r>
      <w:r w:rsidRPr="00D7045C">
        <w:rPr>
          <w:sz w:val="16"/>
        </w:rPr>
        <w:t xml:space="preserve"> Three key assumptions are held by white common sense thinking on race. </w:t>
      </w:r>
      <w:r w:rsidRPr="00D7045C">
        <w:rPr>
          <w:rStyle w:val="StyleUnderline"/>
        </w:rPr>
        <w:t>First, white folk theory holds races to be biologically valid</w:t>
      </w:r>
      <w:r w:rsidRPr="00D7045C">
        <w:rPr>
          <w:sz w:val="16"/>
        </w:rPr>
        <w:t xml:space="preserve">. This assumption persists, even though biological anthropologists and geneticists long ago demonstrated that there is only one race, the human race. </w:t>
      </w:r>
      <w:r w:rsidRPr="00D7045C">
        <w:rPr>
          <w:rStyle w:val="StyleUnderline"/>
        </w:rPr>
        <w:t xml:space="preserve">An example of how this nonscientific, white common sense assumption persists is found in the argument that racial intermarriage will erase racial difference and conflict. In other words, the common sense assumption advances a genetic solution to a non-genetic, social construction. </w:t>
      </w:r>
      <w:r w:rsidRPr="00D7045C">
        <w:rPr>
          <w:sz w:val="16"/>
        </w:rPr>
        <w:t xml:space="preserve">This erroneous biological view also persists in the “one drop rule,” which held that any trace of African ancestry made a person African American. Whites enforced the “one drop rule” during the Jim Crow period between 1865 and 1965 to prevent interracial marriage and to segregate whites from blacks legally, politically, educationally, and culturally. This “one drop rule” assumption can be seen in the way that Barack Obama was described as the “only black in the U.S. Senate” and the “first African American” president even though he describes himself as the son a white, Kansas mother and a Kenyan father. </w:t>
      </w:r>
      <w:r w:rsidRPr="00D7045C">
        <w:rPr>
          <w:rStyle w:val="StyleUnderline"/>
        </w:rPr>
        <w:t>A second assumption of white folk theory holds that racism is entirely a matter of individual belief and that the ignorance of this individual view can be corrected by education</w:t>
      </w:r>
      <w:r w:rsidRPr="00D7045C">
        <w:rPr>
          <w:sz w:val="16"/>
        </w:rPr>
        <w:t xml:space="preserve">. This view is commonly communicated in blog or newspaper opinion pieces that rightfully desire an end to racism and decry the use of racial epithets. </w:t>
      </w:r>
      <w:r w:rsidRPr="00D7045C">
        <w:rPr>
          <w:rStyle w:val="StyleUnderline"/>
        </w:rPr>
        <w:t xml:space="preserve">While the anti-racist intention is good, the commonly proposed solution of educating individuals who are ignorant is completely inadequate to the task of addressing the institutional and systemic racist practices. </w:t>
      </w:r>
      <w:r w:rsidRPr="00D7045C">
        <w:rPr>
          <w:sz w:val="16"/>
        </w:rPr>
        <w:t>Moreover, this individualist assumption fails to attend to the way that U.S. culture cultivates white folk theory of race. A November 20, 2009 op-ed article by a Louisiana State University senior in the New Orleans Times-Picayune is an example of the individualist assumption. The piece, entitled “Tackling Bigotry at Ole Miss, LSU, and Other SEC Schools,” rightly criticizes common racist talk, attitudes, and practices at South Eastern Conference (SEC) football games. However, like white folk theory, the major assumption of the op-ed is that “it’s unfortunate for the individuals ignorant enough to believe such behavior is ok.” After all, “hopefully,” white racism is not “in the majority.” Although the behavior widely persists in the institutional and cultural context of SEC football games</w:t>
      </w:r>
      <w:r w:rsidRPr="00D7045C">
        <w:rPr>
          <w:rStyle w:val="StyleUnderline"/>
        </w:rPr>
        <w:t>, the proposed solution is to educate individuals to overcome “intolerance,” ignoring how these beliefs and practices are rooted in U.S. culture</w:t>
      </w:r>
      <w:r w:rsidRPr="00D7045C">
        <w:rPr>
          <w:rStyle w:val="Emphasis"/>
        </w:rPr>
        <w:t>. A third key assumption of white folk theory is that prejudice is part of the human condition,</w:t>
      </w:r>
      <w:r w:rsidRPr="00D7045C">
        <w:rPr>
          <w:rStyle w:val="StyleUnderline"/>
        </w:rPr>
        <w:t xml:space="preserve"> a view that is commonly described in the statement that “all people prefer to be with their own kind.” </w:t>
      </w:r>
      <w:r w:rsidRPr="00D7045C">
        <w:rPr>
          <w:rStyle w:val="Emphasis"/>
        </w:rPr>
        <w:t>Instead of listening to the experience and wisdom of people of color, or interrogating the magnitude of white power, whites use this third assumption to focus not upon our own responsibility but to shift the onus to practices of the victims of racism.</w:t>
      </w:r>
      <w:r w:rsidRPr="00D7045C">
        <w:rPr>
          <w:sz w:val="16"/>
        </w:rPr>
        <w:t xml:space="preserve"> </w:t>
      </w:r>
      <w:r w:rsidRPr="00D7045C">
        <w:rPr>
          <w:rStyle w:val="StyleUnderline"/>
        </w:rPr>
        <w:t>For example, whites commonly point out that non-whites ‘prefer to be with each other.’ A stereotypical example of this point is the way that self-segregating seating occurs in school cafeterias. White folk theory blames segregation on students of color and treats white self-segregation on the same moral plane as students of color without analysis of the power issues at stake in the school and society.</w:t>
      </w:r>
      <w:r w:rsidRPr="00D7045C">
        <w:rPr>
          <w:sz w:val="16"/>
        </w:rPr>
        <w:t xml:space="preserve"> As the 20th century philosopher-theologian and Jesuit priest Bernard Lonergan understood, the inability of common sense knowledge to explain reality offers the opportunity to think critically and question how human relationships create de-humanizing social conditions. Lonergan argued that the key to intellectual and moral conversion away from the bias of folk theory is that “one has to listen to criticism and protest. One has to remain ready to learn from others.”[36] </w:t>
      </w:r>
    </w:p>
    <w:p w14:paraId="69960EC4" w14:textId="77777777" w:rsidR="005A4715" w:rsidRPr="00D7045C" w:rsidRDefault="005A4715" w:rsidP="005A4715">
      <w:pPr>
        <w:pStyle w:val="Heading4"/>
        <w:rPr>
          <w:rFonts w:cs="Times New Roman"/>
        </w:rPr>
      </w:pPr>
      <w:r w:rsidRPr="00D7045C">
        <w:rPr>
          <w:rFonts w:cs="Times New Roman"/>
        </w:rPr>
        <w:t xml:space="preserve">School segregation cements privileges of whiteness and enacts a public pedagogy of exclusion and desirability of segregation—desegregation and destruction of “white spaces” is an expression of new spatial imaginaries that shatters this </w:t>
      </w:r>
    </w:p>
    <w:p w14:paraId="3CC16034" w14:textId="77777777" w:rsidR="005A4715" w:rsidRPr="00D7045C" w:rsidRDefault="005A4715" w:rsidP="005A4715">
      <w:r w:rsidRPr="00D7045C">
        <w:rPr>
          <w:rStyle w:val="Style13ptBold"/>
        </w:rPr>
        <w:t>Lipsitz 11</w:t>
      </w:r>
      <w:r w:rsidRPr="00D7045C">
        <w:t xml:space="preserve"> (George, PhD, prof of American studies and black studies at UC Santa Barbara, “How Racism Takes Place,” p.14-16) KC</w:t>
      </w:r>
    </w:p>
    <w:p w14:paraId="61946D0D" w14:textId="77777777" w:rsidR="005A4715" w:rsidRPr="00D7045C" w:rsidRDefault="005A4715" w:rsidP="005A4715">
      <w:pPr>
        <w:rPr>
          <w:sz w:val="16"/>
        </w:rPr>
      </w:pPr>
      <w:r w:rsidRPr="00D7045C">
        <w:rPr>
          <w:sz w:val="16"/>
        </w:rPr>
        <w:t xml:space="preserve">Understanding the causes and consequences of the white spatial imaginary holds the key to understanding what happened to the dreams of the civil rights movement. Of course, the democratic and egalitarian insurgencies of the 1960s won some significant victories. It matters that the supreme court decided that segregated schools violated the constitutional rights of black children in the 1954 brown case. Opportunities have been opened up for millions of people of all races, genders, sexual identities, and degrees of ability and disability because the 1964 civil rights act banned discrimination in employment. Our democracy is stronger because the 1965 voting rights act prohibited practices designed to deny the franchise to members of aggrieved groups. In the face of the structural weaknesses written into the 1968 fair housing act, activist citizen groups forced to function as private attorneys general have established a body of case law and administrative rulings that now make it possible for previously excluded individuals and groups to accumulate assets that appreciate in value and can be passed down to future generations. The election of barack obama in 2008 as the first african american president was a product of many forces, but prominent among them were the changes in the national racial order created by decades of legislation, litigation, education, and agitation.51 yet these victories have been partial, incomplete, and even ephemeral. Racial justice remains elusive. Passing laws that proclaim equality does not produce practices that instantiate that equality in everyday life. In a characteristically brilliant discussion, critical race theorist kimberle crenshaw explains how this inversion of priorities has come about. She shows that a determined and deliberate repudiation of the aims and ideals of the civil rights movement has become the dominant force in u.s. Culture and politics. Fueled initially by massive white resistance to school desegregation in the north and south, the era of repudiation took shape through an extended series of supreme court decisions, legislative initiatives, and actions by the executive branch of government. Supported by leaders of both political parties and cooperative judges, these actions dismantled or undermined many of the key policies created during the civil rights era, such as school desegregation and affirmative action. At the same time, municipalities, states, and the federal government routinely refuse to enforce fair-employment and fairhousing laws. </w:t>
      </w:r>
      <w:r w:rsidRPr="00D7045C">
        <w:rPr>
          <w:rStyle w:val="StyleUnderline"/>
        </w:rPr>
        <w:t>In order to protect and preserve the traditional privileges of whiteness, leaders across the political spectrum have increasingly embraced the cynical strategy of “color blindness neutrality.” They argue that recognizing race for the purposes of redressing racial injustices violates law and morality as much as the explicitly race-based discrimination that made it necessary to pass civil rights laws in the first place.</w:t>
      </w:r>
      <w:r w:rsidRPr="00D7045C">
        <w:rPr>
          <w:sz w:val="16"/>
        </w:rPr>
        <w:t xml:space="preserve"> </w:t>
      </w:r>
      <w:r w:rsidRPr="00D7045C">
        <w:rPr>
          <w:rStyle w:val="StyleUnderline"/>
        </w:rPr>
        <w:t>In all areas of u.s. Life, we now confront the presumption that color-bound injustices require color-blind race-neutral remedies, that racebased problems should be solved by race-blind neutral remedies</w:t>
      </w:r>
      <w:r w:rsidRPr="00D7045C">
        <w:rPr>
          <w:sz w:val="16"/>
        </w:rPr>
        <w:t xml:space="preserve">.52 as a result, more than four decades after the civil rights activism of the 1960s, and nearly one hundred and fifty years after the abolition of slavery, race remains the most important single variable determining opportunities and life chances in the united states. </w:t>
      </w:r>
      <w:r w:rsidRPr="00D7045C">
        <w:rPr>
          <w:rStyle w:val="StyleUnderline"/>
        </w:rPr>
        <w:t>Nowhere is this more evident than in the racialization of space. Seemingly race-neutral urban sites contain hidden racial assumptions and imperatives.</w:t>
      </w:r>
      <w:r w:rsidRPr="00D7045C">
        <w:rPr>
          <w:sz w:val="16"/>
        </w:rPr>
        <w:t xml:space="preserve"> </w:t>
      </w:r>
      <w:r w:rsidRPr="00D7045C">
        <w:rPr>
          <w:rStyle w:val="StyleUnderline"/>
        </w:rPr>
        <w:t>The design, construction, administration, financing, and policing of</w:t>
      </w:r>
      <w:r w:rsidRPr="00D7045C">
        <w:rPr>
          <w:sz w:val="16"/>
        </w:rPr>
        <w:t xml:space="preserve"> shopping malls, sports arenas, </w:t>
      </w:r>
      <w:r w:rsidRPr="00D7045C">
        <w:rPr>
          <w:rStyle w:val="StyleUnderline"/>
        </w:rPr>
        <w:t>schools,</w:t>
      </w:r>
      <w:r w:rsidRPr="00D7045C">
        <w:rPr>
          <w:sz w:val="16"/>
        </w:rPr>
        <w:t xml:space="preserve"> highways, and transportation corridors </w:t>
      </w:r>
      <w:r w:rsidRPr="00D7045C">
        <w:rPr>
          <w:rStyle w:val="StyleUnderline"/>
        </w:rPr>
        <w:t>follow the racial logics of hostile privatism and defensive localism</w:t>
      </w:r>
      <w:r w:rsidRPr="00D7045C">
        <w:rPr>
          <w:sz w:val="16"/>
        </w:rPr>
        <w:t xml:space="preserve">. </w:t>
      </w:r>
      <w:r w:rsidRPr="00D7045C">
        <w:rPr>
          <w:rStyle w:val="StyleUnderline"/>
        </w:rPr>
        <w:t>They loot public resources for private gain, channeling massive subsidies and tax breaks toward wealthy corporations and investors while diminishing city services and imposing new burdens on renters and owners of inexpensive property.</w:t>
      </w:r>
      <w:r w:rsidRPr="00D7045C">
        <w:rPr>
          <w:sz w:val="16"/>
        </w:rPr>
        <w:t xml:space="preserve"> </w:t>
      </w:r>
      <w:r w:rsidRPr="00D7045C">
        <w:rPr>
          <w:rStyle w:val="Emphasis"/>
        </w:rPr>
        <w:t>These spaces make racial segregation seem desirable, natural, necessary, and inevitable. Even more important, these sites serve to produce and sustain racial meanings; they enact a public pedagogy about who belongs where and about what makes certain spaces desirable.</w:t>
      </w:r>
      <w:r w:rsidRPr="00D7045C">
        <w:rPr>
          <w:sz w:val="16"/>
        </w:rPr>
        <w:t xml:space="preserve"> </w:t>
      </w:r>
      <w:r w:rsidRPr="00D7045C">
        <w:rPr>
          <w:rStyle w:val="StyleUnderline"/>
        </w:rPr>
        <w:t>Perhaps the most destructive effect of the white spatial imaginary is its role as a crucible for</w:t>
      </w:r>
      <w:r w:rsidRPr="00D7045C">
        <w:rPr>
          <w:sz w:val="16"/>
        </w:rPr>
        <w:t xml:space="preserve"> the arguments i referenced at the beginning of this introduction, </w:t>
      </w:r>
      <w:r w:rsidRPr="00D7045C">
        <w:rPr>
          <w:rStyle w:val="StyleUnderline"/>
        </w:rPr>
        <w:t>the idea that black people have shown themselves unfit for freedom by failing to take advantage of the opportunities afforded by civil rights laws.</w:t>
      </w:r>
      <w:r w:rsidRPr="00D7045C">
        <w:rPr>
          <w:sz w:val="16"/>
        </w:rPr>
        <w:t xml:space="preserve"> </w:t>
      </w:r>
      <w:r w:rsidRPr="00D7045C">
        <w:rPr>
          <w:rStyle w:val="Emphasis"/>
        </w:rPr>
        <w:t xml:space="preserve">Today’s segregated schools, neighborhoods, and workplaces produce white people who know very little about blacks and even less about themselves. </w:t>
      </w:r>
      <w:r w:rsidRPr="00D7045C">
        <w:rPr>
          <w:sz w:val="16"/>
        </w:rPr>
        <w:t xml:space="preserve">They certainly know next to nothing about the actual history of the civil rights movement or the beliefs of dr. King. Today, people who profit tremendously from the privileges that accrue to them because of their color piously cite dr. King’s dream that one day his children would be judged by the content of their character rather than by the color of their skin. They cite this phrase in everyday conversation, public policy debates, and even supreme court decisions as justification for opposition to affirmative action, school desegregation, fair housing, fair hiring, and fair lending. They tell us that the way to get beyond race is to stop mentioning that racism exists. They do not know that dr. King argued that “giving a man his due may often mean giving him special treatment,” that he wrote that “a society that has done something special against the negro for hundreds of years must do something special for him, in order to equip him to compete on a just and equal basis.”53 they do not know that by 1967 dr. King talked less about his dream and more about how important it was for white america to wake up.54 the people who congratulate their country and themselves on the passage of civil rights laws in the 1960s have created a rhetorical martin luther king to serve their interests who bears little resemblance to the actual historical martin luther king. They imagine that white benevolence in the 1960s enabled dr. King and his followers to attain their goals. They do not know that in his last book, published the year before he was murdered, dr. King charged that “white america was ready to demand that the negro should be spared the lash of brutality and coarse degradation but had never truly been committed to helping him out of poverty, exploitation or all forms of discrimination.”55 focusing directly on the content of their character, dr. King found white americans wanting. “they are uneasy with injustice,” he observed, “but unwilling yet to pay a significant price to eradicate it.”56 dr. King did not view the passage of civil rights laws as the fulfillment of his dream. Instead, he saw in them a colossal failure of will, of nerve, of integrity. He charged that “after writing piecemeal and incomplete legislation and proclaiming its historic importance in magnificent prose, the american government left the negro to make the unworkable work.”57 king saw the laws passed by congress as fatally flawed, designed deliberately to be inadequate and destined never to be fully enforced. Rather than resolving racial inequalities responsibly, these laws enabled whites to pretend that the problem had been solved. They catered to white vanity but did little to protect black humanity. As king complained in 1967, every civil rights law is still substantially more dishonored than honored. School desegregation is 90 percent unimplemented across the land; the free exercise of the franchise is the exception rather than the rule in the south; open occupancy laws theoretically apply to population centers embracing tens of millions, but grim ghettos contradict the fine language of the legislation. Despite the mandates of law, equal employment still remains a distant dream. The conditions we face today are eerily similar to the realities dr. King described more than four decades ago. Civil rights laws remain largely unenforced. Affirmative obligations to promote fair housing are consistently evaded by cities, counties, and states. School segregation is reverting to the levels of the 1970s. Voting rights are routinely compromised by gerrymandering, by requirements for photo identification at polling places, by purging people who move frequently from voting rolls, and by disenfranchising ex-offenders. Moreover, judges assiduously protect white privilege by treating civil rights remedies as more egregious violations of individual rights than the forms of direct discrimination that made them necessary in the first place. Yet dr. King was not only a critic of the white spatial imaginary; he was also a champion of the black spatial imaginary. He believed that it contained important tools for building a more decent, humane, and just society, not just for black people but for everyone. In the course of sustained struggle, dr. King came to understand that white supremacy was not an aberrant practice in an otherwise just society, but rather one node in a larger network of misplaced priorities. Like his ancestors who emerged from slavery to forge abolition democracy in the nineteenth century, dr. King believed that it was not enough merely to remove negative racist obstacles in the way of blacks, but instead that it was necessary to create new democratic practices and institutions. Calling for “a radical restructuring of the architecture of american society,” king specifically rejected the idea that the purpose of the civil rights movement was to make blacks exactly like whites.59 instead, the goal was to transform both blacks and whites (and everyone else) into new kinds of humans, into people capable of creating new racial and spatial relations. “let us, therefore, not think of our movement,” he urged, “as one that seeks to integrate the negro into the existing values of american society.” Instead, king asked his followers to “be those creative dissenters who will call our beloved nation to a higher destiny, to a new plateau of compassion, to a more noble expression of humaneness.”60 king perceived part of the race problem and its solution as spatial. “the suburbs are white nooses around the black necks of the cities,” he wrote. “housing deteriorates in central cities; urban renewal has been negro removal and has benefited big merchants and real estate interests; and suburbs expand with little regard for what happens to the rest of america.”61 king complained that “the federal government subsidizes the nonpoor twice as much as the poor when we include various forms of subsidies such as middle-income public housing, tax deductions for mortgage interest and real estate taxes.”62 he called for the creation and enforcement of fair-housing laws, desegregation of neighborhoods, an end to homelessness, and a guarantee that all housing would meet minimum standards of adequacy.63 </w:t>
      </w:r>
      <w:r w:rsidRPr="00D7045C">
        <w:rPr>
          <w:rStyle w:val="StyleUnderline"/>
        </w:rPr>
        <w:t>yet king believed that the nation’s racial and spatial problems had already started to produce racial and spatial solutions. He saw ideas and actions emanating from black spaces as tremendously valuable to the nation at large.</w:t>
      </w:r>
      <w:r w:rsidRPr="00D7045C">
        <w:rPr>
          <w:sz w:val="16"/>
        </w:rPr>
        <w:t xml:space="preserve"> </w:t>
      </w:r>
      <w:r w:rsidRPr="00D7045C">
        <w:rPr>
          <w:rStyle w:val="StyleUnderline"/>
        </w:rPr>
        <w:t xml:space="preserve">In montgomery in 1955 and 1956, black people boycotted the buses and walked to work on the sidewalks. They </w:t>
      </w:r>
      <w:r w:rsidRPr="00D7045C">
        <w:rPr>
          <w:sz w:val="16"/>
        </w:rPr>
        <w:t>conducted lengthy public mass meetings that</w:t>
      </w:r>
      <w:r w:rsidRPr="00D7045C">
        <w:rPr>
          <w:rStyle w:val="StyleUnderline"/>
        </w:rPr>
        <w:t xml:space="preserve"> turned churches into sites for deliberative talk, face-to-face decision making, and collective mobilization. </w:t>
      </w:r>
      <w:r w:rsidRPr="00D7045C">
        <w:rPr>
          <w:sz w:val="16"/>
        </w:rPr>
        <w:t xml:space="preserve">Masses in motion on the streets of birmingham, </w:t>
      </w:r>
      <w:r w:rsidRPr="00D7045C">
        <w:rPr>
          <w:rStyle w:val="StyleUnderline"/>
        </w:rPr>
        <w:t xml:space="preserve">students staging sit-ins a lunch counters throughout the south, freedom riders transforming buses and bus stations into new democratic spaces, marchers protesting racist violence on rural highways in mississippi or pushing for voting rights on the road from selma to montgomery </w:t>
      </w:r>
      <w:r w:rsidRPr="00D7045C">
        <w:rPr>
          <w:rStyle w:val="Emphasis"/>
        </w:rPr>
        <w:t>expressed new spatial and racial imaginaries.</w:t>
      </w:r>
      <w:r w:rsidRPr="00D7045C">
        <w:rPr>
          <w:sz w:val="16"/>
        </w:rPr>
        <w:t xml:space="preserve"> King recognized the importance of the fact that these actions took place in actual places, that they enacted in real time the social relations that dreamers could only envision. “by taking to the streets, and there giving practical lessons in democracy and its defaults,” king asserted, “negroes have decisively influenced white thought.”64 more than any individual reform, the great achievement of the civil rights movement was the creation of blacks as an aggrieved and insurgent people dedicated to the democratic transformation of the nation and the world. Up to the day he died, king kept insisting on the need for direct action. For him, action mattered precisely because it did not depend solely on moral suasion, but instead strengthened ethical appeals by supporting them with what dr. King called “constructive coercive power.”65 consistent with his oft-repeated injunction that in order to comfort the afflicted it was often necessary to afflict the comfortable, king also believed that collective action in public contained powerful potential for expanding democracy. Mass participation required critiques and demands capable of involving the broadest possible range of participants, countered tendencies toward autocracy and bureaucracy by generating the development of new leaders among the rank and file, and kept leaders accountable to their constituents. King believed in participatory democracy as both a means and an end. As he explained, “no great victories are won in a war for the transformation of a whole people without total participation. Less than this will not create a new society; it will only evoke more sophisticated token amelioration.”66 i have dealt with the ideas of dr. King at length in this introduction because his good name is often invoked to support and justify policies he certainly would have opposed. The statements that he made on these subjects are a matter of public record. If we do not know his ideas, it is because time and time again we have been lied to about them. But there is more at stake here than the personal reputation of one national icon, even one as brilliant and visionary as dr. King. The ideas that king championed were not his alone. They emerged from and spoke for a black spatial imaginary created in dispersed and diffuse sites by a broad range of activists, artists, intellectuals, and ordinary citizens. </w:t>
      </w:r>
    </w:p>
    <w:p w14:paraId="1628747A" w14:textId="77777777" w:rsidR="005A4715" w:rsidRPr="00D7045C" w:rsidRDefault="005A4715" w:rsidP="005A4715">
      <w:pPr>
        <w:pStyle w:val="Heading4"/>
        <w:rPr>
          <w:rFonts w:cs="Times New Roman"/>
        </w:rPr>
      </w:pPr>
      <w:r w:rsidRPr="00D7045C">
        <w:rPr>
          <w:rFonts w:cs="Times New Roman"/>
        </w:rPr>
        <w:t xml:space="preserve">Segregated schooling has a plethora of impacts – fragmentation ingrains psychological biases and creates an achievement gap between white and non-white communities </w:t>
      </w:r>
    </w:p>
    <w:p w14:paraId="29091D40" w14:textId="77777777" w:rsidR="005A4715" w:rsidRPr="00D7045C" w:rsidRDefault="005A4715" w:rsidP="005A4715">
      <w:r w:rsidRPr="00D7045C">
        <w:t xml:space="preserve"> </w:t>
      </w:r>
      <w:r w:rsidRPr="00D7045C">
        <w:rPr>
          <w:rStyle w:val="Style13ptBold"/>
        </w:rPr>
        <w:t>Ayscue &amp; Orfield 14</w:t>
      </w:r>
      <w:r w:rsidRPr="00D7045C">
        <w:t xml:space="preserve"> (Jennifer, The Civil Rights Project/Proyecto Derechos Civiles at UCLA; Gary, American professor of education, law, political science and urban planning at the UCLA Graduate School of Education, “School District Lines Stratify Educational Opportunity by Race and Poverty” </w:t>
      </w:r>
      <w:hyperlink r:id="rId25" w:history="1">
        <w:r w:rsidRPr="00D7045C">
          <w:rPr>
            <w:rStyle w:val="Hyperlink"/>
          </w:rPr>
          <w:t>https://link.springer.com/article/10.1007%2Fs12552-014-9135-0</w:t>
        </w:r>
      </w:hyperlink>
      <w:r w:rsidRPr="00D7045C">
        <w:t>) mlm</w:t>
      </w:r>
    </w:p>
    <w:p w14:paraId="5DB3EB2D" w14:textId="77777777" w:rsidR="005A4715" w:rsidRPr="00D7045C" w:rsidRDefault="005A4715" w:rsidP="005A4715">
      <w:pPr>
        <w:rPr>
          <w:sz w:val="16"/>
        </w:rPr>
      </w:pPr>
      <w:r w:rsidRPr="00D7045C">
        <w:rPr>
          <w:sz w:val="16"/>
        </w:rPr>
        <w:t xml:space="preserve">Because of the ways in which school district structures are related to </w:t>
      </w:r>
      <w:r w:rsidRPr="00D7045C">
        <w:rPr>
          <w:u w:val="single"/>
        </w:rPr>
        <w:t>segregation</w:t>
      </w:r>
      <w:r w:rsidRPr="00D7045C">
        <w:rPr>
          <w:sz w:val="16"/>
        </w:rPr>
        <w:t xml:space="preserve">, these </w:t>
      </w:r>
      <w:r w:rsidRPr="00D7045C">
        <w:rPr>
          <w:u w:val="single"/>
        </w:rPr>
        <w:t xml:space="preserve">structures have important educational consequences for students. </w:t>
      </w:r>
      <w:r w:rsidRPr="00D7045C">
        <w:rPr>
          <w:sz w:val="16"/>
        </w:rPr>
        <w:t xml:space="preserve">Decades of </w:t>
      </w:r>
      <w:r w:rsidRPr="00D7045C">
        <w:rPr>
          <w:u w:val="single"/>
        </w:rPr>
        <w:t>social science research demonstrate that racially desegregated schools have a variety of benefits for students, including improved academic outcomes, improved near-term intergroup relations, and advantageous long-term effects</w:t>
      </w:r>
      <w:r w:rsidRPr="00D7045C">
        <w:rPr>
          <w:sz w:val="16"/>
        </w:rPr>
        <w:t xml:space="preserve">. Conversely, </w:t>
      </w:r>
      <w:r w:rsidRPr="00D7045C">
        <w:rPr>
          <w:u w:val="single"/>
        </w:rPr>
        <w:t>segregated schools are systematically linked to unequal educational opportunities and outcomes.</w:t>
      </w:r>
      <w:r w:rsidRPr="00D7045C">
        <w:rPr>
          <w:sz w:val="16"/>
        </w:rPr>
        <w:t xml:space="preserve"> Benefits of Desegregation The </w:t>
      </w:r>
      <w:r w:rsidRPr="00D7045C">
        <w:rPr>
          <w:u w:val="single"/>
        </w:rPr>
        <w:t>academic effects of racially integrated learning environments are positive for students of all races</w:t>
      </w:r>
      <w:r w:rsidRPr="00D7045C">
        <w:rPr>
          <w:sz w:val="16"/>
        </w:rPr>
        <w:t xml:space="preserve">. </w:t>
      </w:r>
      <w:r w:rsidRPr="00D7045C">
        <w:rPr>
          <w:u w:val="single"/>
        </w:rPr>
        <w:t>Students of color achieve at higher levels in racially diverse schools than in segregated school</w:t>
      </w:r>
      <w:r w:rsidRPr="00D7045C">
        <w:rPr>
          <w:sz w:val="16"/>
        </w:rPr>
        <w:t xml:space="preserve">s (Borman et al. 2004; Hallinan 1998). </w:t>
      </w:r>
      <w:r w:rsidRPr="00D7045C">
        <w:rPr>
          <w:u w:val="single"/>
        </w:rPr>
        <w:t>For white students</w:t>
      </w:r>
      <w:r w:rsidRPr="00D7045C">
        <w:rPr>
          <w:sz w:val="16"/>
        </w:rPr>
        <w:t xml:space="preserve"> attending racially diverse schools, </w:t>
      </w:r>
      <w:r w:rsidRPr="00D7045C">
        <w:rPr>
          <w:u w:val="single"/>
        </w:rPr>
        <w:t>there is no corresponding detrimental impact on academic achievement</w:t>
      </w:r>
      <w:r w:rsidRPr="00D7045C">
        <w:rPr>
          <w:sz w:val="16"/>
        </w:rPr>
        <w:t xml:space="preserve"> (Crain and Mahard 1983). Based on intergroup contact theory, Pettigrew and Tropp’s (2006) meta-analysis of more than 500 studies confirms that </w:t>
      </w:r>
      <w:r w:rsidRPr="00D7045C">
        <w:rPr>
          <w:u w:val="single"/>
        </w:rPr>
        <w:t>increased contact between members of different groups can have positive impacts on all groups by reducing prejudice, negative attitudes, and stereotypes,</w:t>
      </w:r>
      <w:r w:rsidRPr="00D7045C">
        <w:rPr>
          <w:sz w:val="16"/>
        </w:rPr>
        <w:t xml:space="preserve"> while at the same time increasing friendships among members of different groups. In examining school settings in particular, Tropp and Prenovost (2008) found that </w:t>
      </w:r>
      <w:r w:rsidRPr="00D7045C">
        <w:rPr>
          <w:u w:val="single"/>
        </w:rPr>
        <w:t>intergroup contact theory operates similarly in schools as it does in other environments</w:t>
      </w:r>
      <w:r w:rsidRPr="00D7045C">
        <w:rPr>
          <w:sz w:val="16"/>
        </w:rPr>
        <w:t xml:space="preserve">. </w:t>
      </w:r>
      <w:r w:rsidRPr="00D7045C">
        <w:rPr>
          <w:u w:val="single"/>
        </w:rPr>
        <w:t>These positive impacts are enhanced when four optimal conditions exist: equal status within the contact situation, cooperation toward mutually valued goals, opportunity for people to get to know each other as individuals, and the support of relevant authorities</w:t>
      </w:r>
      <w:r w:rsidRPr="00D7045C">
        <w:rPr>
          <w:sz w:val="16"/>
        </w:rPr>
        <w:t xml:space="preserve"> (Allport 1954). Further, desegregated schooling has long-term effects. Research based on perpetuation theory shows that segregation repeats itself across different stages of life. </w:t>
      </w:r>
      <w:r w:rsidRPr="00D7045C">
        <w:rPr>
          <w:u w:val="single"/>
        </w:rPr>
        <w:t>When individuals have early and sustained experiences in desegregated schools, they are more likely to live and work in desegregated environments later in life</w:t>
      </w:r>
      <w:r w:rsidRPr="00D7045C">
        <w:rPr>
          <w:sz w:val="16"/>
        </w:rPr>
        <w:t xml:space="preserve"> (Braddock and McPartland 1989; Wells and Crain 1994). Racially diverse schools are beneficial not only to individuals but also to communities and society. In the long term, students who attended integrated schools have high levels of civic engagement (Kurlaender and Yun 2005). These benefits of diverse schools provide the foundation for social cohesion in multiethnic, democratic societies, such as the USA (Mickelson and Nkomo 2012). Harms of Segregation On the other hand, </w:t>
      </w:r>
      <w:r w:rsidRPr="00D7045C">
        <w:rPr>
          <w:u w:val="single"/>
        </w:rPr>
        <w:t>segregated, predominantly nonwhite schools tend to be schools of concentrated poverty that are systematically linked to unequal educational opportunities and outcomes</w:t>
      </w:r>
      <w:r w:rsidRPr="00D7045C">
        <w:rPr>
          <w:sz w:val="16"/>
        </w:rPr>
        <w:t xml:space="preserve"> (Orfield and Ee 2014; Orfield and Lee 2005). </w:t>
      </w:r>
      <w:r w:rsidRPr="00D7045C">
        <w:rPr>
          <w:u w:val="single"/>
        </w:rPr>
        <w:t>Opportunities for students at non-white segregated schools are often limited by a variety of insufficient resources. Segregated schools tend to have fewer experienced and less qualified teachers</w:t>
      </w:r>
      <w:r w:rsidRPr="00D7045C">
        <w:rPr>
          <w:sz w:val="16"/>
        </w:rPr>
        <w:t xml:space="preserve"> (Clotfelter et al. 2005; Jackson 2009) as well as high levels of teacher turnover (Clotfelter et al. 2010). In addition, the student enrollment at segregated schools is less stable (Rumberger 2003). Segregated schools tend to have inadequate facilities and learning materials as well as fewer curricular options, such as advanced placement courses (Yun and Moreno 2006). Consequently, </w:t>
      </w:r>
      <w:r w:rsidRPr="00D7045C">
        <w:rPr>
          <w:u w:val="single"/>
        </w:rPr>
        <w:t>it is not surprising that the outcomes for students who attend non-white segregated schools are worse than for students who attend desegregated schools, including lower academic performance (</w:t>
      </w:r>
      <w:r w:rsidRPr="00D7045C">
        <w:rPr>
          <w:sz w:val="16"/>
        </w:rPr>
        <w:t xml:space="preserve">Mickelson et al. 2013; Mickelson and Heath 1999) </w:t>
      </w:r>
      <w:r w:rsidRPr="00D7045C">
        <w:rPr>
          <w:u w:val="single"/>
        </w:rPr>
        <w:t>and higher dropout rates</w:t>
      </w:r>
      <w:r w:rsidRPr="00D7045C">
        <w:rPr>
          <w:sz w:val="16"/>
        </w:rPr>
        <w:t xml:space="preserve"> (Balfanz and Legters 2004; Swanson 2004). This study explores the relationship between fragmentation—the degree to which a metropolitan area is divided into many separate school districts—and segregation by race and poverty. We hypothesize that higher levels of fragmentation will be associated with higher levels of segregation.</w:t>
      </w:r>
    </w:p>
    <w:p w14:paraId="5A520FC3" w14:textId="77777777" w:rsidR="00F61640" w:rsidRPr="00D7045C" w:rsidRDefault="00F61640" w:rsidP="00F61640">
      <w:pPr>
        <w:pStyle w:val="Heading4"/>
        <w:rPr>
          <w:rFonts w:cs="Times New Roman"/>
        </w:rPr>
      </w:pPr>
      <w:r w:rsidRPr="00D7045C">
        <w:rPr>
          <w:rFonts w:cs="Times New Roman"/>
        </w:rPr>
        <w:t>School deterioration decreases community moral and hurts education involvement – reform is necessary</w:t>
      </w:r>
    </w:p>
    <w:p w14:paraId="193393B1" w14:textId="77777777" w:rsidR="00F61640" w:rsidRPr="00D7045C" w:rsidRDefault="00F61640" w:rsidP="00F61640">
      <w:r w:rsidRPr="00D7045C">
        <w:rPr>
          <w:rStyle w:val="Style13ptBold"/>
        </w:rPr>
        <w:t>Jenkins 14</w:t>
      </w:r>
      <w:r w:rsidRPr="00D7045C">
        <w:t xml:space="preserve"> (Daisy, Bachelor’s and Masters’ degrees in communication from the University of Hawaii and writer for The Root, August 20 2014, “Did School Integration Fail Black Children?,” American Renaissance, </w:t>
      </w:r>
      <w:hyperlink r:id="rId26" w:history="1">
        <w:r w:rsidRPr="00D7045C">
          <w:rPr>
            <w:rStyle w:val="Hyperlink"/>
          </w:rPr>
          <w:t>https://www.amren.com/news/2014/08/did-school-integration-fail-black-children/)</w:t>
        </w:r>
      </w:hyperlink>
      <w:r w:rsidRPr="00D7045C">
        <w:t xml:space="preserve"> KVA</w:t>
      </w:r>
    </w:p>
    <w:p w14:paraId="6AB5BDB2" w14:textId="77777777" w:rsidR="00F61640" w:rsidRPr="00D7045C" w:rsidRDefault="00F61640" w:rsidP="00F61640">
      <w:pPr>
        <w:rPr>
          <w:rStyle w:val="StyleUnderline"/>
        </w:rPr>
      </w:pPr>
      <w:r w:rsidRPr="00D7045C">
        <w:rPr>
          <w:rStyle w:val="StyleUnderline"/>
          <w:lang w:eastAsia="zh-CN"/>
        </w:rPr>
        <w:t>The reality is</w:t>
      </w:r>
      <w:r w:rsidRPr="00D7045C">
        <w:rPr>
          <w:sz w:val="16"/>
          <w:szCs w:val="25"/>
          <w:lang w:eastAsia="zh-CN"/>
        </w:rPr>
        <w:t xml:space="preserve"> that </w:t>
      </w:r>
      <w:r w:rsidRPr="00D7045C">
        <w:rPr>
          <w:rStyle w:val="StyleUnderline"/>
          <w:lang w:eastAsia="zh-CN"/>
        </w:rPr>
        <w:t>Black families faced heavier burdens with the desegregation mandate than Whites.</w:t>
      </w:r>
      <w:r w:rsidRPr="00D7045C">
        <w:rPr>
          <w:sz w:val="16"/>
          <w:szCs w:val="25"/>
          <w:lang w:eastAsia="zh-CN"/>
        </w:rPr>
        <w:t xml:space="preserve"> Black children spent </w:t>
      </w:r>
      <w:r w:rsidRPr="00D7045C">
        <w:rPr>
          <w:rStyle w:val="Emphasis"/>
          <w:lang w:eastAsia="zh-CN"/>
        </w:rPr>
        <w:t>more time commuting, Black schools were closed to make desegregation more convenient for whites (and to prevent their flight to the suburbs or private schools) and Black teachers and principals were fired when White and Black schools were merged</w:t>
      </w:r>
      <w:r w:rsidRPr="00D7045C">
        <w:rPr>
          <w:sz w:val="16"/>
          <w:szCs w:val="25"/>
          <w:lang w:eastAsia="zh-CN"/>
        </w:rPr>
        <w:t xml:space="preserve">. Estimates show that more than </w:t>
      </w:r>
      <w:r w:rsidRPr="00D7045C">
        <w:rPr>
          <w:rStyle w:val="StyleUnderline"/>
          <w:lang w:eastAsia="zh-CN"/>
        </w:rPr>
        <w:t>82,000 Black teachers provided instruction to a Black student population numbering around 2 million in 1954. Within a span of 10 years, around 40,000 Black teachers lost their jobs</w:t>
      </w:r>
      <w:r w:rsidRPr="00D7045C">
        <w:rPr>
          <w:sz w:val="16"/>
          <w:szCs w:val="25"/>
          <w:lang w:eastAsia="zh-CN"/>
        </w:rPr>
        <w:t xml:space="preserve">. Ninety percent of Black principals lost their jobs in 11 Southern states. </w:t>
      </w:r>
      <w:r w:rsidRPr="00D7045C">
        <w:rPr>
          <w:rStyle w:val="Emphasis"/>
          <w:lang w:eastAsia="zh-CN"/>
        </w:rPr>
        <w:t xml:space="preserve">Today, increased public school closings across the nation disproportionately impact Black, </w:t>
      </w:r>
      <w:r w:rsidRPr="00D7045C">
        <w:rPr>
          <w:rStyle w:val="Emphasis"/>
          <w:strike/>
          <w:lang w:eastAsia="zh-CN"/>
        </w:rPr>
        <w:t xml:space="preserve">Latino </w:t>
      </w:r>
      <w:r w:rsidRPr="00D7045C">
        <w:rPr>
          <w:rStyle w:val="Emphasis"/>
          <w:lang w:eastAsia="zh-CN"/>
        </w:rPr>
        <w:t>[latinx]and poor students who lose their neighborhood schools.</w:t>
      </w:r>
      <w:r w:rsidRPr="00D7045C">
        <w:rPr>
          <w:sz w:val="16"/>
          <w:szCs w:val="25"/>
          <w:lang w:eastAsia="zh-CN"/>
        </w:rPr>
        <w:t xml:space="preserve"> </w:t>
      </w:r>
      <w:r w:rsidRPr="00D7045C">
        <w:rPr>
          <w:rStyle w:val="StyleUnderline"/>
          <w:lang w:eastAsia="zh-CN"/>
        </w:rPr>
        <w:t>Eighty-eight percent of the school closings in Chicago affect Black students</w:t>
      </w:r>
      <w:r w:rsidRPr="00D7045C">
        <w:rPr>
          <w:sz w:val="16"/>
          <w:szCs w:val="25"/>
          <w:lang w:eastAsia="zh-CN"/>
        </w:rPr>
        <w:t xml:space="preserve">. The decimation of Black educators has had a long-lasting impact. A study by the National Center for Education Statistics found that among 3.3 million teachers in American public elementary and secondary schools in 2012–where minority students are quickly becoming the majority–they were 82 percent White, 8 percent Hispanic, 7 percent Black and about 2 percent Asian. </w:t>
      </w:r>
      <w:r w:rsidRPr="00D7045C">
        <w:rPr>
          <w:rStyle w:val="StyleUnderline"/>
          <w:lang w:eastAsia="zh-CN"/>
        </w:rPr>
        <w:t>The loss of Black teachers means that many students have lost contact with their most impactful role models</w:t>
      </w:r>
      <w:r w:rsidRPr="00D7045C">
        <w:rPr>
          <w:sz w:val="16"/>
          <w:szCs w:val="25"/>
          <w:lang w:eastAsia="zh-CN"/>
        </w:rPr>
        <w:t>. As black educator Kevin Gilbert told the Associated Press, “</w:t>
      </w:r>
      <w:r w:rsidRPr="00D7045C">
        <w:rPr>
          <w:rStyle w:val="Emphasis"/>
          <w:lang w:eastAsia="zh-CN"/>
        </w:rPr>
        <w:t>Nothing can help motivate our students more than to see success standing right in front of them.”</w:t>
      </w:r>
      <w:r w:rsidRPr="00D7045C">
        <w:rPr>
          <w:rStyle w:val="Emphasis"/>
        </w:rPr>
        <w:t xml:space="preserve"> </w:t>
      </w:r>
      <w:r w:rsidRPr="00D7045C">
        <w:rPr>
          <w:rStyle w:val="Emphasis"/>
          <w:lang w:eastAsia="zh-CN"/>
        </w:rPr>
        <w:t>This lack of Black educators has meant that Black students are less valued in general</w:t>
      </w:r>
      <w:r w:rsidRPr="00D7045C">
        <w:rPr>
          <w:sz w:val="16"/>
          <w:szCs w:val="25"/>
          <w:lang w:eastAsia="zh-CN"/>
        </w:rPr>
        <w:t xml:space="preserve">. </w:t>
      </w:r>
      <w:r w:rsidRPr="00D7045C">
        <w:rPr>
          <w:rStyle w:val="StyleUnderline"/>
          <w:lang w:eastAsia="zh-CN"/>
        </w:rPr>
        <w:t>White teachers</w:t>
      </w:r>
      <w:r w:rsidRPr="00D7045C">
        <w:rPr>
          <w:sz w:val="16"/>
          <w:szCs w:val="25"/>
          <w:lang w:eastAsia="zh-CN"/>
        </w:rPr>
        <w:t xml:space="preserve">, typically women, who are educated in white neighborhoods and White universities, comprise the majority of educators in minority classrooms. Many are fantastic, quality teachers and a gift to all students. But many </w:t>
      </w:r>
      <w:r w:rsidRPr="00D7045C">
        <w:rPr>
          <w:rStyle w:val="StyleUnderline"/>
          <w:lang w:eastAsia="zh-CN"/>
        </w:rPr>
        <w:t>are ill-equipped to meet the educational needs of Black students. And studies indicate they treat Black children differently.</w:t>
      </w:r>
      <w:r w:rsidRPr="00D7045C">
        <w:rPr>
          <w:rStyle w:val="StyleUnderline"/>
        </w:rPr>
        <w:t xml:space="preserve"> </w:t>
      </w:r>
    </w:p>
    <w:p w14:paraId="593B520B" w14:textId="77777777" w:rsidR="00CE1326" w:rsidRPr="00D7045C" w:rsidRDefault="00CE1326" w:rsidP="00CE1326">
      <w:pPr>
        <w:pStyle w:val="Heading4"/>
        <w:rPr>
          <w:rFonts w:cs="Times New Roman"/>
        </w:rPr>
      </w:pPr>
      <w:r w:rsidRPr="00D7045C">
        <w:rPr>
          <w:rFonts w:cs="Times New Roman"/>
        </w:rPr>
        <w:t xml:space="preserve">Segregation denies the right to personal agency – sacrifices government protection </w:t>
      </w:r>
    </w:p>
    <w:p w14:paraId="53C75DEA" w14:textId="77777777" w:rsidR="00CE1326" w:rsidRPr="00D7045C" w:rsidRDefault="00CE1326" w:rsidP="00CE1326">
      <w:r w:rsidRPr="00D7045C">
        <w:rPr>
          <w:rStyle w:val="Style13ptBold"/>
        </w:rPr>
        <w:t>Colby 14</w:t>
      </w:r>
      <w:r w:rsidRPr="00D7045C">
        <w:t xml:space="preserve"> </w:t>
      </w:r>
      <w:r w:rsidRPr="00D7045C">
        <w:rPr>
          <w:sz w:val="18"/>
        </w:rPr>
        <w:t xml:space="preserve">(Tanner, Co-author of Remember the Time, author of Some of My Best Friends Are Black: The Strange Story of Integration in America, Feb. 3 2014, “The Massive Liberal Failure on Race,” Slate, </w:t>
      </w:r>
      <w:hyperlink r:id="rId27" w:history="1">
        <w:r w:rsidRPr="00D7045C">
          <w:rPr>
            <w:rStyle w:val="Hyperlink"/>
            <w:sz w:val="18"/>
          </w:rPr>
          <w:t>http://www.slate.com/articles/life/history/features/2014/the_liberal_failure_on_race/how_the_left_s_embrace_of_busing_hurt_the_cause_of_integration.html)</w:t>
        </w:r>
      </w:hyperlink>
      <w:r w:rsidRPr="00D7045C">
        <w:rPr>
          <w:sz w:val="18"/>
        </w:rPr>
        <w:t xml:space="preserve"> KVA</w:t>
      </w:r>
    </w:p>
    <w:p w14:paraId="226AC5C2" w14:textId="77777777" w:rsidR="00CE1326" w:rsidRPr="00D7045C" w:rsidRDefault="00CE1326" w:rsidP="00CE1326">
      <w:pPr>
        <w:shd w:val="clear" w:color="auto" w:fill="FFFFFF"/>
        <w:spacing w:before="240" w:after="240" w:line="240" w:lineRule="auto"/>
        <w:rPr>
          <w:rStyle w:val="Emphasis"/>
          <w:lang w:eastAsia="zh-CN"/>
        </w:rPr>
      </w:pPr>
      <w:r w:rsidRPr="00D7045C">
        <w:rPr>
          <w:rStyle w:val="StyleUnderline"/>
          <w:lang w:eastAsia="zh-CN"/>
        </w:rPr>
        <w:t xml:space="preserve">The left’s second blunder on integration: Busing wasn’t actually what black America was asking for. </w:t>
      </w:r>
      <w:r w:rsidRPr="00D7045C">
        <w:rPr>
          <w:rFonts w:eastAsia="Times New Roman"/>
          <w:sz w:val="16"/>
          <w:shd w:val="clear" w:color="auto" w:fill="FFFFFF"/>
          <w:lang w:eastAsia="zh-CN"/>
        </w:rPr>
        <w:t xml:space="preserve">Because </w:t>
      </w:r>
      <w:r w:rsidRPr="00D7045C">
        <w:rPr>
          <w:rFonts w:eastAsia="Times New Roman"/>
          <w:i/>
          <w:iCs/>
          <w:sz w:val="16"/>
          <w:shd w:val="clear" w:color="auto" w:fill="FFFFFF"/>
          <w:lang w:eastAsia="zh-CN"/>
        </w:rPr>
        <w:t>Brown v. Board</w:t>
      </w:r>
      <w:r w:rsidRPr="00D7045C">
        <w:rPr>
          <w:rFonts w:eastAsia="Times New Roman"/>
          <w:sz w:val="16"/>
          <w:shd w:val="clear" w:color="auto" w:fill="FFFFFF"/>
          <w:lang w:eastAsia="zh-CN"/>
        </w:rPr>
        <w:t xml:space="preserve"> was such a landmark decision, </w:t>
      </w:r>
      <w:r w:rsidRPr="00D7045C">
        <w:rPr>
          <w:rStyle w:val="StyleUnderline"/>
          <w:lang w:eastAsia="zh-CN"/>
        </w:rPr>
        <w:t>the idea of integration and the larger civil rights movement</w:t>
      </w:r>
      <w:r w:rsidRPr="00D7045C">
        <w:rPr>
          <w:rFonts w:eastAsia="Times New Roman"/>
          <w:sz w:val="16"/>
          <w:shd w:val="clear" w:color="auto" w:fill="FFFFFF"/>
          <w:lang w:eastAsia="zh-CN"/>
        </w:rPr>
        <w:t xml:space="preserve"> </w:t>
      </w:r>
      <w:r w:rsidRPr="00D7045C">
        <w:rPr>
          <w:rStyle w:val="StyleUnderline"/>
          <w:lang w:eastAsia="zh-CN"/>
        </w:rPr>
        <w:t>became</w:t>
      </w:r>
      <w:r w:rsidRPr="00D7045C">
        <w:rPr>
          <w:rFonts w:eastAsia="Times New Roman"/>
          <w:sz w:val="16"/>
          <w:shd w:val="clear" w:color="auto" w:fill="FFFFFF"/>
          <w:lang w:eastAsia="zh-CN"/>
        </w:rPr>
        <w:t xml:space="preserve"> somewhat </w:t>
      </w:r>
      <w:r w:rsidRPr="00D7045C">
        <w:rPr>
          <w:rStyle w:val="StyleUnderline"/>
          <w:lang w:eastAsia="zh-CN"/>
        </w:rPr>
        <w:t>synonymous</w:t>
      </w:r>
      <w:r w:rsidRPr="00D7045C">
        <w:rPr>
          <w:rFonts w:eastAsia="Times New Roman"/>
          <w:sz w:val="16"/>
          <w:shd w:val="clear" w:color="auto" w:fill="FFFFFF"/>
          <w:lang w:eastAsia="zh-CN"/>
        </w:rPr>
        <w:t xml:space="preserve">, wrongly so. </w:t>
      </w:r>
      <w:r w:rsidRPr="00D7045C">
        <w:rPr>
          <w:rStyle w:val="Emphasis"/>
          <w:lang w:eastAsia="zh-CN"/>
        </w:rPr>
        <w:t>Black America wasn’t fighting for integration</w:t>
      </w:r>
      <w:r w:rsidRPr="00D7045C">
        <w:rPr>
          <w:rFonts w:eastAsia="Times New Roman"/>
          <w:sz w:val="16"/>
          <w:shd w:val="clear" w:color="auto" w:fill="FFFFFF"/>
          <w:lang w:eastAsia="zh-CN"/>
        </w:rPr>
        <w:t xml:space="preserve">, per se. </w:t>
      </w:r>
      <w:r w:rsidRPr="00D7045C">
        <w:rPr>
          <w:rStyle w:val="Emphasis"/>
          <w:lang w:eastAsia="zh-CN"/>
        </w:rPr>
        <w:t>They were fighting for agency, the right to exercise control over their lives and, hopefully, to enjoy the full protection of the government while doing so</w:t>
      </w:r>
      <w:r w:rsidRPr="00D7045C">
        <w:rPr>
          <w:rFonts w:eastAsia="Times New Roman"/>
          <w:sz w:val="16"/>
          <w:shd w:val="clear" w:color="auto" w:fill="FFFFFF"/>
          <w:lang w:eastAsia="zh-CN"/>
        </w:rPr>
        <w:t xml:space="preserve">. In education, that’s not what they got. They got a policy that demanded white schools produce statistical proof of significant progress, and one where whites were in charge of executing the burdens imposed on them by the courts. </w:t>
      </w:r>
      <w:r w:rsidRPr="00D7045C">
        <w:rPr>
          <w:rStyle w:val="StyleUnderline"/>
          <w:lang w:eastAsia="zh-CN"/>
        </w:rPr>
        <w:t xml:space="preserve">Black schools were unilaterally closed down, their students divvied up and distributed to whatever white school needed to adjust its numbers in order to avoid being sued, often over the very loud protests of black parents; at angry town hall meetings, integration was denounced as a white supremacist plot to destroy the black community. Some black students, fearing the prospect of a hostile white environment, dropped out of school rather than ride the bus. </w:t>
      </w:r>
      <w:r w:rsidRPr="00D7045C">
        <w:rPr>
          <w:sz w:val="16"/>
          <w:lang w:eastAsia="zh-CN"/>
        </w:rPr>
        <w:t xml:space="preserve">Not all black parents believed in integration. Those who did wanted a say in how it played out for their children. Some busing programs were voluntary, but by and large black children had to bus where HEW told them to bus. Mandatory racial-balance requirements insisted on it. </w:t>
      </w:r>
      <w:r w:rsidRPr="00D7045C">
        <w:rPr>
          <w:rStyle w:val="StyleUnderline"/>
          <w:lang w:eastAsia="zh-CN"/>
        </w:rPr>
        <w:t>With Jim Crow, black America lived under an onerous, top-down system that told them where their children could and could not go to school. Now, with busing, black America lived under … an onerous, top-down system that told them where their children could and could not go to school.</w:t>
      </w:r>
      <w:r w:rsidRPr="00D7045C">
        <w:rPr>
          <w:sz w:val="16"/>
          <w:lang w:eastAsia="zh-CN"/>
        </w:rPr>
        <w:t xml:space="preserve"> A 1972 </w:t>
      </w:r>
      <w:r w:rsidRPr="00D7045C">
        <w:rPr>
          <w:rStyle w:val="StyleUnderline"/>
          <w:lang w:eastAsia="zh-CN"/>
        </w:rPr>
        <w:t>Gallup poll showed that 77 percent of whites were against busing. The same poll showed 47 percent of blacks were against it as well.</w:t>
      </w:r>
      <w:r w:rsidRPr="00D7045C">
        <w:rPr>
          <w:sz w:val="16"/>
          <w:lang w:eastAsia="zh-CN"/>
        </w:rPr>
        <w:t xml:space="preserve"> Many black Americans did believe in the school bus and the access it provided, and </w:t>
      </w:r>
      <w:r w:rsidRPr="00D7045C">
        <w:rPr>
          <w:rStyle w:val="Emphasis"/>
          <w:lang w:eastAsia="zh-CN"/>
        </w:rPr>
        <w:t>busing might have been a viable tool for those families had it been smartly and surgically applied. It wasn’t. It was presented in a sweeping fashion that denied many blacks the agency they sought.</w:t>
      </w:r>
    </w:p>
    <w:p w14:paraId="75315E98" w14:textId="77777777" w:rsidR="005A4715" w:rsidRPr="00D7045C" w:rsidRDefault="005A4715" w:rsidP="005A4715">
      <w:pPr>
        <w:pStyle w:val="Heading4"/>
        <w:rPr>
          <w:rFonts w:cs="Times New Roman"/>
        </w:rPr>
      </w:pPr>
      <w:r w:rsidRPr="00D7045C">
        <w:rPr>
          <w:rFonts w:cs="Times New Roman"/>
        </w:rPr>
        <w:t>Maintaining Milliken v. Bradley traps families and students – school district lines are not subject to regulation and the aff is the only way to change the squo</w:t>
      </w:r>
    </w:p>
    <w:p w14:paraId="0206D320" w14:textId="77777777" w:rsidR="005A4715" w:rsidRPr="00D7045C" w:rsidRDefault="005A4715" w:rsidP="005A4715">
      <w:r w:rsidRPr="00D7045C">
        <w:rPr>
          <w:rStyle w:val="Style13ptBold"/>
        </w:rPr>
        <w:t>Hertz 14</w:t>
      </w:r>
      <w:r w:rsidRPr="00D7045C">
        <w:t xml:space="preserve"> </w:t>
      </w:r>
      <w:r w:rsidRPr="00D7045C">
        <w:rPr>
          <w:sz w:val="18"/>
        </w:rPr>
        <w:t xml:space="preserve">(Daniel, masters student in public policy at the University of Chicago. He has written about urban affairs for several publications, including Citylab, “You’ve probably never heard of one of the worst Supreme Court decisions”, </w:t>
      </w:r>
      <w:hyperlink r:id="rId28" w:history="1">
        <w:r w:rsidRPr="00D7045C">
          <w:rPr>
            <w:rStyle w:val="Hyperlink"/>
            <w:sz w:val="18"/>
          </w:rPr>
          <w:t>https://www.washingtonpost.com/posteverything/wp/2014/07/24/youve-probably-never-heard-of-one-of-the-worst-supreme-court-decisions/?utm_term=.db9133a8d8f9</w:t>
        </w:r>
      </w:hyperlink>
      <w:r w:rsidRPr="00D7045C">
        <w:rPr>
          <w:sz w:val="18"/>
        </w:rPr>
        <w:t xml:space="preserve">) </w:t>
      </w:r>
      <w:r w:rsidRPr="00D7045C">
        <w:t>DGA</w:t>
      </w:r>
    </w:p>
    <w:p w14:paraId="5ADE274C" w14:textId="77777777" w:rsidR="005A4715" w:rsidRPr="00D7045C" w:rsidRDefault="005A4715" w:rsidP="005A4715">
      <w:pPr>
        <w:rPr>
          <w:rStyle w:val="StyleUnderline"/>
        </w:rPr>
      </w:pPr>
      <w:r w:rsidRPr="00D7045C">
        <w:rPr>
          <w:rStyle w:val="StyleUnderline"/>
        </w:rPr>
        <w:t>Forty years ago this month, the Supreme Court released one of its most villainous, yet under-appreciated, decisions. Its legacy hangs over nearly every major school system in the country, but its name means nothing to most people.</w:t>
      </w:r>
      <w:r w:rsidRPr="00D7045C">
        <w:rPr>
          <w:sz w:val="16"/>
        </w:rPr>
        <w:t xml:space="preserve"> </w:t>
      </w:r>
      <w:r w:rsidRPr="00D7045C">
        <w:rPr>
          <w:rStyle w:val="StyleUnderline"/>
        </w:rPr>
        <w:t>Milliken v. Bradley began in 1970</w:t>
      </w:r>
      <w:r w:rsidRPr="00D7045C">
        <w:rPr>
          <w:sz w:val="16"/>
        </w:rPr>
        <w:t xml:space="preserve">, when </w:t>
      </w:r>
      <w:r w:rsidRPr="00D7045C">
        <w:rPr>
          <w:rStyle w:val="StyleUnderline"/>
        </w:rPr>
        <w:t>the NAACP sued the state of Michigan to desegregate Detroit’s schools</w:t>
      </w:r>
      <w:r w:rsidRPr="00D7045C">
        <w:rPr>
          <w:sz w:val="16"/>
        </w:rPr>
        <w:t xml:space="preserve">. In particular, they wanted a solution that would involve both the city and the suburbs since, by that point, </w:t>
      </w:r>
      <w:r w:rsidRPr="00D7045C">
        <w:rPr>
          <w:rStyle w:val="StyleUnderline"/>
        </w:rPr>
        <w:t>the vast majority of Detroit’s residents were black, and meaningful de-segregation within city limits had become almost impossible.</w:t>
      </w:r>
      <w:r w:rsidRPr="00D7045C">
        <w:rPr>
          <w:sz w:val="16"/>
        </w:rPr>
        <w:t xml:space="preserve"> </w:t>
      </w:r>
      <w:r w:rsidRPr="00D7045C">
        <w:rPr>
          <w:rStyle w:val="StyleUnderline"/>
        </w:rPr>
        <w:t>After hours of testimony on redlining, exclusionary zoning, police-sanctioned violence, and other sordid tales of American housing discrimination, the federal judge on the case</w:t>
      </w:r>
      <w:r w:rsidRPr="00D7045C">
        <w:rPr>
          <w:sz w:val="16"/>
        </w:rPr>
        <w:t xml:space="preserve">, Stephen Roth, </w:t>
      </w:r>
      <w:r w:rsidRPr="00D7045C">
        <w:rPr>
          <w:rStyle w:val="StyleUnderline"/>
        </w:rPr>
        <w:t>agreed with the plaintiffs that government</w:t>
      </w:r>
      <w:r w:rsidRPr="00D7045C">
        <w:rPr>
          <w:sz w:val="16"/>
        </w:rPr>
        <w:t xml:space="preserve"> “at all levels” </w:t>
      </w:r>
      <w:r w:rsidRPr="00D7045C">
        <w:rPr>
          <w:rStyle w:val="StyleUnderline"/>
        </w:rPr>
        <w:t>bore responsibility for residential segregation.</w:t>
      </w:r>
      <w:r w:rsidRPr="00D7045C">
        <w:rPr>
          <w:sz w:val="16"/>
        </w:rPr>
        <w:t xml:space="preserve"> As a result, Roth concluded, </w:t>
      </w:r>
      <w:r w:rsidRPr="00D7045C">
        <w:rPr>
          <w:rStyle w:val="StyleUnderline"/>
        </w:rPr>
        <w:t xml:space="preserve">the government could not legitimately enforce the school boundaries that residential segregation was designed to exploit. </w:t>
      </w:r>
      <w:r w:rsidRPr="00D7045C">
        <w:rPr>
          <w:sz w:val="16"/>
        </w:rPr>
        <w:t xml:space="preserve">If the school districts’ boundary lines were drawn today, he wrote, they would be struck down as unconstitutional. Roth’s proposal, instead of redrawing the Detroit area’s school districts, was simply to make them irrelevant: he ruled that some black students from Detroit would have to enroll in schools out in the suburbs, and lots of white kids in the suburbs would have to enroll in schools in Detroit. The plan was not without its problems. But it was the first time a judge had recognized the crucial role city-suburb borders played in maintaining segregated schools, and ordered a major metropolitan area to do something about it. Unfortunately, in July 1974, the Supreme Court voted 5-4 to overturn Roth. The majority found no evidence that governments had encouraged segregation in the Detroit metro area – despite, for example, the fact that the mayor of suburban Dearborn had been quoted just a few years before in the New York Times saying, “I favor segregation.” Before that, he told a newspaper: “Every time we hear of a Negro moving…in, we respond quicker than you do to a fire.” Among Dearborn’s 90,000 residents, there were fewer than 100 black people. *** In other realms, Roth’s logic – that </w:t>
      </w:r>
      <w:r w:rsidRPr="00D7045C">
        <w:rPr>
          <w:rStyle w:val="StyleUnderline"/>
        </w:rPr>
        <w:t>political boundaries must be subservient to larger questions of justice, including segregation</w:t>
      </w:r>
      <w:r w:rsidRPr="00D7045C">
        <w:rPr>
          <w:sz w:val="16"/>
        </w:rPr>
        <w:t xml:space="preserve"> – is taken for granted. Think, </w:t>
      </w:r>
      <w:r w:rsidRPr="00D7045C">
        <w:rPr>
          <w:rStyle w:val="StyleUnderline"/>
        </w:rPr>
        <w:t>for example</w:t>
      </w:r>
      <w:r w:rsidRPr="00D7045C">
        <w:rPr>
          <w:sz w:val="16"/>
        </w:rPr>
        <w:t xml:space="preserve">, about </w:t>
      </w:r>
      <w:r w:rsidRPr="00D7045C">
        <w:rPr>
          <w:rStyle w:val="StyleUnderline"/>
        </w:rPr>
        <w:t>Congressional districts</w:t>
      </w:r>
      <w:r w:rsidRPr="00D7045C">
        <w:rPr>
          <w:sz w:val="16"/>
        </w:rPr>
        <w:t xml:space="preserve">. To start with, </w:t>
      </w:r>
      <w:r w:rsidRPr="00D7045C">
        <w:rPr>
          <w:rStyle w:val="StyleUnderline"/>
        </w:rPr>
        <w:t>they’re redrawn every ten years to adjust to shifting population</w:t>
      </w:r>
      <w:r w:rsidRPr="00D7045C">
        <w:rPr>
          <w:sz w:val="16"/>
        </w:rPr>
        <w:t xml:space="preserve">s. Not only that, but </w:t>
      </w:r>
      <w:r w:rsidRPr="00D7045C">
        <w:rPr>
          <w:rStyle w:val="StyleUnderline"/>
        </w:rPr>
        <w:t>there are lots of rules designed to make sure the new districts aren’t unfair in ways that violate anyone’s civil rights</w:t>
      </w:r>
      <w:r w:rsidRPr="00D7045C">
        <w:rPr>
          <w:sz w:val="16"/>
        </w:rPr>
        <w:t xml:space="preserve">. If they are, they can be thrown out by a judge, and ordered to be redrawn. We go through all of this because we understand that unfair Congressional districts can be devastating for minority communities, denying them political power and, along with it, the ability to fight for policies that improve their lives. </w:t>
      </w:r>
      <w:r w:rsidRPr="00D7045C">
        <w:rPr>
          <w:rStyle w:val="StyleUnderline"/>
        </w:rPr>
        <w:t>School districts, of course, play just as large a role in determining their residents’ life chances,</w:t>
      </w:r>
      <w:r w:rsidRPr="00D7045C">
        <w:rPr>
          <w:sz w:val="16"/>
        </w:rPr>
        <w:t xml:space="preserve"> </w:t>
      </w:r>
      <w:r w:rsidRPr="00D7045C">
        <w:rPr>
          <w:rStyle w:val="StyleUnderline"/>
        </w:rPr>
        <w:t>but share basically none of these rules</w:t>
      </w:r>
      <w:r w:rsidRPr="00D7045C">
        <w:rPr>
          <w:sz w:val="16"/>
        </w:rPr>
        <w:t>. In general</w:t>
      </w:r>
      <w:r w:rsidRPr="00D7045C">
        <w:rPr>
          <w:rStyle w:val="StyleUnderline"/>
        </w:rPr>
        <w:t>, school districts don’t have to be redrawn at any regular interval, and many haven’t changed for decades</w:t>
      </w:r>
      <w:r w:rsidRPr="00D7045C">
        <w:rPr>
          <w:sz w:val="16"/>
        </w:rPr>
        <w:t xml:space="preserve">, if not generations. No one is reviewing the districts that already exist, to make sure that they’ve been drawn in ways that don’t unfairly disadvantage anyone. And </w:t>
      </w:r>
      <w:r w:rsidRPr="00D7045C">
        <w:rPr>
          <w:rStyle w:val="StyleUnderline"/>
        </w:rPr>
        <w:t>they’re certainly not throwing out school districts, and ordering them to be redrawn to, say, reduce segregation</w:t>
      </w:r>
      <w:r w:rsidRPr="00D7045C">
        <w:rPr>
          <w:sz w:val="16"/>
        </w:rPr>
        <w:t xml:space="preserve">. In fact, more recently the Supreme Court has voted to curtail attempts to desegregate even within school districts, to the extent it’s possible. Predictably, the result of all this is that many American school districts are moving towards pre-Civil Rights Movement levels of racial separation. In the last few years, reports from ProPublica and UCLA’s Civil Rights Project, among others, have found that school segregation has been getting worse for decades. Sometimes, </w:t>
      </w:r>
      <w:r w:rsidRPr="00D7045C">
        <w:rPr>
          <w:rStyle w:val="StyleUnderline"/>
        </w:rPr>
        <w:t>we’re tempted to justify our separate schools by arguing that they’re equal.</w:t>
      </w:r>
      <w:r w:rsidRPr="00D7045C">
        <w:rPr>
          <w:sz w:val="16"/>
        </w:rPr>
        <w:t xml:space="preserve"> </w:t>
      </w:r>
      <w:r w:rsidRPr="00D7045C">
        <w:rPr>
          <w:rStyle w:val="StyleUnderline"/>
        </w:rPr>
        <w:t>Or, more accurately, that they could be equal: we tell the stories of racially and economically segregated schools that have “beaten the odds”</w:t>
      </w:r>
      <w:r w:rsidRPr="00D7045C">
        <w:rPr>
          <w:sz w:val="16"/>
        </w:rPr>
        <w:t xml:space="preserve"> </w:t>
      </w:r>
      <w:r w:rsidRPr="00D7045C">
        <w:rPr>
          <w:rStyle w:val="StyleUnderline"/>
        </w:rPr>
        <w:t>by performing as well academically as their wealthier, more integrated peers. But entire school districts shouldn’t have to “beat the odds” to get a decent education. Moreover, as the phrase implies, the vast majority don’t</w:t>
      </w:r>
      <w:r w:rsidRPr="00D7045C">
        <w:rPr>
          <w:sz w:val="16"/>
        </w:rPr>
        <w:t xml:space="preserve">. In his book Fives Miles Away, A World Apart, law professor James Ryan cites a study that found that high-poverty, high-minority schools have a one-in-300 chance of being “high-performing,” or scoring in the top third of schools on at least two subjects in two grades over two years. Mostly white, middle-class schools have a one-in-four shot. Nor is more money enough, even where it’s needed. Studies have shown that low-income students learn mor\ in economically integrated schools than they do in mostly poor ones – even when the poor schools have more funding. Piercing school district borders – the walls that prevent enrollment or, in many cases, funds from being spread more evenly between white or relatively more affluent districts and ones populated by black, brown, or poorer families nearby – isn’t a simple task, politically or logistically. </w:t>
      </w:r>
      <w:r w:rsidRPr="00D7045C">
        <w:rPr>
          <w:rStyle w:val="StyleUnderline"/>
        </w:rPr>
        <w:t>But the five justices who wrote Milliken 40 years ago wanted us to believe something else: that it wasn’t a necessary task, morally. They were wrong.</w:t>
      </w:r>
    </w:p>
    <w:p w14:paraId="1796830E" w14:textId="77777777" w:rsidR="00F54650" w:rsidRPr="00D7045C" w:rsidRDefault="00F54650" w:rsidP="00F54650">
      <w:pPr>
        <w:pStyle w:val="Heading4"/>
        <w:rPr>
          <w:rFonts w:cs="Times New Roman"/>
        </w:rPr>
      </w:pPr>
      <w:r w:rsidRPr="00D7045C">
        <w:rPr>
          <w:rFonts w:cs="Times New Roman"/>
        </w:rPr>
        <w:t>Districts lines group poor black families – leads to cycles of discrimination</w:t>
      </w:r>
    </w:p>
    <w:p w14:paraId="042E5E8C" w14:textId="77777777" w:rsidR="00F54650" w:rsidRPr="00D7045C" w:rsidRDefault="00F54650" w:rsidP="00F54650">
      <w:r w:rsidRPr="00D7045C">
        <w:rPr>
          <w:rStyle w:val="Style13ptBold"/>
        </w:rPr>
        <w:t>Orfield 15</w:t>
      </w:r>
      <w:r w:rsidRPr="00D7045C">
        <w:t xml:space="preserve"> (Myron, Professor of Law and Director of the Institute for Metropolitan Opportunity at the University of Minnesota, 2015, “Milliken, Meredith, and Metropolitan Segregation,” UCLA Law Review, Law Rev. 364, pg. 433-434) KVA</w:t>
      </w:r>
    </w:p>
    <w:p w14:paraId="01EDC5A7" w14:textId="77777777" w:rsidR="00F54650" w:rsidRPr="00D7045C" w:rsidRDefault="00F54650" w:rsidP="00F54650">
      <w:pPr>
        <w:spacing w:line="240" w:lineRule="auto"/>
        <w:rPr>
          <w:rFonts w:eastAsia="Times New Roman"/>
          <w:sz w:val="14"/>
          <w:lang w:eastAsia="zh-CN"/>
        </w:rPr>
      </w:pPr>
      <w:r w:rsidRPr="00D7045C">
        <w:rPr>
          <w:rStyle w:val="Emphasis"/>
          <w:lang w:eastAsia="zh-CN"/>
        </w:rPr>
        <w:t>Middle-income nonwhites have more residential choice than low-income nonwhites, but less than comparable or even lower income white households</w:t>
      </w:r>
      <w:r w:rsidRPr="00D7045C">
        <w:rPr>
          <w:rFonts w:eastAsia="Times New Roman"/>
          <w:sz w:val="14"/>
          <w:lang w:eastAsia="zh-CN"/>
        </w:rPr>
        <w:t>. They are seriously affected by steering and mortgage-lending discrimination, and discrimination by white sellers and renting agents</w:t>
      </w:r>
      <w:r w:rsidRPr="00D7045C">
        <w:rPr>
          <w:rStyle w:val="StyleUnderline"/>
          <w:lang w:eastAsia="zh-CN"/>
        </w:rPr>
        <w:t>. Because middle-income minority families often become the first to integrate white suburban neighborhoods, the local elementary schools often become diverse long before the balance of the neighborhood does.</w:t>
      </w:r>
      <w:r w:rsidRPr="00D7045C">
        <w:rPr>
          <w:rFonts w:eastAsia="Times New Roman"/>
          <w:sz w:val="14"/>
          <w:lang w:eastAsia="zh-CN"/>
        </w:rPr>
        <w:t xml:space="preserve"> </w:t>
      </w:r>
      <w:r w:rsidRPr="00D7045C">
        <w:rPr>
          <w:rStyle w:val="Emphasis"/>
          <w:lang w:eastAsia="zh-CN"/>
        </w:rPr>
        <w:t>After a beachhead of diversity is established, minority families seeking better schools are steered toward these newly diverse schools, while white families are steered away from them</w:t>
      </w:r>
      <w:r w:rsidRPr="00D7045C">
        <w:rPr>
          <w:rFonts w:eastAsia="Times New Roman"/>
          <w:sz w:val="14"/>
          <w:lang w:eastAsia="zh-CN"/>
        </w:rPr>
        <w:t xml:space="preserve">.444 Often, real estate agents tell minority families that the racially integrated schools are excellent or very good, while at the same time telling white families of similar education and credit history that the same schools are inadequate.445 </w:t>
      </w:r>
      <w:r w:rsidRPr="00D7045C">
        <w:rPr>
          <w:rStyle w:val="Emphasis"/>
          <w:lang w:eastAsia="zh-CN"/>
        </w:rPr>
        <w:t>As</w:t>
      </w:r>
      <w:r w:rsidRPr="00D7045C">
        <w:rPr>
          <w:rStyle w:val="Emphasis"/>
        </w:rPr>
        <w:t xml:space="preserve"> </w:t>
      </w:r>
      <w:r w:rsidRPr="00D7045C">
        <w:rPr>
          <w:rStyle w:val="Emphasis"/>
          <w:lang w:eastAsia="zh-CN"/>
        </w:rPr>
        <w:t>local</w:t>
      </w:r>
      <w:r w:rsidRPr="00D7045C">
        <w:rPr>
          <w:rStyle w:val="Emphasis"/>
        </w:rPr>
        <w:t xml:space="preserve"> </w:t>
      </w:r>
      <w:r w:rsidRPr="00D7045C">
        <w:rPr>
          <w:rStyle w:val="Emphasis"/>
          <w:lang w:eastAsia="zh-CN"/>
        </w:rPr>
        <w:t>schools become diverse, certain triggering events like the need to close a school because of student population loss or open a new school because of increased student population can trigger schools to redraw their boundaries, in which the classic discrimination occurs in the suburbs</w:t>
      </w:r>
      <w:r w:rsidRPr="00D7045C">
        <w:rPr>
          <w:rFonts w:eastAsia="Times New Roman"/>
          <w:sz w:val="14"/>
          <w:lang w:eastAsia="zh-CN"/>
        </w:rPr>
        <w:t xml:space="preserve">. Unless a local school district has very strong political leaders or administrators who care about civil rights, most, if not all, of these types of discrimination will occur. </w:t>
      </w:r>
      <w:r w:rsidRPr="00D7045C">
        <w:rPr>
          <w:rStyle w:val="Emphasis"/>
          <w:lang w:eastAsia="zh-CN"/>
        </w:rPr>
        <w:t>The intense emotional pressure of white parents to get into the highest-scoring (almost always the whitest) school and to avoid a lower-scoring (almost always more diverse) one becomes politically hard to counter, and unless there is a very intentional and organized counterforce, Keyes gerrymandering will occur.</w:t>
      </w:r>
      <w:r w:rsidRPr="00D7045C">
        <w:rPr>
          <w:rFonts w:eastAsia="Times New Roman"/>
          <w:sz w:val="14"/>
          <w:lang w:eastAsia="zh-CN"/>
        </w:rPr>
        <w:t xml:space="preserve"> </w:t>
      </w:r>
      <w:r w:rsidRPr="00D7045C">
        <w:rPr>
          <w:rStyle w:val="StyleUnderline"/>
          <w:lang w:eastAsia="zh-CN"/>
        </w:rPr>
        <w:t>These illegal acts of educational discrimination will in turn increase the steering of</w:t>
      </w:r>
      <w:r w:rsidRPr="00D7045C">
        <w:rPr>
          <w:rStyle w:val="StyleUnderline"/>
        </w:rPr>
        <w:t xml:space="preserve"> </w:t>
      </w:r>
      <w:r w:rsidRPr="00D7045C">
        <w:rPr>
          <w:rStyle w:val="StyleUnderline"/>
          <w:lang w:eastAsia="zh-CN"/>
        </w:rPr>
        <w:t>whites away from the most diverse school attendance areas and increase the speed of neighborhood resegregation.</w:t>
      </w:r>
      <w:r w:rsidRPr="00D7045C">
        <w:rPr>
          <w:rFonts w:eastAsia="Times New Roman"/>
          <w:sz w:val="14"/>
          <w:lang w:eastAsia="zh-CN"/>
        </w:rPr>
        <w:t xml:space="preserve"> In the early twenty-first century, racial change happens less tempestuously than it did in the early twentieth century, and at the initial stages, is defined as nonreplacement rather than flight. Americans are highly mobile and move about every sixth year on average. For a neighborhood to remain racially stable, buyers with the same racial characteristics must replace sellers. </w:t>
      </w:r>
      <w:r w:rsidRPr="00D7045C">
        <w:rPr>
          <w:rStyle w:val="StyleUnderline"/>
          <w:lang w:eastAsia="zh-CN"/>
        </w:rPr>
        <w:t>When steering occurs, white buyers fail to replace white sellers, in effect withdrawing from the local housing market. When white buyers withdraw, there is not a demand segment to replace them. The black middle class is not large enough or concerted enough (it does not all share the same racial preferences) to make up the slack</w:t>
      </w:r>
      <w:r w:rsidRPr="00D7045C">
        <w:rPr>
          <w:rFonts w:eastAsia="Times New Roman"/>
          <w:sz w:val="14"/>
          <w:lang w:eastAsia="zh-CN"/>
        </w:rPr>
        <w:t xml:space="preserve">. </w:t>
      </w:r>
      <w:r w:rsidRPr="00D7045C">
        <w:rPr>
          <w:rStyle w:val="StyleUnderline"/>
          <w:lang w:eastAsia="zh-CN"/>
        </w:rPr>
        <w:t>As whites</w:t>
      </w:r>
      <w:r w:rsidRPr="00D7045C">
        <w:rPr>
          <w:rStyle w:val="StyleUnderline"/>
        </w:rPr>
        <w:t xml:space="preserve"> </w:t>
      </w:r>
      <w:r w:rsidRPr="00D7045C">
        <w:rPr>
          <w:rStyle w:val="StyleUnderline"/>
          <w:lang w:eastAsia="zh-CN"/>
        </w:rPr>
        <w:t>withdraw, prices fall and poorer minority families move in behind middleincome nonwhites and the segregated core of the region grows</w:t>
      </w:r>
      <w:r w:rsidRPr="00D7045C">
        <w:rPr>
          <w:rFonts w:eastAsia="Times New Roman"/>
          <w:sz w:val="14"/>
          <w:lang w:eastAsia="zh-CN"/>
        </w:rPr>
        <w:t xml:space="preserve">. The suburban neighborhood resegregates asits urban counterpart did a generation before. </w:t>
      </w:r>
    </w:p>
    <w:p w14:paraId="19C45244" w14:textId="77777777" w:rsidR="005A4715" w:rsidRPr="00D7045C" w:rsidRDefault="005A4715" w:rsidP="005A4715">
      <w:pPr>
        <w:pStyle w:val="Heading4"/>
        <w:rPr>
          <w:rFonts w:cs="Times New Roman"/>
        </w:rPr>
      </w:pPr>
      <w:r w:rsidRPr="00D7045C">
        <w:rPr>
          <w:rFonts w:cs="Times New Roman"/>
        </w:rPr>
        <w:t xml:space="preserve">Geographic separation into school districts perpetuates inequalities and functionally segregates by class and race </w:t>
      </w:r>
    </w:p>
    <w:p w14:paraId="1B94AFD5" w14:textId="77777777" w:rsidR="005A4715" w:rsidRPr="00D7045C" w:rsidRDefault="005A4715" w:rsidP="005A4715">
      <w:pPr>
        <w:rPr>
          <w:sz w:val="26"/>
        </w:rPr>
      </w:pPr>
      <w:r w:rsidRPr="00D7045C">
        <w:rPr>
          <w:rStyle w:val="Style13ptBold"/>
        </w:rPr>
        <w:t xml:space="preserve">Pakeman 13 </w:t>
      </w:r>
      <w:r w:rsidRPr="00D7045C">
        <w:t>(Kyle, Master of Planning Candidate (2016) at Queen’s University, 12-02-2013, “Educational Inequalities and Geographical Segregation,”http://www.academia.edu/7834348/Educational_Inequalities_and_Geographical_Segregation_A_look_into_Schooling_Policies_Socio-economic_Segregation_Racial_Discrimination_and_Cultural_Capital)AL</w:t>
      </w:r>
    </w:p>
    <w:p w14:paraId="322A408B" w14:textId="77777777" w:rsidR="005A4715" w:rsidRPr="00D7045C" w:rsidRDefault="005A4715" w:rsidP="005A4715">
      <w:pPr>
        <w:rPr>
          <w:sz w:val="16"/>
        </w:rPr>
      </w:pPr>
      <w:r w:rsidRPr="00D7045C">
        <w:rPr>
          <w:sz w:val="16"/>
        </w:rPr>
        <w:t xml:space="preserve">Another point of contention in the geographical segregation of educational resources is its intersection with race and ethnicity (Robson 2013b). This issue first garnered international attention with the Supreme Court ruling on Brown vs the School Board of Topeka in 1954, in which it was pronounced that ‘separate but equal’ schools were not constitutional. It was thereafter seen that racially segregate schools were inherently unequal and actions should be taken to makes schools more diverse via de-segregation. However, according to Orfield and Lee (2005), the historical ruling has done little to alleviate the situation. They cite that </w:t>
      </w:r>
      <w:r w:rsidRPr="00D7045C">
        <w:rPr>
          <w:rStyle w:val="StyleUnderline"/>
        </w:rPr>
        <w:t>roughly 60 percent of black and hispanic students still attend high-poverty schools—defined as more than 50 percent poor</w:t>
      </w:r>
      <w:r w:rsidRPr="00D7045C">
        <w:rPr>
          <w:sz w:val="16"/>
        </w:rPr>
        <w:t xml:space="preserve">. </w:t>
      </w:r>
      <w:r w:rsidRPr="00D7045C">
        <w:rPr>
          <w:rStyle w:val="StyleUnderline"/>
        </w:rPr>
        <w:t>Meanwhile only 18 percent of white students attend similar schools</w:t>
      </w:r>
      <w:r w:rsidRPr="00D7045C">
        <w:rPr>
          <w:sz w:val="16"/>
        </w:rPr>
        <w:t xml:space="preserve"> (ibid). Orfield and Lee (2005) also look at the ethno-geographical difference in school attendance between cities and suburbs. They note that </w:t>
      </w:r>
      <w:r w:rsidRPr="00D7045C">
        <w:rPr>
          <w:rStyle w:val="StyleUnderline"/>
        </w:rPr>
        <w:t>out of 24 of the largest cities in the United States, 20 of them have inner city schools where the student minority population is constantly hovering around 90%, illustrating a quite dramatic racial divide between urban schools and their suburban counterparts</w:t>
      </w:r>
      <w:r w:rsidRPr="00D7045C">
        <w:rPr>
          <w:sz w:val="16"/>
        </w:rPr>
        <w:t xml:space="preserve"> (ibid).any instance were school qualities differ and geography determines placement in schools, residential location becomes a source of differentiation (ibid). 10notion of cultural capital, they note that in adapting to the hostile environment, “ghetto dwellers evolve a set of behaviours, attitudes, and expectations that are sharply at variance with those common in the rest of American society” (Robson 2013c ; Massey and Denton 2005). This becomes important insofar as the </w:t>
      </w:r>
      <w:r w:rsidRPr="00D7045C">
        <w:rPr>
          <w:rStyle w:val="StyleUnderline"/>
        </w:rPr>
        <w:t>segregated population develops</w:t>
      </w:r>
      <w:r w:rsidRPr="00D7045C">
        <w:rPr>
          <w:sz w:val="16"/>
        </w:rPr>
        <w:t xml:space="preserve"> a ‘</w:t>
      </w:r>
      <w:r w:rsidRPr="00D7045C">
        <w:rPr>
          <w:rStyle w:val="StyleUnderline"/>
        </w:rPr>
        <w:t>oppositional culture’ that is an inversion of middle-class values</w:t>
      </w:r>
      <w:r w:rsidRPr="00D7045C">
        <w:rPr>
          <w:sz w:val="16"/>
        </w:rPr>
        <w:t xml:space="preserve">. </w:t>
      </w:r>
      <w:r w:rsidRPr="00D7045C">
        <w:rPr>
          <w:rStyle w:val="StyleUnderline"/>
        </w:rPr>
        <w:t>The</w:t>
      </w:r>
      <w:r w:rsidRPr="00D7045C">
        <w:rPr>
          <w:sz w:val="16"/>
        </w:rPr>
        <w:t xml:space="preserve"> ghetto </w:t>
      </w:r>
      <w:r w:rsidRPr="00D7045C">
        <w:rPr>
          <w:rStyle w:val="StyleUnderline"/>
        </w:rPr>
        <w:t>culture indoctrinates practically all that live in these areas of ‘hypersegregation’ and as a result the ‘ghetto dwellers’ become</w:t>
      </w:r>
      <w:r w:rsidRPr="00D7045C">
        <w:rPr>
          <w:sz w:val="16"/>
        </w:rPr>
        <w:t>, what black sociologist William Wilson (2005) has referred to as, ‘</w:t>
      </w:r>
      <w:r w:rsidRPr="00D7045C">
        <w:rPr>
          <w:rStyle w:val="StyleUnderline"/>
        </w:rPr>
        <w:t>socially isolated’, thereby causing them to drift further from mainstream society</w:t>
      </w:r>
      <w:r w:rsidRPr="00D7045C">
        <w:rPr>
          <w:sz w:val="16"/>
        </w:rPr>
        <w:t xml:space="preserve">. Massey and Denton (2005) see this as inherently problematic because the values promoted by the ‘oppositional culture’ are not only incorporated by adults but by children and teenagers as well. The upshot being, as Kenneth Clark (1965) suggests, that ghetto </w:t>
      </w:r>
      <w:r w:rsidRPr="00D7045C">
        <w:rPr>
          <w:rStyle w:val="StyleUnderline"/>
        </w:rPr>
        <w:t>children are compelled— often through peer pressure—to do poorly in school because to be black is to reject middle-class values and their values place great importance on academic excellence</w:t>
      </w:r>
      <w:r w:rsidRPr="00D7045C">
        <w:rPr>
          <w:sz w:val="16"/>
        </w:rPr>
        <w:t xml:space="preserve">. This anti-school culture lamented by both Clark (1965) and Massey and Denton (2005) do in fact have material implications. Studies have often shown that </w:t>
      </w:r>
      <w:r w:rsidRPr="00D7045C">
        <w:rPr>
          <w:rStyle w:val="StyleUnderline"/>
        </w:rPr>
        <w:t>growing up in disadvantaged areas</w:t>
      </w:r>
      <w:r w:rsidRPr="00D7045C">
        <w:rPr>
          <w:sz w:val="16"/>
        </w:rPr>
        <w:t xml:space="preserve"> (i.e. the ghetto) </w:t>
      </w:r>
      <w:r w:rsidRPr="00D7045C">
        <w:rPr>
          <w:rStyle w:val="StyleUnderline"/>
        </w:rPr>
        <w:t>greatly increase one’s chances of dropping out of high school and severely reduces their chances of attending college</w:t>
      </w:r>
      <w:r w:rsidRPr="00D7045C">
        <w:rPr>
          <w:sz w:val="16"/>
        </w:rPr>
        <w:t xml:space="preserve"> (Goldsmith 2009; Dawkins and Braddock 1994). </w:t>
      </w:r>
      <w:r w:rsidRPr="00D7045C">
        <w:rPr>
          <w:rStyle w:val="StyleUnderline"/>
        </w:rPr>
        <w:t>And as a consequence, these same children, more often than not, find themselves working the same low-paying jobs that their parents worked thereby perpetuating the cycle of poverty</w:t>
      </w:r>
      <w:r w:rsidRPr="00D7045C">
        <w:rPr>
          <w:sz w:val="16"/>
        </w:rPr>
        <w:t xml:space="preserve"> (Massey and Denton 2005; Wilson and Wacquant 2005). </w:t>
      </w:r>
      <w:r w:rsidRPr="00D7045C">
        <w:rPr>
          <w:rStyle w:val="StyleUnderline"/>
        </w:rPr>
        <w:t>What is obvious then is that, not only does geography (residential location) act as a sorting mechanism for those that can and cannot afford to live nearby ‘good’ schools but,</w:t>
      </w:r>
      <w:r w:rsidRPr="00D7045C">
        <w:rPr>
          <w:rStyle w:val="Emphasis"/>
        </w:rPr>
        <w:t xml:space="preserve"> geography also concentrates and perpetuates inequalities to the extent that escape from, what economist Jeffrey Sachs (2005) calls, ‘the poverty trap’, is extremely onerous</w:t>
      </w:r>
      <w:r w:rsidRPr="00D7045C">
        <w:rPr>
          <w:sz w:val="16"/>
        </w:rPr>
        <w:t xml:space="preserve">. Indeed William Wilson et al. (2005) sees a similarly grim situation for ‘ghetto residents’ writing that, because of crass conservative ideologies and economic trends—largely the mass exodus of jobs and ‘social buffers’ from the inner city—these people face a ‘closed opportunity structure’. In this vein then it should not come as a surprise that </w:t>
      </w:r>
      <w:r w:rsidRPr="00D7045C">
        <w:rPr>
          <w:rStyle w:val="StyleUnderline"/>
        </w:rPr>
        <w:t>schools that disadvantaged, racialized students find themselves attending are themselves victims of marginalization</w:t>
      </w:r>
      <w:r w:rsidRPr="00D7045C">
        <w:rPr>
          <w:sz w:val="16"/>
        </w:rPr>
        <w:t xml:space="preserve">. Returning to the work of Kozol (1991), he notes that in New York City in 1987 expenditures per pupil varied drastically between districts. Calculating the average expenditures per pupil he found that most districts spent approximately $5,500, however, per pupil expenditure approached $15,000 in the New York suburbs of Great Neck and Manhesset, illustrating rather clear funding inequalities. These inequalities are particularly salient for those working in disadvantaged schools. As one teacher put it when asked by Kozol (1991) why the schools library didn’t have encyclopedias: “[Those are] for the suburbs” (87). Perhaps more surprisingly is what he found after touring two schools within the same district—nevertheless different neighbourhoods. The first school, Kozol (1991) investigated was Public School 79, in a disadvantaged neighbourhood in the Bronx. This school, he notes, was intended to service 1,000 students but total admissions had increased to 1,550, causing the school to become severely overcrowded. Moreover due to the lack of funding and class space, the students of this school did not have access to standard school amenities such as a computer lab, library or gymnasium because they had to be converted into classrooms (ibid). Meanwhile Public School 24 located in Riverdale, which was also built for a capacity of 1000 students, had ample class space, with a total student population roughly half that of Public School 79. 12Interestingly, Kozol (1991) notes that while Public School 24 had some integration, with roughly 150 minorities students, most of these students were assigned to “special” classes based on the evaluation that they were ‘educable mentally retarded’. This effectively created two separate schools in which some 150 students—mostly poor, hispanic and black—were placed in “special” classes while the remaining 700 students—whom were white or asian—continued in the normal curriculum stream (ibid). Historian and politician Sir John Dalberg-Acton wrote of the United States 130 years ago that “In a country where there is no distinction of class, a child is not born to the station of its parents, but with an indefinite claim to all the prizes that can be won by thought and labor. It is in conformity with the theory of equality… to give as near as possible to every youth an equal state in life” (Kozol 1991:83). Americans, he claimed “are unwilling that any should be deprived in childhood of the means of competition” (ibid). From the discussion above, it appears that Lord Acton’s words were lost with the generations that followed as </w:t>
      </w:r>
      <w:r w:rsidRPr="00D7045C">
        <w:rPr>
          <w:rStyle w:val="StyleUnderline"/>
        </w:rPr>
        <w:t xml:space="preserve">class and racial segregation is still very much apart of our society. What makes these trends even more troublesome is that they are perpetuated by social, political and economic structures that bolster those that are already advantaged and marginalize those that are currently at the bottom. </w:t>
      </w:r>
      <w:r w:rsidRPr="00D7045C">
        <w:t>As w</w:t>
      </w:r>
      <w:r w:rsidRPr="00D7045C">
        <w:rPr>
          <w:sz w:val="16"/>
        </w:rPr>
        <w:t>e have seen then, one’s racial composition and class status has a significant influence on educational outcomes. However, the process is not superficial as the access to good schools and the development of cultural capital—which can have a significant impact on school performance—is largely mediated through geography (residential location). A solution to fix these inequalities will be difficult primarily because they are contingent on social and economic structures that are well entrenched in our society. Furthermore, the groundbreaking work of 13Massey and Denton (2005), Wilson and Wacquant (2005) and Kozol (1991) provide a rather bleak forecast for the future; seemingly proposing that there is little that can be done. However, despite this, I remain optimistic as the first step to solving any issue is to recognize its existence. I truly hope that one day Lord Acton’s words wont be in vain and that at some point in our future we will be able to say that we are no longer depriving children of their ‘means of competition’.</w:t>
      </w:r>
    </w:p>
    <w:p w14:paraId="19FAD6E3" w14:textId="77777777" w:rsidR="005A4715" w:rsidRPr="00D7045C" w:rsidRDefault="005A4715" w:rsidP="005A4715"/>
    <w:p w14:paraId="47127365" w14:textId="77777777" w:rsidR="005A4715" w:rsidRPr="00D7045C" w:rsidRDefault="005A4715" w:rsidP="005A4715">
      <w:pPr>
        <w:pStyle w:val="Heading4"/>
        <w:rPr>
          <w:rFonts w:cs="Times New Roman"/>
        </w:rPr>
      </w:pPr>
      <w:r w:rsidRPr="00D7045C">
        <w:rPr>
          <w:rFonts w:cs="Times New Roman"/>
        </w:rPr>
        <w:t xml:space="preserve">Spatial white self-segregation is a prominent mechanism of white habitus—the process by which white privilege is ingrained and maintained.  </w:t>
      </w:r>
    </w:p>
    <w:p w14:paraId="29E1B49F" w14:textId="77777777" w:rsidR="005A4715" w:rsidRPr="00D7045C" w:rsidRDefault="005A4715" w:rsidP="005A4715">
      <w:r w:rsidRPr="00D7045C">
        <w:rPr>
          <w:rStyle w:val="Style13ptBold"/>
        </w:rPr>
        <w:t xml:space="preserve">Mikulich 17 </w:t>
      </w:r>
      <w:r w:rsidRPr="00D7045C">
        <w:t xml:space="preserve">(Alex, PhD, prof. of race and social ethics at Loyola University, “Race, Racism, and Whiteness,” </w:t>
      </w:r>
      <w:hyperlink r:id="rId29" w:history="1">
        <w:r w:rsidRPr="00D7045C">
          <w:rPr>
            <w:rStyle w:val="Hyperlink"/>
          </w:rPr>
          <w:t>http://www.loyno.edu/jsri/race-racism-and-whiteness</w:t>
        </w:r>
      </w:hyperlink>
      <w:r w:rsidRPr="00D7045C">
        <w:t>) KC</w:t>
      </w:r>
    </w:p>
    <w:p w14:paraId="52DB03D0" w14:textId="77777777" w:rsidR="005A4715" w:rsidRPr="00D7045C" w:rsidRDefault="005A4715" w:rsidP="005A4715">
      <w:pPr>
        <w:rPr>
          <w:sz w:val="16"/>
        </w:rPr>
      </w:pPr>
      <w:r w:rsidRPr="00D7045C">
        <w:rPr>
          <w:sz w:val="16"/>
        </w:rPr>
        <w:t xml:space="preserve">The fact that most white Americans tend to remain ignorant of the criticism articulated throughout U.S. history from diverse African Americans such as Phyllis Wheatley, Ida B. Wells, W.E.B. Du Bois, Stokely Carmichael, Audre Lorde, Malcolm X, Margaret Walker Alexander and too many others, underscores Lonergan’s point. Yet Lonergan’s insight is easily missed by white Americans if whites continue to live in self-segregated localities separate from the experience and perspective of people of color. </w:t>
      </w:r>
      <w:r w:rsidRPr="00D7045C">
        <w:rPr>
          <w:rStyle w:val="StyleUnderline"/>
        </w:rPr>
        <w:t xml:space="preserve">In other words, these assumptions of white folk or common sense knowledge do not develop in a vacuum. It is critical to understand where whites live, how they live, and how whites educate whites into a racialized society, to understand how white folk theory develops. The sociologist Eduardo Bonilla-Silva explains how white socialization or a “white habitus” conditions intra-group identity and cohesion. He defines white habitus as “a </w:t>
      </w:r>
      <w:r w:rsidRPr="00D7045C">
        <w:rPr>
          <w:rStyle w:val="Emphasis"/>
        </w:rPr>
        <w:t>racialized, uninterrupted socialization process that conditions and creates whites’ tastes, perceptions, feelings, and emotions and their views on racial matters</w:t>
      </w:r>
      <w:r w:rsidRPr="00D7045C">
        <w:rPr>
          <w:rStyle w:val="StyleUnderline"/>
        </w:rPr>
        <w:t>.”[37] White habitus occurs within a separate residential and cultural life that fosters a white culture of solidarity and negative views about nonwhites. Too simply put, white habitus entails both position—the social geography, location, and power of whiteness—and practice—the ways whites are socialized to perceive and act within the world.</w:t>
      </w:r>
      <w:r w:rsidRPr="00D7045C">
        <w:rPr>
          <w:sz w:val="16"/>
        </w:rPr>
        <w:t xml:space="preserve"> Described in more complex terms, </w:t>
      </w:r>
      <w:r w:rsidRPr="00D7045C">
        <w:rPr>
          <w:rStyle w:val="StyleUnderline"/>
        </w:rPr>
        <w:t>white culture both shapes the social geography of residential and educational segregation and is also shaped by the moral landscape of white segregation.[</w:t>
      </w:r>
      <w:r w:rsidRPr="00D7045C">
        <w:rPr>
          <w:sz w:val="16"/>
        </w:rPr>
        <w:t xml:space="preserve">38] </w:t>
      </w:r>
      <w:r w:rsidRPr="00D7045C">
        <w:rPr>
          <w:rStyle w:val="StyleUnderline"/>
        </w:rPr>
        <w:t>White self-segregation physically, socially, and morally structures the societal relationship between privilege and oppression</w:t>
      </w:r>
      <w:r w:rsidRPr="00D7045C">
        <w:rPr>
          <w:sz w:val="16"/>
        </w:rPr>
        <w:t xml:space="preserve">. As the theologian M. Shawn Copeland explains, “ordinarily, [non-white] bodies are “invisible” in the process of historical, cultural, and social creativity and representation, but should these non-white bodies step ‘out of place,’ they are subordinated literally to suveillance, inspection, discrimination, assessment, and containment.” [39] Ethnographic studies of how whites describe their own experience demonstrate that within white gated communities, white self-perceptions of “niceness” and fear of others is initially utilized as a rhetorical way to justify living in a residential development that excludes racial others. </w:t>
      </w:r>
      <w:r w:rsidRPr="00D7045C">
        <w:rPr>
          <w:rStyle w:val="StyleUnderline"/>
        </w:rPr>
        <w:t>More importantly, when whites describe themselves as “nice” and nurture fear of others, they inscribe racist assumptions into the landscape</w:t>
      </w:r>
      <w:r w:rsidRPr="00D7045C">
        <w:rPr>
          <w:sz w:val="16"/>
        </w:rPr>
        <w:t xml:space="preserve">. </w:t>
      </w:r>
      <w:r w:rsidRPr="00D7045C">
        <w:rPr>
          <w:rStyle w:val="StyleUnderline"/>
        </w:rPr>
        <w:t>Although the physical landscape and the perceptions that whites use to describe the landscape is socially constructed, this reality is seen as normal by whites and out of whites’ everyday awareness. Thus, for example, within the white habitus, a white neighborhood is normal, while a black neighborhood is “racially segregated.”</w:t>
      </w:r>
      <w:r w:rsidRPr="00D7045C">
        <w:rPr>
          <w:sz w:val="16"/>
        </w:rPr>
        <w:t xml:space="preserve"> </w:t>
      </w:r>
      <w:r w:rsidRPr="00D7045C">
        <w:rPr>
          <w:rStyle w:val="StyleUnderline"/>
        </w:rPr>
        <w:t>In other words, white habitus constitutes a racially-biased intellectual and moral horizon that defines, controls, and segregates different, other, non-white bodies</w:t>
      </w:r>
      <w:r w:rsidRPr="00D7045C">
        <w:rPr>
          <w:sz w:val="16"/>
        </w:rPr>
        <w:t xml:space="preserve">. As demonstrated Bonilla-Silva and other social scientists, whites are not likely to engage in inter-racial friendships that include a high degree of interaction, interdependence, and closeness, despite their self-professed support for racial equality. Regardless of the level of assimilation of African Americans, white geographical isolation from blacks does not “provide fertile soil upon which primary interracial associations can flourish.”[40] </w:t>
      </w:r>
      <w:r w:rsidRPr="00D7045C">
        <w:rPr>
          <w:rStyle w:val="StyleUnderline"/>
        </w:rPr>
        <w:t>The problem of white habitus and white hyper-segregation is that it is a dynamic site for the reproduction of white dominance within the power dynamics of the neighborhood, state, and nation.</w:t>
      </w:r>
      <w:r w:rsidRPr="00D7045C">
        <w:rPr>
          <w:sz w:val="16"/>
        </w:rPr>
        <w:t xml:space="preserve"> </w:t>
      </w:r>
      <w:r w:rsidRPr="00D7045C">
        <w:rPr>
          <w:rStyle w:val="StyleUnderline"/>
        </w:rPr>
        <w:t xml:space="preserve">The mechanisms of the white habitus include </w:t>
      </w:r>
      <w:r w:rsidRPr="00D7045C">
        <w:rPr>
          <w:rStyle w:val="Emphasis"/>
        </w:rPr>
        <w:t>physical, social, and moral distancing from people of color, as well as denial of whites’ self-sense of racial superiority, fear of racialized others, and intra-white solidarity.</w:t>
      </w:r>
      <w:r w:rsidRPr="00D7045C">
        <w:rPr>
          <w:sz w:val="16"/>
        </w:rPr>
        <w:t xml:space="preserve"> Perhaps most significantly, the profound evil of whiteness concerns whites’ lack of empathy for people of color and the inability to perceive how whites need people of color to become fully human and open to transformation in God’s love. The Future and Racism The sociologist Eduardo Bonilla-Silva persuasively argues that the U.S. is “evolving into a complex and loosely organized triracial stratification system similar to that of many Latin American and Caribbean nations.”[41] Roughly stated, (see Bonilla-Silva’s full analysis), the three groups in order of relative power are i) whites; ii) lighter skinned Latinos, and Japanese-, Korean-, Chinese-, and Middle Eastern Americans; and iii) blacks, dark-skinned Latinos, Vietnamese, Cambodians, Filipinos, and Laotians. Although the emerging order will be more pluralistic and exhibit more racial fluidity than before, it “will serve as a formidable fortress for white supremacy.”[42] New forms of white racism do not depend upon the overt racism of Jim Crow. Instead, </w:t>
      </w:r>
      <w:r w:rsidRPr="00D7045C">
        <w:rPr>
          <w:rStyle w:val="Emphasis"/>
        </w:rPr>
        <w:t>white “</w:t>
      </w:r>
      <w:r w:rsidRPr="00D7045C">
        <w:rPr>
          <w:rStyle w:val="Emphasis"/>
          <w:strike/>
        </w:rPr>
        <w:t>colorblind</w:t>
      </w:r>
      <w:r w:rsidRPr="00D7045C">
        <w:rPr>
          <w:rStyle w:val="Emphasis"/>
        </w:rPr>
        <w:t xml:space="preserve"> race-neutral” ideology adapts four tropes or strategies to maintain privilege: i) Utilize an abstract liberalism that rhetorically supports equal opportunity but opposes any policy to alleviate persistent inequality; ii) Explain away race by claiming it is natural; for example, segregation occurs because “everybody is attracted to people who look the same”; iii) Claim inequality is due to cultural difference, for example, “Mexicans don’t value education as much as Japanese;” and iv) Minimize racial consequences by arguing “it’s past—get over it."</w:t>
      </w:r>
      <w:r w:rsidRPr="00D7045C">
        <w:rPr>
          <w:rStyle w:val="StyleUnderline"/>
        </w:rPr>
        <w:t xml:space="preserve"> Whites utilize these tropes consciously or not to form an ideological wall that may be more difficult to dismantle than Jim Crow.</w:t>
      </w:r>
      <w:r w:rsidRPr="00D7045C">
        <w:rPr>
          <w:sz w:val="16"/>
        </w:rPr>
        <w:t xml:space="preserve"> This ideological wall becomes impenetrable by employing a safe, </w:t>
      </w:r>
      <w:r w:rsidRPr="00D7045C">
        <w:rPr>
          <w:strike/>
          <w:sz w:val="16"/>
        </w:rPr>
        <w:t>colorblind</w:t>
      </w:r>
      <w:r w:rsidRPr="00D7045C">
        <w:rPr>
          <w:sz w:val="16"/>
        </w:rPr>
        <w:t xml:space="preserve"> way to state racial views without appearing to be irrational or overtly racist. The wall is further reinforced as whites adapt the four tropes, often in tandem, to project racial innocence and avoid the absolutism of Jim Crow. A deeper irony for whites concerns how we de-humanize ourselves as we collectively deny complicity in racial oppression. Most whites have yet to explore the profound damage racism has done to us and the way we need people of color to become authentically human.[43] As Catholic social teaching recognizes, there is a way beyond American irony through two wells of transformation: God’s love and those whom we oppress. Dare we drink from these wells?</w:t>
      </w:r>
    </w:p>
    <w:p w14:paraId="372E2A6A" w14:textId="77777777" w:rsidR="005A4715" w:rsidRPr="00D7045C" w:rsidRDefault="005A4715" w:rsidP="005A4715">
      <w:pPr>
        <w:pStyle w:val="Heading4"/>
        <w:rPr>
          <w:rFonts w:cs="Times New Roman"/>
        </w:rPr>
      </w:pPr>
      <w:r w:rsidRPr="00D7045C">
        <w:rPr>
          <w:rFonts w:cs="Times New Roman"/>
        </w:rPr>
        <w:t xml:space="preserve">Massive racial achievement gaps prove racial inequality tied to unequal school resources </w:t>
      </w:r>
    </w:p>
    <w:p w14:paraId="011DF4E9" w14:textId="77777777" w:rsidR="005A4715" w:rsidRPr="00D7045C" w:rsidRDefault="005A4715" w:rsidP="005A4715">
      <w:pPr>
        <w:rPr>
          <w:rStyle w:val="Style13ptBold"/>
        </w:rPr>
      </w:pPr>
      <w:r w:rsidRPr="00D7045C">
        <w:rPr>
          <w:rStyle w:val="Style13ptBold"/>
        </w:rPr>
        <w:t xml:space="preserve">Rabinovitz 16 </w:t>
      </w:r>
      <w:r w:rsidRPr="00D7045C">
        <w:t xml:space="preserve">(Jonathan, author for the Stanford News and Degree from Berkeley Graduate School of Journalism, 4-29-2016, "Local education inequities across U.S.," </w:t>
      </w:r>
      <w:hyperlink r:id="rId30" w:history="1">
        <w:r w:rsidRPr="00D7045C">
          <w:rPr>
            <w:rStyle w:val="Hyperlink"/>
          </w:rPr>
          <w:t>http://news.stanford.edu/2016/04/29/local-education-inequities-across-u-s-revealed-new-stanford-data-set/)</w:t>
        </w:r>
      </w:hyperlink>
      <w:r w:rsidRPr="00D7045C">
        <w:t xml:space="preserve"> AL</w:t>
      </w:r>
      <w:r w:rsidRPr="00D7045C">
        <w:rPr>
          <w:rStyle w:val="Style13ptBold"/>
        </w:rPr>
        <w:t xml:space="preserve"> </w:t>
      </w:r>
    </w:p>
    <w:p w14:paraId="75493E4C" w14:textId="77777777" w:rsidR="005A4715" w:rsidRPr="00D7045C" w:rsidRDefault="005A4715" w:rsidP="005A4715">
      <w:pPr>
        <w:rPr>
          <w:sz w:val="16"/>
        </w:rPr>
      </w:pPr>
      <w:r w:rsidRPr="00D7045C">
        <w:rPr>
          <w:rStyle w:val="StyleUnderline"/>
        </w:rPr>
        <w:t>Almost every school district enrolling large numbers of low-income students has an average academic performance significantly below the national grade-level average, according to Stanford Graduate School of Education research based on a massive new data set</w:t>
      </w:r>
      <w:r w:rsidRPr="00D7045C">
        <w:rPr>
          <w:sz w:val="16"/>
        </w:rPr>
        <w:t xml:space="preserve"> recently created from more than 200 million test scores. The research also revealed that </w:t>
      </w:r>
      <w:r w:rsidRPr="00D7045C">
        <w:rPr>
          <w:rStyle w:val="StyleUnderline"/>
        </w:rPr>
        <w:t>nearly all U.S. school districts with substantial minority populations have large achievement gaps between their white and black and white and Hispanic students.</w:t>
      </w:r>
      <w:r w:rsidRPr="00D7045C">
        <w:rPr>
          <w:sz w:val="16"/>
        </w:rPr>
        <w:t xml:space="preserve"> elementary school students reading at classroom desks New Stanford research on education inequity is based on a data set of more than 200 million test scores from 40 million third through eighth graders in every public school district nationwide. The data, which were made available online April 29, provide the most detailed account yet of academic disparities nationwide. They comprise reading and math test results of some 40 million 3rd to 8th grade students during 2009-13 in every public school district in the country, along with information about socioeconomic status, school district characteristics, and racial and economic segregation. “We don’t administer a single standardized exam to all U.S. students, so a clear picture of the differences in academic performance across schools and districts has been elusive up until now,” said Sean Reardon, the Stanford education professor who devised the statistical methods that make it possible to compare the mandatory tests administered in different states. “It’s now much easier to identify school districts and communities where performance is high, compare them with demographically similar ones that do less well and try to determine what’s behind the differences.” Educational inequality Reardon and colleagues already have been examining the data and identifying key patterns in educational inequality. Among their findings: One sixth of all students attend public school in school districts where average test scores are more than a grade level below the national average; one sixth are in districts where test scores are more than a grade level above the national average. </w:t>
      </w:r>
      <w:r w:rsidRPr="00D7045C">
        <w:rPr>
          <w:rStyle w:val="StyleUnderline"/>
        </w:rPr>
        <w:t>The most and least socioeconomically advantaged districts have average performance levels more than four grade levels apart.</w:t>
      </w:r>
      <w:r w:rsidRPr="00D7045C">
        <w:rPr>
          <w:sz w:val="16"/>
        </w:rPr>
        <w:t xml:space="preserve"> </w:t>
      </w:r>
      <w:r w:rsidRPr="00D7045C">
        <w:rPr>
          <w:rStyle w:val="StyleUnderline"/>
        </w:rPr>
        <w:t>Average test scores of black students are, on average, roughly two grade levels lower than those of white students in the same district; the Hispanic-white difference is roughly one- and-a-half grade levels.</w:t>
      </w:r>
      <w:r w:rsidRPr="00D7045C">
        <w:rPr>
          <w:sz w:val="16"/>
        </w:rPr>
        <w:t xml:space="preserve"> </w:t>
      </w:r>
      <w:r w:rsidRPr="00D7045C">
        <w:rPr>
          <w:rStyle w:val="StyleUnderline"/>
        </w:rPr>
        <w:t>Achievement gaps are larger in districts where black and Hispanic students attend higher poverty schools than their white peers; where parents on average have high levels of educational attainment; and where large racial/ethnic gaps exist in parents’ educational attainment</w:t>
      </w:r>
      <w:r w:rsidRPr="00D7045C">
        <w:rPr>
          <w:sz w:val="16"/>
        </w:rPr>
        <w:t>. The size of the gaps has little or no association with average class size, a district’s per capita student spending or charter school enrollment. The researchers stress that their findings do not prove cause and effect, though they do point to promising areas for further study. “The socioeconomic profile of a district is a powerful predictor of the average test score performance of students in that district,” Reardon said. “Nonetheless, poverty is not destiny: There are districts with similarly low-income student populations where academic performance is higher than others. We can – and should – learn from such places to guide community and school improvement efforts in other communities.” Racial segregation In a paper posted online accompanying the data, Reardon specifically examines the relationship between segregation and academic achievement. Reardon uses 16 different measures of segregation to identify which aspects of racial segregation are most strongly associated with academic achievement. “</w:t>
      </w:r>
      <w:r w:rsidRPr="00D7045C">
        <w:rPr>
          <w:rStyle w:val="StyleUnderline"/>
        </w:rPr>
        <w:t>The racial difference in the proportion of students’ schoolmates who are poor is the key dimension of segregation driving [the association</w:t>
      </w:r>
      <w:r w:rsidRPr="00D7045C">
        <w:rPr>
          <w:sz w:val="16"/>
        </w:rPr>
        <w:t xml:space="preserve">],” he writes. Education Professor Sean Reardon Education Professor Sean Reardon devised the statistical methods that made it possible to compare across schools and districts the mandatory standardized tests administered in different statesThe finding leads Reardon to suggest that </w:t>
      </w:r>
      <w:r w:rsidRPr="00D7045C">
        <w:rPr>
          <w:rStyle w:val="Emphasis"/>
        </w:rPr>
        <w:t xml:space="preserve">racial segregation is inextricably linked to unequal allocation of resources among schools; </w:t>
      </w:r>
      <w:r w:rsidRPr="00D7045C">
        <w:rPr>
          <w:rStyle w:val="StyleUnderline"/>
        </w:rPr>
        <w:t xml:space="preserve">and that </w:t>
      </w:r>
      <w:r w:rsidRPr="00D7045C">
        <w:rPr>
          <w:rStyle w:val="Emphasis"/>
        </w:rPr>
        <w:t>policies that don’t address this will fail to remedy racial inequality. “</w:t>
      </w:r>
      <w:r w:rsidRPr="00D7045C">
        <w:rPr>
          <w:rStyle w:val="StyleUnderline"/>
        </w:rPr>
        <w:t>In sum, racial integration remains essential for reducing racial disparities in school poverty rates,”</w:t>
      </w:r>
      <w:r w:rsidRPr="00D7045C">
        <w:rPr>
          <w:sz w:val="16"/>
        </w:rPr>
        <w:t xml:space="preserve"> he concludes. In another paper posted with the data, Reardon and colleagues focus on how geography correlates with disparities by race and ethnicity. The researchers identify large white‐black achievement gaps in such major school districts as Atlanta; Auburn City, Alabama; Oakland, California; Tuscaloosa, Alabama; Charleston, South Carolina; and Washington, D.C. They also find significant black-white gaps in a number of smaller school districts that are home to major universities: Berkeley, California; Chapel Hill, North Carolina; Charlottesville, Virginia; Evanston, Illinois; and University City, Missouri. According to the researchers, the list of places with the largest white‐Hispanic gaps includes Atlanta, Berkeley, Chapel Hill and Washington, D.C. “One very important takeaway is that </w:t>
      </w:r>
      <w:r w:rsidRPr="00D7045C">
        <w:rPr>
          <w:rStyle w:val="StyleUnderline"/>
        </w:rPr>
        <w:t xml:space="preserve">there is not one single race/ethnic gap or income gap in the U.S. but rather that these </w:t>
      </w:r>
      <w:r w:rsidRPr="00D7045C">
        <w:rPr>
          <w:rStyle w:val="Emphasis"/>
        </w:rPr>
        <w:t>gaps vary considerably by where one lives</w:t>
      </w:r>
      <w:r w:rsidRPr="00D7045C">
        <w:rPr>
          <w:rStyle w:val="StyleUnderline"/>
        </w:rPr>
        <w:t>,”</w:t>
      </w:r>
      <w:r w:rsidRPr="00D7045C">
        <w:rPr>
          <w:sz w:val="16"/>
        </w:rPr>
        <w:t xml:space="preserve"> said Jane Waldfogel, professor of social work and public affairs at Columbia University and an authority on early childhood and inequality. “This raises the challenge for all of us as researchers to better understand what drives that geographic variation and in particular to understand what factors help lead to smaller gaps.” Rucker Johnson, an economist at the University of California, Berkeley, who studies inequality in education, added: “The new data will allow future studies to merge other data about school practices and school context to investigate the extent to which these achievement gaps can be traced back to – and are causally related to – educational opportunity gaps and specific aspects of school quality.” Neither Waldfogel nor Johnson were directly involved with the Stanford research. Reardon noted that the testing data have a small margin of error. “The data should not be used to rank school districts whose performance differs only slightly,” he said. He also warned that the achievement patterns identified in the research do not indicate which school districts are more effective than others. “Test scores are shaped by many factors: home environments, neighborhoods, childcare and preschool experiences, and after-school experiences, as well as by school experiences,” he said. The two studies and the data can be downloaded free from the Stanford Education Data Archive, which also has maps, graphs, charts and explanatory text. Although neither of the papers has yet been published, the paper by Reardon has been peer reviewed and accepted for publication by Russell Sage Foundation Journal of the Social Sciences. The data and research findings also have been presented by Reardon at a number of scholarly conferences, including the Association for Public Policy and Management’s 2015 research conference. The research was supported by grants from the U.S. Department of Education’s Institute of Education Sciences, the Spencer Foundation and the William T. Grant Foundation. Reardon’s research team at Stanford includes research associate Demetra Kalogrides, recent PhD recipient Kenneth Shores and doctoral student Ben Shear. Andrew Ho of Harvard Graduate School of Education and Katherine Castellano of UC-Berkeley Graduate School of Education also worked with Reardon on the project.</w:t>
      </w:r>
    </w:p>
    <w:p w14:paraId="15E7D789" w14:textId="77777777" w:rsidR="005A4715" w:rsidRPr="00D7045C" w:rsidRDefault="005A4715" w:rsidP="005A4715">
      <w:pPr>
        <w:pStyle w:val="Heading4"/>
        <w:rPr>
          <w:rFonts w:cs="Times New Roman"/>
        </w:rPr>
      </w:pPr>
      <w:r w:rsidRPr="00D7045C">
        <w:rPr>
          <w:rFonts w:cs="Times New Roman"/>
        </w:rPr>
        <w:t xml:space="preserve">Modern schooling segregation sustains white supremacy </w:t>
      </w:r>
    </w:p>
    <w:p w14:paraId="7A444D67" w14:textId="77777777" w:rsidR="005A4715" w:rsidRPr="00D7045C" w:rsidRDefault="005A4715" w:rsidP="005A4715">
      <w:pPr>
        <w:rPr>
          <w:rStyle w:val="Style13ptBold"/>
        </w:rPr>
      </w:pPr>
      <w:r w:rsidRPr="00D7045C">
        <w:rPr>
          <w:rStyle w:val="Style13ptBold"/>
        </w:rPr>
        <w:t xml:space="preserve">Scott and Keisch 15 </w:t>
      </w:r>
      <w:r w:rsidRPr="00D7045C">
        <w:t xml:space="preserve">(Tim Scott, PhD. in Social Justice Education and Cultural Political Economy, Deborah Keisch, PhD. in Anthropology from University of Massachusetts, Aug. 2 2015, “US Education Reform and the Maintenance of White Supremacy Through Structural Violence,” </w:t>
      </w:r>
      <w:hyperlink r:id="rId31" w:history="1">
        <w:r w:rsidRPr="00D7045C">
          <w:rPr>
            <w:rStyle w:val="Hyperlink"/>
          </w:rPr>
          <w:t>http://www.truth-out.org/news/item/32171-us-education-reform-and-the-maintenance-of-white-supremacy-through-structural-violence)</w:t>
        </w:r>
      </w:hyperlink>
      <w:r w:rsidRPr="00D7045C">
        <w:t xml:space="preserve"> AL</w:t>
      </w:r>
    </w:p>
    <w:p w14:paraId="295A4FD2" w14:textId="77777777" w:rsidR="005A4715" w:rsidRPr="00D7045C" w:rsidRDefault="005A4715" w:rsidP="005A4715">
      <w:pPr>
        <w:rPr>
          <w:rStyle w:val="StyleUnderline"/>
        </w:rPr>
      </w:pPr>
      <w:r w:rsidRPr="00D7045C">
        <w:rPr>
          <w:sz w:val="16"/>
        </w:rPr>
        <w:t xml:space="preserve">In the midst of the writing of this article, white police officer Darren Wilson shot and killed unarmed, 18-year old Michael Brown in Ferguson, Missouri. The events that quickly followed—Brown’s bloody body left lying for hours in the street for all to see; the violent militarized police response to community expressions of pain and anger; the perpetuation of a blaming narrative about racial violence by framing Brown as a wilding “demon” who attacked Wilson which provided the subterfuge to exonerate Wilson of the crime; and establishment leaders pathologizing the ensuing social unrest—are emblematic of a deeply rooted violent design in U.S. society. Michael Brown’s murder is just one of countless reminders that </w:t>
      </w:r>
      <w:r w:rsidRPr="00D7045C">
        <w:rPr>
          <w:rStyle w:val="StyleUnderline"/>
        </w:rPr>
        <w:t xml:space="preserve">we live in a society that deems the lives of Black and Brown people disposable. </w:t>
      </w:r>
      <w:r w:rsidRPr="00D7045C">
        <w:rPr>
          <w:rStyle w:val="Emphasis"/>
        </w:rPr>
        <w:t>This disposability is never so evident than in the vast racial inequities that have always existed within the U.S. public school system, and now being intensified through policies known as corporate education reform as exemplified by No Child Left Behind and Race to the Top</w:t>
      </w:r>
      <w:r w:rsidRPr="00D7045C">
        <w:rPr>
          <w:sz w:val="16"/>
        </w:rPr>
        <w:t xml:space="preserve">. Charles Blow wrote in the New York Times that “Brown’s mother told a local television station after he was killed just weeks after his high school graduation: “Do you know how hard it was for me to get him to stay in school and graduate? You know how many black men graduate? Not many. Because you bring them down to this type of level, where they feel like they don’t got nothing to live for anyway. ‘They’re going to try to take me out anyway’” (Blow, 2014, para. 22). Poignantly, two months prior to his killing, </w:t>
      </w:r>
      <w:r w:rsidRPr="00D7045C">
        <w:rPr>
          <w:rStyle w:val="StyleUnderline"/>
        </w:rPr>
        <w:t>education historian Diane Ravitch wrote about Brown’s school district, citing it as an egregious example of the neglect of the nation’s promise to end racial segregation in school</w:t>
      </w:r>
      <w:r w:rsidRPr="00D7045C">
        <w:rPr>
          <w:sz w:val="16"/>
        </w:rPr>
        <w:t xml:space="preserve">s. She wrote: That district had been a high-achieving all-white district in the 1950s. After years of white flight, the district became all-African-American. As its test scores fell, the state of Missouri put the district on provisional accreditation. Help was definitely not on the way. After 18 years of provisional accreditation, the state merged the struggling Normandy district with another struggling, all-black district that had been under state supervision for five years. After the merger, the new district was stripped of accreditation (Ravitch, 2014, para. 1). </w:t>
      </w:r>
      <w:r w:rsidRPr="00D7045C">
        <w:rPr>
          <w:rStyle w:val="StyleUnderline"/>
        </w:rPr>
        <w:t xml:space="preserve">Michael Brown’s school district, like </w:t>
      </w:r>
      <w:r w:rsidRPr="00D7045C">
        <w:rPr>
          <w:rStyle w:val="Emphasis"/>
        </w:rPr>
        <w:t>many other poor and under resourced districts in the country, is one of numerous examples of the ongoing legacy of institutionalized racism in U.S. society</w:t>
      </w:r>
      <w:r w:rsidRPr="00D7045C">
        <w:rPr>
          <w:rStyle w:val="StyleUnderline"/>
        </w:rPr>
        <w:t xml:space="preserve"> and in U.S. schools</w:t>
      </w:r>
      <w:r w:rsidRPr="00D7045C">
        <w:rPr>
          <w:sz w:val="16"/>
        </w:rPr>
        <w:t xml:space="preserve">. If current policymakers were truly working toward justice in public schooling, it would follow that we would see all children enjoying the privileges of schooling environments that the children of the elite experience. Civil rights activist and the first female African American judge in Alabama, Faya Rouse Touré, critically poses this question, exposing the contradictions between policymakers’ rhetoric and their practices. </w:t>
      </w:r>
      <w:r w:rsidRPr="00D7045C">
        <w:rPr>
          <w:rStyle w:val="StyleUnderline"/>
        </w:rPr>
        <w:t>She contemplates why anyone wouldn’t want an education system that is humane for all children, where every child has the opportunity and the preparation to achieve his or her potential</w:t>
      </w:r>
      <w:r w:rsidRPr="00D7045C">
        <w:rPr>
          <w:sz w:val="16"/>
        </w:rPr>
        <w:t xml:space="preserve">. </w:t>
      </w:r>
      <w:r w:rsidRPr="00D7045C">
        <w:rPr>
          <w:rStyle w:val="StyleUnderline"/>
        </w:rPr>
        <w:t xml:space="preserve">Education systems in all societies are designed to serve as the primary institutions that reproduce dominant social and economic orders, customs and beliefs systems. In </w:t>
      </w:r>
      <w:r w:rsidRPr="00D7045C">
        <w:rPr>
          <w:rStyle w:val="Emphasis"/>
        </w:rPr>
        <w:t>U.S. public education, this makes schooling a function of capitalism, white supremacy and their intrinsic restraints on democracy and social equality</w:t>
      </w:r>
      <w:r w:rsidRPr="00D7045C">
        <w:rPr>
          <w:rStyle w:val="StyleUnderline"/>
        </w:rPr>
        <w:t>.</w:t>
      </w:r>
      <w:r w:rsidRPr="00D7045C">
        <w:rPr>
          <w:sz w:val="16"/>
        </w:rPr>
        <w:t xml:space="preserve"> Current efforts to reform primary and secondary public education are based within the violence of white supremacy aligned with the broader brutality of neoliberalism. Elite, Eurocentric education policymakers continue to espouse a language of equity while simultaneously maintaining private elite schools for their own children, spaces that look nothing like the ones they are designing for the masses. </w:t>
      </w:r>
      <w:r w:rsidRPr="00D7045C">
        <w:rPr>
          <w:rStyle w:val="StyleUnderline"/>
        </w:rPr>
        <w:t>This results in a hyper intensification of the sorting of students based on their “value” as defined by a neoliberal worldview steeped in white supremacy. In this system, those identified to have the least amount of value are ultimately deemed disposable.</w:t>
      </w:r>
    </w:p>
    <w:p w14:paraId="08B4F83E" w14:textId="77777777" w:rsidR="005A4715" w:rsidRPr="00D7045C" w:rsidRDefault="005A4715" w:rsidP="005A4715">
      <w:pPr>
        <w:pStyle w:val="Heading4"/>
        <w:rPr>
          <w:rFonts w:cs="Times New Roman"/>
        </w:rPr>
      </w:pPr>
      <w:r w:rsidRPr="00D7045C">
        <w:rPr>
          <w:rFonts w:cs="Times New Roman"/>
        </w:rPr>
        <w:t>Spatial Segregation empowers whiteness to secure resources and positions of power</w:t>
      </w:r>
    </w:p>
    <w:p w14:paraId="21A42AE8" w14:textId="77777777" w:rsidR="005A4715" w:rsidRPr="00D7045C" w:rsidRDefault="005A4715" w:rsidP="005A4715">
      <w:pPr>
        <w:rPr>
          <w:rStyle w:val="Style13ptBold"/>
        </w:rPr>
      </w:pPr>
      <w:r w:rsidRPr="00D7045C">
        <w:rPr>
          <w:rStyle w:val="Style13ptBold"/>
        </w:rPr>
        <w:t xml:space="preserve">Nightingale 15 </w:t>
      </w:r>
      <w:r w:rsidRPr="00D7045C">
        <w:t xml:space="preserve">(Carl, associate prof. of urban and world history at the University at Buffalo, University of New York, Mar. 2015, “Spatial Segregation and Neighborhoods,” </w:t>
      </w:r>
      <w:hyperlink r:id="rId32" w:history="1">
        <w:r w:rsidRPr="00D7045C">
          <w:rPr>
            <w:rStyle w:val="Hyperlink"/>
          </w:rPr>
          <w:t>http://americanhistory.oxfordre.com/view/10.1093/acrefore/9780199329175.001.0001/acrefore-9780199329175-e-62)</w:t>
        </w:r>
      </w:hyperlink>
      <w:r w:rsidRPr="00D7045C">
        <w:t xml:space="preserve"> AL</w:t>
      </w:r>
      <w:r w:rsidRPr="00D7045C">
        <w:rPr>
          <w:rStyle w:val="Style13ptBold"/>
        </w:rPr>
        <w:t xml:space="preserve"> </w:t>
      </w:r>
    </w:p>
    <w:p w14:paraId="320ECB97" w14:textId="77777777" w:rsidR="005A4715" w:rsidRPr="00D7045C" w:rsidRDefault="005A4715" w:rsidP="005A4715">
      <w:pPr>
        <w:rPr>
          <w:sz w:val="16"/>
        </w:rPr>
      </w:pPr>
      <w:r w:rsidRPr="00D7045C">
        <w:rPr>
          <w:rStyle w:val="StyleUnderline"/>
        </w:rPr>
        <w:t>Very often, groups of newcomers to cities cluster in so-called vestibule neighborhoods reception areas, or ports of entry with people of the same place of origin, language, or culture</w:t>
      </w:r>
      <w:r w:rsidRPr="00D7045C">
        <w:rPr>
          <w:sz w:val="16"/>
        </w:rPr>
        <w:t xml:space="preserve">. Because they have served as powerful magnets for </w:t>
      </w:r>
      <w:r w:rsidRPr="00D7045C">
        <w:t>immigrants, many American cities have had several or even dozens of these neighborhoods.</w:t>
      </w:r>
      <w:r w:rsidRPr="00D7045C">
        <w:rPr>
          <w:rStyle w:val="StyleUnderline"/>
        </w:rPr>
        <w:t xml:space="preserve"> This process of clustering is often misleadingly called “voluntary segregation” or even “good segregation”—to distinguish it from “forced” or “bad” segregation. The distinction is misleading for several reasons</w:t>
      </w:r>
      <w:r w:rsidRPr="00D7045C">
        <w:t xml:space="preserve">. First, </w:t>
      </w:r>
      <w:r w:rsidRPr="00D7045C">
        <w:rPr>
          <w:rStyle w:val="StyleUnderline"/>
        </w:rPr>
        <w:t>“forced” segregation is itself the most “voluntary” of all forms of segregation</w:t>
      </w:r>
      <w:r w:rsidRPr="00D7045C">
        <w:rPr>
          <w:sz w:val="16"/>
        </w:rPr>
        <w:t xml:space="preserve">. </w:t>
      </w:r>
      <w:r w:rsidRPr="00D7045C">
        <w:rPr>
          <w:rStyle w:val="StyleUnderline"/>
        </w:rPr>
        <w:t>Racist segregationists have the will, the clear purpose, and the actual power both to live together and to exclude others from their neighborhoods</w:t>
      </w:r>
      <w:r w:rsidRPr="00D7045C">
        <w:rPr>
          <w:sz w:val="16"/>
        </w:rPr>
        <w:t xml:space="preserve">. Thus, they go about their business in the fullest sense of the word “voluntary.” </w:t>
      </w:r>
      <w:r w:rsidRPr="00D7045C">
        <w:rPr>
          <w:rStyle w:val="StyleUnderline"/>
        </w:rPr>
        <w:t>Immigrant groups</w:t>
      </w:r>
      <w:r w:rsidRPr="00D7045C">
        <w:rPr>
          <w:sz w:val="16"/>
        </w:rPr>
        <w:t>, by contrast, m</w:t>
      </w:r>
      <w:r w:rsidRPr="00D7045C">
        <w:rPr>
          <w:rStyle w:val="StyleUnderline"/>
        </w:rPr>
        <w:t>ay wish to cluster together, but</w:t>
      </w:r>
      <w:r w:rsidRPr="00D7045C">
        <w:rPr>
          <w:sz w:val="16"/>
        </w:rPr>
        <w:t xml:space="preserve"> they </w:t>
      </w:r>
      <w:r w:rsidRPr="00D7045C">
        <w:rPr>
          <w:rStyle w:val="StyleUnderline"/>
        </w:rPr>
        <w:t>rarely have the institutional power to exclude others from their reception areas</w:t>
      </w:r>
      <w:r w:rsidRPr="00D7045C">
        <w:rPr>
          <w:sz w:val="16"/>
        </w:rPr>
        <w:t xml:space="preserve">, whether or not they had the collective will to do so. Though some “ethnic neighborhoods” contained a clustering of businesses, places of worship, and ethnically based associations of one group, they were almost always multiethnic and even in some cases multicolored. In the United States, </w:t>
      </w:r>
      <w:r w:rsidRPr="00D7045C">
        <w:rPr>
          <w:rStyle w:val="StyleUnderline"/>
        </w:rPr>
        <w:t>only when elite white segregationists made the Chicago-inspired segregationist policies of government and private institutions available to groups of immigrants deemed “white” did those groups actively participate in excluding “non-whites,”</w:t>
      </w:r>
      <w:r w:rsidRPr="00D7045C">
        <w:rPr>
          <w:sz w:val="16"/>
        </w:rPr>
        <w:t xml:space="preserve"> including African Americans, Latino Americans, and occasionally Asian Americans. Indeed, the jury is out on exactly how “good” clustering really is for newcomers. For most, </w:t>
      </w:r>
      <w:r w:rsidRPr="00D7045C">
        <w:rPr>
          <w:rStyle w:val="StyleUnderline"/>
        </w:rPr>
        <w:t>access to superior prospects means the ability to move freely to neighborhoods that are closer to the employment and educational opportunities</w:t>
      </w:r>
      <w:r w:rsidRPr="00D7045C">
        <w:rPr>
          <w:sz w:val="16"/>
        </w:rPr>
        <w:t xml:space="preserve"> that best suit individual households. Because of the system of racial segregation that came to rule U.S. cities, the right to seek out greater opportunity eventually meant the ability to disperse “voluntarily” into suburban areas. </w:t>
      </w:r>
      <w:r w:rsidRPr="00D7045C">
        <w:rPr>
          <w:rStyle w:val="Emphasis"/>
        </w:rPr>
        <w:t>This was the path followed by virtually all immigrant groups who achieved “white” status.</w:t>
      </w:r>
      <w:r w:rsidRPr="00D7045C">
        <w:rPr>
          <w:sz w:val="16"/>
        </w:rPr>
        <w:t xml:space="preserve"> Yet, that right was precisely what the same segregationist system denied to most people of color.3 </w:t>
      </w:r>
      <w:r w:rsidRPr="00D7045C">
        <w:rPr>
          <w:rStyle w:val="StyleUnderline"/>
        </w:rPr>
        <w:t>The bleak consequences of neighborhood racial segregation for African Americans and Hispanic Americans (especially those with darker-skin color) are well documented.</w:t>
      </w:r>
      <w:r w:rsidRPr="00D7045C">
        <w:rPr>
          <w:sz w:val="16"/>
        </w:rPr>
        <w:t xml:space="preserve"> These include </w:t>
      </w:r>
      <w:r w:rsidRPr="00D7045C">
        <w:rPr>
          <w:rStyle w:val="StyleUnderline"/>
        </w:rPr>
        <w:t>poor access to those areas of the city with the most dynamic job growth because of the distances involved, physical barriers, discriminatory law enforcement techniques such as racial profiling in traffic stops, or the lack of transport.</w:t>
      </w:r>
      <w:r w:rsidRPr="00D7045C">
        <w:rPr>
          <w:sz w:val="16"/>
        </w:rPr>
        <w:t xml:space="preserve"> Obstacles to accruing wealth through the housing market have included low housing appreciation rates, higher home mortgage and insurance costs, and lack of access to maintenance capital</w:t>
      </w:r>
      <w:r w:rsidRPr="00D7045C">
        <w:rPr>
          <w:rStyle w:val="StyleUnderline"/>
        </w:rPr>
        <w:t>. Barriers to high-quality education stemmed from systems of school financing based on local property tax receipts</w:t>
      </w:r>
      <w:r w:rsidRPr="00D7045C">
        <w:rPr>
          <w:sz w:val="16"/>
        </w:rPr>
        <w:t xml:space="preserve">. Draconian law enforcement campaigns, such as the War on Crime and the War on Drugs, have singled out segregated neighborhoods of color resulting in a massive outflow of their residents to prisons, and a greater risk of violent death at the hands of police officers. Other consequences include relative absence of healthy food due to lower local investment in full-service food markets, poorer water quality, greater exposure to household and industrial toxins, and inadequate health-care facilities. All of these factors resulted in poorer health and lower life expectancy. In many African American neighborhoods in the United States residents live shorter lives than residents of some of the least-developed countries of the world. </w:t>
      </w:r>
      <w:r w:rsidRPr="00D7045C">
        <w:rPr>
          <w:rStyle w:val="Emphasis"/>
        </w:rPr>
        <w:t>Once segregationists put residential color boundaries in place, they can rely upon the very fabric of urban space to help them hoard resources and power in their favored neighborhoods and to enable early death in neighborhoods they marginalize.</w:t>
      </w:r>
      <w:r w:rsidRPr="00D7045C">
        <w:rPr>
          <w:sz w:val="16"/>
        </w:rPr>
        <w:t xml:space="preserve"> Initially an act of political will, segregation thus also becomes an exemplary instance of the “agency” of the city itself—one that weakens cities’ vaunted capacity to deliver general improvement to the masses of humanity that have become urban residents during our own era.</w:t>
      </w:r>
    </w:p>
    <w:p w14:paraId="7CA53A5E" w14:textId="77777777" w:rsidR="005A4715" w:rsidRPr="00D7045C" w:rsidRDefault="005A4715" w:rsidP="005A4715">
      <w:pPr>
        <w:rPr>
          <w:sz w:val="16"/>
        </w:rPr>
      </w:pPr>
    </w:p>
    <w:p w14:paraId="69BD122B" w14:textId="77777777" w:rsidR="00AF489C" w:rsidRPr="00D7045C" w:rsidRDefault="00AF489C" w:rsidP="00AF489C">
      <w:pPr>
        <w:pStyle w:val="Heading4"/>
        <w:rPr>
          <w:rFonts w:cs="Times New Roman"/>
        </w:rPr>
      </w:pPr>
      <w:r w:rsidRPr="00D7045C">
        <w:rPr>
          <w:rFonts w:cs="Times New Roman"/>
        </w:rPr>
        <w:t xml:space="preserve">Racialized spaces, such as school segregation, disadvantages communities of color and legitimizes and privileges whiteness—this </w:t>
      </w:r>
      <w:r w:rsidRPr="00D7045C">
        <w:rPr>
          <w:rFonts w:cs="Times New Roman"/>
          <w:i/>
        </w:rPr>
        <w:t xml:space="preserve">systemic disadvantagement </w:t>
      </w:r>
      <w:r w:rsidRPr="00D7045C">
        <w:rPr>
          <w:rFonts w:cs="Times New Roman"/>
        </w:rPr>
        <w:t>is structurally designed as an impediment to the advancement and access to resources of communities of color</w:t>
      </w:r>
    </w:p>
    <w:p w14:paraId="156EFCBA" w14:textId="77777777" w:rsidR="00AF489C" w:rsidRPr="00D7045C" w:rsidRDefault="00AF489C" w:rsidP="00AF489C">
      <w:r w:rsidRPr="00D7045C">
        <w:rPr>
          <w:rStyle w:val="Style13ptBold"/>
        </w:rPr>
        <w:t>Lipsitz 11</w:t>
      </w:r>
      <w:r w:rsidRPr="00D7045C">
        <w:t xml:space="preserve"> (George, PhD, prof of American studies and black studies at UC Santa Barbara, “How Racism Takes Place,” p.10) KC</w:t>
      </w:r>
    </w:p>
    <w:p w14:paraId="5DE21DC5" w14:textId="77777777" w:rsidR="00AF489C" w:rsidRPr="00D7045C" w:rsidRDefault="00AF489C" w:rsidP="00AF489C">
      <w:pPr>
        <w:rPr>
          <w:rStyle w:val="StyleUnderline"/>
        </w:rPr>
      </w:pPr>
      <w:r w:rsidRPr="00D7045C">
        <w:rPr>
          <w:rStyle w:val="StyleUnderline"/>
        </w:rPr>
        <w:t xml:space="preserve"> Relations between races are relations between places</w:t>
      </w:r>
      <w:r w:rsidRPr="00D7045C">
        <w:rPr>
          <w:sz w:val="16"/>
        </w:rPr>
        <w:t xml:space="preserve">, as the work of geographer laura Pulido demonstrates.11 </w:t>
      </w:r>
      <w:r w:rsidRPr="00D7045C">
        <w:rPr>
          <w:rStyle w:val="StyleUnderline"/>
        </w:rPr>
        <w:t xml:space="preserve">White identity in the United States is place bound. </w:t>
      </w:r>
      <w:r w:rsidRPr="00D7045C">
        <w:rPr>
          <w:rStyle w:val="Emphasis"/>
        </w:rPr>
        <w:t>It exists and persists because</w:t>
      </w:r>
      <w:r w:rsidRPr="00D7045C">
        <w:rPr>
          <w:rStyle w:val="StyleUnderline"/>
        </w:rPr>
        <w:t xml:space="preserve"> segregated neighborhoods </w:t>
      </w:r>
      <w:r w:rsidRPr="00D7045C">
        <w:rPr>
          <w:rStyle w:val="Emphasis"/>
        </w:rPr>
        <w:t>and segregated schools are nodes in a network of practices that skew opportunities and life chances along racial lines</w:t>
      </w:r>
      <w:r w:rsidRPr="00D7045C">
        <w:rPr>
          <w:rStyle w:val="StyleUnderline"/>
        </w:rPr>
        <w:t>.</w:t>
      </w:r>
      <w:r w:rsidRPr="00D7045C">
        <w:rPr>
          <w:sz w:val="16"/>
        </w:rPr>
        <w:t xml:space="preserve"> </w:t>
      </w:r>
      <w:r w:rsidRPr="00D7045C">
        <w:rPr>
          <w:rStyle w:val="StyleUnderline"/>
        </w:rPr>
        <w:t>Because of practices that racialize space and spatialize race, whiteness is learned and legitimated, perceived as natural, necessary, and inevitable. Racialized space gives whites privileged access to opportunities for social inclusion and upward mobility. At the same time, it imposes unfair and unjust forms of exploitation and exclusion on aggrieved communities of color. Racialized space shapes nearly every aspect of urban life. The racial imagination that relegates people of different races to different spaces produces grossly unequal access to education, employment, transportation, and shelter. It exposes communities of color disproportionately to environmental hazards and social nuisances while offering whites privileged access to economic opportunities, social amenities, and valuable personal networks. The lived experience of race takes place in actual spaces, while the lived experience of place draws its determinate logic from overt and covert understandings of race.</w:t>
      </w:r>
      <w:r w:rsidRPr="00D7045C">
        <w:rPr>
          <w:sz w:val="16"/>
        </w:rPr>
        <w:t xml:space="preserve"> Yet a  s I attempt to demonstrate in this book, the actual long-term interests of whites are often damaged by spatial relations that purportedly benefit them, while Black negotiations with the constraints and confinements of racialized space often produce ways of envisioning and enacting more decent, dignified, humane, and egalitarian social relations for everyone. People of different races do not inhabit different places by choice. Housing and lending discrimination, the design of school district boundaries, zoning regulations, policing strategies, the location of highways and transit systems, and a host of tax subsidies do disastrous work by making places synonymous with races. </w:t>
      </w:r>
      <w:r w:rsidRPr="00D7045C">
        <w:rPr>
          <w:rStyle w:val="StyleUnderline"/>
        </w:rPr>
        <w:t>The racial meaning of place makes American whiteness one of the most systematically subsidized identities in the world. It enables whites to own homes that appreciate in value and generate assets passed down to subsequent generations.</w:t>
      </w:r>
      <w:r w:rsidRPr="00D7045C">
        <w:rPr>
          <w:sz w:val="16"/>
        </w:rPr>
        <w:t xml:space="preserve"> At the same time, Blacks confront an artificially constricted housing market that often forces them to remain renters unable to take advantage of the subsidies that homeowners receive from the tax code. When they do manage to own homes, Blacks are forced to do so on terms that compel them to pay more for dwellings that are worth less and appreciate in value more slowly than comparable homes inhabited by whites. </w:t>
      </w:r>
      <w:r w:rsidRPr="00D7045C">
        <w:rPr>
          <w:rStyle w:val="Emphasis"/>
        </w:rPr>
        <w:t>Housing and school segregation function to channel white children into well equipped classrooms with experienced teachers while crowding Black children into ill-equipped buildings where they are taught by inexperienced teachers and surrounded by impoverished classmates many of whom suffer from lead poisoning, malnutrition, and a variety of undiagnosed and untreated disabilities</w:t>
      </w:r>
      <w:r w:rsidRPr="00D7045C">
        <w:rPr>
          <w:sz w:val="16"/>
        </w:rPr>
        <w:t xml:space="preserve">. The estimated four million violations of federal fairhousing law that take place every year offer whites privileged access to parks, playgrounds, fresh food, and other amenities while </w:t>
      </w:r>
      <w:r w:rsidRPr="00D7045C">
        <w:rPr>
          <w:rStyle w:val="StyleUnderline"/>
        </w:rPr>
        <w:t>relegating Blacks to areas that suffer disproportionate exposure to polluted air, water, food, and land.</w:t>
      </w:r>
    </w:p>
    <w:p w14:paraId="469D033B" w14:textId="77777777" w:rsidR="0082079B" w:rsidRPr="00D7045C" w:rsidRDefault="0082079B" w:rsidP="0082079B">
      <w:pPr>
        <w:pStyle w:val="Heading4"/>
        <w:rPr>
          <w:rFonts w:cs="Times New Roman"/>
        </w:rPr>
      </w:pPr>
      <w:r w:rsidRPr="00D7045C">
        <w:rPr>
          <w:rFonts w:cs="Times New Roman"/>
        </w:rPr>
        <w:t>Segregation creates an achievement gap – the aff helps communities writ large</w:t>
      </w:r>
    </w:p>
    <w:p w14:paraId="1091C128" w14:textId="77777777" w:rsidR="0082079B" w:rsidRPr="00D7045C" w:rsidRDefault="0082079B" w:rsidP="0082079B">
      <w:r w:rsidRPr="00D7045C">
        <w:rPr>
          <w:rStyle w:val="Style13ptBold"/>
        </w:rPr>
        <w:t>Orfield 15</w:t>
      </w:r>
      <w:r w:rsidRPr="00D7045C">
        <w:t xml:space="preserve"> (Myron, Professor of Law and Director of the Institute for Metropolitan Opportunity at the University of Minnesota, 2015, “Milliken, Meredith, and Metropolitan Segregation,” UCLA Law Review, Law Rev. 364, pg. 367-368) KVA</w:t>
      </w:r>
    </w:p>
    <w:p w14:paraId="42ABE363" w14:textId="77777777" w:rsidR="0082079B" w:rsidRPr="00D7045C" w:rsidRDefault="0082079B" w:rsidP="0082079B">
      <w:pPr>
        <w:spacing w:line="240" w:lineRule="auto"/>
        <w:rPr>
          <w:rFonts w:eastAsia="Times New Roman"/>
          <w:sz w:val="14"/>
          <w:lang w:eastAsia="zh-CN"/>
        </w:rPr>
      </w:pPr>
      <w:r w:rsidRPr="00D7045C">
        <w:rPr>
          <w:rStyle w:val="StyleUnderline"/>
          <w:lang w:eastAsia="zh-CN"/>
        </w:rPr>
        <w:t>The Milliken decision represented both a watershed moment and a window into America’s urban history and its future</w:t>
      </w:r>
      <w:r w:rsidRPr="00D7045C">
        <w:rPr>
          <w:rFonts w:eastAsia="Times New Roman"/>
          <w:sz w:val="14"/>
          <w:lang w:eastAsia="zh-CN"/>
        </w:rPr>
        <w:t xml:space="preserve">. </w:t>
      </w:r>
      <w:r w:rsidRPr="00D7045C">
        <w:rPr>
          <w:rStyle w:val="StyleUnderline"/>
          <w:lang w:eastAsia="zh-CN"/>
        </w:rPr>
        <w:t>From 1964 to</w:t>
      </w:r>
      <w:r w:rsidRPr="00D7045C">
        <w:rPr>
          <w:rFonts w:eastAsia="Times New Roman"/>
          <w:sz w:val="14"/>
          <w:lang w:eastAsia="zh-CN"/>
        </w:rPr>
        <w:t xml:space="preserve"> the election of President Richard Nixon in </w:t>
      </w:r>
      <w:r w:rsidRPr="00D7045C">
        <w:rPr>
          <w:rStyle w:val="StyleUnderline"/>
          <w:lang w:eastAsia="zh-CN"/>
        </w:rPr>
        <w:t>1968, the courts, Congress, and the executive cooperated to reduce segregation</w:t>
      </w:r>
      <w:r w:rsidRPr="00D7045C">
        <w:rPr>
          <w:rFonts w:eastAsia="Times New Roman"/>
          <w:sz w:val="14"/>
          <w:lang w:eastAsia="zh-CN"/>
        </w:rPr>
        <w:t xml:space="preserve"> in the nation’s schools. This progress was reflected in a sharp decline in the educational achievement gap between blacks and whites that improved each year in which integration increased or was sustained. </w:t>
      </w:r>
      <w:r w:rsidRPr="00D7045C">
        <w:rPr>
          <w:rStyle w:val="StyleUnderline"/>
          <w:lang w:eastAsia="zh-CN"/>
        </w:rPr>
        <w:t>The year after the Milliken decision, however, the trend towa</w:t>
      </w:r>
      <w:r w:rsidRPr="00D7045C">
        <w:rPr>
          <w:rStyle w:val="StyleUnderline"/>
        </w:rPr>
        <w:t>rd more racially integrated pub</w:t>
      </w:r>
      <w:r w:rsidRPr="00D7045C">
        <w:rPr>
          <w:rStyle w:val="StyleUnderline"/>
          <w:lang w:eastAsia="zh-CN"/>
        </w:rPr>
        <w:t>lic schools in the United States stopped</w:t>
      </w:r>
      <w:r w:rsidRPr="00D7045C">
        <w:rPr>
          <w:rFonts w:eastAsia="Times New Roman"/>
          <w:sz w:val="14"/>
          <w:lang w:eastAsia="zh-CN"/>
        </w:rPr>
        <w:t xml:space="preserve">.7 As the Supreme Court dismantled school desegregation plans, </w:t>
      </w:r>
      <w:r w:rsidRPr="00D7045C">
        <w:rPr>
          <w:rStyle w:val="Emphasis"/>
          <w:lang w:eastAsia="zh-CN"/>
        </w:rPr>
        <w:t>American schools resegregrated and the achievement gap increased.</w:t>
      </w:r>
      <w:r w:rsidRPr="00D7045C">
        <w:rPr>
          <w:rFonts w:eastAsia="Times New Roman"/>
          <w:sz w:val="14"/>
          <w:lang w:eastAsia="zh-CN"/>
        </w:rPr>
        <w:t xml:space="preserve"> </w:t>
      </w:r>
      <w:r w:rsidRPr="00D7045C">
        <w:rPr>
          <w:rStyle w:val="StyleUnderline"/>
          <w:lang w:eastAsia="zh-CN"/>
        </w:rPr>
        <w:t>This Article is about the Supreme Court’s school desegregation decisions and</w:t>
      </w:r>
      <w:r w:rsidRPr="00D7045C">
        <w:rPr>
          <w:rFonts w:eastAsia="Times New Roman"/>
          <w:sz w:val="14"/>
          <w:lang w:eastAsia="zh-CN"/>
        </w:rPr>
        <w:t xml:space="preserve"> their effect on the schools and neighborhoods of metropolitan America over the last sixty years. </w:t>
      </w:r>
      <w:r w:rsidRPr="00D7045C">
        <w:rPr>
          <w:rStyle w:val="StyleUnderline"/>
          <w:lang w:eastAsia="zh-CN"/>
        </w:rPr>
        <w:t>It details how the courts</w:t>
      </w:r>
      <w:r w:rsidRPr="00D7045C">
        <w:rPr>
          <w:rFonts w:eastAsia="Times New Roman"/>
          <w:sz w:val="14"/>
          <w:lang w:eastAsia="zh-CN"/>
        </w:rPr>
        <w:t>, Congress, and the President—but mostly the courts—</w:t>
      </w:r>
      <w:r w:rsidRPr="00D7045C">
        <w:rPr>
          <w:rStyle w:val="Emphasis"/>
          <w:lang w:eastAsia="zh-CN"/>
        </w:rPr>
        <w:t xml:space="preserve">first increased integration in schools and neighborhoods, and then changed course, allowing schools to resegregate. </w:t>
      </w:r>
      <w:r w:rsidRPr="00D7045C">
        <w:rPr>
          <w:rStyle w:val="StyleUnderline"/>
          <w:lang w:eastAsia="zh-CN"/>
        </w:rPr>
        <w:t>The impact of these decisions is illustrated by</w:t>
      </w:r>
      <w:r w:rsidRPr="00D7045C">
        <w:rPr>
          <w:rFonts w:eastAsia="Times New Roman"/>
          <w:sz w:val="14"/>
          <w:lang w:eastAsia="zh-CN"/>
        </w:rPr>
        <w:t xml:space="preserve"> the comparative legal histories of </w:t>
      </w:r>
      <w:r w:rsidRPr="00D7045C">
        <w:rPr>
          <w:rStyle w:val="StyleUnderline"/>
          <w:lang w:eastAsia="zh-CN"/>
        </w:rPr>
        <w:t>Detroit and Louisville</w:t>
      </w:r>
      <w:r w:rsidRPr="00D7045C">
        <w:rPr>
          <w:rFonts w:eastAsia="Times New Roman"/>
          <w:sz w:val="14"/>
          <w:lang w:eastAsia="zh-CN"/>
        </w:rPr>
        <w:t xml:space="preserve">, two cities </w:t>
      </w:r>
      <w:r w:rsidRPr="00D7045C">
        <w:rPr>
          <w:rStyle w:val="StyleUnderline"/>
          <w:lang w:eastAsia="zh-CN"/>
        </w:rPr>
        <w:t>that demonstrate the many benefits of metropolitan-level cooperation on issues of racial segregation, and the harms that arise in its absence</w:t>
      </w:r>
      <w:r w:rsidRPr="00D7045C">
        <w:rPr>
          <w:rFonts w:eastAsia="Times New Roman"/>
          <w:sz w:val="14"/>
          <w:lang w:eastAsia="zh-CN"/>
        </w:rPr>
        <w:t xml:space="preserve">. On the one hand, </w:t>
      </w:r>
      <w:r w:rsidRPr="00D7045C">
        <w:rPr>
          <w:rStyle w:val="Emphasis"/>
          <w:lang w:eastAsia="zh-CN"/>
        </w:rPr>
        <w:t>stable metropolitan integration not only helps individuals but is also deeply beneficial to communities and regional economies</w:t>
      </w:r>
      <w:r w:rsidRPr="00D7045C">
        <w:rPr>
          <w:rFonts w:eastAsia="Times New Roman"/>
          <w:sz w:val="14"/>
          <w:lang w:eastAsia="zh-CN"/>
        </w:rPr>
        <w:t xml:space="preserve">. On the other hand, </w:t>
      </w:r>
      <w:r w:rsidRPr="00D7045C">
        <w:rPr>
          <w:rStyle w:val="StyleUnderline"/>
          <w:lang w:eastAsia="zh-CN"/>
        </w:rPr>
        <w:t xml:space="preserve">it is clearer than ever that segregation destroys individuals and communities and deters economic growth. </w:t>
      </w:r>
      <w:r w:rsidRPr="00D7045C">
        <w:rPr>
          <w:rFonts w:eastAsia="Times New Roman"/>
          <w:sz w:val="14"/>
          <w:lang w:eastAsia="zh-CN"/>
        </w:rPr>
        <w:t xml:space="preserve">Advocates and elected officials should use these lessons to build political consensus to legislatively shape more racially integrated and successful regions. In parallel, scholars, advocates, and courts must reform nineteenth century local government to fit the realities of twenty-first century metropolitan America, and in doing so, acknowledge the interdependence of its cities and school districts. </w:t>
      </w:r>
    </w:p>
    <w:p w14:paraId="573F2E38" w14:textId="77777777" w:rsidR="006E229F" w:rsidRPr="00D7045C" w:rsidRDefault="006E229F" w:rsidP="006E229F">
      <w:pPr>
        <w:pStyle w:val="Heading4"/>
        <w:rPr>
          <w:rFonts w:cs="Times New Roman"/>
        </w:rPr>
      </w:pPr>
      <w:r w:rsidRPr="00D7045C">
        <w:rPr>
          <w:rFonts w:cs="Times New Roman"/>
        </w:rPr>
        <w:t xml:space="preserve">Milliken maintains system segregation – these practices become embedded in everyday life and are invisible to white institutions </w:t>
      </w:r>
    </w:p>
    <w:p w14:paraId="2DDD11B5" w14:textId="77777777" w:rsidR="006E229F" w:rsidRPr="00D7045C" w:rsidRDefault="006E229F" w:rsidP="006E229F">
      <w:pPr>
        <w:rPr>
          <w:rFonts w:eastAsia="Times New Roman"/>
        </w:rPr>
      </w:pPr>
      <w:r w:rsidRPr="00D7045C">
        <w:rPr>
          <w:rStyle w:val="Style13ptBold"/>
        </w:rPr>
        <w:t>Powell 16</w:t>
      </w:r>
      <w:r w:rsidRPr="00D7045C">
        <w:rPr>
          <w:rFonts w:eastAsia="Times New Roman"/>
        </w:rPr>
        <w:t xml:space="preserve"> (Cedric, Professor of Law at University of Louisville, Septermber 7, 2015, “Milliken, ‘Neutral Principles,’ And Post-Racial Determinism,” University of Louisville School of Law Legal Studies Research, Series 2016-2, pg. 30-33) KVA</w:t>
      </w:r>
    </w:p>
    <w:p w14:paraId="14FD0DCB" w14:textId="77777777" w:rsidR="006E229F" w:rsidRPr="00D7045C" w:rsidRDefault="006E229F" w:rsidP="006E229F">
      <w:pPr>
        <w:rPr>
          <w:rFonts w:eastAsia="Times New Roman"/>
          <w:sz w:val="12"/>
        </w:rPr>
      </w:pPr>
      <w:r w:rsidRPr="00D7045C">
        <w:rPr>
          <w:rFonts w:eastAsia="Times New Roman"/>
          <w:sz w:val="12"/>
        </w:rPr>
        <w:t xml:space="preserve">At its most basic level, </w:t>
      </w:r>
      <w:r w:rsidRPr="00D7045C">
        <w:rPr>
          <w:rStyle w:val="StyleUnderline"/>
        </w:rPr>
        <w:t>Milliken serves as a cynical explanation for the “way things are.”</w:t>
      </w:r>
      <w:r w:rsidRPr="00D7045C">
        <w:rPr>
          <w:rFonts w:eastAsia="Times New Roman"/>
          <w:sz w:val="12"/>
        </w:rPr>
        <w:t xml:space="preserve">131 Remediation stops at the district line because Black Detroit is a distinct and separate entity apart from the outlying white suburbs. </w:t>
      </w:r>
      <w:r w:rsidRPr="00D7045C">
        <w:rPr>
          <w:rStyle w:val="StyleUnderline"/>
        </w:rPr>
        <w:t>This segregation is “natural” because the Court interprets the overwhelming evidence of de jure segregation as limited to Detroit; thus, the predominantly white suburbs are not the result of intentional state action but of voluntary individual choices made by white citizens who are race neutral:</w:t>
      </w:r>
      <w:r w:rsidRPr="00D7045C">
        <w:rPr>
          <w:rFonts w:eastAsia="Times New Roman"/>
          <w:sz w:val="12"/>
        </w:rPr>
        <w:t xml:space="preserve">132 </w:t>
      </w:r>
      <w:r w:rsidRPr="00D7045C">
        <w:rPr>
          <w:rStyle w:val="StyleUnderline"/>
        </w:rPr>
        <w:t>[W]hites do not see or interpret their own racial segregation and isolation as a racial issue at all</w:t>
      </w:r>
      <w:r w:rsidRPr="00D7045C">
        <w:rPr>
          <w:rFonts w:eastAsia="Times New Roman"/>
          <w:sz w:val="12"/>
        </w:rPr>
        <w:t xml:space="preserve">. </w:t>
      </w:r>
      <w:r w:rsidRPr="00D7045C">
        <w:rPr>
          <w:rStyle w:val="StyleUnderline"/>
        </w:rPr>
        <w:t>This blindness[ignorance] is central for understanding their views on a host of racial matters. Recognizing whites’ lack of realization that race matters in their lives</w:t>
      </w:r>
      <w:r w:rsidRPr="00D7045C">
        <w:rPr>
          <w:rFonts w:eastAsia="Times New Roman"/>
          <w:sz w:val="12"/>
        </w:rPr>
        <w:t xml:space="preserve">, combined with their limited interracial socialization, </w:t>
      </w:r>
      <w:r w:rsidRPr="00D7045C">
        <w:rPr>
          <w:rStyle w:val="StyleUnderline"/>
        </w:rPr>
        <w:t>helps decipher the apparent contradiction between their stated preference for a color-blind approach to life</w:t>
      </w:r>
      <w:r w:rsidRPr="00D7045C">
        <w:rPr>
          <w:rFonts w:eastAsia="Times New Roman"/>
          <w:sz w:val="12"/>
        </w:rPr>
        <w:t xml:space="preserve"> (which corresponds to their perception of how they live their own lives) </w:t>
      </w:r>
      <w:r w:rsidRPr="00D7045C">
        <w:rPr>
          <w:rStyle w:val="StyleUnderline"/>
        </w:rPr>
        <w:t>and the white reality of their lives.</w:t>
      </w:r>
      <w:r w:rsidRPr="00D7045C">
        <w:rPr>
          <w:rFonts w:eastAsia="Times New Roman"/>
          <w:sz w:val="12"/>
        </w:rPr>
        <w:t xml:space="preserve">133 </w:t>
      </w:r>
      <w:r w:rsidRPr="00D7045C">
        <w:rPr>
          <w:rStyle w:val="Emphasis"/>
        </w:rPr>
        <w:t>This contrived neutrality must be rejected because it is illusory</w:t>
      </w:r>
      <w:r w:rsidRPr="00D7045C">
        <w:rPr>
          <w:rFonts w:eastAsia="Times New Roman"/>
          <w:sz w:val="12"/>
        </w:rPr>
        <w:t xml:space="preserve">. A structural interpretation of process unpacks the Court’s formalistic approach and conceptualizes the Fourteenth Amendment as a guarantee of substantive equality.134 </w:t>
      </w:r>
      <w:r w:rsidRPr="00D7045C">
        <w:rPr>
          <w:rStyle w:val="StyleUnderline"/>
        </w:rPr>
        <w:t>It should be obvious by now that Milliken was wrongly decided because it lacks an analytical and structural core; it failed to acknowledge uncontroverted evidence of structural inequality</w:t>
      </w:r>
      <w:r w:rsidRPr="00D7045C">
        <w:rPr>
          <w:rFonts w:eastAsia="Times New Roman"/>
          <w:sz w:val="12"/>
        </w:rPr>
        <w:t xml:space="preserve">. </w:t>
      </w:r>
      <w:r w:rsidRPr="00D7045C">
        <w:rPr>
          <w:rStyle w:val="Emphasis"/>
        </w:rPr>
        <w:t>The rigid de jure-de facto distinction leaves most of the systemic segregation in place because the focus is not on the anti-caste principle, but on formalistic equality and particularized discrimination.</w:t>
      </w:r>
      <w:r w:rsidRPr="00D7045C">
        <w:rPr>
          <w:rFonts w:eastAsia="Times New Roman"/>
          <w:sz w:val="12"/>
        </w:rPr>
        <w:t xml:space="preserve">135 Thus, the present day effects of past discrimination are irrelevant doctrinally and historically. Neutrality is the touchstone of this narrow analysis. </w:t>
      </w:r>
      <w:r w:rsidRPr="00D7045C">
        <w:rPr>
          <w:rStyle w:val="Emphasis"/>
        </w:rPr>
        <w:t>“[R]acial practices that reproduce racial inequality in contemporary America (1) are increasingly covert, (2) are embedded in normal operations of institutions, (3) avoid direct racial terminology, and (4) are invisible to most Whites</w:t>
      </w:r>
      <w:r w:rsidRPr="00D7045C">
        <w:rPr>
          <w:rFonts w:eastAsia="Times New Roman"/>
          <w:sz w:val="12"/>
        </w:rPr>
        <w:t xml:space="preserve">.”136 </w:t>
      </w:r>
      <w:r w:rsidRPr="00D7045C">
        <w:rPr>
          <w:rStyle w:val="Emphasis"/>
        </w:rPr>
        <w:t>Milliken fits squarely within these propositions: (</w:t>
      </w:r>
      <w:r w:rsidRPr="00D7045C">
        <w:rPr>
          <w:rFonts w:eastAsia="Times New Roman"/>
          <w:sz w:val="12"/>
        </w:rPr>
        <w:t xml:space="preserve">1) </w:t>
      </w:r>
      <w:r w:rsidRPr="00D7045C">
        <w:rPr>
          <w:rStyle w:val="StyleUnderline"/>
        </w:rPr>
        <w:t>segregation is preserved through the ostensibly neutral rhetoric that</w:t>
      </w:r>
      <w:r w:rsidRPr="00D7045C">
        <w:rPr>
          <w:rFonts w:eastAsia="Times New Roman"/>
          <w:sz w:val="12"/>
        </w:rPr>
        <w:t xml:space="preserve"> “the scope of the remedy is determined by the nature and extent of the constitutional violation;”137 (2) </w:t>
      </w:r>
      <w:r w:rsidRPr="00D7045C">
        <w:rPr>
          <w:rStyle w:val="StyleUnderline"/>
        </w:rPr>
        <w:t>the Court embraces the rationale that the Detroit public school system and the State of Michigan make neutral decisions that have an unintentional disparate impact on AfricanAmerican students;</w:t>
      </w:r>
      <w:r w:rsidRPr="00D7045C">
        <w:rPr>
          <w:rFonts w:eastAsia="Times New Roman"/>
          <w:sz w:val="12"/>
        </w:rPr>
        <w:t xml:space="preserve"> 138 (3) </w:t>
      </w:r>
      <w:r w:rsidRPr="00D7045C">
        <w:rPr>
          <w:rStyle w:val="StyleUnderline"/>
        </w:rPr>
        <w:t>all of the language used by the Court is rooted in the pluralistic notion of an open and unobstructed process (except when it comes to crossing school district lines</w:t>
      </w:r>
      <w:r w:rsidRPr="00D7045C">
        <w:rPr>
          <w:rFonts w:eastAsia="Times New Roman"/>
          <w:sz w:val="12"/>
        </w:rPr>
        <w:t xml:space="preserve">);139 and (4) </w:t>
      </w:r>
      <w:r w:rsidRPr="00D7045C">
        <w:rPr>
          <w:rStyle w:val="StyleUnderline"/>
        </w:rPr>
        <w:t>the only discrimination that is “visible” is limited to Detroit; the predominantly white suburbs are invisible to the Court</w:t>
      </w:r>
      <w:r w:rsidRPr="00D7045C">
        <w:rPr>
          <w:rFonts w:eastAsia="Times New Roman"/>
          <w:sz w:val="12"/>
        </w:rPr>
        <w:t>.</w:t>
      </w:r>
      <w:r w:rsidRPr="00D7045C">
        <w:rPr>
          <w:rStyle w:val="Emphasis"/>
        </w:rPr>
        <w:t>140 The current analytical and doctrinal framework of the Fourteenth Amendment is wholly unrealistic because it addresses the vast and comprehensive structural mechanisms of racism as discrete occurrences perpetrated by clearly identifiable state actors</w:t>
      </w:r>
      <w:r w:rsidRPr="00D7045C">
        <w:rPr>
          <w:rFonts w:eastAsia="Times New Roman"/>
          <w:sz w:val="12"/>
        </w:rPr>
        <w:t>. This burden of proof will never be met; or, if it is, it will be ignored by the Court as it was in Milliken. 141 In essence, as Daria Roithmayr posits, inequality and segregation are “locked in.”142 The search for discriminatory intent or an analytically viable form of the de jure-de facto distinction is futile because “</w:t>
      </w:r>
      <w:r w:rsidRPr="00D7045C">
        <w:rPr>
          <w:rStyle w:val="StyleUnderline"/>
        </w:rPr>
        <w:t>the problem of race centers not on individuals who intend to discriminate but on the institutional rules that govern how resources and opportunities are distributed. Racial disparities persist because whites have stacked the institutional deck in their favor</w:t>
      </w:r>
      <w:r w:rsidRPr="00D7045C">
        <w:rPr>
          <w:rFonts w:eastAsia="Times New Roman"/>
          <w:sz w:val="12"/>
        </w:rPr>
        <w:t xml:space="preserve">.”143 </w:t>
      </w:r>
      <w:r w:rsidRPr="00D7045C">
        <w:rPr>
          <w:rStyle w:val="Emphasis"/>
        </w:rPr>
        <w:t>A structural critique of process neutrality readily acknowledges racial disparity as indicative of its systemic nature, and the adaptability and permanence of racism</w:t>
      </w:r>
      <w:r w:rsidRPr="00D7045C">
        <w:rPr>
          <w:rFonts w:eastAsia="Times New Roman"/>
          <w:sz w:val="12"/>
        </w:rPr>
        <w:t xml:space="preserve">.144 Thus, Milliken can be defined as a component of a rigged process that preserves, maintains, and reinforces the subordination of African-Americans 145 while “White families enjoy structural advantages, in terms of schooling, job referral networks, and other forms of social capital.”146 Thus, </w:t>
      </w:r>
      <w:r w:rsidRPr="00D7045C">
        <w:rPr>
          <w:rStyle w:val="StyleUnderline"/>
        </w:rPr>
        <w:t>neutrality must be rejected In the context of residential segregation, barriers to entry like housing prices and zoning ordinances permit whites to maintain the closure necessary for monopoly. Importantly, the lock-in model of inequality locates closure and limitation not in the immediate intent of the individuals inside the neighborhood, but in the ostensibly race-neutral institutional practices that prevent mobility</w:t>
      </w:r>
      <w:r w:rsidRPr="00D7045C">
        <w:rPr>
          <w:rFonts w:eastAsia="Times New Roman"/>
          <w:sz w:val="12"/>
        </w:rPr>
        <w:t>.147</w:t>
      </w:r>
    </w:p>
    <w:p w14:paraId="4B06F1B2" w14:textId="77777777" w:rsidR="00F54650" w:rsidRPr="00D7045C" w:rsidRDefault="00F54650" w:rsidP="00F54650">
      <w:pPr>
        <w:pStyle w:val="Heading4"/>
        <w:rPr>
          <w:rFonts w:cs="Times New Roman"/>
        </w:rPr>
      </w:pPr>
      <w:r w:rsidRPr="00D7045C">
        <w:rPr>
          <w:rFonts w:cs="Times New Roman"/>
        </w:rPr>
        <w:t>Milliken displaces black bodies – increases the poverty ratio among young students</w:t>
      </w:r>
    </w:p>
    <w:p w14:paraId="64732868" w14:textId="77777777" w:rsidR="00F54650" w:rsidRPr="00D7045C" w:rsidRDefault="00F54650" w:rsidP="00F54650">
      <w:r w:rsidRPr="00D7045C">
        <w:rPr>
          <w:rStyle w:val="Style13ptBold"/>
        </w:rPr>
        <w:t>Orfield 15</w:t>
      </w:r>
      <w:r w:rsidRPr="00D7045C">
        <w:t xml:space="preserve"> (Myron, Professor of Law and Director of the Institute for Metropolitan Opportunity at the University of Minnesota, 2015, “Milliken, Meredith, and Metropolitan Segregation,” UCLA Law Review, Law Rev. 364, pg. 430-432) KVA</w:t>
      </w:r>
    </w:p>
    <w:p w14:paraId="30E20974" w14:textId="77777777" w:rsidR="00F54650" w:rsidRPr="00D7045C" w:rsidRDefault="00F54650" w:rsidP="00F54650">
      <w:pPr>
        <w:spacing w:line="240" w:lineRule="auto"/>
        <w:rPr>
          <w:rFonts w:eastAsia="Times New Roman"/>
          <w:sz w:val="16"/>
          <w:lang w:eastAsia="zh-CN"/>
        </w:rPr>
      </w:pPr>
      <w:r w:rsidRPr="00D7045C">
        <w:rPr>
          <w:rFonts w:eastAsia="Times New Roman"/>
          <w:sz w:val="16"/>
          <w:lang w:eastAsia="zh-CN"/>
        </w:rPr>
        <w:t xml:space="preserve">From 1970 to 1990, </w:t>
      </w:r>
      <w:r w:rsidRPr="00D7045C">
        <w:rPr>
          <w:rStyle w:val="StyleUnderline"/>
          <w:lang w:eastAsia="zh-CN"/>
        </w:rPr>
        <w:t>in the wake of Milliken, the already large, distressed ghettos and barrios</w:t>
      </w:r>
      <w:r w:rsidRPr="00D7045C">
        <w:rPr>
          <w:rFonts w:eastAsia="Times New Roman"/>
          <w:sz w:val="16"/>
          <w:lang w:eastAsia="zh-CN"/>
        </w:rPr>
        <w:t xml:space="preserve"> in large American cities </w:t>
      </w:r>
      <w:r w:rsidRPr="00D7045C">
        <w:rPr>
          <w:rStyle w:val="StyleUnderline"/>
          <w:lang w:eastAsia="zh-CN"/>
        </w:rPr>
        <w:t>more than doubled in size and population.</w:t>
      </w:r>
      <w:r w:rsidRPr="00D7045C">
        <w:rPr>
          <w:rFonts w:eastAsia="Times New Roman"/>
          <w:sz w:val="16"/>
          <w:lang w:eastAsia="zh-CN"/>
        </w:rPr>
        <w:t xml:space="preserve"> </w:t>
      </w:r>
      <w:r w:rsidRPr="00D7045C">
        <w:rPr>
          <w:rStyle w:val="StyleUnderline"/>
          <w:lang w:eastAsia="zh-CN"/>
        </w:rPr>
        <w:t>The number of high-poverty census tracts doubled from 1177 to 2776.430</w:t>
      </w:r>
      <w:r w:rsidRPr="00D7045C">
        <w:rPr>
          <w:rFonts w:eastAsia="Times New Roman"/>
          <w:sz w:val="16"/>
          <w:lang w:eastAsia="zh-CN"/>
        </w:rPr>
        <w:t xml:space="preserve"> </w:t>
      </w:r>
      <w:r w:rsidRPr="00D7045C">
        <w:rPr>
          <w:rStyle w:val="StyleUnderline"/>
          <w:lang w:eastAsia="zh-CN"/>
        </w:rPr>
        <w:t>The number of persons living in high-poverty areas increased from 4.1 million to</w:t>
      </w:r>
      <w:r w:rsidRPr="00D7045C">
        <w:rPr>
          <w:rStyle w:val="StyleUnderline"/>
        </w:rPr>
        <w:t xml:space="preserve"> </w:t>
      </w:r>
      <w:r w:rsidRPr="00D7045C">
        <w:rPr>
          <w:rStyle w:val="StyleUnderline"/>
          <w:lang w:eastAsia="zh-CN"/>
        </w:rPr>
        <w:t>8 million</w:t>
      </w:r>
      <w:r w:rsidRPr="00D7045C">
        <w:rPr>
          <w:rFonts w:eastAsia="Times New Roman"/>
          <w:sz w:val="16"/>
          <w:lang w:eastAsia="zh-CN"/>
        </w:rPr>
        <w:t xml:space="preserve">. The number of African Americans living in high poverty ghettos climbed from 2.4 million to 4.2 million, and the number of Latinos in barrios increased from 729,000 to 2 million.431 </w:t>
      </w:r>
      <w:r w:rsidRPr="00D7045C">
        <w:rPr>
          <w:rStyle w:val="StyleUnderline"/>
          <w:lang w:eastAsia="zh-CN"/>
        </w:rPr>
        <w:t>The largest growth during this period was in the rust belt states of the Midwest: Illinois, Indiana, Michigan, Ohio, and Wisconsin.</w:t>
      </w:r>
      <w:r w:rsidRPr="00D7045C">
        <w:rPr>
          <w:rFonts w:eastAsia="Times New Roman"/>
          <w:sz w:val="16"/>
          <w:lang w:eastAsia="zh-CN"/>
        </w:rPr>
        <w:t xml:space="preserve"> During this time, when the poverty level of families was relatively constant, </w:t>
      </w:r>
      <w:r w:rsidRPr="00D7045C">
        <w:rPr>
          <w:rStyle w:val="Emphasis"/>
          <w:lang w:eastAsia="zh-CN"/>
        </w:rPr>
        <w:t>the chance that a poor black child would live in a high-poverty neighborhood increased from one in four to one in three</w:t>
      </w:r>
      <w:r w:rsidRPr="00D7045C">
        <w:rPr>
          <w:rFonts w:eastAsia="Times New Roman"/>
          <w:sz w:val="16"/>
          <w:lang w:eastAsia="zh-CN"/>
        </w:rPr>
        <w:t xml:space="preserve">.432 Large distressed neighborhoods shrank during the economic boom of the 1990s,433 but neighborhoods of concentrated poverty returned to 1990s levels by the 2010 census. </w:t>
      </w:r>
      <w:r w:rsidRPr="00D7045C">
        <w:rPr>
          <w:rStyle w:val="StyleUnderline"/>
          <w:lang w:eastAsia="zh-CN"/>
        </w:rPr>
        <w:t>In 2009, blacks represented 45 percent; Latinos, 34 percent; and whites, 17 percent of ghetto and barrio residents</w:t>
      </w:r>
      <w:r w:rsidRPr="00D7045C">
        <w:rPr>
          <w:rFonts w:eastAsia="Times New Roman"/>
          <w:sz w:val="16"/>
          <w:lang w:eastAsia="zh-CN"/>
        </w:rPr>
        <w:t xml:space="preserve">.434 These ratios were the same in 1980.435 During the 2000s, most of the growth of concentrated poverty was in the Midwest and the urban South. </w:t>
      </w:r>
      <w:r w:rsidRPr="00D7045C">
        <w:rPr>
          <w:rStyle w:val="StyleUnderline"/>
          <w:lang w:eastAsia="zh-CN"/>
        </w:rPr>
        <w:t>In the 2000s, the growth of extremely distressed neighborhoods firmly moved into the suburbs, like suburban Warren outside Detroit</w:t>
      </w:r>
      <w:r w:rsidRPr="00D7045C">
        <w:rPr>
          <w:rFonts w:eastAsia="Times New Roman"/>
          <w:sz w:val="16"/>
          <w:lang w:eastAsia="zh-CN"/>
        </w:rPr>
        <w:t xml:space="preserve">. From 2000 to 2010, the population in extreme poverty tracts grew twice as fast as the suburbs as in the central cities. </w:t>
      </w:r>
      <w:r w:rsidRPr="00D7045C">
        <w:rPr>
          <w:rStyle w:val="StyleUnderline"/>
          <w:lang w:eastAsia="zh-CN"/>
        </w:rPr>
        <w:t>By 2010, 20 percent of extreme poverty neighborhoods</w:t>
      </w:r>
      <w:r w:rsidRPr="00D7045C">
        <w:rPr>
          <w:rStyle w:val="StyleUnderline"/>
        </w:rPr>
        <w:t xml:space="preserve"> </w:t>
      </w:r>
      <w:r w:rsidRPr="00D7045C">
        <w:rPr>
          <w:rStyle w:val="StyleUnderline"/>
          <w:lang w:eastAsia="zh-CN"/>
        </w:rPr>
        <w:t>were in the suburbs</w:t>
      </w:r>
      <w:r w:rsidRPr="00D7045C">
        <w:rPr>
          <w:rStyle w:val="StyleUnderline"/>
        </w:rPr>
        <w:t xml:space="preserve"> </w:t>
      </w:r>
      <w:r w:rsidRPr="00D7045C">
        <w:rPr>
          <w:rFonts w:eastAsia="Times New Roman"/>
          <w:sz w:val="16"/>
          <w:lang w:eastAsia="zh-CN"/>
        </w:rPr>
        <w:t xml:space="preserve">2. Dissimilarity and Isolation </w:t>
      </w:r>
      <w:r w:rsidRPr="00D7045C">
        <w:rPr>
          <w:rStyle w:val="StyleUnderline"/>
          <w:lang w:eastAsia="zh-CN"/>
        </w:rPr>
        <w:t>Today, black-white residential neighborhood segregation remains intense and most of the glacially-paced improvement has come in areas with the smallest percentage of blacks</w:t>
      </w:r>
      <w:r w:rsidRPr="00D7045C">
        <w:rPr>
          <w:rFonts w:eastAsia="Times New Roman"/>
          <w:sz w:val="16"/>
          <w:lang w:eastAsia="zh-CN"/>
        </w:rPr>
        <w:t xml:space="preserve">. In the metropolitan areas where blacks form the largest percentage of population, particularly in the Northeast and Midwest (where local government is highly fragmented), </w:t>
      </w:r>
      <w:r w:rsidRPr="00D7045C">
        <w:rPr>
          <w:rStyle w:val="Emphasis"/>
          <w:lang w:eastAsia="zh-CN"/>
        </w:rPr>
        <w:t>segregation remains virtually unchanged</w:t>
      </w:r>
      <w:r w:rsidRPr="00D7045C">
        <w:rPr>
          <w:rStyle w:val="Emphasis"/>
        </w:rPr>
        <w:t xml:space="preserve"> </w:t>
      </w:r>
      <w:r w:rsidRPr="00D7045C">
        <w:rPr>
          <w:rStyle w:val="Emphasis"/>
          <w:lang w:eastAsia="zh-CN"/>
        </w:rPr>
        <w:t>from the 1970s, when it was at apartheid levels.</w:t>
      </w:r>
      <w:r w:rsidRPr="00D7045C">
        <w:rPr>
          <w:rFonts w:eastAsia="Times New Roman"/>
          <w:sz w:val="16"/>
          <w:lang w:eastAsia="zh-CN"/>
        </w:rPr>
        <w:t xml:space="preserve">437 </w:t>
      </w:r>
      <w:r w:rsidRPr="00D7045C">
        <w:rPr>
          <w:rStyle w:val="StyleUnderline"/>
          <w:lang w:eastAsia="zh-CN"/>
        </w:rPr>
        <w:t>For Latinos, America’s largest and fastest growing nonwhite community, residential segregation is both high and ominously constant.</w:t>
      </w:r>
      <w:r w:rsidRPr="00D7045C">
        <w:rPr>
          <w:rFonts w:eastAsia="Times New Roman"/>
          <w:sz w:val="16"/>
          <w:lang w:eastAsia="zh-CN"/>
        </w:rPr>
        <w:t xml:space="preserve"> </w:t>
      </w:r>
      <w:r w:rsidRPr="00D7045C">
        <w:rPr>
          <w:rStyle w:val="StyleUnderline"/>
          <w:lang w:eastAsia="zh-CN"/>
        </w:rPr>
        <w:t>In areas like California and Texas</w:t>
      </w:r>
      <w:r w:rsidRPr="00D7045C">
        <w:rPr>
          <w:rFonts w:eastAsia="Times New Roman"/>
          <w:sz w:val="16"/>
          <w:lang w:eastAsia="zh-CN"/>
        </w:rPr>
        <w:t xml:space="preserve">, where Latinos form a large part of the population, </w:t>
      </w:r>
      <w:r w:rsidRPr="00D7045C">
        <w:rPr>
          <w:rStyle w:val="StyleUnderline"/>
          <w:lang w:eastAsia="zh-CN"/>
        </w:rPr>
        <w:t>segregation between whites and Latinos is now greater than black-white segregation.</w:t>
      </w:r>
    </w:p>
    <w:p w14:paraId="6A9181A7" w14:textId="77777777" w:rsidR="00F54650" w:rsidRPr="00D7045C" w:rsidRDefault="00F54650" w:rsidP="00F54650">
      <w:r w:rsidRPr="00D7045C">
        <w:rPr>
          <w:rStyle w:val="Style13ptBold"/>
        </w:rPr>
        <w:t>Colby 14</w:t>
      </w:r>
      <w:r w:rsidRPr="00D7045C">
        <w:t xml:space="preserve"> </w:t>
      </w:r>
      <w:r w:rsidRPr="00D7045C">
        <w:rPr>
          <w:sz w:val="18"/>
        </w:rPr>
        <w:t xml:space="preserve">(Tanner, Co-author of Remember the Time, author of Some of My Best Friends Are Black: The Strange Story of Integration in America, Feb. 3 2014, “The Massive Liberal Failure on Race,” Slate, </w:t>
      </w:r>
      <w:hyperlink r:id="rId33" w:history="1">
        <w:r w:rsidRPr="00D7045C">
          <w:rPr>
            <w:rStyle w:val="Hyperlink"/>
            <w:sz w:val="18"/>
          </w:rPr>
          <w:t>http://www.slate.com/articles/life/history/features/2014/the_liberal_failure_on_race/how_the_left_s_embrace_of_busing_hurt_the_cause_of_integration.html)</w:t>
        </w:r>
      </w:hyperlink>
      <w:r w:rsidRPr="00D7045C">
        <w:rPr>
          <w:sz w:val="18"/>
        </w:rPr>
        <w:t xml:space="preserve"> KVA</w:t>
      </w:r>
    </w:p>
    <w:p w14:paraId="6B27CDB0" w14:textId="77777777" w:rsidR="00F54650" w:rsidRPr="00D7045C" w:rsidRDefault="00F54650" w:rsidP="00F54650">
      <w:pPr>
        <w:shd w:val="clear" w:color="auto" w:fill="FFFFFF"/>
        <w:spacing w:before="240" w:after="240"/>
        <w:rPr>
          <w:rStyle w:val="Style13ptBold"/>
          <w:b w:val="0"/>
          <w:bCs w:val="0"/>
          <w:sz w:val="14"/>
        </w:rPr>
      </w:pPr>
      <w:r w:rsidRPr="00D7045C">
        <w:rPr>
          <w:rStyle w:val="StyleUnderline"/>
        </w:rPr>
        <w:t>The left’s first blunder on integration: Not actually knowing what integration was. For the decade after Brown, white schools in the South evaded and resisted integration.</w:t>
      </w:r>
      <w:r w:rsidRPr="00D7045C">
        <w:rPr>
          <w:sz w:val="14"/>
        </w:rPr>
        <w:t xml:space="preserve"> Then, under Lyndon </w:t>
      </w:r>
      <w:r w:rsidRPr="00D7045C">
        <w:rPr>
          <w:rStyle w:val="StyleUnderline"/>
        </w:rPr>
        <w:t>Johnson, the</w:t>
      </w:r>
      <w:r w:rsidRPr="00D7045C">
        <w:rPr>
          <w:sz w:val="14"/>
        </w:rPr>
        <w:t xml:space="preserve"> </w:t>
      </w:r>
      <w:r w:rsidRPr="00D7045C">
        <w:rPr>
          <w:rStyle w:val="StyleUnderline"/>
        </w:rPr>
        <w:t>D</w:t>
      </w:r>
      <w:r w:rsidRPr="00D7045C">
        <w:rPr>
          <w:sz w:val="14"/>
        </w:rPr>
        <w:t>epartment of Health, Education, and Welfare (</w:t>
      </w:r>
      <w:r w:rsidRPr="00D7045C">
        <w:rPr>
          <w:rStyle w:val="StyleUnderline"/>
        </w:rPr>
        <w:t>HEW</w:t>
      </w:r>
      <w:r w:rsidRPr="00D7045C">
        <w:rPr>
          <w:sz w:val="14"/>
        </w:rPr>
        <w:t xml:space="preserve">, the agency charged with implementing school desegregation) finally stepped in and </w:t>
      </w:r>
      <w:r w:rsidRPr="00D7045C">
        <w:rPr>
          <w:rStyle w:val="StyleUnderline"/>
        </w:rPr>
        <w:t>took a strong hand, demanding that schools move beyond token integration by showing “statistical proof of significant progress</w:t>
      </w:r>
      <w:r w:rsidRPr="00D7045C">
        <w:rPr>
          <w:sz w:val="14"/>
        </w:rPr>
        <w:t xml:space="preserve">.” Backed by a unanimous Supreme Court, HEW brought the full weight of the federal government to bear, </w:t>
      </w:r>
      <w:r w:rsidRPr="00D7045C">
        <w:rPr>
          <w:rStyle w:val="StyleUnderline"/>
        </w:rPr>
        <w:t>imposing sweeping mandates of racial balance on metropolitan school districts</w:t>
      </w:r>
      <w:r w:rsidRPr="00D7045C">
        <w:rPr>
          <w:sz w:val="14"/>
        </w:rPr>
        <w:t xml:space="preserve">. </w:t>
      </w:r>
      <w:r w:rsidRPr="00D7045C">
        <w:rPr>
          <w:rStyle w:val="StyleUnderline"/>
        </w:rPr>
        <w:t>Emboldened by the victories of the New Deal, Washington’s best and brightest had learned to</w:t>
      </w:r>
      <w:r w:rsidRPr="00D7045C">
        <w:rPr>
          <w:sz w:val="14"/>
        </w:rPr>
        <w:t xml:space="preserve"> dream big, to </w:t>
      </w:r>
      <w:r w:rsidRPr="00D7045C">
        <w:rPr>
          <w:rStyle w:val="StyleUnderline"/>
        </w:rPr>
        <w:t>put their faith in top-down, technocratic solutions t</w:t>
      </w:r>
      <w:r w:rsidRPr="00D7045C">
        <w:rPr>
          <w:sz w:val="14"/>
        </w:rPr>
        <w:t xml:space="preserve">o society’s ills. That’s how they approached public housing and urban renewal, that’s how they approached Vietnam. School busing was no different. </w:t>
      </w:r>
      <w:r w:rsidRPr="00D7045C">
        <w:rPr>
          <w:rStyle w:val="StyleUnderline"/>
        </w:rPr>
        <w:t xml:space="preserve">They fired up the buses and sent X percent of black kids over here and Y percent of white kids over there. </w:t>
      </w:r>
      <w:r w:rsidRPr="00D7045C">
        <w:rPr>
          <w:sz w:val="14"/>
        </w:rPr>
        <w:t xml:space="preserve">If America refused to integrate, the government would redraw the map and do it by administrative fiat. </w:t>
      </w:r>
      <w:r w:rsidRPr="00D7045C">
        <w:rPr>
          <w:rStyle w:val="Emphasis"/>
        </w:rPr>
        <w:t>While this probably seemed—and, in some ways, was—an unavoidable response to white stonewalling, it created a new problem: It set us chasing a mirage.</w:t>
      </w:r>
      <w:r w:rsidRPr="00D7045C">
        <w:rPr>
          <w:sz w:val="14"/>
        </w:rPr>
        <w:t xml:space="preserve"> </w:t>
      </w:r>
      <w:r w:rsidRPr="00D7045C">
        <w:rPr>
          <w:rStyle w:val="StyleUnderline"/>
        </w:rPr>
        <w:t>There’s no such thing as “statistical proof” of integration. Integration,</w:t>
      </w:r>
      <w:r w:rsidRPr="00D7045C">
        <w:rPr>
          <w:sz w:val="14"/>
        </w:rPr>
        <w:t xml:space="preserve"> as Martin Luther King put it, is “true intergroup, interpersonal living … the positive acceptance of desegregation and the welcomed participation of Negroes into the total range of human activities.” Integration </w:t>
      </w:r>
      <w:r w:rsidRPr="00D7045C">
        <w:rPr>
          <w:rStyle w:val="Emphasis"/>
        </w:rPr>
        <w:t>is the forming of relationships based on mutual trust and respect. Schools could be forced to desegregate—that is, to accept black students—but genuine integration, as King said, was an “unenforceable” demand</w:t>
      </w:r>
      <w:r w:rsidRPr="00D7045C">
        <w:rPr>
          <w:sz w:val="14"/>
        </w:rPr>
        <w:t xml:space="preserve">. The government can put us in the same room, but they can’t make us get along. </w:t>
      </w:r>
      <w:r w:rsidRPr="00D7045C">
        <w:rPr>
          <w:rStyle w:val="Emphasis"/>
        </w:rPr>
        <w:t>To this day, the language of racial balance, as used by the left, keeps us talking about “integrated schools.” But institutions don’t integrate. People do.</w:t>
      </w:r>
      <w:r w:rsidRPr="00D7045C">
        <w:rPr>
          <w:sz w:val="14"/>
        </w:rPr>
        <w:t xml:space="preserve"> </w:t>
      </w:r>
      <w:r w:rsidRPr="00D7045C">
        <w:rPr>
          <w:rStyle w:val="StyleUnderline"/>
        </w:rPr>
        <w:t>If a school is 3 percent black, but all of those students are actively engaged in making friends and participating in student activities, then those children are well and fully integrated. If a school is 20 percent black but all the black students stay on their own side of the cafeteria and then get bused home at 3 p.m. every day, then there is no integration taking place</w:t>
      </w:r>
      <w:r w:rsidRPr="00D7045C">
        <w:rPr>
          <w:sz w:val="14"/>
        </w:rPr>
        <w:t xml:space="preserve"> at that school. Trying to measure integration with percentages is like trying to measure your weight in inches.</w:t>
      </w:r>
    </w:p>
    <w:p w14:paraId="57EFBC11" w14:textId="77777777" w:rsidR="002D5090" w:rsidRDefault="002D5090" w:rsidP="002D5090">
      <w:pPr>
        <w:pStyle w:val="Heading4"/>
      </w:pPr>
      <w:r>
        <w:t>School integration has a litany of economic and social benefits</w:t>
      </w:r>
    </w:p>
    <w:p w14:paraId="230EBAB4" w14:textId="77777777" w:rsidR="002D5090" w:rsidRPr="00692ED0" w:rsidRDefault="002D5090" w:rsidP="002D5090">
      <w:r w:rsidRPr="00692ED0">
        <w:rPr>
          <w:rStyle w:val="Style13ptBold"/>
        </w:rPr>
        <w:t>Century Foundation 16</w:t>
      </w:r>
      <w:r>
        <w:t xml:space="preserve"> (</w:t>
      </w:r>
      <w:r w:rsidRPr="00692ED0">
        <w:t>The Century Foundation is a progressive, nonpartisan think tank that seeks to foster opportunity, reduce inequality, and promote security at home and abroad</w:t>
      </w:r>
      <w:r>
        <w:t>, “</w:t>
      </w:r>
      <w:r w:rsidRPr="00692ED0">
        <w:t>The Benefits of Socioeconomically and Racially Integrated Schools and Classrooms</w:t>
      </w:r>
      <w:r>
        <w:t xml:space="preserve">”, 2/10/16, </w:t>
      </w:r>
      <w:r w:rsidRPr="00692ED0">
        <w:t>https://tcf.org/content/facts/the-benefits-of-socioeconomically-and-racially-integrated-schools-and-classrooms/</w:t>
      </w:r>
      <w:r>
        <w:t>)KJR</w:t>
      </w:r>
    </w:p>
    <w:p w14:paraId="071D581F" w14:textId="77777777" w:rsidR="002D5090" w:rsidRDefault="002D5090" w:rsidP="002D5090">
      <w:r>
        <w:t xml:space="preserve">Research shows that racial and socioeconomic diversity in the classroom can provide students with a range of cognitive and social benefits. And school policies around the country are beginning to catch up. Today, over 4 million students in America are enrolled in school districts or charter schools with socioeconomic integration policies—a number that has more than doubled since 2007. Here’s why the growing momentum in favor of diversity in schools is good news for all students: </w:t>
      </w:r>
      <w:r w:rsidRPr="00055E39">
        <w:rPr>
          <w:rStyle w:val="StyleUnderline"/>
        </w:rPr>
        <w:t>Academic and Cognitive Benefit</w:t>
      </w:r>
      <w:r>
        <w:t xml:space="preserve">s On average, </w:t>
      </w:r>
      <w:r w:rsidRPr="00055E39">
        <w:rPr>
          <w:rStyle w:val="StyleUnderline"/>
        </w:rPr>
        <w:t>students in socioeconomically and racially diverse schools</w:t>
      </w:r>
      <w:r>
        <w:t>—regardless of a student’s own economic status—</w:t>
      </w:r>
      <w:r w:rsidRPr="00055E39">
        <w:rPr>
          <w:rStyle w:val="StyleUnderline"/>
        </w:rPr>
        <w:t>have stronger academic outcomes than students in schools with concentrated poverty</w:t>
      </w:r>
      <w:r>
        <w:t xml:space="preserve">. Students in integrated schools have </w:t>
      </w:r>
      <w:r w:rsidRPr="00055E39">
        <w:rPr>
          <w:rStyle w:val="StyleUnderline"/>
        </w:rPr>
        <w:t>higher average test scores</w:t>
      </w:r>
      <w:r>
        <w:t xml:space="preserve">. On the 2011 National Assessment of Educational Progress (NAEP) given to fourth graders in math, for example, low-income students attending more affluent schools scored roughly two years of learning ahead of low-income students in high-poverty schools. Controlling carefully for students’ family background, another study found that students in mixed-income schools showed 30 percent more growth in test scores over their four years in high school than peers with similar socioeconomic backgrounds in schools with concentrated poverty. Students in integrated schools are </w:t>
      </w:r>
      <w:r w:rsidRPr="00055E39">
        <w:rPr>
          <w:rStyle w:val="StyleUnderline"/>
        </w:rPr>
        <w:t>more likely to enroll in college.</w:t>
      </w:r>
      <w:r>
        <w:t xml:space="preserve"> When comparing students with similar socioeconomic backgrounds, those students at more affluent schools are 68 percent more likely to enroll at a four-year college than their peers at high-poverty schools. </w:t>
      </w:r>
      <w:r w:rsidRPr="00055E39">
        <w:rPr>
          <w:rStyle w:val="StyleUnderline"/>
        </w:rPr>
        <w:t xml:space="preserve">Students </w:t>
      </w:r>
      <w:r>
        <w:t xml:space="preserve">in integrated schools </w:t>
      </w:r>
      <w:r w:rsidRPr="00055E39">
        <w:rPr>
          <w:rStyle w:val="StyleUnderline"/>
        </w:rPr>
        <w:t>are less likely to drop out</w:t>
      </w:r>
      <w:r>
        <w:t xml:space="preserve">. Dropout rates are significantly higher for students in segregated, high-poverty schools than for students in integrated schools. During the height of desegregation in the 1970s and 1980s, dropout rates decreased for minority students, with the greatest decline in dropout rates occurring in districts that had undergone the largest reductions in school segregation. </w:t>
      </w:r>
      <w:r w:rsidRPr="00055E39">
        <w:rPr>
          <w:rStyle w:val="StyleUnderline"/>
        </w:rPr>
        <w:t>Integrated schools help to reduce racial achievement gaps</w:t>
      </w:r>
      <w:r>
        <w:t xml:space="preserve">. In fact, the racial achievement gap in K–12 education closed more rapidly during the peak years of school desegregation in the 1970s and 1980s than it has overall in the decades that followed—when many desegregation policies were dismantled. More recently, black and Latino students had smaller achievement gaps with white students on the 2007 and 2009 NAEP when they were less likely to be stuck in high-poverty school environments. The gap in SAT scores between black and white students continues to be larger in segregated districts, and one study showed that change from complete segregation to complete integration in a district could reduce as much as one quarter of the current SAT score disparity. Integrated classrooms encourage critical thinking, problem solving, and creativity. We know that diverse classrooms, in which students learn cooperatively alongside those whose perspectives and backgrounds are different from their own, are beneficial to all students—including middle-class white students—because these environments promote creativity, motivation, deeper learning, critical thinking, and problem-solving skills. Sign up for updates. ENTER EMAIL HERE SIGN UP </w:t>
      </w:r>
      <w:r w:rsidRPr="00055E39">
        <w:rPr>
          <w:rStyle w:val="StyleUnderline"/>
        </w:rPr>
        <w:t>Civic and Social-Emotional Benefits</w:t>
      </w:r>
      <w:r>
        <w:t xml:space="preserve"> Racially and socioeconomically diverse schools offer students important social-emotional benefits by exposing them to peers of different backgrounds. The </w:t>
      </w:r>
      <w:r w:rsidRPr="00055E39">
        <w:rPr>
          <w:rStyle w:val="StyleUnderline"/>
        </w:rPr>
        <w:t>increased tolerance and cross-cultural dialogue</w:t>
      </w:r>
      <w:r>
        <w:t xml:space="preserve"> that result from these interactions are beneficial for civil society. Attending a diverse school </w:t>
      </w:r>
      <w:r w:rsidRPr="00055E39">
        <w:t xml:space="preserve">can </w:t>
      </w:r>
      <w:r w:rsidRPr="00055E39">
        <w:rPr>
          <w:rStyle w:val="StyleUnderline"/>
        </w:rPr>
        <w:t>help reduce racial bias and counter stereotypes</w:t>
      </w:r>
      <w:r>
        <w:t xml:space="preserve">. Children are at risk of developing stereotypes about racial groups if they live in and are educated in racially isolated settings. By contrast, </w:t>
      </w:r>
      <w:r w:rsidRPr="00055E39">
        <w:rPr>
          <w:rStyle w:val="StyleUnderline"/>
        </w:rPr>
        <w:t>when school settings include students from multiple racial groups, students become more comfortable with people of other races, which leads to a dramatic decrease in discriminatory attitudes</w:t>
      </w:r>
      <w:r>
        <w:t xml:space="preserve"> and prejudices. Students who attend integrated schools are more likely to seek out integrated settings later in life. Integrated schools encourage relationships and friendships across group lines. According to one study, students who attend racially diverse high schools are more likely to live in diverse neighborhoods five years after graduation. Integrated classrooms can </w:t>
      </w:r>
      <w:r w:rsidRPr="00055E39">
        <w:rPr>
          <w:rStyle w:val="StyleUnderline"/>
        </w:rPr>
        <w:t>improve students’ satisfaction and intellectual self-confidence.</w:t>
      </w:r>
      <w:r>
        <w:t xml:space="preserve"> Research on diversity at the college level shows that when students have positive experiences interacting with students of other backgrounds and view the campus racial and cultural climate as affirming, they emerge with greater confidence in their own academic abilities. Learning in integrated settings can enhance students’ leadership skills. A longitudinal study of college students found that the more often first-year students were exposed to diverse educational settings, the more their leadership skills improved</w:t>
      </w:r>
      <w:r w:rsidRPr="00055E39">
        <w:rPr>
          <w:rStyle w:val="StyleUnderline"/>
        </w:rPr>
        <w:t>. Economic Benefits</w:t>
      </w:r>
      <w:r>
        <w:t xml:space="preserve"> Providing more students with integrated school environments is a cost-effective strategy for boosting student achievement and preparing students for work in a diverse global economy. </w:t>
      </w:r>
      <w:r w:rsidRPr="00055E39">
        <w:rPr>
          <w:rStyle w:val="StyleUnderline"/>
        </w:rPr>
        <w:t>School integration efforts produce a high return on investment</w:t>
      </w:r>
      <w:r>
        <w:t xml:space="preserve">. According to one recent estimate, reducing socioeconomic segregation in our schools by half would produce a return on investment of 3-5 times the cost of the programs. Attending an integrated school can be a more effective academic intervention than receiving extra funding in a higher-poverty school. One study of students in Montgomery County, Maryland, found that students living in public housing randomly assigned to lower-poverty neighborhoods and schools outperformed those assigned to higher-poverty neighborhoods and schools—even though the higher-poverty schools received extra funding per pupil. </w:t>
      </w:r>
      <w:r w:rsidRPr="00055E39">
        <w:rPr>
          <w:rStyle w:val="StyleUnderline"/>
        </w:rPr>
        <w:t>School integration promotes more equitable access to resources</w:t>
      </w:r>
      <w:r>
        <w:t xml:space="preserve">. Integrating schools can help to reduce disparities in access to well-maintained facilities, highly qualified teachers, challenging courses, and private and public funding. </w:t>
      </w:r>
      <w:r w:rsidRPr="00055E39">
        <w:rPr>
          <w:rStyle w:val="StyleUnderline"/>
        </w:rPr>
        <w:t>Diverse classrooms prepare students to succeed in a global economy.</w:t>
      </w:r>
      <w:r>
        <w:t xml:space="preserve"> In higher education, university officials and business leaders argue that diverse college campuses and classrooms prepare students for life, work, and leadership in a more global economy by fostering leaders who are creative, collaborative, and able to navigate deftly in dynamic, multicultural environments.</w:t>
      </w:r>
    </w:p>
    <w:p w14:paraId="0BCA50BE" w14:textId="77777777" w:rsidR="002D5090" w:rsidRPr="002D5090" w:rsidRDefault="002D5090" w:rsidP="002D5090"/>
    <w:p w14:paraId="710AD9F6" w14:textId="77777777" w:rsidR="005A4715" w:rsidRPr="00D7045C" w:rsidRDefault="003D049F" w:rsidP="005A4715">
      <w:pPr>
        <w:pStyle w:val="Heading3"/>
        <w:rPr>
          <w:rFonts w:cs="Times New Roman"/>
        </w:rPr>
      </w:pPr>
      <w:r w:rsidRPr="00D7045C">
        <w:rPr>
          <w:rFonts w:cs="Times New Roman"/>
        </w:rPr>
        <w:t>Extension – S</w:t>
      </w:r>
      <w:r w:rsidR="005A4715" w:rsidRPr="00D7045C">
        <w:rPr>
          <w:rFonts w:cs="Times New Roman"/>
        </w:rPr>
        <w:t>olvency</w:t>
      </w:r>
    </w:p>
    <w:p w14:paraId="732E1E54" w14:textId="77777777" w:rsidR="00AF6254" w:rsidRDefault="00AF6254" w:rsidP="00AF6254">
      <w:pPr>
        <w:pStyle w:val="Heading4"/>
        <w:rPr>
          <w:lang w:eastAsia="zh-CN"/>
        </w:rPr>
      </w:pPr>
      <w:bookmarkStart w:id="0" w:name="_Hlk486591130"/>
      <w:r>
        <w:rPr>
          <w:lang w:eastAsia="zh-CN"/>
        </w:rPr>
        <w:t>Courts influence public opinion regardless of backlash – resistance becomes acceptance post the plan</w:t>
      </w:r>
    </w:p>
    <w:p w14:paraId="4B4E681D" w14:textId="77777777" w:rsidR="00AF6254" w:rsidRPr="00B5329E" w:rsidRDefault="00AF6254" w:rsidP="00AF6254">
      <w:pPr>
        <w:rPr>
          <w:rStyle w:val="Style13ptBold"/>
          <w:lang w:eastAsia="zh-CN"/>
        </w:rPr>
      </w:pPr>
      <w:r>
        <w:rPr>
          <w:rStyle w:val="Style13ptBold"/>
          <w:lang w:eastAsia="zh-CN"/>
        </w:rPr>
        <w:t xml:space="preserve">Gibson and Nelson 14 (James Gibson, </w:t>
      </w:r>
      <w:r w:rsidRPr="00B5329E">
        <w:rPr>
          <w:rStyle w:val="Style13ptBold"/>
          <w:lang w:eastAsia="zh-CN"/>
        </w:rPr>
        <w:t>Professor of African and African American Studies</w:t>
      </w:r>
      <w:r>
        <w:rPr>
          <w:rStyle w:val="Style13ptBold"/>
          <w:lang w:eastAsia="zh-CN"/>
        </w:rPr>
        <w:t xml:space="preserve"> at Washington University, Michael Nelson, PhD. Candidate department of Polisci at Wash. U, “</w:t>
      </w:r>
      <w:r w:rsidRPr="00B5329E">
        <w:rPr>
          <w:rStyle w:val="Style13ptBold"/>
          <w:lang w:eastAsia="zh-CN"/>
        </w:rPr>
        <w:t>The Legiti</w:t>
      </w:r>
      <w:r>
        <w:rPr>
          <w:rStyle w:val="Style13ptBold"/>
          <w:lang w:eastAsia="zh-CN"/>
        </w:rPr>
        <w:t xml:space="preserve">macy of the U.S. Supreme Court: </w:t>
      </w:r>
      <w:r w:rsidRPr="00B5329E">
        <w:rPr>
          <w:rStyle w:val="Style13ptBold"/>
          <w:lang w:eastAsia="zh-CN"/>
        </w:rPr>
        <w:t>Conventional Wisdoms, and Recent Challenges Thereto</w:t>
      </w:r>
      <w:r>
        <w:rPr>
          <w:rStyle w:val="Style13ptBold"/>
          <w:lang w:eastAsia="zh-CN"/>
        </w:rPr>
        <w:t xml:space="preserve">,” </w:t>
      </w:r>
      <w:hyperlink r:id="rId34" w:history="1">
        <w:r w:rsidRPr="00E04134">
          <w:rPr>
            <w:rStyle w:val="Hyperlink"/>
            <w:sz w:val="26"/>
            <w:lang w:eastAsia="zh-CN"/>
          </w:rPr>
          <w:t>http://mjnelson.wustl.edu/papers/AnnualReview.pdf)A</w:t>
        </w:r>
      </w:hyperlink>
      <w:r>
        <w:rPr>
          <w:rStyle w:val="Style13ptBold"/>
          <w:lang w:eastAsia="zh-CN"/>
        </w:rPr>
        <w:t>L</w:t>
      </w:r>
    </w:p>
    <w:p w14:paraId="19FCF415" w14:textId="77777777" w:rsidR="00AF6254" w:rsidRPr="006D19CF" w:rsidRDefault="00AF6254" w:rsidP="00AF6254">
      <w:pPr>
        <w:rPr>
          <w:sz w:val="16"/>
          <w:lang w:eastAsia="zh-CN"/>
        </w:rPr>
      </w:pPr>
      <w:r w:rsidRPr="006D19CF">
        <w:rPr>
          <w:sz w:val="16"/>
          <w:lang w:eastAsia="zh-CN"/>
        </w:rPr>
        <w:t xml:space="preserve">The discussion to this point has focused on Supreme Court rulings and whether the Court’s constituents disagree or agree with its policy decisions. Also important, however, is the effects that judicial opinions have on public opinion. Indeed, perhaps </w:t>
      </w:r>
      <w:r w:rsidRPr="00A34868">
        <w:rPr>
          <w:rStyle w:val="Emphasis"/>
          <w:lang w:eastAsia="zh-CN"/>
        </w:rPr>
        <w:t>one of the most obvious consequences of</w:t>
      </w:r>
      <w:r w:rsidRPr="00A34868">
        <w:rPr>
          <w:rStyle w:val="Emphasis"/>
        </w:rPr>
        <w:t xml:space="preserve"> </w:t>
      </w:r>
      <w:r w:rsidRPr="00A34868">
        <w:rPr>
          <w:rStyle w:val="Emphasis"/>
          <w:lang w:eastAsia="zh-CN"/>
        </w:rPr>
        <w:t>institutional legitimacy is the ability of a court to pass its legitimacy to policies enacted by other branches</w:t>
      </w:r>
      <w:r w:rsidRPr="00A34868">
        <w:rPr>
          <w:rStyle w:val="Emphasis"/>
        </w:rPr>
        <w:t xml:space="preserve"> </w:t>
      </w:r>
      <w:r w:rsidRPr="00A34868">
        <w:rPr>
          <w:rStyle w:val="Emphasis"/>
          <w:lang w:eastAsia="zh-CN"/>
        </w:rPr>
        <w:t>of government</w:t>
      </w:r>
      <w:r w:rsidRPr="006D19CF">
        <w:rPr>
          <w:sz w:val="16"/>
          <w:lang w:eastAsia="zh-CN"/>
        </w:rPr>
        <w:t xml:space="preserve">. In the words of Dahl (1957) </w:t>
      </w:r>
      <w:r w:rsidRPr="00A34868">
        <w:rPr>
          <w:rStyle w:val="StyleUnderline"/>
        </w:rPr>
        <w:t>a major basis of the U.S. Supreme Court’s power “is the unique legitimacy attributed to its interpretations of the Constitution</w:t>
      </w:r>
      <w:r w:rsidRPr="006D19CF">
        <w:rPr>
          <w:sz w:val="16"/>
          <w:lang w:eastAsia="zh-CN"/>
        </w:rPr>
        <w:t xml:space="preserve">” (293). In other words, </w:t>
      </w:r>
      <w:r w:rsidRPr="00A34868">
        <w:rPr>
          <w:rStyle w:val="Emphasis"/>
          <w:lang w:eastAsia="zh-CN"/>
        </w:rPr>
        <w:t>the Court’s</w:t>
      </w:r>
      <w:r w:rsidRPr="00A34868">
        <w:rPr>
          <w:rStyle w:val="Emphasis"/>
        </w:rPr>
        <w:t xml:space="preserve"> </w:t>
      </w:r>
      <w:r w:rsidRPr="00A34868">
        <w:rPr>
          <w:rStyle w:val="Emphasis"/>
          <w:lang w:eastAsia="zh-CN"/>
        </w:rPr>
        <w:t xml:space="preserve">decisions act to bolster public perceptions of the majority coalition’s policies. </w:t>
      </w:r>
      <w:r w:rsidRPr="006D19CF">
        <w:rPr>
          <w:sz w:val="16"/>
          <w:lang w:eastAsia="zh-CN"/>
        </w:rPr>
        <w:t xml:space="preserve">Yet, the </w:t>
      </w:r>
      <w:r w:rsidRPr="00A34868">
        <w:rPr>
          <w:rStyle w:val="StyleUnderline"/>
          <w:lang w:eastAsia="zh-CN"/>
        </w:rPr>
        <w:t>Court’s ability to</w:t>
      </w:r>
      <w:r w:rsidRPr="00A34868">
        <w:rPr>
          <w:rStyle w:val="StyleUnderline"/>
        </w:rPr>
        <w:t xml:space="preserve"> </w:t>
      </w:r>
      <w:r w:rsidRPr="00A34868">
        <w:rPr>
          <w:rStyle w:val="StyleUnderline"/>
          <w:lang w:eastAsia="zh-CN"/>
        </w:rPr>
        <w:t>legitimize is not limited to policies.</w:t>
      </w:r>
      <w:r w:rsidRPr="006D19CF">
        <w:rPr>
          <w:sz w:val="16"/>
          <w:lang w:eastAsia="zh-CN"/>
        </w:rPr>
        <w:t xml:space="preserve"> Dahl (1957) goes on to claim that “at its best </w:t>
      </w:r>
      <w:r w:rsidRPr="00A34868">
        <w:rPr>
          <w:rStyle w:val="StyleUnderline"/>
          <w:lang w:eastAsia="zh-CN"/>
        </w:rPr>
        <w:t>the Court operates to</w:t>
      </w:r>
      <w:r w:rsidRPr="00A34868">
        <w:rPr>
          <w:rStyle w:val="StyleUnderline"/>
        </w:rPr>
        <w:t xml:space="preserve"> </w:t>
      </w:r>
      <w:r w:rsidRPr="00A34868">
        <w:rPr>
          <w:rStyle w:val="StyleUnderline"/>
          <w:lang w:eastAsia="zh-CN"/>
        </w:rPr>
        <w:t>confer legitimacy, not simply on the particular and parochial politics of the dominant political alliance,</w:t>
      </w:r>
      <w:r w:rsidRPr="00A34868">
        <w:rPr>
          <w:rStyle w:val="StyleUnderline"/>
        </w:rPr>
        <w:t xml:space="preserve"> </w:t>
      </w:r>
      <w:r w:rsidRPr="00A34868">
        <w:rPr>
          <w:rStyle w:val="StyleUnderline"/>
          <w:lang w:eastAsia="zh-CN"/>
        </w:rPr>
        <w:t>but upon the basic patterns of behavior required for the operation of democracy</w:t>
      </w:r>
      <w:r w:rsidRPr="006D19CF">
        <w:rPr>
          <w:sz w:val="16"/>
          <w:lang w:eastAsia="zh-CN"/>
        </w:rPr>
        <w:t xml:space="preserve">” (295). We can observe the Court’s legitimacy conferring capacity through two different outcomes. First, </w:t>
      </w:r>
      <w:r w:rsidRPr="001A67DE">
        <w:rPr>
          <w:rStyle w:val="Emphasis"/>
          <w:lang w:eastAsia="zh-CN"/>
        </w:rPr>
        <w:t>legitimacy conferring capacity can operate through substantive opinion change</w:t>
      </w:r>
      <w:r w:rsidRPr="006D19CF">
        <w:rPr>
          <w:sz w:val="16"/>
          <w:lang w:eastAsia="zh-CN"/>
        </w:rPr>
        <w:t xml:space="preserve">. This </w:t>
      </w:r>
      <w:r w:rsidRPr="001A67DE">
        <w:rPr>
          <w:rStyle w:val="StyleUnderline"/>
          <w:lang w:eastAsia="zh-CN"/>
        </w:rPr>
        <w:t>endorsement</w:t>
      </w:r>
      <w:r w:rsidRPr="001A67DE">
        <w:rPr>
          <w:rStyle w:val="StyleUnderline"/>
        </w:rPr>
        <w:t xml:space="preserve"> </w:t>
      </w:r>
      <w:r w:rsidRPr="001A67DE">
        <w:rPr>
          <w:rStyle w:val="StyleUnderline"/>
          <w:lang w:eastAsia="zh-CN"/>
        </w:rPr>
        <w:t xml:space="preserve">effect happens when </w:t>
      </w:r>
      <w:r w:rsidRPr="006D19CF">
        <w:rPr>
          <w:sz w:val="16"/>
          <w:lang w:eastAsia="zh-CN"/>
        </w:rPr>
        <w:t xml:space="preserve">an </w:t>
      </w:r>
      <w:r w:rsidRPr="001A67DE">
        <w:rPr>
          <w:rStyle w:val="StyleUnderline"/>
          <w:lang w:eastAsia="zh-CN"/>
        </w:rPr>
        <w:t xml:space="preserve">individual </w:t>
      </w:r>
      <w:r w:rsidRPr="001A67DE">
        <w:rPr>
          <w:rStyle w:val="Emphasis"/>
          <w:lang w:eastAsia="zh-CN"/>
        </w:rPr>
        <w:t>changes their views on political or legal issues in response to a</w:t>
      </w:r>
      <w:r w:rsidRPr="001A67DE">
        <w:rPr>
          <w:rStyle w:val="Emphasis"/>
        </w:rPr>
        <w:t xml:space="preserve"> </w:t>
      </w:r>
      <w:r w:rsidRPr="001A67DE">
        <w:rPr>
          <w:rStyle w:val="Emphasis"/>
          <w:lang w:eastAsia="zh-CN"/>
        </w:rPr>
        <w:t>judicial opinion</w:t>
      </w:r>
      <w:r w:rsidRPr="001A67DE">
        <w:rPr>
          <w:rStyle w:val="StyleUnderline"/>
          <w:lang w:eastAsia="zh-CN"/>
        </w:rPr>
        <w:t xml:space="preserve"> </w:t>
      </w:r>
      <w:r w:rsidRPr="006D19CF">
        <w:rPr>
          <w:sz w:val="16"/>
          <w:lang w:eastAsia="zh-CN"/>
        </w:rPr>
        <w:t xml:space="preserve">(see Zaller 1992). Second, </w:t>
      </w:r>
      <w:r w:rsidRPr="001A67DE">
        <w:rPr>
          <w:rStyle w:val="StyleUnderline"/>
          <w:lang w:eastAsia="zh-CN"/>
        </w:rPr>
        <w:t>even without substantive attitude change</w:t>
      </w:r>
      <w:r w:rsidRPr="006D19CF">
        <w:rPr>
          <w:sz w:val="16"/>
          <w:lang w:eastAsia="zh-CN"/>
        </w:rPr>
        <w:t xml:space="preserve">, </w:t>
      </w:r>
      <w:r w:rsidRPr="001A67DE">
        <w:rPr>
          <w:rStyle w:val="StyleUnderline"/>
          <w:lang w:eastAsia="zh-CN"/>
        </w:rPr>
        <w:t>people may come to</w:t>
      </w:r>
      <w:r w:rsidRPr="001A67DE">
        <w:rPr>
          <w:rStyle w:val="StyleUnderline"/>
        </w:rPr>
        <w:t xml:space="preserve"> </w:t>
      </w:r>
      <w:r w:rsidRPr="001A67DE">
        <w:rPr>
          <w:rStyle w:val="StyleUnderline"/>
          <w:lang w:eastAsia="zh-CN"/>
        </w:rPr>
        <w:t>accept the decision, to acquiesce to it, not to challenge the decision, not support punishing the institution</w:t>
      </w:r>
      <w:r w:rsidRPr="001A67DE">
        <w:rPr>
          <w:rStyle w:val="StyleUnderline"/>
        </w:rPr>
        <w:t xml:space="preserve"> </w:t>
      </w:r>
      <w:r w:rsidRPr="001A67DE">
        <w:rPr>
          <w:rStyle w:val="StyleUnderline"/>
          <w:lang w:eastAsia="zh-CN"/>
        </w:rPr>
        <w:t>for its decision</w:t>
      </w:r>
      <w:r w:rsidRPr="0005423A">
        <w:rPr>
          <w:rStyle w:val="Emphasis"/>
          <w:lang w:eastAsia="zh-CN"/>
        </w:rPr>
        <w:t>. Thus, the Court’s legitimacy conferring capacity also operates through a second</w:t>
      </w:r>
      <w:r w:rsidRPr="0005423A">
        <w:rPr>
          <w:rStyle w:val="Emphasis"/>
        </w:rPr>
        <w:t xml:space="preserve"> </w:t>
      </w:r>
      <w:r w:rsidRPr="0005423A">
        <w:rPr>
          <w:rStyle w:val="Emphasis"/>
          <w:lang w:eastAsia="zh-CN"/>
        </w:rPr>
        <w:t>pathway: by encouraging acceptance</w:t>
      </w:r>
      <w:r w:rsidRPr="006D19CF">
        <w:rPr>
          <w:sz w:val="16"/>
          <w:lang w:eastAsia="zh-CN"/>
        </w:rPr>
        <w:t xml:space="preserve">. </w:t>
      </w:r>
      <w:r w:rsidRPr="0005423A">
        <w:rPr>
          <w:rStyle w:val="StyleUnderline"/>
          <w:lang w:eastAsia="zh-CN"/>
        </w:rPr>
        <w:t>Acceptance occurs when a court decision causes individuals to</w:t>
      </w:r>
      <w:r w:rsidRPr="0005423A">
        <w:rPr>
          <w:rStyle w:val="StyleUnderline"/>
        </w:rPr>
        <w:t xml:space="preserve"> </w:t>
      </w:r>
      <w:r w:rsidRPr="0005423A">
        <w:rPr>
          <w:rStyle w:val="StyleUnderline"/>
          <w:lang w:eastAsia="zh-CN"/>
        </w:rPr>
        <w:t>acquiesce to decisions with which they disagree.</w:t>
      </w:r>
      <w:r w:rsidRPr="006D19CF">
        <w:rPr>
          <w:sz w:val="16"/>
          <w:lang w:eastAsia="zh-CN"/>
        </w:rPr>
        <w:t xml:space="preserve"> -22- The empirical literature documenting the Court’s ability to change opinion has been mixed in its ability to document the existence of an effect. Indeed, the results of many observational studies have failed to show any ability of the Court to change public opinion (e.g. Marshall 1987; Rosenberg 2008). Some recent scholarship goes even further, suggesting that unpopular Supreme Court rulings can cause a backlash in public support. For example, Klarman argues that the U.S. Supreme Court's decision in Brown v. Board of Education aggravated, rather than ameliorated, racial tensions in the South (Klarman 2004; see also 1994; 2005). On the other hand, some recent studies have challenged this claim, particularly as it pertains to judicial rulings relating to same-sex conduct. For example, Stoutenborough, Haider-Markel, and Allen (2006) show that </w:t>
      </w:r>
      <w:r w:rsidRPr="0005423A">
        <w:rPr>
          <w:rStyle w:val="StyleUnderline"/>
          <w:lang w:eastAsia="zh-CN"/>
        </w:rPr>
        <w:t>the public's response to the Court's gay civil rights rulings</w:t>
      </w:r>
      <w:r w:rsidRPr="0005423A">
        <w:rPr>
          <w:rStyle w:val="StyleUnderline"/>
        </w:rPr>
        <w:t xml:space="preserve"> </w:t>
      </w:r>
      <w:r w:rsidRPr="0005423A">
        <w:rPr>
          <w:rStyle w:val="StyleUnderline"/>
          <w:lang w:eastAsia="zh-CN"/>
        </w:rPr>
        <w:t>was complicated but, on balance, suggests that the Court plays a legitimizing role (</w:t>
      </w:r>
      <w:r w:rsidRPr="006D19CF">
        <w:rPr>
          <w:sz w:val="16"/>
          <w:lang w:eastAsia="zh-CN"/>
        </w:rPr>
        <w:t xml:space="preserve">see also Keck 2009). Additionally, in an examination of legitimization and backlash that spans the Court's docket, Ura (2014) examines how public mood changes in responses to variation in the ideological mixture of the Court's decisions, finding that both theories are partially correct: </w:t>
      </w:r>
      <w:r w:rsidRPr="0005423A">
        <w:rPr>
          <w:rStyle w:val="StyleUnderline"/>
          <w:lang w:eastAsia="zh-CN"/>
        </w:rPr>
        <w:t>there is initially a backlash against changes in</w:t>
      </w:r>
      <w:r w:rsidRPr="0005423A">
        <w:rPr>
          <w:rStyle w:val="StyleUnderline"/>
        </w:rPr>
        <w:t xml:space="preserve"> </w:t>
      </w:r>
      <w:r w:rsidRPr="0005423A">
        <w:rPr>
          <w:rStyle w:val="StyleUnderline"/>
          <w:lang w:eastAsia="zh-CN"/>
        </w:rPr>
        <w:t xml:space="preserve">judicial policy, </w:t>
      </w:r>
      <w:r w:rsidRPr="0005423A">
        <w:rPr>
          <w:rStyle w:val="Emphasis"/>
          <w:lang w:eastAsia="zh-CN"/>
        </w:rPr>
        <w:t>but, over time, the Court serves a legitimizing function.</w:t>
      </w:r>
      <w:r w:rsidRPr="0005423A">
        <w:rPr>
          <w:rStyle w:val="StyleUnderline"/>
          <w:lang w:eastAsia="zh-CN"/>
        </w:rPr>
        <w:t xml:space="preserve"> </w:t>
      </w:r>
      <w:r w:rsidRPr="006D19CF">
        <w:rPr>
          <w:sz w:val="16"/>
          <w:lang w:eastAsia="zh-CN"/>
        </w:rPr>
        <w:t xml:space="preserve">Finally, </w:t>
      </w:r>
      <w:r w:rsidRPr="006D19CF">
        <w:rPr>
          <w:sz w:val="16"/>
        </w:rPr>
        <w:t>some observational studies have suggested that, among only some groups of individuals, the Court’s opinions are able to affect public opinion</w:t>
      </w:r>
      <w:r w:rsidRPr="006D19CF">
        <w:rPr>
          <w:sz w:val="16"/>
          <w:lang w:eastAsia="zh-CN"/>
        </w:rPr>
        <w:t xml:space="preserve"> (Franklin and Kosaki 1989; Hoekstra and Segal 1996; Johnson and Martin 1998). The experimental literature on the topic tells a less complicated story, however. These </w:t>
      </w:r>
      <w:r w:rsidRPr="0005423A">
        <w:rPr>
          <w:rStyle w:val="StyleUnderline"/>
          <w:lang w:eastAsia="zh-CN"/>
        </w:rPr>
        <w:t>studies</w:t>
      </w:r>
      <w:r w:rsidRPr="006D19CF">
        <w:rPr>
          <w:sz w:val="16"/>
          <w:lang w:eastAsia="zh-CN"/>
        </w:rPr>
        <w:t xml:space="preserve"> (e.g., Bartels and Mutz 2009; Hoekstra 1995; Clawsen, Kegler, and Waltenberg 2001; Grosskopf and Mondak 1998) </w:t>
      </w:r>
      <w:r w:rsidRPr="0005423A">
        <w:rPr>
          <w:rStyle w:val="StyleUnderline"/>
          <w:lang w:eastAsia="zh-CN"/>
        </w:rPr>
        <w:t>suggest that the Court’s opinions can have both endorsement and acceptance effects</w:t>
      </w:r>
      <w:r w:rsidRPr="006D19CF">
        <w:rPr>
          <w:sz w:val="16"/>
          <w:lang w:eastAsia="zh-CN"/>
        </w:rPr>
        <w:t xml:space="preserve">. For example, Bartels and Mutz (2009) embed an experiment in a </w:t>
      </w:r>
      <w:r w:rsidRPr="0005423A">
        <w:rPr>
          <w:rStyle w:val="StyleUnderline"/>
          <w:lang w:eastAsia="zh-CN"/>
        </w:rPr>
        <w:t>nationally representative sample</w:t>
      </w:r>
      <w:r w:rsidRPr="006D19CF">
        <w:rPr>
          <w:sz w:val="16"/>
          <w:lang w:eastAsia="zh-CN"/>
        </w:rPr>
        <w:t xml:space="preserve"> and </w:t>
      </w:r>
      <w:r w:rsidRPr="0005423A">
        <w:rPr>
          <w:rStyle w:val="StyleUnderline"/>
          <w:lang w:eastAsia="zh-CN"/>
        </w:rPr>
        <w:t>found</w:t>
      </w:r>
      <w:r w:rsidRPr="0005423A">
        <w:rPr>
          <w:rStyle w:val="StyleUnderline"/>
        </w:rPr>
        <w:t xml:space="preserve"> </w:t>
      </w:r>
      <w:r w:rsidRPr="0005423A">
        <w:rPr>
          <w:rStyle w:val="StyleUnderline"/>
          <w:lang w:eastAsia="zh-CN"/>
        </w:rPr>
        <w:t>“potent” endorsement effects from a judicial decision</w:t>
      </w:r>
      <w:r w:rsidRPr="006D19CF">
        <w:rPr>
          <w:sz w:val="16"/>
          <w:lang w:eastAsia="zh-CN"/>
        </w:rPr>
        <w:t xml:space="preserve">. Gibson, Caldeira, and Spence (2003b), writing after the U.S. Supreme Court’s controversial opinion in Bush v. Gore, document independent and strong acceptance effects using a survey experiment embedded within a nationally representative sample. Given experimental studies documenting both endorsement and acceptance effects, by what -23- mechanism might the Court legitimize policies? The early literature on this topic adopted a simple conceptual model that was largely silent on the mechanisms question. Implicitly it presumed a </w:t>
      </w:r>
      <w:r w:rsidRPr="006D19CF">
        <w:rPr>
          <w:sz w:val="16"/>
        </w:rPr>
        <w:t xml:space="preserve">very simple model of influence. </w:t>
      </w:r>
      <w:r w:rsidRPr="006D19CF">
        <w:rPr>
          <w:sz w:val="16"/>
          <w:lang w:eastAsia="zh-CN"/>
        </w:rPr>
        <w:t xml:space="preserve">First, individuals hold an opinion. Second, the court decides a case. Third, that judicial decision either has (or does not have) an effect on individuals’ views. Thus, this conceptual model assumes that information about a judicial opinion is omnipresent, complete, and readily communicated to the Court’s constituents. Because it does not account for the breakdown in the process of information transmission between the Court and the public, any failure to document an effect is attributed to the inability of the Court to move opinion. It is this conceptual model upon which most of the observational studies finding a null result are based </w:t>
      </w:r>
    </w:p>
    <w:p w14:paraId="4F83179F" w14:textId="77777777" w:rsidR="00AF6254" w:rsidRDefault="00AF6254" w:rsidP="006E7D0B">
      <w:pPr>
        <w:pStyle w:val="Heading4"/>
        <w:rPr>
          <w:rFonts w:cs="Times New Roman"/>
        </w:rPr>
      </w:pPr>
    </w:p>
    <w:p w14:paraId="4858AA7A" w14:textId="77777777" w:rsidR="006E7D0B" w:rsidRPr="00D7045C" w:rsidRDefault="006E7D0B" w:rsidP="006E7D0B">
      <w:pPr>
        <w:pStyle w:val="Heading4"/>
        <w:rPr>
          <w:rFonts w:cs="Times New Roman"/>
        </w:rPr>
      </w:pPr>
      <w:r w:rsidRPr="00D7045C">
        <w:rPr>
          <w:rFonts w:cs="Times New Roman"/>
        </w:rPr>
        <w:t xml:space="preserve">A legal attack on Milliken v. Bradley is the best way to resolve hyper-segregation which is being exacerbated by continued white movement and uneven racial distribution - federal action key </w:t>
      </w:r>
    </w:p>
    <w:p w14:paraId="0C90EAC2" w14:textId="77777777" w:rsidR="006E7D0B" w:rsidRPr="00D7045C" w:rsidRDefault="006E7D0B" w:rsidP="006E7D0B">
      <w:r w:rsidRPr="00D7045C">
        <w:rPr>
          <w:rStyle w:val="Style13ptBold"/>
        </w:rPr>
        <w:t>Jackson 4</w:t>
      </w:r>
      <w:r w:rsidRPr="00D7045C">
        <w:t xml:space="preserve"> ( journalist, regular columnist and associate editor for the Boston Globe, “Hub of hypersegregation”, </w:t>
      </w:r>
      <w:hyperlink r:id="rId35" w:history="1">
        <w:r w:rsidRPr="00D7045C">
          <w:rPr>
            <w:rStyle w:val="Hyperlink"/>
          </w:rPr>
          <w:t>http://archive.boston.com/news/globe/editorial_opinion/oped/articles/2004/04/23/hub_of_hypersegregation?pg=2</w:t>
        </w:r>
      </w:hyperlink>
      <w:r w:rsidRPr="00D7045C">
        <w:t>) mlm</w:t>
      </w:r>
    </w:p>
    <w:p w14:paraId="2E8ABF30" w14:textId="77777777" w:rsidR="006E7D0B" w:rsidRPr="00D7045C" w:rsidRDefault="006E7D0B" w:rsidP="006E7D0B">
      <w:pPr>
        <w:rPr>
          <w:sz w:val="16"/>
        </w:rPr>
      </w:pPr>
      <w:r w:rsidRPr="00D7045C">
        <w:rPr>
          <w:sz w:val="16"/>
        </w:rPr>
        <w:t xml:space="preserve">This week the Civil Rights Project at Harvard University, which studies patterns of segregation and the benefits of integration, released a study that found that public education in the Boston metropolitan area remains so segregated that project director Gary Orfield said, "The stratification here is just extraordinary." Within the Boston public schools, white enrollment has dropped from 73 percent in 1967 to 15 percent today. The average African-American student in Boston now attends a school that is 11 percent white, compared with 32 percent white in 1967. At the same time, in a bitter racial irony, the Boston public schools offer one of the nation's best demonstrations that if a quality school exists, white families will storm the doors down to hoard the spots. Boston Latin, the subject of a lawsuit by a white family that ended in the death of affirmative action there in 1998, is 51 percent white, 28 percent Asian-American, 14 percent African-American, and 6 percent Latino. Boston Latin Academy is 42 percent white, 26 percent African-American, 22 percent Asian, and 11 percent Latino. This is in a school system that is only 15 percent white. </w:t>
      </w:r>
      <w:r w:rsidRPr="00D7045C">
        <w:rPr>
          <w:u w:val="single"/>
        </w:rPr>
        <w:t>With</w:t>
      </w:r>
      <w:r w:rsidRPr="00D7045C">
        <w:rPr>
          <w:sz w:val="16"/>
        </w:rPr>
        <w:t xml:space="preserve"> white families disproportionately locking up the two top schools, most African-American students -- 61 percent -- go to schools that are at least 90 percent students of color. That is </w:t>
      </w:r>
      <w:r w:rsidRPr="00D7045C">
        <w:rPr>
          <w:u w:val="single"/>
        </w:rPr>
        <w:t>hypersegregation beyond the worst regional and national averages. In the Northeast, 51 percent of African-American students go to schools that are at least 90 percent students of color. Boston's percentage of hypersegregated African-American students is double that of the South</w:t>
      </w:r>
      <w:r w:rsidRPr="00D7045C">
        <w:rPr>
          <w:sz w:val="16"/>
        </w:rPr>
        <w:t>, where 31 percent of black students go to such schools. The numbers really go south when you consider the whole metropolitan area. Boston and Brockton alone account for 55 percent of all of the metropolitan area's African-American students. Boston and Brockton account for only 3 percent of the area's white students. Boston, Lawrence, Chelsea, Worcester, Lowell, and Lynn account for 60 percent of the area's Latino students. Those six cities account for 6 percent of the area's white students. Four out of every five white students and one out of two Asian-American students go to suburban schools. But only one out of every five African-American students and one out of every four Latino students go to suburban school. Because of housing patterns, the chances are that the typical white student will have an education among peers who are overwhelmingly white. Between 1989 and 2001, the outer suburbs outside Route 128 added more students to their public school enrollments than Boston, its adjacent small cities, and the suburbs inside Route 128 combined. The outer suburbs now account for 59 percent of the area's 767,601 students. Ninety-one percent of the students in the outer suburbs are white. "</w:t>
      </w:r>
      <w:r w:rsidRPr="00D7045C">
        <w:rPr>
          <w:u w:val="single"/>
        </w:rPr>
        <w:t>The continued movement of whites to the suburbs and away from more urbanized areas exacerbates the uneven racial distribution of students across the metro area,</w:t>
      </w:r>
      <w:r w:rsidRPr="00D7045C">
        <w:rPr>
          <w:sz w:val="16"/>
        </w:rPr>
        <w:t xml:space="preserve">" said the study, written by project researcher Chungmei Lee. In a meeting this week with the Globe's editorial board, </w:t>
      </w:r>
      <w:r w:rsidRPr="00D7045C">
        <w:rPr>
          <w:u w:val="single"/>
        </w:rPr>
        <w:t xml:space="preserve">Orfield said the problem is so severe that any serious solutions should be regional, not local. That would take a legal attack on the Supreme Court's Milliken v. Bradley decision in 1974, which declared that the Detroit suburbs did not have to participate in desegregation plans even though white flight was clearly resegregating the schools in a regional manner. </w:t>
      </w:r>
      <w:r w:rsidRPr="00D7045C">
        <w:rPr>
          <w:sz w:val="16"/>
        </w:rPr>
        <w:t xml:space="preserve">In his biting dissent in that case, Justice Thurgood Marshall warned that </w:t>
      </w:r>
      <w:r w:rsidRPr="00D7045C">
        <w:rPr>
          <w:u w:val="single"/>
        </w:rPr>
        <w:t>Milliken was "a giant step backwards" that guaranteed that "Negro children in Detroit will receive the same separate and inherently unequal education in the future as they have been unconstitutionally afforded in the past</w:t>
      </w:r>
      <w:r w:rsidRPr="00D7045C">
        <w:rPr>
          <w:sz w:val="16"/>
        </w:rPr>
        <w:t xml:space="preserve">." Marshall's worst fears were realized. Seventy-seven percent of white students in the outer suburbs go to a school that is at least 90 percent white. Nationally, 88 percent of schools that are less than 10 percent white are high poverty schools. In the Boston area, the percentage is an astounding 97 percent. Only 1 percent of schools that are over 90 percent white are high poverty. Despite the state's demand that all students pass the same standardized tests, segregated schools still lead to segregated teaching. In Boston area schools where fewer than 10 percent of the students are poor or of color, 94 percent of the teachers are certified in the courses they teach. In schools of high poverty and percentages of African-American and Latino students, the percentage of certified teachers drops to 78. In 1954 the Brown decision outlawed locally segregated schools. In 1974, </w:t>
      </w:r>
      <w:r w:rsidRPr="00D7045C">
        <w:rPr>
          <w:u w:val="single"/>
        </w:rPr>
        <w:t>the Milliken decision essentially legalized regional segregation</w:t>
      </w:r>
      <w:r w:rsidRPr="00D7045C">
        <w:rPr>
          <w:sz w:val="16"/>
        </w:rPr>
        <w:t>. Boston is a sordid example of what happens amid a wimpy national commitment to equal education. The state of the schools screams for another Brown decision. Only something that monumental can break the silence of modern segregation.</w:t>
      </w:r>
    </w:p>
    <w:p w14:paraId="1BD55C72" w14:textId="77777777" w:rsidR="006E7D0B" w:rsidRPr="00D7045C" w:rsidRDefault="006E7D0B" w:rsidP="006E7D0B"/>
    <w:p w14:paraId="63484A3E" w14:textId="77777777" w:rsidR="006E7D0B" w:rsidRPr="00D7045C" w:rsidRDefault="006E7D0B" w:rsidP="006E7D0B">
      <w:pPr>
        <w:pStyle w:val="Heading4"/>
        <w:rPr>
          <w:rFonts w:cs="Times New Roman"/>
        </w:rPr>
      </w:pPr>
      <w:r w:rsidRPr="00D7045C">
        <w:rPr>
          <w:rFonts w:cs="Times New Roman"/>
        </w:rPr>
        <w:t xml:space="preserve">School segregation locks people of color into poverty which perpetuates systems of white supremacy – court oversight is key </w:t>
      </w:r>
    </w:p>
    <w:p w14:paraId="67551BA4" w14:textId="77777777" w:rsidR="006E7D0B" w:rsidRPr="00D7045C" w:rsidRDefault="006E7D0B" w:rsidP="006E7D0B">
      <w:r w:rsidRPr="00D7045C">
        <w:rPr>
          <w:rStyle w:val="Style13ptBold"/>
        </w:rPr>
        <w:t>Reyes 16</w:t>
      </w:r>
      <w:r w:rsidRPr="00D7045C">
        <w:t xml:space="preserve"> (Thalya, City &amp; Regional Planning/Public Policy Graduate Student @RutgersU, “Segregation persists in modern-day schools”, </w:t>
      </w:r>
      <w:hyperlink r:id="rId36" w:history="1">
        <w:r w:rsidRPr="00D7045C">
          <w:rPr>
            <w:rStyle w:val="Hyperlink"/>
          </w:rPr>
          <w:t>http://www.dailytargum.com/article/2016/11/segregation-persists-in-modern-day-schools</w:t>
        </w:r>
      </w:hyperlink>
      <w:r w:rsidRPr="00D7045C">
        <w:t xml:space="preserve">) mlm  </w:t>
      </w:r>
    </w:p>
    <w:p w14:paraId="47124ABA" w14:textId="77777777" w:rsidR="006E7D0B" w:rsidRPr="00D7045C" w:rsidRDefault="006E7D0B" w:rsidP="006E7D0B">
      <w:pPr>
        <w:rPr>
          <w:u w:val="single"/>
        </w:rPr>
      </w:pPr>
      <w:r w:rsidRPr="00D7045C">
        <w:rPr>
          <w:sz w:val="16"/>
        </w:rPr>
        <w:t xml:space="preserve">While the type of segregation by law (e.g. proclaiming a school “whites only”) that we saw in the South has been declared illegal by the highest court, </w:t>
      </w:r>
      <w:r w:rsidRPr="00D7045C">
        <w:rPr>
          <w:u w:val="single"/>
        </w:rPr>
        <w:t>segregation that happens based on the racial and ethnic imbalance of a community persists today especially in Northern urban cities like New York City</w:t>
      </w:r>
      <w:r w:rsidRPr="00D7045C">
        <w:rPr>
          <w:sz w:val="16"/>
        </w:rPr>
        <w:t xml:space="preserve">. However, it is a fallacy to believe that our neighborhoods are segregated by mere coincidence — </w:t>
      </w:r>
      <w:r w:rsidRPr="00D7045C">
        <w:rPr>
          <w:u w:val="single"/>
        </w:rPr>
        <w:t>the racial homogeneity of our communities is no accident, carried out through explicitly racist, restrictive housing policies including redlining, the practice of denying services or selectively raising prices to residents based on race/ethnicity in specific areas</w:t>
      </w:r>
      <w:r w:rsidRPr="00D7045C">
        <w:rPr>
          <w:sz w:val="16"/>
        </w:rPr>
        <w:t xml:space="preserve">. Redlined </w:t>
      </w:r>
      <w:r w:rsidRPr="00D7045C">
        <w:rPr>
          <w:u w:val="single"/>
        </w:rPr>
        <w:t xml:space="preserve">communities were cut off from essential capital that made homeownership beyond reach for many families of color </w:t>
      </w:r>
      <w:r w:rsidRPr="00D7045C">
        <w:rPr>
          <w:sz w:val="16"/>
        </w:rPr>
        <w:t xml:space="preserve">that has had transgenerational impacts on family wealth, exacerbating the racial/ethnic wealth gap. Alongside the rise of residential segregation, public schools that were released from the obligation to integrate saw the gap between white and black students grow by 24 percent after a decade compared to while still being under court order. This divide has been made wider through dramatic enrollment shifts in our public school system. Since 1968, enrollment among white students dropped 28 percent but increased by 19 percent among black students and an incredible 495 percent among Latinos. Today, the typical Latino student attends a school that is primarily made up of Latino students (nearly 57 percent), more segregated than their black and Asian peers. </w:t>
      </w:r>
      <w:r w:rsidRPr="00D7045C">
        <w:rPr>
          <w:u w:val="single"/>
        </w:rPr>
        <w:t>While race is a major characteristic utilized to base segregation efforts,</w:t>
      </w:r>
      <w:r w:rsidRPr="00D7045C">
        <w:rPr>
          <w:sz w:val="16"/>
        </w:rPr>
        <w:t xml:space="preserve"> recent research conducted by the University of California—</w:t>
      </w:r>
      <w:r w:rsidRPr="00D7045C">
        <w:rPr>
          <w:u w:val="single"/>
        </w:rPr>
        <w:t>Los Angeles highlighted the strong correlation between racial and economic segregation</w:t>
      </w:r>
      <w:r w:rsidRPr="00D7045C">
        <w:rPr>
          <w:sz w:val="16"/>
        </w:rPr>
        <w:t xml:space="preserve">. </w:t>
      </w:r>
      <w:r w:rsidRPr="00D7045C">
        <w:rPr>
          <w:u w:val="single"/>
        </w:rPr>
        <w:t>In high poverty schools, black and Latino students represent more than half the enrollment and because public schools rely heavily on locally raised property taxes for funding, needier schools often have less qualified teachers, dilapidated facilities and inferior materials and resources.</w:t>
      </w:r>
      <w:r w:rsidRPr="00D7045C">
        <w:rPr>
          <w:sz w:val="16"/>
        </w:rPr>
        <w:t xml:space="preserve"> An astounding 20 percent of New Jersey schools report conditions as “so potentially hazardous that they cause an imminent peril to the health and safety of students or staff.” In the end, </w:t>
      </w:r>
      <w:r w:rsidRPr="00D7045C">
        <w:rPr>
          <w:u w:val="single"/>
        </w:rPr>
        <w:t>students of color and low-income students are trapped in a disastrous cycle that penalizes them for being born to parents of color in high-poverty neighborhoods, further reinforcing white supremacy and widening the opportunity gap</w:t>
      </w:r>
      <w:r w:rsidRPr="00D7045C">
        <w:rPr>
          <w:sz w:val="16"/>
        </w:rPr>
        <w:t xml:space="preserve">. </w:t>
      </w:r>
      <w:r w:rsidRPr="00D7045C">
        <w:rPr>
          <w:u w:val="single"/>
        </w:rPr>
        <w:t xml:space="preserve">Without court oversight, our students' rights to equal protection under the law and due process are not being defended, a cruel and insidious injustice. </w:t>
      </w:r>
      <w:r w:rsidRPr="00D7045C">
        <w:rPr>
          <w:sz w:val="16"/>
        </w:rPr>
        <w:t xml:space="preserve">To be clear, </w:t>
      </w:r>
      <w:r w:rsidRPr="00D7045C">
        <w:rPr>
          <w:u w:val="single"/>
        </w:rPr>
        <w:t>housing and zoning policies and lessening legal protection have contributed immensely to the racial and economic segregation of our communities,</w:t>
      </w:r>
      <w:r w:rsidRPr="00D7045C">
        <w:rPr>
          <w:sz w:val="16"/>
        </w:rPr>
        <w:t xml:space="preserve"> especially our urban cities. Nevertheless, </w:t>
      </w:r>
      <w:r w:rsidRPr="00D7045C">
        <w:rPr>
          <w:u w:val="single"/>
        </w:rPr>
        <w:t>when white parents are faced with efforts to integrate their schools</w:t>
      </w:r>
      <w:r w:rsidRPr="00D7045C">
        <w:rPr>
          <w:sz w:val="16"/>
        </w:rPr>
        <w:t>, their good intentions, a</w:t>
      </w:r>
      <w:r w:rsidRPr="00D7045C">
        <w:rPr>
          <w:u w:val="single"/>
        </w:rPr>
        <w:t>nxiety and privilege coalesce behind the notion of providing the best education for their children (despite an extensive evidence base that shows even white students benefit from integrated schools) or downright stereotyping of students of color bringing “increased crime and drugs”</w:t>
      </w:r>
      <w:r w:rsidRPr="00D7045C">
        <w:rPr>
          <w:sz w:val="16"/>
        </w:rPr>
        <w:t xml:space="preserve"> to strike down said attempts. A recent study by Mathematica Policy Research “revealed” </w:t>
      </w:r>
      <w:r w:rsidRPr="00D7045C">
        <w:rPr>
          <w:u w:val="single"/>
        </w:rPr>
        <w:t>preferences of white and higher-income</w:t>
      </w:r>
      <w:r w:rsidRPr="00D7045C">
        <w:rPr>
          <w:sz w:val="16"/>
        </w:rPr>
        <w:t xml:space="preserve"> parents for schools with higher in-group concentrations and “carefully curated </w:t>
      </w:r>
      <w:r w:rsidRPr="00D7045C">
        <w:rPr>
          <w:u w:val="single"/>
        </w:rPr>
        <w:t>integration</w:t>
      </w:r>
      <w:r w:rsidRPr="00D7045C">
        <w:rPr>
          <w:sz w:val="16"/>
        </w:rPr>
        <w:t>,” the</w:t>
      </w:r>
      <w:r w:rsidRPr="00D7045C">
        <w:rPr>
          <w:u w:val="single"/>
        </w:rPr>
        <w:t xml:space="preserve"> kind that exposes their kids to some poor peers of color but “not too many.</w:t>
      </w:r>
      <w:r w:rsidRPr="00D7045C">
        <w:rPr>
          <w:sz w:val="16"/>
        </w:rPr>
        <w:t xml:space="preserve">” The fact of the matter is you do not need to be intentionally racist for your actions to have racist implications. If </w:t>
      </w:r>
      <w:r w:rsidRPr="00D7045C">
        <w:rPr>
          <w:u w:val="single"/>
        </w:rPr>
        <w:t>we truly seek a diverse and equitable future, we need to correct the inherently discriminatory links between education, land, location and political power to provide equal opportunities that benefit all children.</w:t>
      </w:r>
    </w:p>
    <w:p w14:paraId="23C9ADD8" w14:textId="77777777" w:rsidR="0086602E" w:rsidRPr="00D7045C" w:rsidRDefault="0086602E" w:rsidP="0086602E">
      <w:pPr>
        <w:pStyle w:val="Heading4"/>
        <w:rPr>
          <w:rFonts w:cs="Times New Roman"/>
        </w:rPr>
      </w:pPr>
      <w:r w:rsidRPr="00D7045C">
        <w:rPr>
          <w:rFonts w:cs="Times New Roman"/>
        </w:rPr>
        <w:t>Aff is key to educational achievement and quality – graduation rates, grades, and increased employment rates are a result of the plan</w:t>
      </w:r>
    </w:p>
    <w:p w14:paraId="0B1EFD01" w14:textId="77777777" w:rsidR="0086602E" w:rsidRPr="00D7045C" w:rsidRDefault="0086602E" w:rsidP="0086602E">
      <w:pPr>
        <w:rPr>
          <w:rFonts w:eastAsia="Times New Roman"/>
        </w:rPr>
      </w:pPr>
      <w:r w:rsidRPr="00D7045C">
        <w:rPr>
          <w:rStyle w:val="Style13ptBold"/>
        </w:rPr>
        <w:t>Rothstein 13</w:t>
      </w:r>
      <w:r w:rsidRPr="00D7045C">
        <w:rPr>
          <w:rFonts w:eastAsia="Times New Roman"/>
        </w:rPr>
        <w:t xml:space="preserve"> (Richard, research associate of the Economic Policy Institute and a fellow at the Thurgood Marshall Institute of the NAACP Legal Defense Fund and of the Haas Institute at the University of California</w:t>
      </w:r>
      <w:r w:rsidRPr="00D7045C">
        <w:t>, May 2013, “Why Our Schools Are Segregated,” Educational Leadership, Vol. 70 Number 8, pg. 51) KVA</w:t>
      </w:r>
    </w:p>
    <w:p w14:paraId="3EDCD86B" w14:textId="77777777" w:rsidR="0086602E" w:rsidRPr="00D7045C" w:rsidRDefault="0086602E" w:rsidP="0086602E">
      <w:pPr>
        <w:rPr>
          <w:rStyle w:val="Emphasis"/>
        </w:rPr>
      </w:pPr>
      <w:r w:rsidRPr="00D7045C">
        <w:rPr>
          <w:rStyle w:val="StyleUnderline"/>
        </w:rPr>
        <w:t>Accumulating evidence confirms the need for school integration</w:t>
      </w:r>
      <w:r w:rsidRPr="00D7045C">
        <w:rPr>
          <w:rFonts w:eastAsia="Times New Roman"/>
          <w:sz w:val="16"/>
        </w:rPr>
        <w:t xml:space="preserve">. Black students' achievement decreases as their schoolwide proportion grows (Hanushek, Kain, &amp; Rivkin, 2009). </w:t>
      </w:r>
      <w:r w:rsidRPr="00D7045C">
        <w:rPr>
          <w:rStyle w:val="StyleUnderline"/>
        </w:rPr>
        <w:t>Attendance at high-poverty schools causes disadvantaged students' performance to decline (</w:t>
      </w:r>
      <w:r w:rsidRPr="00D7045C">
        <w:rPr>
          <w:rFonts w:eastAsia="Times New Roman"/>
          <w:sz w:val="16"/>
        </w:rPr>
        <w:t xml:space="preserve">Rumberger, 2007). A </w:t>
      </w:r>
      <w:r w:rsidRPr="00D7045C">
        <w:rPr>
          <w:rStyle w:val="StyleUnderline"/>
        </w:rPr>
        <w:t xml:space="preserve">review of studies evaluating court-ordered desegregation concluded that "the circumstantial case linking school segregation to the test score gap is compelling" </w:t>
      </w:r>
      <w:r w:rsidRPr="00D7045C">
        <w:rPr>
          <w:rFonts w:eastAsia="Times New Roman"/>
          <w:sz w:val="16"/>
        </w:rPr>
        <w:t xml:space="preserve">(Vigdor &amp; Ludwig, 2008, p. 208). </w:t>
      </w:r>
      <w:r w:rsidRPr="00D7045C">
        <w:rPr>
          <w:rStyle w:val="Emphasis"/>
        </w:rPr>
        <w:t>Perhaps even more important than narrowing the test score gap are the positive behavioral outcomes from school racial integration: improved graduation rates, higher rates of employment, and higher earnings in adulthood, as well as avoidance of teen childbearing, delinquency, homicide, and incarceration (</w:t>
      </w:r>
      <w:r w:rsidRPr="00D7045C">
        <w:rPr>
          <w:rFonts w:eastAsia="Times New Roman"/>
          <w:sz w:val="16"/>
        </w:rPr>
        <w:t xml:space="preserve">Guryan 2004; Johnson, 2011; Weiner, Lutz, &amp; Ludwig, 2010). For both academics and behavior, benefits of integration for black students are unaccompanied by corresponding deterioration in white students' outcomes. </w:t>
      </w:r>
      <w:r w:rsidRPr="00D7045C">
        <w:rPr>
          <w:rStyle w:val="StyleUnderline"/>
        </w:rPr>
        <w:t>Ethnographic studies of students who participated in racial integration programs confirm that students of different races benefit from working together and are better prepared for civic engagement</w:t>
      </w:r>
      <w:r w:rsidRPr="00D7045C">
        <w:rPr>
          <w:rFonts w:eastAsia="Times New Roman"/>
          <w:sz w:val="16"/>
        </w:rPr>
        <w:t xml:space="preserve">. Interviews with adult graduates of integrated high schools in 1980 found that the black graduates felt more comfortable and confident about competing in a predominantly white economy (Wells, Holme, Revilla, &amp; Atanda, 2009). Experiments add evidence. In one, Chicago public housing residents received vouchers to subsidize moves to private apartments. Whether they were offered apartments in racially isolated urban neighborhoods or in predominantly white suburbs was a matter of chance. Adolescent children who moved to the suburbs fared better than those who stayed in the city: They had lower dropout rates and were more likely to attend college (Kaufman &amp; Rosenbaum, 1992). In another experiment, Maryland's Montgomery County government purchased apartments in more- and less-affluent areas and randomly assigned them to families that were eligible for public housing. Children—nearly three-quarters were black—who moved into and attended schools in more affluent neighborhoods outperformed comparable children who attended schools with higher proportions of low-income students (Schwartz, 2010). </w:t>
      </w:r>
      <w:r w:rsidRPr="00D7045C">
        <w:rPr>
          <w:rStyle w:val="StyleUnderline"/>
        </w:rPr>
        <w:t>A third and more ambitious experiment curiously showed that residents who moved to lower-poverty neighborhoods didn't improve their academic achievement or obtain better employment. But they did gain better physical and mental health</w:t>
      </w:r>
      <w:r w:rsidRPr="00D7045C">
        <w:rPr>
          <w:rFonts w:eastAsia="Times New Roman"/>
          <w:sz w:val="16"/>
        </w:rPr>
        <w:t xml:space="preserve"> (Ludwig, 2012). </w:t>
      </w:r>
      <w:r w:rsidRPr="00D7045C">
        <w:rPr>
          <w:rStyle w:val="Emphasis"/>
        </w:rPr>
        <w:t>Overall, research supports racial integration's importance in narrowing both academic and noncognitive achievement gaps. The prudent policy is to move forward to integrate schools.</w:t>
      </w:r>
    </w:p>
    <w:p w14:paraId="39675E88" w14:textId="77777777" w:rsidR="005A4715" w:rsidRPr="00D7045C" w:rsidRDefault="005A4715" w:rsidP="005A4715">
      <w:pPr>
        <w:pStyle w:val="Heading4"/>
        <w:rPr>
          <w:rFonts w:cs="Times New Roman"/>
        </w:rPr>
      </w:pPr>
      <w:r w:rsidRPr="00D7045C">
        <w:rPr>
          <w:rFonts w:cs="Times New Roman"/>
        </w:rPr>
        <w:t xml:space="preserve">The federal government should establish a legal framework to promote and ensure equal educational opportunities and set academic standards </w:t>
      </w:r>
    </w:p>
    <w:p w14:paraId="4DA26331" w14:textId="77777777" w:rsidR="005A4715" w:rsidRPr="00D7045C" w:rsidRDefault="005A4715" w:rsidP="005A4715">
      <w:r w:rsidRPr="00D7045C">
        <w:rPr>
          <w:rStyle w:val="Style13ptBold"/>
        </w:rPr>
        <w:t xml:space="preserve">Robinson 9 </w:t>
      </w:r>
      <w:r w:rsidRPr="00D7045C">
        <w:t xml:space="preserve">(Kimberly, Professor of Law at Richmond School of Law, “The Case for a Collaborative Enforcement Model for a Federal Right to Education”, </w:t>
      </w:r>
      <w:hyperlink r:id="rId37" w:history="1">
        <w:r w:rsidRPr="00D7045C">
          <w:rPr>
            <w:rStyle w:val="Hyperlink"/>
          </w:rPr>
          <w:t>https://lawreview.law.ucdavis.edu/issues/40/5/articles/DavisVol40No5_Robinson.pdf</w:t>
        </w:r>
      </w:hyperlink>
      <w:r w:rsidRPr="00D7045C">
        <w:t>) mlm</w:t>
      </w:r>
    </w:p>
    <w:p w14:paraId="69C43C32" w14:textId="77777777" w:rsidR="005A4715" w:rsidRPr="00D7045C" w:rsidRDefault="005A4715" w:rsidP="005A4715">
      <w:pPr>
        <w:rPr>
          <w:sz w:val="16"/>
        </w:rPr>
      </w:pPr>
      <w:r w:rsidRPr="00D7045C">
        <w:rPr>
          <w:u w:val="single"/>
        </w:rPr>
        <w:t xml:space="preserve">Congress should recognize a federal right to education that guarantees equal educational opportunity </w:t>
      </w:r>
      <w:r w:rsidRPr="00D7045C">
        <w:rPr>
          <w:sz w:val="16"/>
        </w:rPr>
        <w:t xml:space="preserve">within each state.337 In addition, a U.S. right to education should emulate the CRC and embrace among its aims the development of the child’s mental and physical abilities, personality, and talents to her or his fullest potential. </w:t>
      </w:r>
      <w:r w:rsidRPr="00D7045C">
        <w:rPr>
          <w:u w:val="single"/>
        </w:rPr>
        <w:t>This goal would</w:t>
      </w:r>
      <w:r w:rsidRPr="00D7045C">
        <w:rPr>
          <w:sz w:val="16"/>
        </w:rPr>
        <w:t xml:space="preserve"> be included in a preamble to the statute and serve as the guidepost for implementation of the legislation, just as NCLB’s preamble explains that the statute seeks to </w:t>
      </w:r>
      <w:r w:rsidRPr="00D7045C">
        <w:rPr>
          <w:u w:val="single"/>
        </w:rPr>
        <w:t>ensure that all students obtain an equal opportunity to receive a “high-quality education” and achieve proficiency on “challenging state academic standards” and assessments.</w:t>
      </w:r>
      <w:r w:rsidRPr="00D7045C">
        <w:rPr>
          <w:sz w:val="16"/>
        </w:rPr>
        <w:t xml:space="preserve">338 The legal requirement would mandate that states provide equal educational opportunity while the inclusion of the aim of developing each child to her or his fullest potential serves to encourage states to increase educational opportunities and to discourage states from engaging in substantial leveling down of revenues, which occurred in some districts after some school finance decisions required equality in the school finance system.339 This recommendation stands in contrast to those scholars noted in Part II who suggest that the United States should recognize a right to a minimum adequate education that focuses on basic skills.340 </w:t>
      </w:r>
      <w:r w:rsidRPr="00D7045C">
        <w:rPr>
          <w:u w:val="single"/>
        </w:rPr>
        <w:t xml:space="preserve">Setting the standard for a federal right to education </w:t>
      </w:r>
      <w:r w:rsidRPr="00D7045C">
        <w:rPr>
          <w:sz w:val="16"/>
        </w:rPr>
        <w:t xml:space="preserve">at such a low level would not help the nation to develop the full intellectual capacity of children, </w:t>
      </w:r>
      <w:r w:rsidRPr="00D7045C">
        <w:rPr>
          <w:u w:val="single"/>
        </w:rPr>
        <w:t>acquire the societal benefits that come from providing all children a high-quality education</w:t>
      </w:r>
      <w:r w:rsidRPr="00D7045C">
        <w:rPr>
          <w:sz w:val="16"/>
        </w:rPr>
        <w:t xml:space="preserve">, or end the injustice that accompanies the current disparities.341 Furthermore, NCLB’s emphasis in </w:t>
      </w:r>
      <w:r w:rsidRPr="00D7045C">
        <w:rPr>
          <w:u w:val="single"/>
        </w:rPr>
        <w:t>its preamble on a “high-quality education” and “challenging state academic standards” represents a congressional consensus that the federal role in education should set ambitious goals</w:t>
      </w:r>
      <w:r w:rsidRPr="00D7045C">
        <w:rPr>
          <w:sz w:val="16"/>
        </w:rPr>
        <w:t xml:space="preserve"> or that exisiting deficiencies like the achievement gap and low academic standards will remain entrenched. Along with the goal to develop each child to her or his fullest potential, the statute also should include as its purpose the reduction of interstate inequalities because, as education law scholar Goodwin Liu has explained</w:t>
      </w:r>
      <w:r w:rsidRPr="00D7045C">
        <w:rPr>
          <w:u w:val="single"/>
        </w:rPr>
        <w:t>, “the burden of such disparities tends to fall most heavily on disadvantaged children with the greatest educational needs.”</w:t>
      </w:r>
      <w:r w:rsidRPr="00D7045C">
        <w:rPr>
          <w:sz w:val="16"/>
        </w:rPr>
        <w:t>342 The inclusion of this as a goal for the statute accomplishes two objectives. First, the federal panel that reviews state plans will keep an eye on interstate disparities as it reviews state plans and makes recommendations to states to remedy substantial, harmful disparities. Second, congressional recognition that interstate disparities should be reduced could spark some states that provide educational opportunities well below the national norm to improve what they offer, particularly if Congress sets aside funding specifically to address interstate disparities. Recognizing a federal right to education that guarantees equal educational opportunity would benefit the nation in many ways.</w:t>
      </w:r>
    </w:p>
    <w:bookmarkEnd w:id="0"/>
    <w:p w14:paraId="28462B7F" w14:textId="77777777" w:rsidR="005A4715" w:rsidRPr="00D7045C" w:rsidRDefault="005A4715" w:rsidP="005A4715">
      <w:pPr>
        <w:pStyle w:val="Heading4"/>
        <w:rPr>
          <w:rFonts w:cs="Times New Roman"/>
        </w:rPr>
      </w:pPr>
      <w:r w:rsidRPr="00D7045C">
        <w:rPr>
          <w:rFonts w:cs="Times New Roman"/>
        </w:rPr>
        <w:t xml:space="preserve">Federal legislative change is the most efficient way to confronting the trend of metropolitan segregation </w:t>
      </w:r>
    </w:p>
    <w:p w14:paraId="26FF7F1B" w14:textId="77777777" w:rsidR="005A4715" w:rsidRPr="00D7045C" w:rsidRDefault="005A4715" w:rsidP="005A4715">
      <w:r w:rsidRPr="00D7045C">
        <w:rPr>
          <w:rStyle w:val="Style13ptBold"/>
        </w:rPr>
        <w:t>Orfield 15</w:t>
      </w:r>
      <w:r w:rsidRPr="00D7045C">
        <w:t xml:space="preserve"> (Myron, a Professor of Law and the Director of the Institute for Metropolitan, “Milliken, Meredith, and Metropolitan Segregation”, </w:t>
      </w:r>
      <w:hyperlink r:id="rId38" w:history="1">
        <w:r w:rsidRPr="00D7045C">
          <w:rPr>
            <w:rStyle w:val="Hyperlink"/>
          </w:rPr>
          <w:t>http://www.uclalawreview.org/pdf/62-2-3.pdf</w:t>
        </w:r>
      </w:hyperlink>
      <w:r w:rsidRPr="00D7045C">
        <w:t xml:space="preserve">) mlm </w:t>
      </w:r>
    </w:p>
    <w:p w14:paraId="32BBEBBA" w14:textId="77777777" w:rsidR="005A4715" w:rsidRPr="00D7045C" w:rsidRDefault="005A4715" w:rsidP="005A4715">
      <w:pPr>
        <w:rPr>
          <w:sz w:val="16"/>
        </w:rPr>
      </w:pPr>
      <w:r w:rsidRPr="00D7045C">
        <w:rPr>
          <w:u w:val="single"/>
        </w:rPr>
        <w:t>The United States</w:t>
      </w:r>
      <w:r w:rsidRPr="00D7045C">
        <w:rPr>
          <w:sz w:val="16"/>
        </w:rPr>
        <w:t xml:space="preserve"> is a multiracial nation of vast metropolitan areas, each with dozens or hundreds of local governments. But with few exceptions, it </w:t>
      </w:r>
      <w:r w:rsidRPr="00D7045C">
        <w:rPr>
          <w:u w:val="single"/>
        </w:rPr>
        <w:t>has no metropolitan level governments, systems of law, or jurisprudence</w:t>
      </w:r>
      <w:r w:rsidRPr="00D7045C">
        <w:rPr>
          <w:sz w:val="16"/>
        </w:rPr>
        <w:t xml:space="preserve">. American local government law was created in the nineteenth century for comparatively small industrial cities without suburbs and isolated rural towns. </w:t>
      </w:r>
      <w:r w:rsidRPr="00D7045C">
        <w:rPr>
          <w:u w:val="single"/>
        </w:rPr>
        <w:t>It must now evolve to suit the metropolitan reality of hundreds of competing, yet interdependent, jurisdictions sharing a common conurbation</w:t>
      </w:r>
      <w:r w:rsidRPr="00D7045C">
        <w:rPr>
          <w:sz w:val="16"/>
        </w:rPr>
        <w:t xml:space="preserve">—of hundreds of conurbations, dozens of times larger and more complex in countless respects than could be imagined in 1868 when Judge Dillon sat on the Iowa Supreme Court.594 </w:t>
      </w:r>
      <w:r w:rsidRPr="00D7045C">
        <w:rPr>
          <w:u w:val="single"/>
        </w:rPr>
        <w:t>It is necessary to legislatively change</w:t>
      </w:r>
      <w:r w:rsidRPr="00D7045C">
        <w:rPr>
          <w:sz w:val="16"/>
        </w:rPr>
        <w:t xml:space="preserve"> the structure of local </w:t>
      </w:r>
      <w:r w:rsidRPr="00D7045C">
        <w:rPr>
          <w:u w:val="single"/>
        </w:rPr>
        <w:t>government i</w:t>
      </w:r>
      <w:r w:rsidRPr="00D7045C">
        <w:rPr>
          <w:sz w:val="16"/>
        </w:rPr>
        <w:t xml:space="preserve">n metropolitan America through consolidation, or two-tiered regional governance, or stronger legal requirements for interlocal government cooperation </w:t>
      </w:r>
      <w:r w:rsidRPr="00D7045C">
        <w:rPr>
          <w:u w:val="single"/>
        </w:rPr>
        <w:t>on regional problems such as segregation</w:t>
      </w:r>
      <w:r w:rsidRPr="00D7045C">
        <w:rPr>
          <w:sz w:val="16"/>
        </w:rPr>
        <w:t xml:space="preserve">, local government finance and taxation, infrastructure (particularly transportation), and environmental protection. The jurisprudence of state fundamental rights and equal protection strongly established in state school finance litigation596 and of regional general welfare (and the constitutional interdependence of local governments within a metropolitan area) as embodied in the Mount Laurel doctrine597 must further evolve to suit the reality of twenty-first century metropolitan America.598 In moving forward, the challenge is to create a system of politics and local government law that preserves the true virtues of Alexis De Tocqueville’s small local governments, while at the same time gaining the real benefits of James Madison’s large, diverse, and interdependent republic. In a sense, </w:t>
      </w:r>
      <w:r w:rsidRPr="00D7045C">
        <w:rPr>
          <w:u w:val="single"/>
        </w:rPr>
        <w:t>these reforms must move America</w:t>
      </w:r>
      <w:r w:rsidRPr="00D7045C">
        <w:rPr>
          <w:sz w:val="16"/>
        </w:rPr>
        <w:t xml:space="preserve"> from the metropolitan Articles of Confederation that exists in voluntary regional councils of government, transportation planning, and air quality management authorities, </w:t>
      </w:r>
      <w:r w:rsidRPr="00D7045C">
        <w:rPr>
          <w:u w:val="single"/>
        </w:rPr>
        <w:t>toward a more perfect metropolitan union that strikes a better balance between local government independence and interdependence</w:t>
      </w:r>
      <w:r w:rsidRPr="00D7045C">
        <w:rPr>
          <w:sz w:val="16"/>
        </w:rPr>
        <w:t xml:space="preserve">. If America can learn the lessons of Detroit and Louisville, perhaps </w:t>
      </w:r>
      <w:r w:rsidRPr="00D7045C">
        <w:rPr>
          <w:u w:val="single"/>
        </w:rPr>
        <w:t>it can resume the legislative and judicial strengthening of civil rights that Milliken and the politics of that era ended.</w:t>
      </w:r>
      <w:r w:rsidRPr="00D7045C">
        <w:rPr>
          <w:sz w:val="16"/>
        </w:rPr>
        <w:t xml:space="preserve"> Should this occur, and </w:t>
      </w:r>
      <w:r w:rsidRPr="00D7045C">
        <w:rPr>
          <w:u w:val="single"/>
        </w:rPr>
        <w:t>if presidents appoint and the Senate confirms judges and justices who are not politically and ideologically precommitted to opposing any governmental effort for racial integration—judges and justices with respect for the law and a fair and open mind on questions of race—even Milliken itself might be workable. Perhaps then the Supreme Court will return sufficient local political control to metropolitan areas to allow all their citizens, cities, and school districts to prosper in the twenty-first century.</w:t>
      </w:r>
    </w:p>
    <w:p w14:paraId="6E4F0BE5" w14:textId="77777777" w:rsidR="004B1979" w:rsidRPr="00D7045C" w:rsidRDefault="004B1979" w:rsidP="004B1979">
      <w:pPr>
        <w:pStyle w:val="Heading4"/>
        <w:rPr>
          <w:rFonts w:cs="Times New Roman"/>
        </w:rPr>
      </w:pPr>
      <w:r w:rsidRPr="00D7045C">
        <w:rPr>
          <w:rFonts w:cs="Times New Roman"/>
        </w:rPr>
        <w:t>Overturning and rejecting Milliken’s principles solves – combats structural inequality through reinforcing Brown decision</w:t>
      </w:r>
    </w:p>
    <w:p w14:paraId="69883B69" w14:textId="77777777" w:rsidR="004B1979" w:rsidRPr="00D7045C" w:rsidRDefault="004B1979" w:rsidP="004B1979">
      <w:pPr>
        <w:rPr>
          <w:rFonts w:eastAsia="Times New Roman"/>
        </w:rPr>
      </w:pPr>
      <w:r w:rsidRPr="00D7045C">
        <w:rPr>
          <w:rStyle w:val="Style13ptBold"/>
        </w:rPr>
        <w:t>Powell 16</w:t>
      </w:r>
      <w:r w:rsidRPr="00D7045C">
        <w:rPr>
          <w:rFonts w:eastAsia="Times New Roman"/>
        </w:rPr>
        <w:t xml:space="preserve"> (Cedric, Professor of Law at University of Louisville, Septermber 7, 2015, “Milliken, ‘Neutral Principles,’ And Post-Racial Determinism,” University of Louisville School of Law Legal Studies Research, Series 2016-2, pg. 41-42) KVA</w:t>
      </w:r>
    </w:p>
    <w:p w14:paraId="2A5C28A7" w14:textId="6AD7EB37" w:rsidR="004B1979" w:rsidRDefault="004B1979" w:rsidP="004B1979">
      <w:pPr>
        <w:rPr>
          <w:rFonts w:eastAsia="Times New Roman"/>
          <w:sz w:val="16"/>
        </w:rPr>
      </w:pPr>
      <w:r w:rsidRPr="00D7045C">
        <w:rPr>
          <w:rFonts w:eastAsia="Times New Roman"/>
          <w:sz w:val="16"/>
        </w:rPr>
        <w:t>When all is said and done</w:t>
      </w:r>
      <w:r w:rsidRPr="00D7045C">
        <w:rPr>
          <w:rStyle w:val="StyleUnderline"/>
        </w:rPr>
        <w:t xml:space="preserve">, Milliken is perhaps one of the worst decisions in the Court’s canon of race jurisprudence: it ignores massive structural inequality in </w:t>
      </w:r>
      <w:r w:rsidRPr="00D7045C">
        <w:rPr>
          <w:rFonts w:eastAsia="Times New Roman"/>
          <w:sz w:val="16"/>
        </w:rPr>
        <w:t xml:space="preserve">the Detroit and </w:t>
      </w:r>
      <w:r w:rsidRPr="00D7045C">
        <w:rPr>
          <w:rStyle w:val="StyleUnderline"/>
        </w:rPr>
        <w:t>metropolitan school systems</w:t>
      </w:r>
      <w:r w:rsidRPr="00D7045C">
        <w:rPr>
          <w:rFonts w:eastAsia="Times New Roman"/>
          <w:sz w:val="16"/>
        </w:rPr>
        <w:t xml:space="preserve">; it </w:t>
      </w:r>
      <w:r w:rsidRPr="00D7045C">
        <w:rPr>
          <w:rStyle w:val="StyleUnderline"/>
        </w:rPr>
        <w:t>creates a fictionalized view of society where discrimination can be pinpointed with exactitude</w:t>
      </w:r>
      <w:r w:rsidRPr="00D7045C">
        <w:rPr>
          <w:rFonts w:eastAsia="Times New Roman"/>
          <w:sz w:val="16"/>
        </w:rPr>
        <w:t xml:space="preserve">, and if it cannot, then it does not exist; </w:t>
      </w:r>
      <w:r w:rsidRPr="00D7045C">
        <w:rPr>
          <w:rStyle w:val="StyleUnderline"/>
        </w:rPr>
        <w:t>and it spawns the Court’s post-racial constitutionalism</w:t>
      </w:r>
      <w:r w:rsidRPr="00D7045C">
        <w:rPr>
          <w:rFonts w:eastAsia="Times New Roman"/>
          <w:sz w:val="16"/>
        </w:rPr>
        <w:t xml:space="preserve"> in Parents Involved, </w:t>
      </w:r>
      <w:r w:rsidRPr="00D7045C">
        <w:rPr>
          <w:rStyle w:val="Emphasis"/>
        </w:rPr>
        <w:t>which expands the de jure-de facto distinction so far that unless there is state-mandated segregation either by policy or in the law itself, then even voluntary race-conscious remedial approaches will be held constitutionally invalid</w:t>
      </w:r>
      <w:r w:rsidRPr="00D7045C">
        <w:rPr>
          <w:rFonts w:eastAsia="Times New Roman"/>
          <w:sz w:val="16"/>
        </w:rPr>
        <w:t xml:space="preserve">.198 </w:t>
      </w:r>
      <w:r w:rsidRPr="00D7045C">
        <w:rPr>
          <w:rStyle w:val="Emphasis"/>
        </w:rPr>
        <w:t>Milliken proves that even comprehensive proof is insufficient when the Court is predisposed toward preserving the status quo, even if it means that structural inequality will remain undisturbed</w:t>
      </w:r>
      <w:r w:rsidRPr="00D7045C">
        <w:rPr>
          <w:rFonts w:eastAsia="Times New Roman"/>
          <w:sz w:val="16"/>
        </w:rPr>
        <w:t xml:space="preserve">. This is the essence of post-racial determinism. It is difficult to end on an optimistic note, given the persistence of racism and structural inequality.199 </w:t>
      </w:r>
      <w:r w:rsidRPr="00D7045C">
        <w:rPr>
          <w:rStyle w:val="StyleUnderline"/>
        </w:rPr>
        <w:t xml:space="preserve">But there is hope. </w:t>
      </w:r>
      <w:r w:rsidRPr="00D7045C">
        <w:rPr>
          <w:rFonts w:eastAsia="Times New Roman"/>
          <w:sz w:val="16"/>
        </w:rPr>
        <w:t xml:space="preserve">Detroit is in the midst of a private renaissance designed to reinvigorate its downtown and neighborhoods, 200 but it is far from certain whether this will stabilize the Detroit schools. </w:t>
      </w:r>
      <w:r w:rsidRPr="00D7045C">
        <w:rPr>
          <w:rStyle w:val="StyleUnderline"/>
        </w:rPr>
        <w:t>The solution is on the ground with partnerships between local and state policymakers who are not separated by school district boundary lines</w:t>
      </w:r>
      <w:r w:rsidRPr="00D7045C">
        <w:rPr>
          <w:rFonts w:eastAsia="Times New Roman"/>
          <w:sz w:val="16"/>
        </w:rPr>
        <w:t xml:space="preserve">,201 </w:t>
      </w:r>
      <w:r w:rsidRPr="00D7045C">
        <w:rPr>
          <w:rStyle w:val="Emphasis"/>
        </w:rPr>
        <w:t>but united in a common purpose to make substantive equality in education a reality. Rejecting Milliken’s neutral principles and its post-racial determinism is the only way to restore the societal power and doctrinal primacy of Brown.</w:t>
      </w:r>
      <w:r w:rsidRPr="00D7045C">
        <w:rPr>
          <w:rFonts w:eastAsia="Times New Roman"/>
          <w:sz w:val="16"/>
        </w:rPr>
        <w:t xml:space="preserve"> That would be a fitting commemoration of the sixteenth anniversary of Brown and a positive reaffirmation of comprehensive remedies that embrace substantive equality. </w:t>
      </w:r>
    </w:p>
    <w:p w14:paraId="38E9528D" w14:textId="77777777" w:rsidR="009B5F8E" w:rsidRPr="004E7703" w:rsidRDefault="009B5F8E" w:rsidP="009B5F8E">
      <w:pPr>
        <w:pStyle w:val="Heading4"/>
      </w:pPr>
      <w:r w:rsidRPr="004E7703">
        <w:t xml:space="preserve">The aff is a step in the right direction – studies prove that </w:t>
      </w:r>
      <w:r>
        <w:t>desegregation helps close the achievement gap and stimulates more diverse community building</w:t>
      </w:r>
    </w:p>
    <w:p w14:paraId="6A10B6AC" w14:textId="77777777" w:rsidR="009B5F8E" w:rsidRDefault="009B5F8E" w:rsidP="009B5F8E">
      <w:r w:rsidRPr="00174661">
        <w:rPr>
          <w:rStyle w:val="Style13ptBold"/>
        </w:rPr>
        <w:t xml:space="preserve">Darby and Saatcioglu 14 </w:t>
      </w:r>
      <w:r>
        <w:t>(Derrick, Department of Philosophy University of Michigan, Argun, Department of Educational Leadership and Policy Studies, 2014, “Race, Justice, and Desegregation,” Du Bois Review, 11:1, pg. 101-102) KVA</w:t>
      </w:r>
    </w:p>
    <w:p w14:paraId="1E3CE151" w14:textId="77777777" w:rsidR="009B5F8E" w:rsidRPr="00C10881" w:rsidRDefault="009B5F8E" w:rsidP="009B5F8E">
      <w:pPr>
        <w:rPr>
          <w:rFonts w:eastAsia="Times New Roman"/>
          <w:sz w:val="14"/>
        </w:rPr>
      </w:pPr>
      <w:r w:rsidRPr="00354B54">
        <w:rPr>
          <w:rStyle w:val="StyleUnderline"/>
        </w:rPr>
        <w:t>Desegregation</w:t>
      </w:r>
      <w:r w:rsidRPr="004E7703">
        <w:rPr>
          <w:rFonts w:eastAsia="Times New Roman"/>
          <w:sz w:val="14"/>
        </w:rPr>
        <w:t xml:space="preserve"> outcomes </w:t>
      </w:r>
      <w:r w:rsidRPr="00354B54">
        <w:rPr>
          <w:rStyle w:val="StyleUnderline"/>
        </w:rPr>
        <w:t>have been studied in terms of multiple criteria, which as we review below, indicate modest academic social and long-term benefits for African Americans with little or no harm on White students</w:t>
      </w:r>
      <w:r w:rsidRPr="004E7703">
        <w:rPr>
          <w:rFonts w:eastAsia="Times New Roman"/>
          <w:sz w:val="14"/>
        </w:rPr>
        <w:t xml:space="preserve"> (553 Social Scientists, 2006 ). However, a strongly negative view on the merits of school desegregation prevails among conservative policy experts and researchers (Armor 1995 ; Rossell 2002 ), and among large segments of the public, with an increasingly acute nostalgia for segregated schooling (Saad 2007 ). Therefore, it is important to put into context what is meant by desegregation “outcomes” and “benefits.” </w:t>
      </w:r>
      <w:r w:rsidRPr="00354B54">
        <w:rPr>
          <w:rStyle w:val="StyleUnderline"/>
        </w:rPr>
        <w:t>A central criticism about desegregation is that it caused racial isolation and loss of wealth in urban areas due to the resulting affluent</w:t>
      </w:r>
      <w:r w:rsidRPr="004E7703">
        <w:rPr>
          <w:rFonts w:eastAsia="Times New Roman"/>
          <w:sz w:val="14"/>
        </w:rPr>
        <w:t xml:space="preserve"> (particularly White) </w:t>
      </w:r>
      <w:r w:rsidRPr="00354B54">
        <w:rPr>
          <w:rStyle w:val="StyleUnderline"/>
        </w:rPr>
        <w:t>flight to the suburbs</w:t>
      </w:r>
      <w:r w:rsidRPr="004E7703">
        <w:rPr>
          <w:rFonts w:eastAsia="Times New Roman"/>
          <w:sz w:val="14"/>
        </w:rPr>
        <w:t xml:space="preserve">. </w:t>
      </w:r>
      <w:r w:rsidRPr="00354B54">
        <w:rPr>
          <w:rStyle w:val="Emphasis"/>
        </w:rPr>
        <w:t>However, such demographic changes can also be considered a condition that undermined, rather than resulted from, desegregation</w:t>
      </w:r>
      <w:r w:rsidRPr="004E7703">
        <w:rPr>
          <w:rFonts w:eastAsia="Times New Roman"/>
          <w:sz w:val="14"/>
        </w:rPr>
        <w:t xml:space="preserve"> ( James 1989 ). Not only does suburbanization of the predominantly White affluent date back to at least the 1950s (Jackson 1985 ), but </w:t>
      </w:r>
      <w:r w:rsidRPr="00354B54">
        <w:rPr>
          <w:rStyle w:val="StyleUnderline"/>
        </w:rPr>
        <w:t>desegregation programs, on average, tended to influence ongoing migration only to a limited degree and only during few years before and after the initial implementation</w:t>
      </w:r>
      <w:r w:rsidRPr="004E7703">
        <w:rPr>
          <w:rFonts w:eastAsia="Times New Roman"/>
          <w:sz w:val="14"/>
        </w:rPr>
        <w:t xml:space="preserve"> (Farley et al., 1980 ; Wilson 1985 ). Ultimately, even this limited influence may have been absent had the 1974 Milliken ruling not complicated the inclusion of the suburbs to urban desegregation plans. Indeed, </w:t>
      </w:r>
      <w:r w:rsidRPr="00354B54">
        <w:rPr>
          <w:rStyle w:val="Emphasis"/>
        </w:rPr>
        <w:t>recent studies indicate that residential patterns became racially more integrated in county-wide school systems in the South during desegregation implementation</w:t>
      </w:r>
      <w:r w:rsidRPr="004E7703">
        <w:rPr>
          <w:rFonts w:eastAsia="Times New Roman"/>
          <w:sz w:val="14"/>
        </w:rPr>
        <w:t xml:space="preserve"> (Frankenberg 2005 ). </w:t>
      </w:r>
      <w:r w:rsidRPr="00354B54">
        <w:rPr>
          <w:rStyle w:val="StyleUnderline"/>
        </w:rPr>
        <w:t>Another criticism against desegregation has been that it impeded White students’ learning</w:t>
      </w:r>
      <w:r w:rsidRPr="004E7703">
        <w:rPr>
          <w:rFonts w:eastAsia="Times New Roman"/>
          <w:sz w:val="14"/>
        </w:rPr>
        <w:t xml:space="preserve">. </w:t>
      </w:r>
      <w:r w:rsidRPr="00354B54">
        <w:rPr>
          <w:rStyle w:val="StyleUnderline"/>
        </w:rPr>
        <w:t>There is no solid evidence supporting this view either. Evidence on comparative academic performance suggests that White students rarely lost ground academically, and in some cases benefited in terms of learning outcomes</w:t>
      </w:r>
      <w:r w:rsidRPr="004E7703">
        <w:rPr>
          <w:rFonts w:eastAsia="Times New Roman"/>
          <w:sz w:val="14"/>
        </w:rPr>
        <w:t xml:space="preserve"> (Cook et al., 1984 ). As Jennifer Hochschild and Nathan Skovronick (2003) point out, White harm occurred mostly when officials irresponsibly placed a handful of White students in predominantly Black schools for symbolic desegregation. </w:t>
      </w:r>
      <w:r w:rsidRPr="00354B54">
        <w:rPr>
          <w:rStyle w:val="StyleUnderline"/>
        </w:rPr>
        <w:t>Long-term trends at the national level indicate that average White academic performance did not suffer by any measure during desegregation years</w:t>
      </w:r>
      <w:r w:rsidRPr="004E7703">
        <w:rPr>
          <w:rFonts w:eastAsia="Times New Roman"/>
          <w:sz w:val="14"/>
        </w:rPr>
        <w:t xml:space="preserve"> ( Jencks and Phillips, 1998 ). </w:t>
      </w:r>
      <w:r w:rsidRPr="00354B54">
        <w:rPr>
          <w:rStyle w:val="Emphasis"/>
        </w:rPr>
        <w:t>As far as Black students are concerned, the racial achievement gap narrowed notably across the nation during the desegregation years, between the mid-1960s and late 1980s (</w:t>
      </w:r>
      <w:r w:rsidRPr="004E7703">
        <w:rPr>
          <w:rFonts w:eastAsia="Times New Roman"/>
          <w:sz w:val="14"/>
        </w:rPr>
        <w:t xml:space="preserve">Hedges and Nowell, 1998 ). However, the gap has been widening since the early 1990s, with the return to segregation (Lee 2002 ). A similar reversal has occurred in the funding gap (Carey 2004 ), and drop out and college readiness gaps (Greene and Winters, 2005 ). </w:t>
      </w:r>
      <w:r w:rsidRPr="00354B54">
        <w:rPr>
          <w:rStyle w:val="StyleUnderline"/>
        </w:rPr>
        <w:t>The greatest extent of progress in Black high school graduation occurred between the 1960s and 1990s. In 1960, less than 25% of Blacks had at least a high school education, and by 1990 over 60</w:t>
      </w:r>
      <w:r w:rsidRPr="004E7703">
        <w:rPr>
          <w:rFonts w:eastAsia="Times New Roman"/>
          <w:sz w:val="14"/>
        </w:rPr>
        <w:t xml:space="preserve">% ( National Center for Education Statistics 2001). In </w:t>
      </w:r>
      <w:r w:rsidRPr="00354B54">
        <w:rPr>
          <w:rStyle w:val="StyleUnderline"/>
        </w:rPr>
        <w:t>the same period, Blacks’ SAT and ACT scores have also increased, indicating higher educational aspirations and better preparation for college (</w:t>
      </w:r>
      <w:r w:rsidRPr="004E7703">
        <w:rPr>
          <w:rFonts w:eastAsia="Times New Roman"/>
          <w:sz w:val="14"/>
        </w:rPr>
        <w:t xml:space="preserve">Hochschild and Skovronick, 2003 ). Naturally, it is difficult to attribute improvements in Black educational outcomes entirely to school desegregation because much has changed for African Americans besides the schools, such as improvements in occupational status, political participation, and wealth accumulation (Grissmer et al., 1998 ; Jencks and Mayer, 1990 ; Rury and Hill, 2012 ). Nonetheless, evidence on the independent effects of desegregation is telling. In an oft-cited meta-analysis of desegregation’s academic outcomes, Thomas Cook et al. ( 1984 ) found that integrated schools modestly benefited Black students’ math scores, but considerably improved their reading performance. Others, such as David Armor ( 1995 ) and Christine Rossell ( 2002 ), have argued that controlling for SES nearly nullifies desegregation effects. Yet, the “competing effects” approach to evaluating the relative roles of social class and racial/ethnic background ignores the complex overlap between race and class (Brooks-Gunn and Duncan, 1999 ). The resulting analytical biases may lead to the underestimation of desegregation outcomes, as well as to inconsistent findings depending on which other covariates are included in the models. There are indeed a number of other studies showing benefits of integrated education for African American performance, even when controlling for SES (Entwisle and Alexander, 1992 ; Trent 1997 ). Nevertheless, most findings suggest that desegregation’s academic benefits for Black students have often been modest in size, likely due to adverse effects in the non-school context, such as socioeconomic, family, and neighborhood disadvantage— effects that tend to undermine most educational initiatives, since education policy has little bearing on factors beyond the school. Ironically, the Supreme Court’s openly colorblind perspective on segregation came at a time when analytical methodologies for examining desegregation effects had reached a level of sophistication far beyond that in earlier decades. Using hierarchical and longitudinal regression techniques, contemporary studies reduce prior estimation biases and decompose school and nonschool effects more effectively (Mickelson 2008 ), revealing robust academic benefits of integrated schools for Black students without harm to Whites (Hanushek et al., 2009; Saatcioglu 2010 </w:t>
      </w:r>
      <w:r w:rsidRPr="00092315">
        <w:rPr>
          <w:rStyle w:val="StyleUnderline"/>
        </w:rPr>
        <w:t>). These findings imply that resegregation in the context of adverse non-school factors would aggravate educational inequality for many Black students. Desegregation has also been shown to improve social outcomes for students, such as reduction in racial prejudice and greater appreciation for interracial cooperation, which positively influences learning gains and critical thinking skills as well (</w:t>
      </w:r>
      <w:r w:rsidRPr="004E7703">
        <w:rPr>
          <w:rFonts w:eastAsia="Times New Roman"/>
          <w:sz w:val="14"/>
        </w:rPr>
        <w:t xml:space="preserve">Braddock and Eitle, 2004). Moreover, integrated education predicts interracial trust and appreciation in adulthood (Mickelson 2008 ). Kristie Phillips et al. (2009) found that the racial mix of students’ high schools significantly predicts the racial mix of the residential area students chose to live five years after graduation. Amy Wells et al. ( 2009 ) found that </w:t>
      </w:r>
      <w:r w:rsidRPr="00092315">
        <w:rPr>
          <w:rStyle w:val="StyleUnderline"/>
        </w:rPr>
        <w:t>the majority of Black and White adults who had attended desegregated schools appreciated their experiences and aspired to live and work in diverse contexts in adulthood</w:t>
      </w:r>
      <w:r w:rsidRPr="004E7703">
        <w:rPr>
          <w:rFonts w:eastAsia="Times New Roman"/>
          <w:sz w:val="14"/>
        </w:rPr>
        <w:t xml:space="preserve">. A common problem many of them had, however, was that opportunities to realize such aspirations were limited due to less diverse social structural, economic, and occupational conditions beyond the schools. The increasingly robust and favorable evidence on the virtues of school desegregation receives little attention in the legal, political, and public spheres in a postracial context. The prevalence of choice egalitarianism is reinforced by accompanying limitations in the political opportunity structure: (1) the federal retreat from desegregation; (2) suburban sprawl and associated isolation of minorities in urban areas; and (3) increasingly adverse non-school effects on the learning of disadvantaged students, who may not be able to realize their full potential by means of desegregation alone (Saatcioglu and Carl, 2011 ). These factors constrain the space for a dynamic conversation on the potential virtues of desegregation. Although recent attitudes make it unlikely for desegregation to reenter the policy agenda in the foreseeable future, they do not limit the risk of deeper divisions along educational, occupational, and racial/ethnic lines in coming decades. As Ronald Ferguson ( 2007 ) points out, there is no modern society that is politically and economically stable where there are also unjustifiably large disparities among racially and/or ethnically dissimilar groups. In Christopher Jencks et al.’s ( 1972 ) blunt words: “If we want a segregated society, we should have segregated schools. </w:t>
      </w:r>
      <w:r w:rsidRPr="00092315">
        <w:rPr>
          <w:rStyle w:val="StyleUnderline"/>
        </w:rPr>
        <w:t xml:space="preserve">If we want a desegregated society, we should have desegregated schools” (p. 106). Contemporary postracialism and colorblind justice may obscure the need for such a daring perspective at a time when American society is irreversibly multicultural. </w:t>
      </w:r>
    </w:p>
    <w:p w14:paraId="786795C3" w14:textId="77777777" w:rsidR="009B5F8E" w:rsidRPr="00D7045C" w:rsidRDefault="009B5F8E" w:rsidP="004B1979">
      <w:pPr>
        <w:rPr>
          <w:rFonts w:eastAsia="Times New Roman"/>
          <w:sz w:val="16"/>
        </w:rPr>
      </w:pPr>
    </w:p>
    <w:p w14:paraId="1F18B998" w14:textId="77777777" w:rsidR="00D00730" w:rsidRPr="00D7045C" w:rsidRDefault="00D00730" w:rsidP="00D00730">
      <w:pPr>
        <w:pStyle w:val="Heading3"/>
        <w:rPr>
          <w:rFonts w:cs="Times New Roman"/>
        </w:rPr>
      </w:pPr>
      <w:r w:rsidRPr="00D7045C">
        <w:rPr>
          <w:rFonts w:cs="Times New Roman"/>
        </w:rPr>
        <w:t>Extension – Legalism</w:t>
      </w:r>
    </w:p>
    <w:p w14:paraId="1294C979" w14:textId="77777777" w:rsidR="00D00730" w:rsidRPr="00D7045C" w:rsidRDefault="00D00730" w:rsidP="00D00730">
      <w:pPr>
        <w:pStyle w:val="Heading4"/>
        <w:rPr>
          <w:rFonts w:cs="Times New Roman"/>
        </w:rPr>
      </w:pPr>
      <w:r w:rsidRPr="00D7045C">
        <w:rPr>
          <w:rFonts w:cs="Times New Roman"/>
        </w:rPr>
        <w:t xml:space="preserve">The justice system is an integral part of our government - it must be involved with public polices </w:t>
      </w:r>
    </w:p>
    <w:p w14:paraId="7101E4D8" w14:textId="77777777" w:rsidR="00D00730" w:rsidRPr="00D7045C" w:rsidRDefault="00D00730" w:rsidP="00D00730">
      <w:pPr>
        <w:pStyle w:val="p1"/>
        <w:rPr>
          <w:rStyle w:val="Style13ptBold"/>
          <w:rFonts w:ascii="Times New Roman" w:hAnsi="Times New Roman"/>
          <w:sz w:val="16"/>
          <w:szCs w:val="16"/>
        </w:rPr>
      </w:pPr>
      <w:r w:rsidRPr="00D7045C">
        <w:rPr>
          <w:rStyle w:val="Style13ptBold"/>
          <w:rFonts w:ascii="Times New Roman" w:hAnsi="Times New Roman"/>
        </w:rPr>
        <w:t xml:space="preserve">Ready 05 </w:t>
      </w:r>
      <w:r w:rsidRPr="00D7045C">
        <w:rPr>
          <w:rStyle w:val="Style13ptBold"/>
          <w:rFonts w:ascii="Times New Roman" w:hAnsi="Times New Roman"/>
          <w:b w:val="0"/>
          <w:sz w:val="16"/>
          <w:szCs w:val="16"/>
        </w:rPr>
        <w:t xml:space="preserve">(A. </w:t>
      </w:r>
      <w:r w:rsidRPr="00D7045C">
        <w:rPr>
          <w:rFonts w:ascii="Times New Roman" w:hAnsi="Times New Roman"/>
          <w:sz w:val="16"/>
          <w:szCs w:val="16"/>
        </w:rPr>
        <w:t>Raghunadha,</w:t>
      </w:r>
      <w:r w:rsidRPr="00D7045C">
        <w:rPr>
          <w:rStyle w:val="apple-converted-space"/>
          <w:rFonts w:ascii="Times New Roman" w:hAnsi="Times New Roman"/>
          <w:sz w:val="16"/>
          <w:szCs w:val="16"/>
        </w:rPr>
        <w:t xml:space="preserve"> Indian Law Institute, </w:t>
      </w:r>
      <w:r w:rsidRPr="00D7045C">
        <w:rPr>
          <w:rStyle w:val="Style13ptBold"/>
          <w:rFonts w:ascii="Times New Roman" w:hAnsi="Times New Roman"/>
          <w:sz w:val="16"/>
          <w:szCs w:val="16"/>
        </w:rPr>
        <w:t>“</w:t>
      </w:r>
      <w:r w:rsidRPr="00D7045C">
        <w:rPr>
          <w:rFonts w:ascii="Times New Roman" w:hAnsi="Times New Roman"/>
          <w:sz w:val="16"/>
          <w:szCs w:val="16"/>
        </w:rPr>
        <w:t>LEGAL REFORMS THROUGH JUDICIAL LAW-MAKING: A CRITICAL APPRAISAL FROMROMAN LAW TO COMMON LAW”,</w:t>
      </w:r>
      <w:r w:rsidRPr="00D7045C">
        <w:rPr>
          <w:rFonts w:ascii="Times New Roman" w:hAnsi="Times New Roman"/>
          <w:b/>
          <w:sz w:val="16"/>
          <w:szCs w:val="16"/>
        </w:rPr>
        <w:t xml:space="preserve"> </w:t>
      </w:r>
      <w:r w:rsidRPr="00D7045C">
        <w:rPr>
          <w:rFonts w:ascii="Times New Roman" w:hAnsi="Times New Roman"/>
          <w:sz w:val="16"/>
          <w:szCs w:val="16"/>
        </w:rPr>
        <w:t>47(4),</w:t>
      </w:r>
      <w:r w:rsidRPr="00D7045C">
        <w:rPr>
          <w:rFonts w:ascii="Times New Roman" w:hAnsi="Times New Roman"/>
          <w:b/>
          <w:sz w:val="16"/>
          <w:szCs w:val="16"/>
        </w:rPr>
        <w:t xml:space="preserve"> </w:t>
      </w:r>
      <w:r w:rsidRPr="00D7045C">
        <w:rPr>
          <w:rStyle w:val="Style13ptBold"/>
          <w:rFonts w:ascii="Times New Roman" w:hAnsi="Times New Roman"/>
          <w:b w:val="0"/>
          <w:sz w:val="16"/>
          <w:szCs w:val="16"/>
        </w:rPr>
        <w:t>pg 476, 477) DCC</w:t>
      </w:r>
    </w:p>
    <w:p w14:paraId="70B53404" w14:textId="77777777" w:rsidR="00D00730" w:rsidRPr="00D7045C" w:rsidRDefault="00D00730" w:rsidP="00D00730">
      <w:pPr>
        <w:rPr>
          <w:u w:val="single"/>
        </w:rPr>
      </w:pPr>
      <w:r w:rsidRPr="00D7045C">
        <w:rPr>
          <w:rStyle w:val="s1"/>
          <w:rFonts w:ascii="Times New Roman" w:hAnsi="Times New Roman"/>
        </w:rPr>
        <w:t xml:space="preserve">Since the US Supreme Court's first use of the power of judicial </w:t>
      </w:r>
      <w:r w:rsidRPr="00D7045C">
        <w:t>review in Marbury v. Madison ,</w:t>
      </w:r>
      <w:r w:rsidRPr="00D7045C">
        <w:rPr>
          <w:u w:val="single"/>
        </w:rPr>
        <w:t>judicial review has furnished a prime basis for judicial involvement in policymaking</w:t>
      </w:r>
      <w:r w:rsidRPr="00D7045C">
        <w:t xml:space="preserve">. The historical shifts in </w:t>
      </w:r>
      <w:r w:rsidRPr="00D7045C">
        <w:rPr>
          <w:rStyle w:val="s1"/>
          <w:rFonts w:ascii="Times New Roman" w:hAnsi="Times New Roman"/>
        </w:rPr>
        <w:t xml:space="preserve">judicial policy making of the US Supreme Court is clearly discernible </w:t>
      </w:r>
      <w:r w:rsidRPr="00D7045C">
        <w:t xml:space="preserve">in the constitutional, remedial, statutory and administrative regulations and common law and cumulative fields. </w:t>
      </w:r>
      <w:r w:rsidRPr="00D7045C">
        <w:rPr>
          <w:u w:val="single"/>
        </w:rPr>
        <w:t xml:space="preserve">The policy-making agenda of </w:t>
      </w:r>
      <w:r w:rsidRPr="00D7045C">
        <w:rPr>
          <w:rStyle w:val="s1"/>
          <w:rFonts w:ascii="Times New Roman" w:hAnsi="Times New Roman"/>
          <w:u w:val="single"/>
        </w:rPr>
        <w:t>the Supreme Court and of other courts reflects societal changes in America</w:t>
      </w:r>
      <w:r w:rsidRPr="00D7045C">
        <w:rPr>
          <w:rStyle w:val="s1"/>
          <w:rFonts w:ascii="Times New Roman" w:hAnsi="Times New Roman"/>
        </w:rPr>
        <w:t xml:space="preserve">. Judicial policy making is the unavoidable result of judges </w:t>
      </w:r>
      <w:r w:rsidRPr="00D7045C">
        <w:t xml:space="preserve">fulfilling their responsibility to decide cases in accordance with the law </w:t>
      </w:r>
      <w:r w:rsidRPr="00D7045C">
        <w:rPr>
          <w:rStyle w:val="s1"/>
          <w:rFonts w:ascii="Times New Roman" w:hAnsi="Times New Roman"/>
        </w:rPr>
        <w:t xml:space="preserve">and does not involve judicial usurpation of power. On the other hand, </w:t>
      </w:r>
      <w:r w:rsidRPr="00D7045C">
        <w:rPr>
          <w:rStyle w:val="s2"/>
          <w:rFonts w:ascii="Times New Roman" w:hAnsi="Times New Roman"/>
          <w:u w:val="single"/>
        </w:rPr>
        <w:t>they are involved in the development of public policy.</w:t>
      </w:r>
      <w:r w:rsidRPr="00D7045C">
        <w:rPr>
          <w:rStyle w:val="s2"/>
          <w:rFonts w:ascii="Times New Roman" w:hAnsi="Times New Roman"/>
        </w:rPr>
        <w:t xml:space="preserve"> </w:t>
      </w:r>
      <w:r w:rsidRPr="00D7045C">
        <w:rPr>
          <w:rStyle w:val="s2"/>
          <w:rFonts w:ascii="Times New Roman" w:hAnsi="Times New Roman"/>
          <w:u w:val="single"/>
        </w:rPr>
        <w:t xml:space="preserve">The transformation of political issues into legal disputes furnishes judges with the opportunity </w:t>
      </w:r>
      <w:r w:rsidRPr="00D7045C">
        <w:rPr>
          <w:u w:val="single"/>
        </w:rPr>
        <w:t>to influence the course of public pol</w:t>
      </w:r>
      <w:r w:rsidRPr="00D7045C">
        <w:rPr>
          <w:rStyle w:val="apple-converted-space"/>
          <w:u w:val="single"/>
        </w:rPr>
        <w:t>icy.</w:t>
      </w:r>
      <w:r w:rsidRPr="00D7045C">
        <w:t xml:space="preserve"> Because courts regularly decide cases that involve important policy issues, it might seem that </w:t>
      </w:r>
      <w:r w:rsidRPr="00D7045C">
        <w:rPr>
          <w:u w:val="single"/>
        </w:rPr>
        <w:t xml:space="preserve">they are in a position to dominate policy making in the United States. </w:t>
      </w:r>
    </w:p>
    <w:p w14:paraId="72997FE7" w14:textId="77777777" w:rsidR="00D00730" w:rsidRPr="00D7045C" w:rsidRDefault="00D00730" w:rsidP="00D00730">
      <w:pPr>
        <w:pStyle w:val="Heading4"/>
        <w:rPr>
          <w:rFonts w:cs="Times New Roman"/>
        </w:rPr>
      </w:pPr>
      <w:r w:rsidRPr="00D7045C">
        <w:rPr>
          <w:rFonts w:cs="Times New Roman"/>
        </w:rPr>
        <w:t xml:space="preserve">Extralegal reform fails—3 reasons. 1) Opting out of legal reform avenues magnifies gap between ideals and achievements of movements, 2) it’s self-defeating and fails to realize that </w:t>
      </w:r>
      <w:r w:rsidRPr="00D7045C">
        <w:rPr>
          <w:rFonts w:cs="Times New Roman"/>
          <w:i/>
        </w:rPr>
        <w:t xml:space="preserve">law always operates in the background </w:t>
      </w:r>
      <w:r w:rsidRPr="00D7045C">
        <w:rPr>
          <w:rFonts w:cs="Times New Roman"/>
        </w:rPr>
        <w:t xml:space="preserve">and 3) it loses elements of self-criticism </w:t>
      </w:r>
    </w:p>
    <w:p w14:paraId="05CCA3E7" w14:textId="77777777" w:rsidR="00D00730" w:rsidRPr="00D7045C" w:rsidRDefault="00D00730" w:rsidP="00D00730">
      <w:r w:rsidRPr="00D7045C">
        <w:rPr>
          <w:rStyle w:val="Style13ptBold"/>
        </w:rPr>
        <w:t>Lobel 7</w:t>
      </w:r>
      <w:r w:rsidRPr="00D7045C">
        <w:t xml:space="preserve"> (Orly, PhD, prof of Law at U San Diego, “The Paradox of Extralegal Activism: Critical Legal Consciousness and Transformative,” The Harvard Law Review, Vol. 120, No. 4 (Feb., 2007), </w:t>
      </w:r>
      <w:hyperlink r:id="rId39" w:history="1">
        <w:r w:rsidRPr="00D7045C">
          <w:rPr>
            <w:rStyle w:val="Hyperlink"/>
          </w:rPr>
          <w:t>http://www.jstor.org/stable/40041996</w:t>
        </w:r>
      </w:hyperlink>
      <w:r w:rsidRPr="00D7045C">
        <w:t>, pg. 970-971)KC</w:t>
      </w:r>
    </w:p>
    <w:p w14:paraId="16B88673" w14:textId="77777777" w:rsidR="00D00730" w:rsidRPr="00D7045C" w:rsidRDefault="00D00730" w:rsidP="00D00730">
      <w:pPr>
        <w:rPr>
          <w:sz w:val="14"/>
        </w:rPr>
      </w:pPr>
      <w:r w:rsidRPr="00D7045C">
        <w:rPr>
          <w:sz w:val="14"/>
        </w:rPr>
        <w:t xml:space="preserve"> In the following sections, I argue that </w:t>
      </w:r>
      <w:r w:rsidRPr="00D7045C">
        <w:rPr>
          <w:rStyle w:val="StyleUnderline"/>
        </w:rPr>
        <w:t>the extralegal model has suf- fered from the same drawbacks associated with legal cooptation</w:t>
      </w:r>
      <w:r w:rsidRPr="00D7045C">
        <w:rPr>
          <w:sz w:val="14"/>
        </w:rPr>
        <w:t xml:space="preserve">. I show </w:t>
      </w:r>
      <w:r w:rsidRPr="00D7045C">
        <w:rPr>
          <w:rStyle w:val="Emphasis"/>
        </w:rPr>
        <w:t>that as an effort to avoid the risk of legal cooptation, the current wave of suggested alternatives has effects that ironically mirror those of cooptation itself.</w:t>
      </w:r>
      <w:r w:rsidRPr="00D7045C">
        <w:rPr>
          <w:sz w:val="14"/>
        </w:rPr>
        <w:t xml:space="preserve"> </w:t>
      </w:r>
      <w:r w:rsidRPr="00D7045C">
        <w:rPr>
          <w:rStyle w:val="StyleUnderline"/>
        </w:rPr>
        <w:t>Three central types of difficulties exist</w:t>
      </w:r>
      <w:r w:rsidRPr="00D7045C">
        <w:rPr>
          <w:sz w:val="14"/>
        </w:rPr>
        <w:t xml:space="preserve"> with con- temporary extralegal scholarship</w:t>
      </w:r>
      <w:r w:rsidRPr="00D7045C">
        <w:rPr>
          <w:rStyle w:val="StyleUnderline"/>
        </w:rPr>
        <w:t xml:space="preserve">. </w:t>
      </w:r>
      <w:r w:rsidRPr="00D7045C">
        <w:rPr>
          <w:rStyle w:val="Emphasis"/>
        </w:rPr>
        <w:t>First</w:t>
      </w:r>
      <w:r w:rsidRPr="00D7045C">
        <w:rPr>
          <w:rStyle w:val="StyleUnderline"/>
        </w:rPr>
        <w:t>, in the contexts of the labor and civil rights movements, arguments about legal cooptation often developed in response to a perceived gap between the conceptual ideal toward which a social reform group struggled and its actual accom- plishments. But,</w:t>
      </w:r>
      <w:r w:rsidRPr="00D7045C">
        <w:rPr>
          <w:sz w:val="14"/>
        </w:rPr>
        <w:t xml:space="preserve"> ironically, </w:t>
      </w:r>
      <w:r w:rsidRPr="00D7045C">
        <w:rPr>
          <w:rStyle w:val="StyleUnderline"/>
        </w:rPr>
        <w:t>the contemporary message of opting out of traditional legal reform avenues may only accentuate this problem. As the rise of informalization</w:t>
      </w:r>
      <w:r w:rsidRPr="00D7045C">
        <w:rPr>
          <w:sz w:val="14"/>
        </w:rPr>
        <w:t xml:space="preserve"> (moving to nonlegal strategies), </w:t>
      </w:r>
      <w:r w:rsidRPr="00D7045C">
        <w:rPr>
          <w:rStyle w:val="StyleUnderline"/>
        </w:rPr>
        <w:t>civil society</w:t>
      </w:r>
      <w:r w:rsidRPr="00D7045C">
        <w:rPr>
          <w:sz w:val="14"/>
        </w:rPr>
        <w:t xml:space="preserve"> (moving to extralegal spheres), </w:t>
      </w:r>
      <w:r w:rsidRPr="00D7045C">
        <w:rPr>
          <w:rStyle w:val="StyleUnderline"/>
        </w:rPr>
        <w:t>and pluralism</w:t>
      </w:r>
      <w:r w:rsidRPr="00D7045C">
        <w:rPr>
          <w:sz w:val="14"/>
        </w:rPr>
        <w:t xml:space="preserve"> (the proliferation of norm-generating actors) </w:t>
      </w:r>
      <w:r w:rsidRPr="00D7045C">
        <w:rPr>
          <w:rStyle w:val="StyleUnderline"/>
        </w:rPr>
        <w:t xml:space="preserve">has been effected and appropriated by sup- porters from a wide range of political commitments, these concepts have had unintended implications that conflict with the very social re- form ideals from which they stem. </w:t>
      </w:r>
      <w:r w:rsidRPr="00D7045C">
        <w:rPr>
          <w:rStyle w:val="Emphasis"/>
        </w:rPr>
        <w:t>Second</w:t>
      </w:r>
      <w:r w:rsidRPr="00D7045C">
        <w:rPr>
          <w:rStyle w:val="StyleUnderline"/>
        </w:rPr>
        <w:t>, the idea of opting out of the legal arena becomes self-defeating as it discounts the ongoing im- portance of law and the possibilities of legal reform in seemingly un- regulated spheres.</w:t>
      </w:r>
      <w:r w:rsidRPr="00D7045C">
        <w:rPr>
          <w:sz w:val="14"/>
        </w:rPr>
        <w:t xml:space="preserve"> </w:t>
      </w:r>
      <w:r w:rsidRPr="00D7045C">
        <w:rPr>
          <w:rStyle w:val="StyleUnderline"/>
        </w:rPr>
        <w:t>A model encompassing exit and rigid sphere dis</w:t>
      </w:r>
      <w:r w:rsidRPr="00D7045C">
        <w:rPr>
          <w:sz w:val="14"/>
        </w:rPr>
        <w:t xml:space="preserve">- </w:t>
      </w:r>
      <w:r w:rsidRPr="00D7045C">
        <w:rPr>
          <w:rStyle w:val="StyleUnderline"/>
        </w:rPr>
        <w:t xml:space="preserve">tinctions further fails to recognize a reality of increasing interpenetration and the blurring of boundaries between private and public spheres, profit and nonprofit sectors, and formal and informal institutions. It therefore loses the critical insight that </w:t>
      </w:r>
      <w:r w:rsidRPr="00D7045C">
        <w:rPr>
          <w:rStyle w:val="Emphasis"/>
        </w:rPr>
        <w:t>law operates in the background of seemingly unregulated relationships</w:t>
      </w:r>
      <w:r w:rsidRPr="00D7045C">
        <w:rPr>
          <w:sz w:val="14"/>
        </w:rPr>
        <w:t xml:space="preserve">. Again </w:t>
      </w:r>
      <w:r w:rsidRPr="00D7045C">
        <w:rPr>
          <w:rStyle w:val="StyleUnderline"/>
        </w:rPr>
        <w:t>para- doxically, the extralegal view of decentralized activism and the division of society into different spheres in fact have worked to subvert rather than support the progressive agenda.</w:t>
      </w:r>
      <w:r w:rsidRPr="00D7045C">
        <w:rPr>
          <w:sz w:val="14"/>
        </w:rPr>
        <w:t xml:space="preserve"> </w:t>
      </w:r>
      <w:r w:rsidRPr="00D7045C">
        <w:rPr>
          <w:rStyle w:val="Emphasis"/>
        </w:rPr>
        <w:t>Finally,</w:t>
      </w:r>
      <w:r w:rsidRPr="00D7045C">
        <w:rPr>
          <w:rStyle w:val="StyleUnderline"/>
        </w:rPr>
        <w:t xml:space="preserve"> since extralegal actors view their actions with romantic idealism, they fail to develop tools for</w:t>
      </w:r>
      <w:r w:rsidRPr="00D7045C">
        <w:rPr>
          <w:sz w:val="14"/>
        </w:rPr>
        <w:t xml:space="preserve"> </w:t>
      </w:r>
      <w:r w:rsidRPr="00D7045C">
        <w:rPr>
          <w:rStyle w:val="StyleUnderline"/>
        </w:rPr>
        <w:t>evaluating their success.</w:t>
      </w:r>
      <w:r w:rsidRPr="00D7045C">
        <w:rPr>
          <w:sz w:val="14"/>
        </w:rPr>
        <w:t xml:space="preserve"> </w:t>
      </w:r>
      <w:r w:rsidRPr="00D7045C">
        <w:rPr>
          <w:rStyle w:val="Emphasis"/>
        </w:rPr>
        <w:t>If the critique of legal cooptation has in- volved the argument that legal reform</w:t>
      </w:r>
      <w:r w:rsidRPr="00D7045C">
        <w:rPr>
          <w:sz w:val="14"/>
        </w:rPr>
        <w:t xml:space="preserve">, even when viewed as a victory, </w:t>
      </w:r>
      <w:r w:rsidRPr="00D7045C">
        <w:rPr>
          <w:rStyle w:val="Emphasis"/>
        </w:rPr>
        <w:t>is never radically transformative, we must ask: what are the criteria for assessing the achievements of the suggested alternatives?</w:t>
      </w:r>
      <w:r w:rsidRPr="00D7045C">
        <w:rPr>
          <w:sz w:val="14"/>
        </w:rPr>
        <w:t xml:space="preserve"> As I il- lustrate in the following sections, </w:t>
      </w:r>
      <w:r w:rsidRPr="00D7045C">
        <w:rPr>
          <w:rStyle w:val="Emphasis"/>
        </w:rPr>
        <w:t>much of the current scholarship ob- scures the lines between the descriptive and the prescriptive in its for- mulation of social activism</w:t>
      </w:r>
      <w:r w:rsidRPr="00D7045C">
        <w:rPr>
          <w:sz w:val="14"/>
        </w:rPr>
        <w:t>. If current suggestions present themselves as alternatives to formal legal struggles</w:t>
      </w:r>
      <w:r w:rsidRPr="00D7045C">
        <w:rPr>
          <w:rStyle w:val="Emphasis"/>
        </w:rPr>
        <w:t>, we must question whether the new extralegal politics that are proposed and celebrated are capable of producing a constructive theory and meaningful channels for reform, rather than passive status quo politics</w:t>
      </w:r>
      <w:r w:rsidRPr="00D7045C">
        <w:rPr>
          <w:sz w:val="14"/>
        </w:rPr>
        <w:t xml:space="preserve">. </w:t>
      </w:r>
    </w:p>
    <w:p w14:paraId="6F5E47EC" w14:textId="77777777" w:rsidR="00D00730" w:rsidRPr="00D00730" w:rsidRDefault="00D00730" w:rsidP="00D00730">
      <w:pPr>
        <w:pStyle w:val="Heading4"/>
      </w:pPr>
      <w:r>
        <w:t xml:space="preserve">Trump’s politics feed sexism and misogyny </w:t>
      </w:r>
    </w:p>
    <w:p w14:paraId="0EFA2006" w14:textId="77777777" w:rsidR="00D00730" w:rsidRPr="00EC1CD6" w:rsidRDefault="00D00730" w:rsidP="00D00730">
      <w:r>
        <w:t xml:space="preserve">Valenti 1-19(Jessica, columnist and staff writer for Guardian, 1-19-2017, “Trump’s Sexism is Trickling Down. Let’s Refuse to Accept It,” The Guardian, </w:t>
      </w:r>
      <w:hyperlink r:id="rId40" w:history="1">
        <w:r w:rsidRPr="009C1457">
          <w:rPr>
            <w:rStyle w:val="Hyperlink"/>
          </w:rPr>
          <w:t>https://www.theguardian.com/commentisfree/2017/jan/19/donald-trump-sexism-trickle-down-influence-women-men-us-voters)</w:t>
        </w:r>
      </w:hyperlink>
      <w:r>
        <w:t xml:space="preserve"> KVA</w:t>
      </w:r>
    </w:p>
    <w:p w14:paraId="2CAB4BCA" w14:textId="77777777" w:rsidR="00D00730" w:rsidRPr="00EC1CD6" w:rsidRDefault="00D00730" w:rsidP="00D00730">
      <w:pPr>
        <w:rPr>
          <w:rStyle w:val="StyleUnderline"/>
        </w:rPr>
      </w:pPr>
      <w:r w:rsidRPr="00EC1CD6">
        <w:rPr>
          <w:sz w:val="16"/>
        </w:rPr>
        <w:t xml:space="preserve">We don’t need Rorty to tell us what comes next; </w:t>
      </w:r>
      <w:r w:rsidRPr="00EC1CD6">
        <w:rPr>
          <w:rStyle w:val="StyleUnderline"/>
        </w:rPr>
        <w:t>women are all too aware of what’s on the horizon</w:t>
      </w:r>
      <w:r w:rsidRPr="00EC1CD6">
        <w:rPr>
          <w:sz w:val="16"/>
        </w:rPr>
        <w:t xml:space="preserve">. </w:t>
      </w:r>
      <w:hyperlink r:id="rId41" w:history="1">
        <w:r w:rsidRPr="00EC1CD6">
          <w:rPr>
            <w:sz w:val="16"/>
          </w:rPr>
          <w:t>According to a new national poll</w:t>
        </w:r>
      </w:hyperlink>
      <w:r w:rsidRPr="00EC1CD6">
        <w:rPr>
          <w:sz w:val="16"/>
        </w:rPr>
        <w:t xml:space="preserve">, </w:t>
      </w:r>
      <w:r w:rsidRPr="00EC1CD6">
        <w:rPr>
          <w:rStyle w:val="StyleUnderline"/>
        </w:rPr>
        <w:t>40% of women surveyed believe that acts of sexism will be more likely because Trump won the election, “including sexual assault and feelings of entitlement among men to treat women as sexual objects.”</w:t>
      </w:r>
      <w:r>
        <w:rPr>
          <w:rStyle w:val="StyleUnderline"/>
        </w:rPr>
        <w:t xml:space="preserve"> </w:t>
      </w:r>
      <w:r w:rsidRPr="00EC1CD6">
        <w:rPr>
          <w:sz w:val="16"/>
        </w:rPr>
        <w:t xml:space="preserve">And though Republican men </w:t>
      </w:r>
      <w:hyperlink r:id="rId42" w:history="1">
        <w:r w:rsidRPr="00EC1CD6">
          <w:rPr>
            <w:sz w:val="16"/>
          </w:rPr>
          <w:t>believe</w:t>
        </w:r>
      </w:hyperlink>
      <w:r w:rsidRPr="00EC1CD6">
        <w:rPr>
          <w:sz w:val="16"/>
        </w:rPr>
        <w:t xml:space="preserve"> that it’s a better time to be a woman than a man, </w:t>
      </w:r>
      <w:r w:rsidRPr="00EC1CD6">
        <w:rPr>
          <w:rStyle w:val="StyleUnderline"/>
        </w:rPr>
        <w:t>more than half of the women in the study said they had been inappropriately touched without their consent</w:t>
      </w:r>
      <w:r w:rsidRPr="00EC1CD6">
        <w:rPr>
          <w:sz w:val="16"/>
        </w:rPr>
        <w:t xml:space="preserve">. </w:t>
      </w:r>
      <w:r w:rsidRPr="00EC1CD6">
        <w:rPr>
          <w:rStyle w:val="Emphasis"/>
        </w:rPr>
        <w:t>Sexism and objectification are nothing new of course, but electing a leader who wears his disdain for women like a badge of honor has consequences.</w:t>
      </w:r>
      <w:r w:rsidRPr="00EC1CD6">
        <w:rPr>
          <w:sz w:val="16"/>
        </w:rPr>
        <w:t xml:space="preserve"> In the days after the election, </w:t>
      </w:r>
      <w:r w:rsidRPr="00EC1CD6">
        <w:rPr>
          <w:rStyle w:val="StyleUnderline"/>
        </w:rPr>
        <w:t>the Southern Poverty Law Center</w:t>
      </w:r>
      <w:r>
        <w:rPr>
          <w:rStyle w:val="StyleUnderline"/>
        </w:rPr>
        <w:t xml:space="preserve"> </w:t>
      </w:r>
      <w:hyperlink r:id="rId43" w:history="1">
        <w:r w:rsidRPr="00EC1CD6">
          <w:rPr>
            <w:rStyle w:val="StyleUnderline"/>
          </w:rPr>
          <w:t>recorded multiple reports</w:t>
        </w:r>
      </w:hyperlink>
      <w:r>
        <w:rPr>
          <w:rStyle w:val="StyleUnderline"/>
        </w:rPr>
        <w:t xml:space="preserve"> </w:t>
      </w:r>
      <w:r w:rsidRPr="00EC1CD6">
        <w:rPr>
          <w:rStyle w:val="StyleUnderline"/>
        </w:rPr>
        <w:t>of men “parroting the president-elect’s sexist and vulgar comments”.</w:t>
      </w:r>
      <w:r>
        <w:rPr>
          <w:rStyle w:val="StyleUnderline"/>
        </w:rPr>
        <w:t xml:space="preserve"> </w:t>
      </w:r>
      <w:r w:rsidRPr="00EC1CD6">
        <w:rPr>
          <w:sz w:val="16"/>
        </w:rPr>
        <w:t xml:space="preserve">According to the hate-watch group, boys in Minneapolis yelled out of their school bus that a man walking with his female colleague should “grab her by the pussy.” A middle-aged woman in California reported three men in a truck with Trump sticker shouting a similar phrase at her. And in New York, a young girl on her way to school says a man on the train said he was “allowed to grab my pussy because it’s legal now”. There has been a lot of talk about the message sent to young women by Hillary Clinton’s loss – but what about the message young men have received by Donald Trump’s win? Rorty was right: </w:t>
      </w:r>
      <w:r w:rsidRPr="00EC1CD6">
        <w:rPr>
          <w:rStyle w:val="StyleUnderline"/>
        </w:rPr>
        <w:t>misogynists have been emboldened</w:t>
      </w:r>
      <w:r w:rsidRPr="00EC1CD6">
        <w:rPr>
          <w:sz w:val="16"/>
        </w:rPr>
        <w:t xml:space="preserve">. But it’s also fair to predict that women will refuse to accept sexism’s ascendance. The march on Washington, DC this weekend is already set to be </w:t>
      </w:r>
      <w:hyperlink r:id="rId44" w:history="1">
        <w:r w:rsidRPr="00EC1CD6">
          <w:rPr>
            <w:sz w:val="16"/>
          </w:rPr>
          <w:t>one of the largest protests</w:t>
        </w:r>
      </w:hyperlink>
      <w:r w:rsidRPr="00EC1CD6">
        <w:rPr>
          <w:sz w:val="16"/>
        </w:rPr>
        <w:t xml:space="preserve"> in American history, and feminism’s online expansion over the last decade will mean women quickly responding to misogynist slights. </w:t>
      </w:r>
      <w:r w:rsidRPr="00EC1CD6">
        <w:rPr>
          <w:rStyle w:val="StyleUnderline"/>
        </w:rPr>
        <w:t>We’re prepared to take this seriously, even if the country around us – even if the president – is not.</w:t>
      </w:r>
    </w:p>
    <w:p w14:paraId="4254355A" w14:textId="77777777" w:rsidR="00CD4E03" w:rsidRDefault="00CD4E03" w:rsidP="00CD4E03">
      <w:pPr>
        <w:pStyle w:val="Heading4"/>
      </w:pPr>
      <w:r>
        <w:t>Trump’s violent agenda impacts women negatively</w:t>
      </w:r>
    </w:p>
    <w:p w14:paraId="338F8554" w14:textId="77777777" w:rsidR="00CD4E03" w:rsidRPr="00CD3E90" w:rsidRDefault="00CD4E03" w:rsidP="00CD4E03">
      <w:r>
        <w:rPr>
          <w:rStyle w:val="Style13ptBold"/>
        </w:rPr>
        <w:t xml:space="preserve">Frothingham and Phadke 4/25 </w:t>
      </w:r>
      <w:r w:rsidRPr="00CD3E90">
        <w:t>– (Sunny Frothingham</w:t>
      </w:r>
      <w:r w:rsidRPr="0044019C">
        <w:t xml:space="preserve"> is the Senior Researcher for Women’s Economic Policy at American Progress</w:t>
      </w:r>
      <w:r>
        <w:t xml:space="preserve">, </w:t>
      </w:r>
      <w:r w:rsidRPr="00CD3E90">
        <w:t>Shilpa Phadke</w:t>
      </w:r>
      <w:r>
        <w:t xml:space="preserve"> </w:t>
      </w:r>
      <w:r w:rsidRPr="0044019C">
        <w:t>is the Senior Director of the Women’s Initiative at American Progress</w:t>
      </w:r>
      <w:r w:rsidRPr="00CD3E90">
        <w:t xml:space="preserve">, 4-25-2017, "100 Days, 100 Ways the Trump Administration Is Harming Women and Families," Center for American Progress, Accessed 7/2/17, </w:t>
      </w:r>
      <w:hyperlink r:id="rId45" w:history="1">
        <w:r w:rsidRPr="00CD3E90">
          <w:t>https://www.americanprogress.org/issues/women/reports/2017/04/25/430969/100-days-100-ways-trump-administration-harming-women-families/)</w:t>
        </w:r>
      </w:hyperlink>
      <w:r w:rsidRPr="00CD3E90">
        <w:t xml:space="preserve"> //ak</w:t>
      </w:r>
    </w:p>
    <w:p w14:paraId="23FAB3DF" w14:textId="77777777" w:rsidR="00CD4E03" w:rsidRPr="005D35BF" w:rsidRDefault="00CD4E03" w:rsidP="00CD4E03">
      <w:pPr>
        <w:rPr>
          <w:rStyle w:val="StyleUnderline"/>
        </w:rPr>
      </w:pPr>
      <w:r w:rsidRPr="00803841">
        <w:rPr>
          <w:sz w:val="16"/>
        </w:rPr>
        <w:t xml:space="preserve">On January 21, 2017, millions of </w:t>
      </w:r>
      <w:r w:rsidRPr="005D35BF">
        <w:rPr>
          <w:rStyle w:val="StyleUnderline"/>
        </w:rPr>
        <w:t>women took to the streets</w:t>
      </w:r>
      <w:r w:rsidRPr="00803841">
        <w:rPr>
          <w:sz w:val="16"/>
        </w:rPr>
        <w:t xml:space="preserve"> in cities across America </w:t>
      </w:r>
      <w:r w:rsidRPr="005D35BF">
        <w:rPr>
          <w:rStyle w:val="StyleUnderline"/>
        </w:rPr>
        <w:t>to demonstrate their opposition</w:t>
      </w:r>
      <w:r w:rsidRPr="00803841">
        <w:rPr>
          <w:sz w:val="16"/>
        </w:rPr>
        <w:t xml:space="preserve"> </w:t>
      </w:r>
      <w:r w:rsidRPr="005D35BF">
        <w:rPr>
          <w:rStyle w:val="StyleUnderline"/>
        </w:rPr>
        <w:t>to</w:t>
      </w:r>
      <w:r w:rsidRPr="00803841">
        <w:rPr>
          <w:sz w:val="16"/>
        </w:rPr>
        <w:t xml:space="preserve"> President Donald </w:t>
      </w:r>
      <w:r w:rsidRPr="005D35BF">
        <w:rPr>
          <w:rStyle w:val="StyleUnderline"/>
        </w:rPr>
        <w:t>Trump and the values and policies he represents</w:t>
      </w:r>
      <w:r w:rsidRPr="00803841">
        <w:rPr>
          <w:sz w:val="16"/>
        </w:rPr>
        <w:t>.</w:t>
      </w:r>
      <w:r w:rsidRPr="005D35BF">
        <w:rPr>
          <w:rStyle w:val="StyleUnderline"/>
        </w:rPr>
        <w:t>1 After a campaign season filled with derogatory language about women and sexist rhetoric about women’s roles in the home and workplace, people of all genders united in opposition to Trump’s anti-women agenda.</w:t>
      </w:r>
      <w:r w:rsidRPr="00803841">
        <w:rPr>
          <w:sz w:val="16"/>
        </w:rPr>
        <w:t xml:space="preserve"> From immigration and environmental justice to defending the rights of women, workers, LGBTQ people, and people with disabilities, </w:t>
      </w:r>
      <w:r w:rsidRPr="005D35BF">
        <w:rPr>
          <w:rStyle w:val="StyleUnderline"/>
        </w:rPr>
        <w:t>women marched to highlight the complexity and interconnectedness in women’s lives and the need for policies that are responsive to those diverse needs.</w:t>
      </w:r>
      <w:r>
        <w:rPr>
          <w:rStyle w:val="StyleUnderline"/>
        </w:rPr>
        <w:t xml:space="preserve"> </w:t>
      </w:r>
      <w:r w:rsidRPr="00803841">
        <w:rPr>
          <w:sz w:val="16"/>
        </w:rPr>
        <w:t xml:space="preserve">This renewed activism comes at a critical time. </w:t>
      </w:r>
      <w:r w:rsidRPr="005D35BF">
        <w:rPr>
          <w:rStyle w:val="StyleUnderline"/>
        </w:rPr>
        <w:t>Nearly 100 days into the Trump administration, there has been little talk of concrete policy actions that will help women and families</w:t>
      </w:r>
      <w:r w:rsidRPr="00803841">
        <w:rPr>
          <w:sz w:val="16"/>
        </w:rPr>
        <w:t xml:space="preserve">. Despite repeated promises that President Trump and his administration would invest in and empower women, President </w:t>
      </w:r>
      <w:r w:rsidRPr="005D35BF">
        <w:rPr>
          <w:rStyle w:val="StyleUnderline"/>
        </w:rPr>
        <w:t>Trump’s actions have made it clear that he and his team are completely out of touch with the needs of today’s working families</w:t>
      </w:r>
      <w:r w:rsidRPr="00803841">
        <w:rPr>
          <w:sz w:val="16"/>
        </w:rPr>
        <w:t>.2</w:t>
      </w:r>
      <w:r>
        <w:rPr>
          <w:sz w:val="16"/>
        </w:rPr>
        <w:t xml:space="preserve"> </w:t>
      </w:r>
      <w:r w:rsidRPr="00803841">
        <w:rPr>
          <w:sz w:val="16"/>
        </w:rPr>
        <w:t xml:space="preserve">This issue brief highlights 100 ways in which </w:t>
      </w:r>
      <w:r w:rsidRPr="005D35BF">
        <w:rPr>
          <w:rStyle w:val="StyleUnderline"/>
        </w:rPr>
        <w:t>Trump’s policy actions and proposals fall short of</w:t>
      </w:r>
      <w:r w:rsidRPr="00803841">
        <w:rPr>
          <w:sz w:val="16"/>
        </w:rPr>
        <w:t>—</w:t>
      </w:r>
      <w:r w:rsidRPr="005D35BF">
        <w:rPr>
          <w:rStyle w:val="StyleUnderline"/>
        </w:rPr>
        <w:t>and often harm</w:t>
      </w:r>
      <w:r w:rsidRPr="00803841">
        <w:rPr>
          <w:sz w:val="16"/>
        </w:rPr>
        <w:t>—</w:t>
      </w:r>
      <w:r w:rsidRPr="005D35BF">
        <w:rPr>
          <w:rStyle w:val="StyleUnderline"/>
        </w:rPr>
        <w:t>the comprehensive progress that millions of women and their families need</w:t>
      </w:r>
      <w:r w:rsidRPr="00803841">
        <w:rPr>
          <w:sz w:val="16"/>
        </w:rPr>
        <w:t xml:space="preserve">. From attacking health care and undermining women’s legal rights to elevating out-of-touch, regressive nominees to key positions, President </w:t>
      </w:r>
      <w:r w:rsidRPr="005D35BF">
        <w:rPr>
          <w:rStyle w:val="StyleUnderline"/>
        </w:rPr>
        <w:t>Trump reveals his fundamental lack of understanding of the myriad challenges women face and how they are interrelated.</w:t>
      </w:r>
      <w:r w:rsidRPr="00803841">
        <w:rPr>
          <w:sz w:val="16"/>
        </w:rPr>
        <w:t xml:space="preserve"> When taken together, </w:t>
      </w:r>
      <w:r w:rsidRPr="005D35BF">
        <w:rPr>
          <w:rStyle w:val="StyleUnderline"/>
        </w:rPr>
        <w:t>the actions highlighted in this issue brief reveal an aggressive assault on women’s rights and equality</w:t>
      </w:r>
      <w:r w:rsidRPr="00803841">
        <w:rPr>
          <w:sz w:val="16"/>
        </w:rPr>
        <w:t xml:space="preserve">. It has only been 100 days, and </w:t>
      </w:r>
      <w:r w:rsidRPr="005D35BF">
        <w:rPr>
          <w:rStyle w:val="StyleUnderline"/>
        </w:rPr>
        <w:t>millions of women are already feeling the negative impacts of the Trump administration and its misguided agenda. Women and families have never had more to lose.</w:t>
      </w:r>
    </w:p>
    <w:p w14:paraId="63D32902" w14:textId="77777777" w:rsidR="00CD4E03" w:rsidRDefault="00CD4E03" w:rsidP="00CD4E03">
      <w:pPr>
        <w:pStyle w:val="Heading4"/>
      </w:pPr>
      <w:r>
        <w:t xml:space="preserve">Trump’s campaign is laced with misogyny </w:t>
      </w:r>
    </w:p>
    <w:p w14:paraId="36D91801" w14:textId="77777777" w:rsidR="00CD4E03" w:rsidRDefault="00CD4E03" w:rsidP="00CD4E03">
      <w:pPr>
        <w:rPr>
          <w:rStyle w:val="Style13ptBold"/>
        </w:rPr>
      </w:pPr>
      <w:r>
        <w:rPr>
          <w:rStyle w:val="Style13ptBold"/>
        </w:rPr>
        <w:t xml:space="preserve">Kutner 16 </w:t>
      </w:r>
      <w:r w:rsidRPr="00CE74E6">
        <w:t xml:space="preserve">– (Jenny Kutner is a senior reporter at Mic, covering feminism, reproductive justice and sexual violence, 11/22/16, “Donald Trump's administration is going to be so bad for women — especially women of color,” Accessed 7/2/17, </w:t>
      </w:r>
      <w:hyperlink r:id="rId46" w:anchor=".L9OuCBbZz)" w:history="1">
        <w:r w:rsidRPr="00CE74E6">
          <w:t>https://mic.com/articles/160110/donald-trump-s-administration-is-going-to-be-so-bad-for-women-especially-women-of-color#.L9OuCBbZz)</w:t>
        </w:r>
      </w:hyperlink>
      <w:r w:rsidRPr="00CE74E6">
        <w:t xml:space="preserve"> //ak</w:t>
      </w:r>
    </w:p>
    <w:p w14:paraId="417AB5E1" w14:textId="77777777" w:rsidR="00CD4E03" w:rsidRPr="00803841" w:rsidRDefault="00CD4E03" w:rsidP="00CD4E03">
      <w:pPr>
        <w:rPr>
          <w:sz w:val="16"/>
        </w:rPr>
      </w:pPr>
      <w:r w:rsidRPr="00803841">
        <w:rPr>
          <w:sz w:val="16"/>
        </w:rPr>
        <w:t xml:space="preserve">These proposed aides and agency heads have their own records of being racist, xenophobic, anti-Semitic and Islamophobic and seem to share the bigoted line of thinking central to </w:t>
      </w:r>
      <w:r w:rsidRPr="005D35BF">
        <w:rPr>
          <w:rStyle w:val="StyleUnderline"/>
        </w:rPr>
        <w:t>Trump's presidential campaign</w:t>
      </w:r>
      <w:r w:rsidRPr="00803841">
        <w:rPr>
          <w:sz w:val="16"/>
        </w:rPr>
        <w:t xml:space="preserve">. Of course, the campaign </w:t>
      </w:r>
      <w:r w:rsidRPr="005D35BF">
        <w:rPr>
          <w:rStyle w:val="StyleUnderline"/>
        </w:rPr>
        <w:t>didn't focus exclusively on demonizing people of color, Muslims and immigrants; it was also laced with misogyny. Trump has repeatedly shown a fundamental lack of respect for women, and if the men who join his team follow his lead — or, rather, live up to their own reputations — they threaten to treat women as one faceless group.</w:t>
      </w:r>
      <w:r>
        <w:rPr>
          <w:rStyle w:val="StyleUnderline"/>
        </w:rPr>
        <w:t xml:space="preserve"> </w:t>
      </w:r>
      <w:r w:rsidRPr="005D35BF">
        <w:rPr>
          <w:rStyle w:val="StyleUnderline"/>
        </w:rPr>
        <w:t xml:space="preserve">Part of the incoming cabinet's apparent antipathy toward women could be chalked up to the inherent ignorance abounding in a room that increasingly seems like everyone will look the same — where everyone is white and everyone is a man. </w:t>
      </w:r>
      <w:r w:rsidRPr="00803841">
        <w:rPr>
          <w:sz w:val="16"/>
        </w:rPr>
        <w:t>We can predict not only that things won't be good, but also precisely how women of all creeds are going to be screwed over.</w:t>
      </w:r>
      <w:r>
        <w:rPr>
          <w:sz w:val="16"/>
        </w:rPr>
        <w:t xml:space="preserve"> </w:t>
      </w:r>
      <w:r w:rsidRPr="005D35BF">
        <w:rPr>
          <w:rStyle w:val="StyleUnderline"/>
        </w:rPr>
        <w:t>Among the policies the Trump administration promises to pursue are several that could exacerbate discrimination against already-marginalized groups</w:t>
      </w:r>
      <w:r w:rsidRPr="00803841">
        <w:rPr>
          <w:sz w:val="16"/>
        </w:rPr>
        <w:t>. The president-elect's agenda includes walking back the Affordable Care Act, which has helped an estimated 20 million people get health insurance and expanded access to affordable contraception; overturning Roe v. Wade, increasing opportunities for states to limit abortion rights in the U.S.; and defunding Planned Parenthood, which he has acknowledged would decrease access to basic healthcare services, especially for women and families with low incomes.</w:t>
      </w:r>
      <w:r>
        <w:rPr>
          <w:sz w:val="16"/>
        </w:rPr>
        <w:t xml:space="preserve"> </w:t>
      </w:r>
      <w:r w:rsidRPr="00803841">
        <w:rPr>
          <w:sz w:val="16"/>
        </w:rPr>
        <w:t xml:space="preserve">Predicting </w:t>
      </w:r>
      <w:r w:rsidRPr="005D35BF">
        <w:rPr>
          <w:rStyle w:val="StyleUnderline"/>
        </w:rPr>
        <w:t>Trump's cabinet will disregard women's rights and needs is an example of one of the election's biggest lessons: Hate tends to be intersectional</w:t>
      </w:r>
      <w:r w:rsidRPr="00803841">
        <w:rPr>
          <w:sz w:val="16"/>
        </w:rPr>
        <w:t xml:space="preserve">. Sure, these issues will affect straight, white women. But </w:t>
      </w:r>
      <w:r w:rsidRPr="005D35BF">
        <w:rPr>
          <w:rStyle w:val="StyleUnderline"/>
        </w:rPr>
        <w:t>women of color and queer women — who are disproportionately impacted by pay disparities and more likely to live in poverty — will undoubtedly shoulder the burden of the Trump administration's most harmful social and economic plans, from childcare policies that favor the rich to increased health care costs.</w:t>
      </w:r>
      <w:r>
        <w:rPr>
          <w:rStyle w:val="StyleUnderline"/>
        </w:rPr>
        <w:t xml:space="preserve"> </w:t>
      </w:r>
      <w:r w:rsidRPr="005D35BF">
        <w:rPr>
          <w:rStyle w:val="StyleUnderline"/>
        </w:rPr>
        <w:t>"We already know these barriers [to health care and pay equity] are being put in place and are impacting women, but disproportionately impacting women of color, who don't have means to access reproductive care</w:t>
      </w:r>
      <w:r w:rsidRPr="00803841">
        <w:rPr>
          <w:sz w:val="16"/>
        </w:rPr>
        <w:t xml:space="preserve">, for instance," said Christy Gamble, director of health policy and legislative affairs at the Black Women's Health Imperative. "Black women are more likely to receive care at Planned Parenthood or other care facilities that happen to also have abortion providers. If we're restricting Title X funding based on a hospital or provider also being an abortion provider ... then </w:t>
      </w:r>
      <w:r w:rsidRPr="005D35BF">
        <w:rPr>
          <w:rStyle w:val="StyleUnderline"/>
        </w:rPr>
        <w:t>we're restricting black women's access to care."</w:t>
      </w:r>
      <w:r>
        <w:rPr>
          <w:rStyle w:val="StyleUnderline"/>
        </w:rPr>
        <w:t xml:space="preserve"> </w:t>
      </w:r>
      <w:r w:rsidRPr="00803841">
        <w:rPr>
          <w:sz w:val="16"/>
        </w:rPr>
        <w:t xml:space="preserve">Adding that </w:t>
      </w:r>
      <w:r w:rsidRPr="005D35BF">
        <w:rPr>
          <w:rStyle w:val="StyleUnderline"/>
        </w:rPr>
        <w:t>black women die in pregnancy and childbirth at significantly higher rates than white women</w:t>
      </w:r>
      <w:r w:rsidRPr="00803841">
        <w:rPr>
          <w:sz w:val="16"/>
        </w:rPr>
        <w:t xml:space="preserve">, Gamble also pointed out that </w:t>
      </w:r>
      <w:r w:rsidRPr="005D35BF">
        <w:rPr>
          <w:rStyle w:val="StyleUnderline"/>
        </w:rPr>
        <w:t>discriminatory policies don't just hold women of color back. When the government works against women's interests as a general rule — i.e. does its darnedest not to improve women's health or ensure women fair and equal opportunities in the workforce, as the Trump administration promises to — it trickles down to state-level policies as well as the culture</w:t>
      </w:r>
      <w:r w:rsidRPr="00803841">
        <w:rPr>
          <w:sz w:val="16"/>
        </w:rPr>
        <w:t>. White women won't be spared the political marginalization that comes with voting sexism into office, even if the impact isn't as severe as it is for other demographics.</w:t>
      </w:r>
      <w:r>
        <w:rPr>
          <w:sz w:val="16"/>
        </w:rPr>
        <w:t xml:space="preserve"> </w:t>
      </w:r>
      <w:r w:rsidRPr="00803841">
        <w:rPr>
          <w:sz w:val="16"/>
        </w:rPr>
        <w:t xml:space="preserve">Based on Trump's roster of announced appointees and remaining candidates, </w:t>
      </w:r>
      <w:r w:rsidRPr="005D35BF">
        <w:rPr>
          <w:rStyle w:val="StyleUnderline"/>
        </w:rPr>
        <w:t>it seems the people who end up serving him will likely endorse policies which limit access to basic services and strip minority group of civil rights.</w:t>
      </w:r>
      <w:r>
        <w:rPr>
          <w:rStyle w:val="StyleUnderline"/>
        </w:rPr>
        <w:t xml:space="preserve"> </w:t>
      </w:r>
      <w:r w:rsidRPr="005D35BF">
        <w:rPr>
          <w:rStyle w:val="StyleUnderline"/>
        </w:rPr>
        <w:t xml:space="preserve">Several legislators expected to join the cabinet have demonstrated what is at best a lack of concern for women, people of color, queer people, religious minorities and immigrants, but more often outright contempt for them. </w:t>
      </w:r>
      <w:r w:rsidRPr="00803841">
        <w:rPr>
          <w:sz w:val="16"/>
        </w:rPr>
        <w:t xml:space="preserve">Attorney General nominee Sen. Jeff Sessions, whose racist comments got him blocked from a federal judgeship, has a long history of trampling women's rights at every opportunity; he also defended Trump's grotesque Access Hollywood comments, saying the president-elect's words did not describe sexual assault (they did). So too does Rep. Tom Price, who is reportedly Trump's pick for Secretary of Health and Human Services, as well as a prominent foe of LGBTQ rights. </w:t>
      </w:r>
    </w:p>
    <w:p w14:paraId="1BA05893" w14:textId="77777777" w:rsidR="00CD4E03" w:rsidRDefault="00CD4E03" w:rsidP="00CD4E03">
      <w:pPr>
        <w:pStyle w:val="Heading4"/>
      </w:pPr>
      <w:r>
        <w:t>Trump repeatedly attacks women – his campaign is violent</w:t>
      </w:r>
    </w:p>
    <w:p w14:paraId="7172BF17" w14:textId="77777777" w:rsidR="00CD4E03" w:rsidRDefault="00CD4E03" w:rsidP="00CD4E03">
      <w:pPr>
        <w:rPr>
          <w:rStyle w:val="Style13ptBold"/>
        </w:rPr>
      </w:pPr>
      <w:r>
        <w:rPr>
          <w:rStyle w:val="Style13ptBold"/>
        </w:rPr>
        <w:t xml:space="preserve">Mcewan 6/29 </w:t>
      </w:r>
      <w:r w:rsidRPr="00F64DE8">
        <w:t xml:space="preserve">– (Melissa Mcewan, 6-29-2017, "Do we need any more proof that Trump is a misogynist?," Globe and Mail, Accessed 7/2/17, </w:t>
      </w:r>
      <w:hyperlink r:id="rId47" w:history="1">
        <w:r w:rsidRPr="00F64DE8">
          <w:t>https://www.theglobeandmail.com/opinion/do-we-need-any-more-proof-that-trump-is-a-misogynist/article35505912/)</w:t>
        </w:r>
      </w:hyperlink>
      <w:r w:rsidRPr="00F64DE8">
        <w:t xml:space="preserve"> //ak</w:t>
      </w:r>
    </w:p>
    <w:p w14:paraId="5A19BE54" w14:textId="77777777" w:rsidR="00CD4E03" w:rsidRPr="00803841" w:rsidRDefault="00CD4E03" w:rsidP="00CD4E03">
      <w:pPr>
        <w:rPr>
          <w:rStyle w:val="StyleUnderline"/>
        </w:rPr>
      </w:pPr>
      <w:r w:rsidRPr="00803841">
        <w:rPr>
          <w:sz w:val="16"/>
        </w:rPr>
        <w:t xml:space="preserve">That Donald </w:t>
      </w:r>
      <w:r w:rsidRPr="00803841">
        <w:rPr>
          <w:rStyle w:val="StyleUnderline"/>
        </w:rPr>
        <w:t>Trump</w:t>
      </w:r>
      <w:r w:rsidRPr="00803841">
        <w:rPr>
          <w:sz w:val="16"/>
        </w:rPr>
        <w:t xml:space="preserve"> is a misogynist cannot be in question: He </w:t>
      </w:r>
      <w:r w:rsidRPr="00803841">
        <w:rPr>
          <w:rStyle w:val="StyleUnderline"/>
        </w:rPr>
        <w:t>has bragged about being a serial sexual abuser; he has, on more than one occasion, compared women with buildings; he is the executive of a party whose health-care policy is being crafted exclusively by men – and he’s fine with that. These examples are, of course, just the tip of a depressingly vast iceberg of Mr. Trump’s rank sexism.</w:t>
      </w:r>
      <w:r>
        <w:rPr>
          <w:rStyle w:val="StyleUnderline"/>
        </w:rPr>
        <w:t xml:space="preserve"> </w:t>
      </w:r>
      <w:r w:rsidRPr="00803841">
        <w:rPr>
          <w:sz w:val="16"/>
        </w:rPr>
        <w:t xml:space="preserve">Many times during his 161 days as President, Mr. </w:t>
      </w:r>
      <w:r w:rsidRPr="00803841">
        <w:rPr>
          <w:rStyle w:val="StyleUnderline"/>
        </w:rPr>
        <w:t>Trump has brought a fresh new horrific glimpse into his bottomless well of contempt for women.</w:t>
      </w:r>
      <w:r w:rsidRPr="00803841">
        <w:rPr>
          <w:sz w:val="16"/>
        </w:rPr>
        <w:t xml:space="preserve"> Thursday was no exception.</w:t>
      </w:r>
      <w:r>
        <w:rPr>
          <w:sz w:val="16"/>
        </w:rPr>
        <w:t xml:space="preserve"> </w:t>
      </w:r>
      <w:r w:rsidRPr="00803841">
        <w:rPr>
          <w:rStyle w:val="StyleUnderline"/>
        </w:rPr>
        <w:t xml:space="preserve">Lately, he has been on the outs with erstwhile pals and co-hosts of MSNBC’s Morning Joe, Joe Scarborough and Mika Brzezinski. </w:t>
      </w:r>
      <w:r w:rsidRPr="00803841">
        <w:rPr>
          <w:sz w:val="16"/>
        </w:rPr>
        <w:t>After Ms. Brzezinski mocked the President about the fake Time magazine covers hanging in his resorts, and pushed his infamous tiny hands button in the process, Mr. Trump let loose on her with a brutal pair of tweets, reading in full: “I heard poorly rated @Morning_Joe speaks badly of me (don’t watch any more). Then how come low I.Q. Crazy Mika, along with Psycho Joe, came to Mar-a-Lago 3 nights in a row around New Year’s Eve, and insisted on joining me. She was bleeding badly from a face-lift. I said no!”</w:t>
      </w:r>
      <w:r>
        <w:rPr>
          <w:sz w:val="16"/>
        </w:rPr>
        <w:t xml:space="preserve"> </w:t>
      </w:r>
      <w:r w:rsidRPr="00803841">
        <w:rPr>
          <w:sz w:val="16"/>
        </w:rPr>
        <w:t xml:space="preserve">In just 50 words, </w:t>
      </w:r>
      <w:r w:rsidRPr="00803841">
        <w:rPr>
          <w:rStyle w:val="StyleUnderline"/>
        </w:rPr>
        <w:t>Mr. Trump demeaned Ms. Brzezinski as stupid, mentally ill, vain and desperate</w:t>
      </w:r>
      <w:r w:rsidRPr="00803841">
        <w:rPr>
          <w:sz w:val="16"/>
        </w:rPr>
        <w:t xml:space="preserve"> – and he either flatly lied about her having had a facelift, or, in a profoundly unethical decision, disclosed a surgical procedure without her consent.</w:t>
      </w:r>
      <w:r>
        <w:rPr>
          <w:sz w:val="16"/>
        </w:rPr>
        <w:t xml:space="preserve"> </w:t>
      </w:r>
      <w:r w:rsidRPr="00803841">
        <w:rPr>
          <w:rStyle w:val="StyleUnderline"/>
        </w:rPr>
        <w:t>This is (at least) the second time that Mr. Trump has talked about a female journalist bleeding</w:t>
      </w:r>
      <w:r w:rsidRPr="00803841">
        <w:rPr>
          <w:sz w:val="16"/>
        </w:rPr>
        <w:t>: In August of 2015, the then-candidate complained about debate moderator Megyn Kelly’s “ridiculous questions,” saying: “You could see there was blood coming out of her eyes, blood coming out of her wherever.”</w:t>
      </w:r>
      <w:r>
        <w:rPr>
          <w:sz w:val="16"/>
        </w:rPr>
        <w:t xml:space="preserve"> </w:t>
      </w:r>
      <w:r w:rsidRPr="00803841">
        <w:rPr>
          <w:rStyle w:val="StyleUnderline"/>
        </w:rPr>
        <w:t>Mr. Trump’s latest tirade is a confluence of many of his worst qualities and impulses: His brittle ego, his impulsive cruelty, his disrespect for consent, his misogyny and his relentless war on the media – which has repeatedly manifested in targeted sexist attacks on female journalists.</w:t>
      </w:r>
      <w:r>
        <w:rPr>
          <w:rStyle w:val="StyleUnderline"/>
        </w:rPr>
        <w:t xml:space="preserve"> </w:t>
      </w:r>
      <w:r w:rsidRPr="00803841">
        <w:rPr>
          <w:rStyle w:val="StyleUnderline"/>
        </w:rPr>
        <w:t>Mr. Trump’s disdain for female journalists who ask questions or offer commentary he doesn’t like dates back at least 27 years:</w:t>
      </w:r>
      <w:r w:rsidRPr="00803841">
        <w:rPr>
          <w:sz w:val="16"/>
        </w:rPr>
        <w:t xml:space="preserve"> After a 1990 interview with Connie Chung that didn’t go the way Mr. Trump might have hoped, he unleashed on Ms. Chung during a subsequent interview with Joan Rivers, calling Ms. Chung “a disaster” and saying she was “like a little child. I mean this girl – this woman – has less talent than anyone I know of.”</w:t>
      </w:r>
      <w:r>
        <w:rPr>
          <w:sz w:val="16"/>
        </w:rPr>
        <w:t xml:space="preserve"> </w:t>
      </w:r>
      <w:r>
        <w:t xml:space="preserve">He went on to disturbingly recount that, when Ms. Chung sent him roses after the interview, “I cut ‘em up and sent ‘em back. I sent her back the stems. Actually, I did. I sent her back the stems, but I kept the top.” This is, to put it mildly, wildly inappropriate behaviour in any context, but it is utterly unrecognizable as the action of a person with a professional grudge and entirely comports instead with the impulse of an abusive spurned lover. </w:t>
      </w:r>
      <w:r w:rsidRPr="00803841">
        <w:rPr>
          <w:rStyle w:val="StyleUnderline"/>
        </w:rPr>
        <w:t xml:space="preserve">His attacks on women who fail to conform to his expectations of deference and adoration are scathingly personal, </w:t>
      </w:r>
      <w:r w:rsidRPr="00803841">
        <w:rPr>
          <w:sz w:val="16"/>
        </w:rPr>
        <w:t>and his Thursday morning outburst on Twitter is a perfect and terrible example of jilted Mr. Trump’s rage.</w:t>
      </w:r>
      <w:r>
        <w:rPr>
          <w:sz w:val="16"/>
        </w:rPr>
        <w:t xml:space="preserve"> </w:t>
      </w:r>
      <w:r w:rsidRPr="00803841">
        <w:rPr>
          <w:rStyle w:val="StyleUnderline"/>
        </w:rPr>
        <w:t>Female reporters are in an unwinnable situation. If they are (perceived by the insecure President as) combative in any way, they will be attacked. If he likes them, they will be targeted in a different way</w:t>
      </w:r>
      <w:r w:rsidRPr="00803841">
        <w:rPr>
          <w:sz w:val="16"/>
        </w:rPr>
        <w:t>. Just one day before his jeremiad against Ms. Brzezinski, Mr. Trump sexually harassed a female reporter in the Oval Office: While on the phone with newly elected Irish Prime Minister Leo Varadkar, Mr. Trump gestured at Irish reporter Caitriona Perry and told the PM: “We have all of this beautiful Irish press. … She has a nice smile on her face so I bet she treats you well.”</w:t>
      </w:r>
      <w:r>
        <w:rPr>
          <w:sz w:val="16"/>
        </w:rPr>
        <w:t xml:space="preserve"> </w:t>
      </w:r>
      <w:r w:rsidRPr="00803841">
        <w:rPr>
          <w:rStyle w:val="StyleUnderline"/>
        </w:rPr>
        <w:t>Whether he’s creepily complimenting female journalists or demeaning them, Mr. Trump never lets women just trying to do their jobs forget that they are women.</w:t>
      </w:r>
      <w:r>
        <w:rPr>
          <w:rStyle w:val="StyleUnderline"/>
        </w:rPr>
        <w:t xml:space="preserve"> </w:t>
      </w:r>
      <w:r w:rsidRPr="00803841">
        <w:rPr>
          <w:rStyle w:val="StyleUnderline"/>
        </w:rPr>
        <w:t>Ms. Brzezinski stepped out of line, and so the President took to his unrivalled platform to humiliate her. He</w:t>
      </w:r>
      <w:r w:rsidRPr="00803841">
        <w:rPr>
          <w:sz w:val="16"/>
        </w:rPr>
        <w:t xml:space="preserve"> showed us, once more, what many feminist commentators urgently warned about during the campaign: A deeply chauvinist man leveraging his extraordinary power to demean women.</w:t>
      </w:r>
      <w:r>
        <w:rPr>
          <w:sz w:val="16"/>
        </w:rPr>
        <w:t xml:space="preserve"> </w:t>
      </w:r>
      <w:r>
        <w:t xml:space="preserve">The White House and the first lady are defending his tweets, casting Ms. Brzezinski as a “bully” from whom Mr. Trump needed to defend himself. Even Speaker Paul Ryan couldn’t muster more than a reflexive “Obviously, I don’t see that as an appropriate comment,” before pivoting to the Republican agenda. </w:t>
      </w:r>
      <w:r w:rsidRPr="00803841">
        <w:rPr>
          <w:sz w:val="16"/>
        </w:rPr>
        <w:t xml:space="preserve">Mr. Trump is abusive – and he is surrounded by people willing to abet his abuse. This means, unfortunately for all women and especially those whose jobs bring him into their direct orbit, that </w:t>
      </w:r>
      <w:r w:rsidRPr="00803841">
        <w:rPr>
          <w:rStyle w:val="StyleUnderline"/>
        </w:rPr>
        <w:t>his vile misogyny is unlikely to cease any time soon.</w:t>
      </w:r>
    </w:p>
    <w:p w14:paraId="4CD6A6A0" w14:textId="77777777" w:rsidR="00596F8F" w:rsidRDefault="00596F8F" w:rsidP="00596F8F">
      <w:pPr>
        <w:pStyle w:val="Heading4"/>
        <w:rPr>
          <w:rStyle w:val="Style13ptBold"/>
        </w:rPr>
      </w:pPr>
      <w:r>
        <w:rPr>
          <w:rStyle w:val="Style13ptBold"/>
        </w:rPr>
        <w:t>Trump’s policies target marginalized peoples</w:t>
      </w:r>
    </w:p>
    <w:p w14:paraId="61C32FF9" w14:textId="77777777" w:rsidR="00596F8F" w:rsidRPr="008C31F6" w:rsidRDefault="00596F8F" w:rsidP="00596F8F">
      <w:pPr>
        <w:rPr>
          <w:rStyle w:val="Style13ptBold"/>
        </w:rPr>
      </w:pPr>
      <w:r w:rsidRPr="008C31F6">
        <w:rPr>
          <w:rStyle w:val="Style13ptBold"/>
        </w:rPr>
        <w:t>Gonzalez-Rojas</w:t>
      </w:r>
      <w:r>
        <w:rPr>
          <w:rStyle w:val="Style13ptBold"/>
        </w:rPr>
        <w:t xml:space="preserve"> 4-24</w:t>
      </w:r>
      <w:r w:rsidRPr="008C31F6">
        <w:t>(</w:t>
      </w:r>
      <w:r>
        <w:t xml:space="preserve">Jessica, Executive Director at the National Latina Institute for Reproductive Health, April 24, 2017 9:55 am, “Trump’s First 100 Days: A Blueprint To Hurt People of Color, Rewire, </w:t>
      </w:r>
      <w:hyperlink r:id="rId48" w:history="1">
        <w:r w:rsidRPr="003E1485">
          <w:rPr>
            <w:rStyle w:val="Hyperlink"/>
          </w:rPr>
          <w:t>https://rewire.news/article/2017/04/24/trumps-first-100-days-blueprint-hurt-people-color/)</w:t>
        </w:r>
      </w:hyperlink>
      <w:r>
        <w:t xml:space="preserve"> KVA</w:t>
      </w:r>
    </w:p>
    <w:p w14:paraId="18145A39" w14:textId="77777777" w:rsidR="00596F8F" w:rsidRPr="008C31F6" w:rsidRDefault="00596F8F" w:rsidP="00596F8F">
      <w:pPr>
        <w:rPr>
          <w:rStyle w:val="Emphasis"/>
        </w:rPr>
      </w:pPr>
      <w:r w:rsidRPr="008C31F6">
        <w:rPr>
          <w:sz w:val="16"/>
        </w:rPr>
        <w:t xml:space="preserve">Every day, as I work alongside community leaders to secure health and justice for Latinas, I am stunned by this White House’s ever-growing hostility toward communities of color. </w:t>
      </w:r>
      <w:r w:rsidRPr="008C31F6">
        <w:rPr>
          <w:rStyle w:val="StyleUnderline"/>
        </w:rPr>
        <w:t>The Trump administration sees the country’s changing demographics—the rising number of nonwhite and foreign-born people—as the chief internal threat.</w:t>
      </w:r>
      <w:r>
        <w:rPr>
          <w:rStyle w:val="StyleUnderline"/>
        </w:rPr>
        <w:t xml:space="preserve"> </w:t>
      </w:r>
      <w:r w:rsidRPr="008C31F6">
        <w:rPr>
          <w:rStyle w:val="StyleUnderline"/>
        </w:rPr>
        <w:t>In this administration’s first 100 days</w:t>
      </w:r>
      <w:r w:rsidRPr="008C31F6">
        <w:rPr>
          <w:sz w:val="16"/>
        </w:rPr>
        <w:t xml:space="preserve">, the document that most reflects that prejudice is its budget blueprint. </w:t>
      </w:r>
      <w:r w:rsidRPr="008C31F6">
        <w:rPr>
          <w:rStyle w:val="StyleUnderline"/>
        </w:rPr>
        <w:t>It outlines President Trump’s spending priorities and program cuts that make clear his utter contempt for communities of color, and it edges this country and its moral compass closer to the nativist vision espoused by the likes of White House advisers Steve Bannon and Stephen Miller, and Attorney General Jeff Sessions.</w:t>
      </w:r>
      <w:r>
        <w:rPr>
          <w:rStyle w:val="StyleUnderline"/>
        </w:rPr>
        <w:t xml:space="preserve"> </w:t>
      </w:r>
      <w:r w:rsidRPr="008C31F6">
        <w:rPr>
          <w:rStyle w:val="Emphasis"/>
        </w:rPr>
        <w:t xml:space="preserve">People of color would be disproportionately affected by Trump’s proposed elimination of critical programs that help pregnant </w:t>
      </w:r>
      <w:r w:rsidRPr="008C31F6">
        <w:rPr>
          <w:strike/>
          <w:sz w:val="16"/>
        </w:rPr>
        <w:t>women</w:t>
      </w:r>
      <w:r>
        <w:rPr>
          <w:rStyle w:val="Emphasis"/>
          <w:strike/>
        </w:rPr>
        <w:t xml:space="preserve"> </w:t>
      </w:r>
      <w:r>
        <w:rPr>
          <w:rStyle w:val="Emphasis"/>
        </w:rPr>
        <w:t>[people]</w:t>
      </w:r>
      <w:r w:rsidRPr="008C31F6">
        <w:rPr>
          <w:rStyle w:val="Emphasis"/>
        </w:rPr>
        <w:t>, children, and the poor</w:t>
      </w:r>
      <w:r w:rsidRPr="008C31F6">
        <w:rPr>
          <w:sz w:val="16"/>
        </w:rPr>
        <w:t xml:space="preserve">. </w:t>
      </w:r>
      <w:r w:rsidRPr="008C31F6">
        <w:rPr>
          <w:rStyle w:val="StyleUnderline"/>
        </w:rPr>
        <w:t>They would be hurt by disastrous cuts to economic programs that help workers and families. Latinas face the largest wage disparities among all racial and ethnic groups, with a recent study showing that Latinas must work 22 months to make what white men earn in 12 months. And because women of color and immigrant women disproportionately work in physically demanding and low-wage jobs that offer little flexibility, they are most affected by regressive wage legislation.</w:t>
      </w:r>
      <w:r>
        <w:rPr>
          <w:rStyle w:val="StyleUnderline"/>
        </w:rPr>
        <w:t xml:space="preserve"> </w:t>
      </w:r>
      <w:r w:rsidRPr="008C31F6">
        <w:rPr>
          <w:rStyle w:val="StyleUnderline"/>
        </w:rPr>
        <w:t>The racist subtext of Trump’s budget is seen in his spending priorities: a $2 billion down payment to begin construction of a wall</w:t>
      </w:r>
      <w:r w:rsidRPr="008C31F6">
        <w:rPr>
          <w:sz w:val="16"/>
        </w:rPr>
        <w:t xml:space="preserve"> on the U.S.-Mexico border </w:t>
      </w:r>
      <w:r w:rsidRPr="008C31F6">
        <w:rPr>
          <w:rStyle w:val="StyleUnderline"/>
        </w:rPr>
        <w:t>and funding for 100 new government lawyers to handle the expedited removal of undocumented immigrants, 500 new Border Patrol agents and 1,000 new Immigration and Customs Enforcement personnel.</w:t>
      </w:r>
      <w:r>
        <w:rPr>
          <w:rStyle w:val="StyleUnderline"/>
        </w:rPr>
        <w:t xml:space="preserve"> </w:t>
      </w:r>
      <w:r w:rsidRPr="008C31F6">
        <w:rPr>
          <w:sz w:val="16"/>
        </w:rPr>
        <w:t xml:space="preserve">The price tag to pay for the building of detention facilities designed to hold undocumented immigrants and fund their removal is a whopping $1.5 billion. These proposals align with such Trump strategies as publishing crimes committed by undocumented immigrants, though these reports were recently suspended after protests by civil rights advocates. The racial implications of such strategies are clear, as most crimes are not committed by immigrants. </w:t>
      </w:r>
      <w:r w:rsidRPr="008C31F6">
        <w:rPr>
          <w:rStyle w:val="StyleUnderline"/>
        </w:rPr>
        <w:t>The budget is just another prong in a racist agenda that posits nonwhite people as a drain on public resources and a threat to the national racial order</w:t>
      </w:r>
      <w:r w:rsidRPr="008C31F6">
        <w:rPr>
          <w:sz w:val="16"/>
        </w:rPr>
        <w:t xml:space="preserve">. None of this is a surprise; Trump’s racism has been well-documented. On the first day of his campaign, </w:t>
      </w:r>
      <w:r w:rsidRPr="008C31F6">
        <w:rPr>
          <w:rStyle w:val="StyleUnderline"/>
        </w:rPr>
        <w:t>Trump said of Mexican immigrants, “They’re bringing drugs. They’re bringing crime. They’re rapists</w:t>
      </w:r>
      <w:r w:rsidRPr="008C31F6">
        <w:rPr>
          <w:sz w:val="16"/>
        </w:rPr>
        <w:t xml:space="preserve">.” Upon taking office, he issued multiple executive orders regarding immigration, threatened to defund so-called “sanctuary cities,” </w:t>
      </w:r>
      <w:r w:rsidRPr="008C31F6">
        <w:rPr>
          <w:rStyle w:val="StyleUnderline"/>
        </w:rPr>
        <w:t>and called for the creation of detention centers to hold Central American refugees—mostly women, children, and LGBTQ people seeking to escape violence in their homelands</w:t>
      </w:r>
      <w:r w:rsidRPr="008C31F6">
        <w:rPr>
          <w:sz w:val="16"/>
        </w:rPr>
        <w:t xml:space="preserve">. </w:t>
      </w:r>
      <w:r w:rsidRPr="008C31F6">
        <w:rPr>
          <w:rStyle w:val="StyleUnderline"/>
        </w:rPr>
        <w:t>Trump’s budget amounts to an obscene redistribution of money and resources from the working poor—of whom a disproportionate amount are people of color, including immigrants—to the wealthiest. In order to fund the criminalization and persecution of immigrants</w:t>
      </w:r>
      <w:r w:rsidRPr="008C31F6">
        <w:rPr>
          <w:sz w:val="16"/>
        </w:rPr>
        <w:t xml:space="preserve">, Trump proposes stripping those very communities of the support they rely on to thrive. As we approach the end of Trump’s first 100 days in office on April 30, I ask that we center around the perspectives and needs of the courageous women I encounter in my work every day. They toil and struggle against sizable odds to provide for their families in low wage, demanding jobs that pay them little; they jump through hurdles to find child care, obtain routine health services, and ensure their family’s safety. </w:t>
      </w:r>
      <w:r w:rsidRPr="008C31F6">
        <w:rPr>
          <w:rStyle w:val="StyleUnderline"/>
        </w:rPr>
        <w:t>They are the backbone of their families and community, and they want to contribute to a better and more just society. In this era of Trump, these women are fighting the threat of having their families torn apart through needless deportations and are working through the pain of having to explain to their children their family’s plan in case they are separated.</w:t>
      </w:r>
      <w:r w:rsidRPr="008C31F6">
        <w:rPr>
          <w:sz w:val="16"/>
        </w:rPr>
        <w:t xml:space="preserve"> These courageous women are speaking truth to power, even in the face of sexism, racism, and xenophobia. Reproductive justice cannot be attained without racial equality, without quality affordable health care, without humane and just immigration reform, and without LGBTQ liberation. </w:t>
      </w:r>
      <w:r w:rsidRPr="008C31F6">
        <w:rPr>
          <w:rStyle w:val="StyleUnderline"/>
        </w:rPr>
        <w:t>The Trump agenda requires us to focus on the role race and immigration status play in injustice, even legalized injustice</w:t>
      </w:r>
      <w:r w:rsidRPr="008C31F6">
        <w:rPr>
          <w:sz w:val="16"/>
        </w:rPr>
        <w:t xml:space="preserve">. </w:t>
      </w:r>
      <w:r w:rsidRPr="008C31F6">
        <w:rPr>
          <w:rStyle w:val="Emphasis"/>
        </w:rPr>
        <w:t>We owe it to our communities to help lead the way in calling out this administration’s actions for what they are: part of a racist agenda that seeks to exclude communities of color while using immigrants as scapegoats to score political points with the vocal minority of nativists in our country. Trump’s proposed budget is an attack on all of us, and we will not sit idly by.</w:t>
      </w:r>
    </w:p>
    <w:p w14:paraId="42875468" w14:textId="70776DBA" w:rsidR="00D00730" w:rsidRDefault="00D00730" w:rsidP="00D00730"/>
    <w:p w14:paraId="30B97C4C" w14:textId="5DC43E6B" w:rsidR="00D67A22" w:rsidRPr="00D00730" w:rsidRDefault="00D67A22" w:rsidP="00D67A22">
      <w:pPr>
        <w:pStyle w:val="Heading3"/>
      </w:pPr>
      <w:r>
        <w:t>Extension – Federal Action Key</w:t>
      </w:r>
    </w:p>
    <w:p w14:paraId="2F29D870" w14:textId="77777777" w:rsidR="00D67A22" w:rsidRPr="00377FBD" w:rsidRDefault="00D67A22" w:rsidP="00D67A22">
      <w:pPr>
        <w:pStyle w:val="Heading4"/>
        <w:rPr>
          <w:lang w:eastAsia="zh-CN"/>
        </w:rPr>
      </w:pPr>
      <w:r>
        <w:rPr>
          <w:lang w:eastAsia="zh-CN"/>
        </w:rPr>
        <w:t xml:space="preserve">Federal education reform is uniquely key to remedy racial and class inequalities – SQuo policies will continue to facilitate racial inequality absent federal acknowledgment of educational disparities </w:t>
      </w:r>
    </w:p>
    <w:p w14:paraId="73610ACA" w14:textId="77777777" w:rsidR="00D67A22" w:rsidRPr="00D736CE" w:rsidRDefault="00D67A22" w:rsidP="00D67A22">
      <w:r w:rsidRPr="00D736CE">
        <w:rPr>
          <w:rStyle w:val="Style13ptBold"/>
        </w:rPr>
        <w:t>Sundquist 17</w:t>
      </w:r>
      <w:r w:rsidRPr="00D736CE">
        <w:t xml:space="preserve"> (Christian B., Director of faculty research and scholarship at Albany Law School, "Positive Education Federalism: The Promise of Equality after the Every Student Succeeds Act,” </w:t>
      </w:r>
      <w:hyperlink r:id="rId49" w:history="1">
        <w:r w:rsidRPr="009B6524">
          <w:rPr>
            <w:rStyle w:val="Hyperlink"/>
          </w:rPr>
          <w:t>http://heinonline.org/HOL/LandingPage?handle=hein.journals/mercer68&amp;div=25&amp;id=&amp;page</w:t>
        </w:r>
      </w:hyperlink>
      <w:r w:rsidRPr="00D736CE">
        <w:t>=</w:t>
      </w:r>
      <w:r>
        <w:t>) BEN</w:t>
      </w:r>
    </w:p>
    <w:p w14:paraId="6CE7D9DF" w14:textId="77777777" w:rsidR="00D67A22" w:rsidRPr="00377FBD" w:rsidRDefault="00D67A22" w:rsidP="00D67A22">
      <w:pPr>
        <w:tabs>
          <w:tab w:val="left" w:pos="1160"/>
        </w:tabs>
        <w:rPr>
          <w:rFonts w:ascii="Cambria" w:hAnsi="Cambria"/>
          <w:sz w:val="16"/>
        </w:rPr>
      </w:pPr>
      <w:r w:rsidRPr="00BE7F39">
        <w:rPr>
          <w:rStyle w:val="StyleUnderline"/>
          <w:rFonts w:ascii="Cambria" w:hAnsi="Cambria"/>
        </w:rPr>
        <w:t>A positive conception of federalism is particularly justified when attempting to divine the appropriate federal role in public education</w:t>
      </w:r>
      <w:r w:rsidRPr="00377FBD">
        <w:rPr>
          <w:rFonts w:ascii="Cambria" w:hAnsi="Cambria"/>
          <w:sz w:val="16"/>
        </w:rPr>
        <w:t xml:space="preserve">. As discussed previously, </w:t>
      </w:r>
      <w:r w:rsidRPr="00BE7F39">
        <w:rPr>
          <w:rStyle w:val="Emphasis"/>
          <w:rFonts w:ascii="Cambria" w:hAnsi="Cambria"/>
        </w:rPr>
        <w:t>the primary constitutional basis for federal involvement in public education is premised on the government's responsibility to take positive action to remedy racial and class inequalities</w:t>
      </w:r>
      <w:r w:rsidRPr="00377FBD">
        <w:rPr>
          <w:rFonts w:ascii="Cambria" w:hAnsi="Cambria"/>
          <w:sz w:val="16"/>
        </w:rPr>
        <w:t xml:space="preserve">.18 The Brown constitutional doctrine and the "War on Poverty" driven by the ESEA forged an understanding of education federalism rooted in positive social justice. </w:t>
      </w:r>
      <w:r w:rsidRPr="00BE7F39">
        <w:rPr>
          <w:rStyle w:val="Emphasis"/>
          <w:rFonts w:ascii="Cambria" w:hAnsi="Cambria"/>
        </w:rPr>
        <w:t>It is particularly appropriate today that we restore this fundamental understanding of education federalism, given evidence of increasing racial disparities in public education and the noted failures of modern education federalism policy</w:t>
      </w:r>
      <w:r w:rsidRPr="00377FBD">
        <w:rPr>
          <w:rFonts w:ascii="Cambria" w:hAnsi="Cambria"/>
          <w:sz w:val="16"/>
        </w:rPr>
        <w:t xml:space="preserve">. </w:t>
      </w:r>
      <w:r w:rsidRPr="00BE7F39">
        <w:rPr>
          <w:rStyle w:val="StyleUnderline"/>
          <w:rFonts w:ascii="Cambria" w:hAnsi="Cambria"/>
        </w:rPr>
        <w:t>The federal guarantee of equal public education is critically important to the functioning of our democracy</w:t>
      </w:r>
      <w:r w:rsidRPr="00377FBD">
        <w:rPr>
          <w:rFonts w:ascii="Cambria" w:hAnsi="Cambria"/>
          <w:sz w:val="16"/>
        </w:rPr>
        <w:t xml:space="preserve">. As a public good, </w:t>
      </w:r>
      <w:r w:rsidRPr="00BE7F39">
        <w:rPr>
          <w:rStyle w:val="StyleUnderline"/>
        </w:rPr>
        <w:t>education helps</w:t>
      </w:r>
      <w:r w:rsidRPr="00377FBD">
        <w:rPr>
          <w:rFonts w:ascii="Cambria" w:hAnsi="Cambria"/>
          <w:sz w:val="16"/>
        </w:rPr>
        <w:t xml:space="preserve"> our </w:t>
      </w:r>
      <w:r w:rsidRPr="00BE7F39">
        <w:rPr>
          <w:rStyle w:val="StyleUnderline"/>
        </w:rPr>
        <w:t>society develop</w:t>
      </w:r>
      <w:r w:rsidRPr="00377FBD">
        <w:rPr>
          <w:rFonts w:ascii="Cambria" w:hAnsi="Cambria"/>
          <w:sz w:val="16"/>
        </w:rPr>
        <w:t xml:space="preserve"> those </w:t>
      </w:r>
      <w:r w:rsidRPr="00BE7F39">
        <w:rPr>
          <w:rStyle w:val="StyleUnderline"/>
        </w:rPr>
        <w:t>"fundamental values necessary to the transmission of our democratic society."</w:t>
      </w:r>
      <w:r w:rsidRPr="00377FBD">
        <w:rPr>
          <w:rFonts w:ascii="Cambria" w:hAnsi="Cambria"/>
          <w:sz w:val="16"/>
        </w:rPr>
        <w:t xml:space="preserve"> 187 The provision of an </w:t>
      </w:r>
      <w:r w:rsidRPr="00BE7F39">
        <w:rPr>
          <w:rStyle w:val="StyleUnderline"/>
        </w:rPr>
        <w:t>equitable public education, devoid of identity-based disparities, is critical to provide children with "the knowledge needed to understand and participate effectively in the democratic process and to cultivate among children respect for and the ability to interact with others as beings of inherently equal moral worth</w:t>
      </w:r>
      <w:r w:rsidRPr="00377FBD">
        <w:rPr>
          <w:rFonts w:ascii="Cambria" w:hAnsi="Cambria"/>
          <w:sz w:val="16"/>
        </w:rPr>
        <w:t xml:space="preserve">."1 88 Indeed, both classic and contemporary constitutional scholars argue that equal public education should be regarded as "a fundamental duty, or positive fundamental right because education is a basic human need and a constituent part of all democratic rights."1 89 </w:t>
      </w:r>
      <w:r w:rsidRPr="00BE7F39">
        <w:rPr>
          <w:rStyle w:val="Emphasis"/>
        </w:rPr>
        <w:t>The need, then, for a robust application of positive education federalism principles in this context cannot be stronger.</w:t>
      </w:r>
      <w:r w:rsidRPr="00377FBD">
        <w:rPr>
          <w:rFonts w:ascii="Cambria" w:hAnsi="Cambria"/>
          <w:sz w:val="16"/>
        </w:rPr>
        <w:t xml:space="preserve"> The purpose of this Article is not to provide specific curricular recommendations to guide the future of public education. 190 Rather, this Article has attempted to </w:t>
      </w:r>
      <w:r w:rsidRPr="00020E65">
        <w:rPr>
          <w:rStyle w:val="StyleUnderline"/>
        </w:rPr>
        <w:t>define a new vision of positive education federalism-one that is rooted in a historical understanding of the constitutional obligation of the federal government to shape education policy goals in a manner that responds to unrelenting racial and class disparities</w:t>
      </w:r>
      <w:r w:rsidRPr="00377FBD">
        <w:rPr>
          <w:rFonts w:ascii="Cambria" w:hAnsi="Cambria"/>
          <w:sz w:val="16"/>
        </w:rPr>
        <w:t xml:space="preserve">. A few core principles regarding the substantive dimension of positive education federalism can be gleaned from this discussion: 1. First Principle: </w:t>
      </w:r>
      <w:r w:rsidRPr="00020E65">
        <w:rPr>
          <w:rStyle w:val="StyleUnderline"/>
        </w:rPr>
        <w:t xml:space="preserve">Providing an equal public education is a federal responsibility that cannot be transferred to or assumed by private market forces. </w:t>
      </w:r>
      <w:r w:rsidRPr="00377FBD">
        <w:rPr>
          <w:sz w:val="16"/>
        </w:rPr>
        <w:t xml:space="preserve">The </w:t>
      </w:r>
      <w:r w:rsidRPr="00377FBD">
        <w:rPr>
          <w:rFonts w:ascii="Cambria" w:hAnsi="Cambria"/>
          <w:sz w:val="16"/>
        </w:rPr>
        <w:t xml:space="preserve">overarching conclusion of this Article is that ESSA, NCLB, and RTT unconstitutionally transfer federal responsibility for positively eliminating racial and class inequality in public education to private market forces under the auspices of competitive federalism.191 This reading of the federal role in public education is ahistorical and undermines the core principles of equality informing Brown-era education federalism. 192 2. Second Principle: </w:t>
      </w:r>
      <w:r w:rsidRPr="00020E65">
        <w:rPr>
          <w:rStyle w:val="StyleUnderline"/>
        </w:rPr>
        <w:t>Positive federal action is justifiable in public education when necessary to rectify historical patterns of racial and class oppression</w:t>
      </w:r>
      <w:r w:rsidRPr="00377FBD">
        <w:rPr>
          <w:rFonts w:ascii="Cambria" w:hAnsi="Cambria"/>
          <w:sz w:val="16"/>
        </w:rPr>
        <w:t xml:space="preserve">. It follows from the first principle that </w:t>
      </w:r>
      <w:r w:rsidRPr="00020E65">
        <w:rPr>
          <w:rStyle w:val="StyleUnderline"/>
        </w:rPr>
        <w:t>positive federal intervention in public education is justified when employed to directly respond to our unbroken history of racial and class disparities in educational outcomes.</w:t>
      </w:r>
      <w:r w:rsidRPr="00377FBD">
        <w:rPr>
          <w:rFonts w:ascii="Cambria" w:hAnsi="Cambria"/>
          <w:sz w:val="16"/>
        </w:rPr>
        <w:t xml:space="preserve"> The original vision of the ESEA and Brown anticipated future positive efforts by the federal government to wield its block grant powers to actively dismantle old systems of oppression.1 93 The </w:t>
      </w:r>
      <w:r w:rsidRPr="00020E65">
        <w:rPr>
          <w:rStyle w:val="Emphasis"/>
        </w:rPr>
        <w:t xml:space="preserve">current statutory framework has abandoned </w:t>
      </w:r>
      <w:r w:rsidRPr="00020E65">
        <w:rPr>
          <w:rStyle w:val="StyleUnderline"/>
        </w:rPr>
        <w:t>this vision of</w:t>
      </w:r>
      <w:r w:rsidRPr="00020E65">
        <w:rPr>
          <w:rStyle w:val="Emphasis"/>
        </w:rPr>
        <w:t xml:space="preserve"> equality in its misguided pursuit to harness the market forces of consumer choice, accountability, and competition to limit the federal role in education.</w:t>
      </w:r>
      <w:r w:rsidRPr="00377FBD">
        <w:rPr>
          <w:rFonts w:ascii="Cambria" w:hAnsi="Cambria"/>
          <w:sz w:val="16"/>
        </w:rPr>
        <w:t xml:space="preserve">1 94 3. Third Principle: Our </w:t>
      </w:r>
      <w:r w:rsidRPr="00020E65">
        <w:rPr>
          <w:rStyle w:val="StyleUnderline"/>
        </w:rPr>
        <w:t>education federalism must acknowledge that racial discrimination and class oppression are the true roots of current educational disparities</w:t>
      </w:r>
      <w:r w:rsidRPr="00377FBD">
        <w:rPr>
          <w:rFonts w:ascii="Cambria" w:hAnsi="Cambria"/>
          <w:sz w:val="16"/>
        </w:rPr>
        <w:t xml:space="preserve">. Third, </w:t>
      </w:r>
      <w:r w:rsidRPr="00020E65">
        <w:rPr>
          <w:rStyle w:val="StyleUnderline"/>
        </w:rPr>
        <w:t xml:space="preserve">it is of the utmost importance that our education federalism fully acknowledge the historical and continuing causes of education disparities: racial discrimination and poverty. </w:t>
      </w:r>
      <w:r w:rsidRPr="00377FBD">
        <w:rPr>
          <w:rFonts w:ascii="Cambria" w:hAnsi="Cambria"/>
          <w:sz w:val="16"/>
        </w:rPr>
        <w:t xml:space="preserve">195 The race and class-based roots of educational inequality are well-known and well-documented, and our education federalism can no longer hide behind the veil of ignorance provided by ESSA, NCLB, and RTT.196 </w:t>
      </w:r>
      <w:r w:rsidRPr="00020E65">
        <w:rPr>
          <w:rStyle w:val="StyleUnderline"/>
        </w:rPr>
        <w:t>Far from acknowledging the reality of educational disparities, our current competitive federalist framework for education actively attempts to conceal these roots, with the specious promise that the free market principles of choice, accountability, and competition will eventually equalize education</w:t>
      </w:r>
      <w:r w:rsidRPr="00377FBD">
        <w:rPr>
          <w:rFonts w:ascii="Cambria" w:hAnsi="Cambria"/>
          <w:sz w:val="16"/>
        </w:rPr>
        <w:t xml:space="preserve">. 197 </w:t>
      </w:r>
      <w:r w:rsidRPr="00020E65">
        <w:rPr>
          <w:rStyle w:val="Emphasis"/>
        </w:rPr>
        <w:t>Modeling</w:t>
      </w:r>
      <w:r w:rsidRPr="00020E65">
        <w:rPr>
          <w:rStyle w:val="StyleUnderline"/>
        </w:rPr>
        <w:t xml:space="preserve"> our </w:t>
      </w:r>
      <w:r w:rsidRPr="00020E65">
        <w:rPr>
          <w:rStyle w:val="Emphasis"/>
        </w:rPr>
        <w:t>education federalism around such race and class "neutral" market principles have led to a deepening of the crisis while allowing society to ignore the ways in which privilege shapes outcomes</w:t>
      </w:r>
      <w:r w:rsidRPr="00377FBD">
        <w:rPr>
          <w:rFonts w:ascii="Cambria" w:hAnsi="Cambria"/>
          <w:sz w:val="16"/>
        </w:rPr>
        <w:t xml:space="preserve">. 198 4. Fourth Principle: Our education federalism must strive to promote racial and class integration. Finally, </w:t>
      </w:r>
      <w:r w:rsidRPr="00377FBD">
        <w:rPr>
          <w:rStyle w:val="StyleUnderline"/>
        </w:rPr>
        <w:t xml:space="preserve">any equality-based vision of education federalism must promote the social integration of our public schools. </w:t>
      </w:r>
      <w:r w:rsidRPr="00377FBD">
        <w:rPr>
          <w:rFonts w:ascii="Cambria" w:hAnsi="Cambria"/>
          <w:sz w:val="16"/>
        </w:rPr>
        <w:t xml:space="preserve">The </w:t>
      </w:r>
      <w:r w:rsidRPr="00377FBD">
        <w:rPr>
          <w:rStyle w:val="StyleUnderline"/>
        </w:rPr>
        <w:t>current competitive conception of education policy has failed those "faces at the bottom of [the] well"199 and led to a rampant racial re-segregation of our schools.</w:t>
      </w:r>
      <w:r w:rsidRPr="00377FBD">
        <w:rPr>
          <w:rFonts w:ascii="Cambria" w:hAnsi="Cambria"/>
          <w:sz w:val="16"/>
        </w:rPr>
        <w:t xml:space="preserve"> 200 This failure evinces a lack of faith and duty in fulfilling the original integrationist goals of Brown and the ESEA. Therefore, a positive theory of </w:t>
      </w:r>
      <w:r w:rsidRPr="00377FBD">
        <w:rPr>
          <w:rStyle w:val="StyleUnderline"/>
        </w:rPr>
        <w:t>education federalism must promote federal efforts to integrate our public schools</w:t>
      </w:r>
      <w:r w:rsidRPr="00377FBD">
        <w:rPr>
          <w:rFonts w:ascii="Cambria" w:hAnsi="Cambria"/>
          <w:sz w:val="16"/>
        </w:rPr>
        <w:t xml:space="preserve">. These core principles, on a theory of positive education federalism, can be used to inform future reauthorizations of the ESEA. While this Article does not attempt to advance specific changes in statutory law, it has attempted to redefine the substantive dimension of our education federalism in a manner that restores our faith in Brown, the ESEA, and the promise of racial and class equality. The </w:t>
      </w:r>
      <w:r w:rsidRPr="00377FBD">
        <w:rPr>
          <w:rStyle w:val="StyleUnderline"/>
        </w:rPr>
        <w:t>neoliberal vision of education federalism</w:t>
      </w:r>
      <w:r w:rsidRPr="00377FBD">
        <w:rPr>
          <w:rFonts w:ascii="Cambria" w:hAnsi="Cambria"/>
          <w:sz w:val="16"/>
        </w:rPr>
        <w:t xml:space="preserve"> embodied by ESSA, NCLB, and RTT </w:t>
      </w:r>
      <w:r w:rsidRPr="00377FBD">
        <w:rPr>
          <w:rStyle w:val="StyleUnderline"/>
        </w:rPr>
        <w:t>has improperly shifted the federal government's role in public education from one of promoting desegregation and social equality to one of promoting market efficiency through the artifices of competition, choice, and accountability</w:t>
      </w:r>
      <w:r w:rsidRPr="00377FBD">
        <w:rPr>
          <w:rFonts w:ascii="Cambria" w:hAnsi="Cambria"/>
          <w:sz w:val="16"/>
        </w:rPr>
        <w:t xml:space="preserve">. This </w:t>
      </w:r>
      <w:r w:rsidRPr="00377FBD">
        <w:rPr>
          <w:rStyle w:val="StyleUnderline"/>
        </w:rPr>
        <w:t>deflection of moral responsibility for class and racial inequality is tied to a larger process of post-racialism and "post-oppression</w:t>
      </w:r>
      <w:r w:rsidRPr="00377FBD">
        <w:rPr>
          <w:rFonts w:ascii="Cambria" w:hAnsi="Cambria"/>
          <w:sz w:val="16"/>
        </w:rPr>
        <w:t xml:space="preserve">," whereby seemingly "neutral" market solutions are seen as sufficient to promote equality in a liberal democracy. There is, after all, a comforting allure to believing that social inequality is nonsystemic, and thus avoiding the cognitive dissonance (and structural upheaval) that comes from confronting our continuing legacy of racial and class privilege. </w:t>
      </w:r>
      <w:r w:rsidRPr="00377FBD">
        <w:rPr>
          <w:rStyle w:val="StyleUnderline"/>
        </w:rPr>
        <w:t>Allowing the "invisible hand" of the market to sort educational outcomes under the guise of "competition," "choice," and "accountability," however, has led to a deepening of the crisis confronting our public schools.</w:t>
      </w:r>
      <w:r w:rsidRPr="00377FBD">
        <w:rPr>
          <w:rFonts w:ascii="Cambria" w:hAnsi="Cambria"/>
          <w:sz w:val="16"/>
        </w:rPr>
        <w:t xml:space="preserve"> The federal role in public education has been reduced to incentivizing reform centered around market principles, rather than promoting desegregation and the equality envisioned by Brown and the original ESEA. "Our federalism" demands more than this. The substantive dimension of </w:t>
      </w:r>
      <w:r w:rsidRPr="00377FBD">
        <w:rPr>
          <w:sz w:val="16"/>
        </w:rPr>
        <w:t>education federalism</w:t>
      </w:r>
      <w:r w:rsidRPr="00377FBD">
        <w:rPr>
          <w:rFonts w:ascii="Cambria" w:hAnsi="Cambria"/>
          <w:sz w:val="16"/>
        </w:rPr>
        <w:t xml:space="preserve">, as constitutionalized by Brown and framed by the original ESEA, must be restored in our public education policy. The </w:t>
      </w:r>
      <w:r w:rsidRPr="00377FBD">
        <w:rPr>
          <w:rStyle w:val="StyleUnderline"/>
        </w:rPr>
        <w:t>adoption of a positive conception of the federal role in public education to frame future policy discussions can put us once again on the path towards achieving equality of educational outcome for all students</w:t>
      </w:r>
      <w:r w:rsidRPr="00377FBD">
        <w:rPr>
          <w:rFonts w:ascii="Cambria" w:hAnsi="Cambria"/>
          <w:sz w:val="16"/>
        </w:rPr>
        <w:t>.</w:t>
      </w:r>
    </w:p>
    <w:p w14:paraId="159E2ED5" w14:textId="77777777" w:rsidR="00D67A22" w:rsidRPr="00925756" w:rsidRDefault="00D67A22" w:rsidP="00D67A22"/>
    <w:p w14:paraId="4275CEAD" w14:textId="77777777" w:rsidR="005A4715" w:rsidRPr="00D7045C" w:rsidRDefault="003D049F" w:rsidP="005A4715">
      <w:pPr>
        <w:pStyle w:val="Heading3"/>
        <w:rPr>
          <w:rFonts w:cs="Times New Roman"/>
        </w:rPr>
      </w:pPr>
      <w:r w:rsidRPr="00D7045C">
        <w:rPr>
          <w:rFonts w:cs="Times New Roman"/>
        </w:rPr>
        <w:t>Extension – L</w:t>
      </w:r>
      <w:r w:rsidR="005A4715" w:rsidRPr="00D7045C">
        <w:rPr>
          <w:rFonts w:cs="Times New Roman"/>
        </w:rPr>
        <w:t>egitimacy</w:t>
      </w:r>
    </w:p>
    <w:p w14:paraId="3C869605" w14:textId="77777777" w:rsidR="00633411" w:rsidRPr="00D7045C" w:rsidRDefault="00633411" w:rsidP="00633411">
      <w:pPr>
        <w:pStyle w:val="Heading4"/>
        <w:spacing w:line="240" w:lineRule="auto"/>
        <w:rPr>
          <w:rFonts w:cs="Times New Roman"/>
        </w:rPr>
      </w:pPr>
      <w:r w:rsidRPr="00D7045C">
        <w:rPr>
          <w:rFonts w:cs="Times New Roman"/>
        </w:rPr>
        <w:t>Supreme Court increase public support</w:t>
      </w:r>
    </w:p>
    <w:p w14:paraId="1236091F" w14:textId="77777777" w:rsidR="00633411" w:rsidRPr="00D7045C" w:rsidRDefault="00633411" w:rsidP="00633411">
      <w:pPr>
        <w:spacing w:line="240" w:lineRule="auto"/>
      </w:pPr>
      <w:r w:rsidRPr="00D7045C">
        <w:rPr>
          <w:rStyle w:val="Style13ptBold"/>
        </w:rPr>
        <w:t>Linos and Twist 6-28</w:t>
      </w:r>
      <w:r w:rsidRPr="00D7045C">
        <w:t xml:space="preserve"> (Katerina, Professor at UC Berkeley, Kimberly, Assistant professor of political science at San Diego State University, June 28 2017, “Controversial Supreme Court Decisions Change Public Opinion- In Part Because the Media Mostly Report On Them Uncritically,” The Washington Post, </w:t>
      </w:r>
      <w:hyperlink r:id="rId50" w:history="1">
        <w:r w:rsidRPr="00D7045C">
          <w:t>https://www.washingtonpost.com/news/monkey-cage/wp/2017/06/28/controversial-supreme-court-decisions-change-public-opinion-in-part-because-the-media-mostly-report-on-them-uncritically/?utm_term=.b6709582871b)</w:t>
        </w:r>
      </w:hyperlink>
      <w:r w:rsidRPr="00D7045C">
        <w:t xml:space="preserve"> KVA</w:t>
      </w:r>
    </w:p>
    <w:p w14:paraId="3E08B2CB" w14:textId="77777777" w:rsidR="00633411" w:rsidRPr="00D7045C" w:rsidRDefault="00633411" w:rsidP="00633411">
      <w:pPr>
        <w:spacing w:line="240" w:lineRule="auto"/>
        <w:rPr>
          <w:rStyle w:val="StyleUnderline"/>
        </w:rPr>
      </w:pPr>
      <w:r w:rsidRPr="00D7045C">
        <w:rPr>
          <w:sz w:val="16"/>
        </w:rPr>
        <w:t xml:space="preserve">This week the Supreme Court announced its most controversial decision of the year, allowing parts of </w:t>
      </w:r>
      <w:hyperlink r:id="rId51" w:history="1">
        <w:r w:rsidRPr="00D7045C">
          <w:rPr>
            <w:sz w:val="16"/>
          </w:rPr>
          <w:t>President Trump’s immigration ban</w:t>
        </w:r>
      </w:hyperlink>
      <w:r w:rsidRPr="00D7045C">
        <w:rPr>
          <w:sz w:val="16"/>
        </w:rPr>
        <w:t xml:space="preserve"> to go into effect and inviting oral arguments in the fall. How might this decision affect public support for the president’s ban, and for his immigration agenda? In a </w:t>
      </w:r>
      <w:hyperlink r:id="rId52" w:history="1">
        <w:r w:rsidRPr="00D7045C">
          <w:rPr>
            <w:sz w:val="16"/>
          </w:rPr>
          <w:t>recent article</w:t>
        </w:r>
      </w:hyperlink>
      <w:r w:rsidRPr="00D7045C">
        <w:rPr>
          <w:sz w:val="16"/>
        </w:rPr>
        <w:t xml:space="preserve"> in </w:t>
      </w:r>
      <w:r w:rsidRPr="00D7045C">
        <w:rPr>
          <w:rStyle w:val="StyleUnderline"/>
        </w:rPr>
        <w:t>the Journal of Legal Studies, we found that Supreme Court rulings can affect how ordinary Americans perceive the issues under consideration in those rulings. Why? Because of the news media. Justices keep their distance from the public.</w:t>
      </w:r>
      <w:r w:rsidRPr="00D7045C">
        <w:rPr>
          <w:sz w:val="16"/>
        </w:rPr>
        <w:t xml:space="preserve"> The news media interpret for them. Unlike presidents or members of Congress, justices do not speak directly to the public. Their decisions pass through media outlets, which</w:t>
      </w:r>
      <w:r w:rsidRPr="00D7045C">
        <w:rPr>
          <w:sz w:val="16"/>
          <w:szCs w:val="27"/>
          <w:lang w:eastAsia="zh-CN"/>
        </w:rPr>
        <w:t xml:space="preserve"> must decide how to explain them. Therefore, the </w:t>
      </w:r>
      <w:r w:rsidRPr="00D7045C">
        <w:rPr>
          <w:rStyle w:val="Emphasis"/>
          <w:lang w:eastAsia="zh-CN"/>
        </w:rPr>
        <w:t xml:space="preserve">messages used by media, and television news in particular, have tremendous ability to shape how Americans respond to the Supreme Court. </w:t>
      </w:r>
      <w:r w:rsidRPr="00D7045C">
        <w:rPr>
          <w:sz w:val="16"/>
          <w:szCs w:val="27"/>
          <w:lang w:eastAsia="zh-CN"/>
        </w:rPr>
        <w:t xml:space="preserve">And media outlets tend to be far more deferential in reporting on court decisions than when reporting on Congress or the presidency. </w:t>
      </w:r>
      <w:r w:rsidRPr="00D7045C">
        <w:rPr>
          <w:rStyle w:val="StyleUnderline"/>
          <w:lang w:eastAsia="zh-CN"/>
        </w:rPr>
        <w:t xml:space="preserve">They often treat a court decision as the final word, rather than the beginning of a debate. </w:t>
      </w:r>
      <w:r w:rsidRPr="00D7045C">
        <w:rPr>
          <w:rFonts w:eastAsia="Times New Roman"/>
          <w:sz w:val="16"/>
          <w:szCs w:val="27"/>
          <w:lang w:eastAsia="zh-CN"/>
        </w:rPr>
        <w:t>The ruling temporarily allows the administration to ban travelers from six mostly-Muslim countries from entering the country — unless those travelers have a “bona fide” connection to some person or entity in the United States, such as a family member or a job.</w:t>
      </w:r>
      <w:r w:rsidRPr="00D7045C">
        <w:rPr>
          <w:rFonts w:eastAsia="Times New Roman"/>
          <w:sz w:val="16"/>
          <w:lang w:eastAsia="zh-CN"/>
        </w:rPr>
        <w:t xml:space="preserve"> </w:t>
      </w:r>
      <w:r w:rsidRPr="00D7045C">
        <w:rPr>
          <w:rFonts w:eastAsia="Times New Roman"/>
          <w:sz w:val="16"/>
          <w:szCs w:val="27"/>
          <w:lang w:eastAsia="zh-CN"/>
        </w:rPr>
        <w:t>The news media could cover this in many ways. For example, they could portray the ruling as a victory for the administration, as a win for families looking to be reunited, as a question of national security or as an issue of fundamental rights.</w:t>
      </w:r>
      <w:r w:rsidRPr="00D7045C">
        <w:rPr>
          <w:rFonts w:eastAsia="Times New Roman"/>
          <w:sz w:val="16"/>
          <w:lang w:eastAsia="zh-CN"/>
        </w:rPr>
        <w:t xml:space="preserve"> </w:t>
      </w:r>
      <w:r w:rsidRPr="00D7045C">
        <w:rPr>
          <w:b/>
          <w:bCs/>
          <w:sz w:val="16"/>
          <w:szCs w:val="27"/>
          <w:lang w:eastAsia="zh-CN"/>
        </w:rPr>
        <w:t>Here’s how we did our research</w:t>
      </w:r>
      <w:r w:rsidRPr="00D7045C">
        <w:rPr>
          <w:sz w:val="16"/>
          <w:szCs w:val="27"/>
          <w:lang w:eastAsia="zh-CN"/>
        </w:rPr>
        <w:t xml:space="preserve"> To understand how the news media report on the Supreme Court, we examined how evening news programs covered aspects of two 2012 Supreme Court rulings: the Affordable Care Act’s individual mandate, under consideration in </w:t>
      </w:r>
      <w:hyperlink r:id="rId53" w:history="1">
        <w:r w:rsidRPr="00D7045C">
          <w:rPr>
            <w:i/>
            <w:iCs/>
            <w:sz w:val="16"/>
            <w:szCs w:val="27"/>
            <w:lang w:eastAsia="zh-CN"/>
          </w:rPr>
          <w:t>National Federation of Independent Business v. Sebelius</w:t>
        </w:r>
        <w:r w:rsidRPr="00D7045C">
          <w:rPr>
            <w:sz w:val="16"/>
            <w:szCs w:val="27"/>
            <w:lang w:eastAsia="zh-CN"/>
          </w:rPr>
          <w:t>,</w:t>
        </w:r>
      </w:hyperlink>
      <w:r w:rsidRPr="00D7045C">
        <w:rPr>
          <w:sz w:val="16"/>
          <w:szCs w:val="27"/>
          <w:lang w:eastAsia="zh-CN"/>
        </w:rPr>
        <w:t xml:space="preserve"> and the controversial “show your papers” provision of Arizona’s immigration law, Senate Bill 10170, under consideration in </w:t>
      </w:r>
      <w:hyperlink r:id="rId54" w:history="1">
        <w:r w:rsidRPr="00D7045C">
          <w:rPr>
            <w:i/>
            <w:iCs/>
            <w:sz w:val="16"/>
            <w:szCs w:val="27"/>
            <w:lang w:eastAsia="zh-CN"/>
          </w:rPr>
          <w:t>Arizona v. United States</w:t>
        </w:r>
      </w:hyperlink>
      <w:r w:rsidRPr="00D7045C">
        <w:rPr>
          <w:sz w:val="16"/>
          <w:szCs w:val="27"/>
          <w:lang w:eastAsia="zh-CN"/>
        </w:rPr>
        <w:t xml:space="preserve">. The six networks in our study were ABC, CBS, CNN, Fox News, MSNBC, and NBC. </w:t>
      </w:r>
      <w:r w:rsidRPr="00D7045C">
        <w:rPr>
          <w:rStyle w:val="StyleUnderline"/>
          <w:lang w:eastAsia="zh-CN"/>
        </w:rPr>
        <w:t>We coded the extent to which these programs included messages — whether from hosts, guests, or politicians — that supported or criticized the majority opinions.</w:t>
      </w:r>
      <w:r w:rsidRPr="00D7045C">
        <w:rPr>
          <w:rFonts w:eastAsia="Times New Roman"/>
          <w:sz w:val="16"/>
          <w:szCs w:val="27"/>
          <w:lang w:eastAsia="zh-CN"/>
        </w:rPr>
        <w:t xml:space="preserve"> Support included discussion about, for example, how the individual mandate would decrease the number of uninsured Americans or how the “show your papers” law could help keep the border secure. Criticism included discussion about the individual mandate as a tax or how the Arizona law could increase discriminatory racial profiling.</w:t>
      </w:r>
      <w:r w:rsidRPr="00D7045C">
        <w:rPr>
          <w:rFonts w:eastAsia="Times New Roman"/>
          <w:sz w:val="16"/>
          <w:lang w:eastAsia="zh-CN"/>
        </w:rPr>
        <w:t xml:space="preserve"> </w:t>
      </w:r>
      <w:r w:rsidRPr="00D7045C">
        <w:rPr>
          <w:rStyle w:val="Emphasis"/>
          <w:lang w:eastAsia="zh-CN"/>
        </w:rPr>
        <w:t>Here’s what was striking: The networks largely — or almost exclusively — conveyed support for these court rulings. Of the 12 evening news programs in our study — two decisions, each reported on by six networks — nearly half covered the rulings with one-sided support, while the rest divided their coverage more evenly between support and criticism. Not once did we find one-sided negative coverage.</w:t>
      </w:r>
      <w:r w:rsidRPr="00D7045C">
        <w:rPr>
          <w:rFonts w:eastAsia="Times New Roman"/>
          <w:sz w:val="16"/>
          <w:szCs w:val="27"/>
          <w:lang w:eastAsia="zh-CN"/>
        </w:rPr>
        <w:t xml:space="preserve"> Even when Fox covered the Obamacare decision, and when MSNBC covered the Arizona decision, each featured some arguments that supported the court majority.</w:t>
      </w:r>
      <w:r w:rsidRPr="00D7045C">
        <w:rPr>
          <w:rFonts w:eastAsia="Times New Roman"/>
          <w:sz w:val="16"/>
          <w:lang w:eastAsia="zh-CN"/>
        </w:rPr>
        <w:t xml:space="preserve"> </w:t>
      </w:r>
      <w:r w:rsidRPr="00D7045C">
        <w:rPr>
          <w:rStyle w:val="Strong"/>
          <w:sz w:val="16"/>
          <w:szCs w:val="27"/>
        </w:rPr>
        <w:t>Supportive coverage boosted public support for controversial decisions</w:t>
      </w:r>
      <w:r w:rsidRPr="00D7045C">
        <w:rPr>
          <w:sz w:val="16"/>
          <w:szCs w:val="27"/>
        </w:rPr>
        <w:t xml:space="preserve"> To answer how coverage affected public opinion, we paired this media study with a two-wave nationally representative survey. A few weeks before each ruling and in the days afterward, we asked respondents how strongly they supported or opposed the ACA’s individual mandate or the Arizona “papers” provision. We also asked respondents which evening news programs they watched, to see how those outlets’ media coverage shifted public opinion. Because viewers choose their news outlets, we coupled this research with an experiment in which we randomly assigned supportive and critical messages. </w:t>
      </w:r>
      <w:r w:rsidRPr="00D7045C">
        <w:rPr>
          <w:rStyle w:val="StyleUnderline"/>
        </w:rPr>
        <w:t xml:space="preserve">Viewers who watched networks that covered the decisions supportively were likely to increase their support of the provisions. Viewers who watched networks that offered mixed coverage did not change their minds. </w:t>
      </w:r>
      <w:r w:rsidRPr="00D7045C">
        <w:rPr>
          <w:sz w:val="16"/>
          <w:szCs w:val="27"/>
          <w:lang w:eastAsia="zh-CN"/>
        </w:rPr>
        <w:t xml:space="preserve">Those effects are significant. </w:t>
      </w:r>
      <w:r w:rsidRPr="00D7045C">
        <w:rPr>
          <w:rStyle w:val="Emphasis"/>
          <w:lang w:eastAsia="zh-CN"/>
        </w:rPr>
        <w:t>Immediately after the court’s ACA ruling, support for the individual mandate jumped from 29 to 35 percent among our respondents, who were representative of the U.S. population. That jump was even bigger among those who saw only supportive coverage.</w:t>
      </w:r>
      <w:r w:rsidRPr="00D7045C">
        <w:rPr>
          <w:rStyle w:val="Emphasis"/>
        </w:rPr>
        <w:t xml:space="preserve"> </w:t>
      </w:r>
      <w:r w:rsidRPr="00D7045C">
        <w:rPr>
          <w:rStyle w:val="Strong"/>
          <w:sz w:val="16"/>
          <w:szCs w:val="27"/>
        </w:rPr>
        <w:t>Spanish-language television coverage was critical</w:t>
      </w:r>
      <w:r w:rsidRPr="00D7045C">
        <w:rPr>
          <w:sz w:val="16"/>
          <w:szCs w:val="27"/>
        </w:rPr>
        <w:t xml:space="preserve"> Media outlets treat Supreme Court decisions with far more deference than they give presidential and congressional decisions. Had media coverage been more critical, public support might well have dropped. To examine that possibility, we looked at how two Spanish-language television programs, Univision and Telemundo, covered the immigration decision. Their extensive coverage was very critical. And that affected the Latinos who reported watching either Univision or Telemundo after the court’s “show your papers” decision, with support for the provision dropping from 43 to 25 percent. </w:t>
      </w:r>
      <w:r w:rsidRPr="00D7045C">
        <w:rPr>
          <w:rStyle w:val="StyleUnderline"/>
        </w:rPr>
        <w:t>Many news outlets have been quite critical of the Trump administration’s decisions. And so it is striking to see the media cover court decisions of Trump administration policies so deferentially. The original travel ban announcement and its revisions were widely criticized by liberal and mainstream media. But these same outlets offered much milder coverage of the court’s decision to uphold parts of the ban.</w:t>
      </w:r>
    </w:p>
    <w:p w14:paraId="5186476D" w14:textId="77777777" w:rsidR="005A4715" w:rsidRPr="00D7045C" w:rsidRDefault="003D049F" w:rsidP="005A4715">
      <w:pPr>
        <w:pStyle w:val="Heading3"/>
        <w:rPr>
          <w:rFonts w:eastAsia="Times New Roman" w:cs="Times New Roman"/>
          <w:lang w:eastAsia="zh-CN"/>
        </w:rPr>
      </w:pPr>
      <w:r w:rsidRPr="00D7045C">
        <w:rPr>
          <w:rFonts w:cs="Times New Roman"/>
        </w:rPr>
        <w:t>Extension</w:t>
      </w:r>
      <w:r w:rsidR="005A4715" w:rsidRPr="00D7045C">
        <w:rPr>
          <w:rFonts w:eastAsia="Times New Roman" w:cs="Times New Roman"/>
          <w:lang w:eastAsia="zh-CN"/>
        </w:rPr>
        <w:t xml:space="preserve"> – </w:t>
      </w:r>
      <w:r w:rsidR="00A31B31" w:rsidRPr="00D7045C">
        <w:rPr>
          <w:rFonts w:eastAsia="Times New Roman" w:cs="Times New Roman"/>
          <w:lang w:eastAsia="zh-CN"/>
        </w:rPr>
        <w:t>Impact</w:t>
      </w:r>
    </w:p>
    <w:p w14:paraId="276F0D78" w14:textId="77777777" w:rsidR="005A4715" w:rsidRPr="00D7045C" w:rsidRDefault="005A4715" w:rsidP="005A4715">
      <w:pPr>
        <w:keepNext/>
        <w:keepLines/>
        <w:spacing w:before="40"/>
        <w:outlineLvl w:val="3"/>
        <w:rPr>
          <w:rFonts w:eastAsia="MS Gothic"/>
          <w:b/>
          <w:iCs/>
          <w:sz w:val="26"/>
        </w:rPr>
      </w:pPr>
      <w:r w:rsidRPr="00D7045C">
        <w:rPr>
          <w:rFonts w:eastAsia="MS Gothic"/>
          <w:b/>
          <w:iCs/>
          <w:sz w:val="26"/>
        </w:rPr>
        <w:t xml:space="preserve">The impact is exploitation, subjugation, and murder </w:t>
      </w:r>
    </w:p>
    <w:p w14:paraId="6A648B82" w14:textId="77777777" w:rsidR="005A4715" w:rsidRPr="00D7045C" w:rsidRDefault="005A4715" w:rsidP="005A4715">
      <w:r w:rsidRPr="00D7045C">
        <w:rPr>
          <w:rFonts w:eastAsia="Cambria"/>
        </w:rPr>
        <w:t xml:space="preserve"> </w:t>
      </w:r>
      <w:r w:rsidRPr="00D7045C">
        <w:rPr>
          <w:rFonts w:eastAsia="Cambria"/>
          <w:b/>
          <w:bCs/>
          <w:sz w:val="26"/>
        </w:rPr>
        <w:t xml:space="preserve">Scott and Keisch 15 </w:t>
      </w:r>
      <w:r w:rsidRPr="00D7045C">
        <w:rPr>
          <w:sz w:val="18"/>
        </w:rPr>
        <w:t xml:space="preserve">(Tim Scott, PhD. in Social Justice Education and Cultural Political Economy, Deborah Keisch, PhD. in Anthropology from University of Massachusetts, Aug. 2 2015, “US Education Reform and the Maintenance of White Supremacy Through Structural Violence,” </w:t>
      </w:r>
      <w:hyperlink r:id="rId55" w:history="1">
        <w:r w:rsidRPr="00D7045C">
          <w:rPr>
            <w:rStyle w:val="Hyperlink"/>
            <w:sz w:val="18"/>
          </w:rPr>
          <w:t>http://www.truth-out.org/news/item/32171-us-education-reform-and-the-maintenance-of-white-supremacy-through-structural-violence)</w:t>
        </w:r>
      </w:hyperlink>
      <w:r w:rsidRPr="00D7045C">
        <w:rPr>
          <w:sz w:val="18"/>
        </w:rPr>
        <w:t xml:space="preserve"> AL</w:t>
      </w:r>
    </w:p>
    <w:p w14:paraId="2E48EF0B" w14:textId="75BFDA4D" w:rsidR="005A4715" w:rsidRDefault="005A4715" w:rsidP="005A4715">
      <w:pPr>
        <w:rPr>
          <w:rFonts w:eastAsia="Cambria"/>
          <w:sz w:val="16"/>
        </w:rPr>
      </w:pPr>
      <w:r w:rsidRPr="00D7045C">
        <w:rPr>
          <w:rFonts w:eastAsia="Cambria"/>
          <w:u w:val="single"/>
        </w:rPr>
        <w:t xml:space="preserve">During the 15th century the Transatlantic Slave Trade, along with the conquest and colonization of the global south and the western hemisphere by European monarchies, set in motion a genocidal era and a corresponding worldview that has inflicted incalculable suffering to this day. </w:t>
      </w:r>
      <w:r w:rsidRPr="00D7045C">
        <w:rPr>
          <w:rFonts w:eastAsia="Cambria"/>
          <w:sz w:val="16"/>
        </w:rPr>
        <w:t xml:space="preserve">This worldview—known as </w:t>
      </w:r>
      <w:r w:rsidRPr="00D7045C">
        <w:rPr>
          <w:rFonts w:eastAsia="Cambria"/>
          <w:b/>
          <w:iCs/>
          <w:u w:val="single"/>
        </w:rPr>
        <w:t>white supremacy—became firmly established in North America with the conquest, mass murder, enslavement and dehumanization of African and Native people by the white Europeans who founded the United States.</w:t>
      </w:r>
      <w:r w:rsidRPr="00D7045C">
        <w:rPr>
          <w:rFonts w:eastAsia="Cambria"/>
          <w:sz w:val="16"/>
        </w:rPr>
        <w:t xml:space="preserve"> According to sociologist Joseph Feagin, this broad worldview is composed of entrenched </w:t>
      </w:r>
      <w:r w:rsidRPr="00D7045C">
        <w:rPr>
          <w:rFonts w:eastAsia="Cambria"/>
          <w:u w:val="single"/>
        </w:rPr>
        <w:t>racist narratives, racist images, racist biases and racist emotions that together construct a powerful belief system that rationalizes systems of racial violence and oppression</w:t>
      </w:r>
      <w:r w:rsidRPr="00D7045C">
        <w:rPr>
          <w:rFonts w:eastAsia="Cambria"/>
          <w:sz w:val="16"/>
        </w:rPr>
        <w:t xml:space="preserve">. Feagin refers to this worldview as the white racial frame, which has two primary subframes. One white racial subframe, often referred to as </w:t>
      </w:r>
      <w:r w:rsidRPr="00D7045C">
        <w:rPr>
          <w:rFonts w:eastAsia="Cambria"/>
          <w:u w:val="single"/>
        </w:rPr>
        <w:t>“white supremacy,” affirms the superiority of white people in every possible way including intelligence, work habits, religion, morals, civilization, language and appearance. This powerful pro-white frame comes with a set of attitudes, images, emotions and stereotypes</w:t>
      </w:r>
      <w:r w:rsidRPr="00D7045C">
        <w:rPr>
          <w:rFonts w:eastAsia="Cambria"/>
          <w:sz w:val="16"/>
        </w:rPr>
        <w:t xml:space="preserve">. The second </w:t>
      </w:r>
      <w:r w:rsidRPr="00D7045C">
        <w:rPr>
          <w:rFonts w:eastAsia="Cambria"/>
          <w:u w:val="single"/>
        </w:rPr>
        <w:t>white racial subframe targets and dehumanizes people of color and includes anti-Black, anti-Latino, anti-Asian and anti-Indigenous subframes</w:t>
      </w:r>
      <w:r w:rsidRPr="00D7045C">
        <w:rPr>
          <w:rFonts w:eastAsia="Cambria"/>
          <w:sz w:val="16"/>
        </w:rPr>
        <w:t xml:space="preserve"> (Feagin, 2012). This historical context is essential to understanding that </w:t>
      </w:r>
      <w:r w:rsidRPr="00D7045C">
        <w:rPr>
          <w:rFonts w:eastAsia="Cambria"/>
          <w:u w:val="single"/>
        </w:rPr>
        <w:t xml:space="preserve">race is not a biological or genetic concept. Rather, it is a </w:t>
      </w:r>
      <w:r w:rsidRPr="00D7045C">
        <w:rPr>
          <w:rFonts w:eastAsia="Cambria"/>
          <w:b/>
          <w:iCs/>
          <w:u w:val="single"/>
        </w:rPr>
        <w:t>social construct manufactured by a dominant group based on their power to impose boundaries of group membership and define race as a means to justify exploitation, subjugation and murder to establish racial superiority</w:t>
      </w:r>
      <w:r w:rsidRPr="00D7045C">
        <w:rPr>
          <w:rFonts w:eastAsia="Cambria"/>
          <w:sz w:val="16"/>
        </w:rPr>
        <w:t xml:space="preserve">. Racism is based on the assertion of </w:t>
      </w:r>
      <w:r w:rsidRPr="00D7045C">
        <w:rPr>
          <w:rFonts w:eastAsia="Cambria"/>
          <w:u w:val="single"/>
        </w:rPr>
        <w:t>white supremacy</w:t>
      </w:r>
      <w:r w:rsidRPr="00D7045C">
        <w:rPr>
          <w:rFonts w:eastAsia="Cambria"/>
          <w:sz w:val="16"/>
        </w:rPr>
        <w:t xml:space="preserve"> and </w:t>
      </w:r>
      <w:r w:rsidRPr="00D7045C">
        <w:rPr>
          <w:rFonts w:eastAsia="Cambria"/>
          <w:u w:val="single"/>
        </w:rPr>
        <w:t>operationalizes t</w:t>
      </w:r>
      <w:r w:rsidRPr="00D7045C">
        <w:rPr>
          <w:rFonts w:eastAsia="Cambria"/>
          <w:sz w:val="16"/>
        </w:rPr>
        <w:t xml:space="preserve">he </w:t>
      </w:r>
      <w:r w:rsidRPr="00D7045C">
        <w:rPr>
          <w:rFonts w:eastAsia="Cambria"/>
          <w:u w:val="single"/>
        </w:rPr>
        <w:t>ideological, structural, and institutional disparity in the distribution of social and material rewards, benefits, privileges as well as access to resources, capital, property and the possession of social agency, power and influence</w:t>
      </w:r>
      <w:r w:rsidRPr="00D7045C">
        <w:rPr>
          <w:rFonts w:eastAsia="Cambria"/>
          <w:sz w:val="16"/>
        </w:rPr>
        <w:t xml:space="preserve"> (Goodman, 2005; Lusca, 2008; Moses, 2004; Ortiz, 2013; Wells, 2013). </w:t>
      </w:r>
      <w:r w:rsidRPr="00D7045C">
        <w:rPr>
          <w:rFonts w:eastAsia="Cambria"/>
          <w:b/>
          <w:iCs/>
          <w:u w:val="single"/>
        </w:rPr>
        <w:t>Moving beyond an understanding of racism as stereotype or bigotry, and grasping the deeply entrenched racial narratives through which white people view the world is a foundational part of any project of liberation and justice</w:t>
      </w:r>
      <w:r w:rsidRPr="00D7045C">
        <w:rPr>
          <w:rFonts w:eastAsia="Cambria"/>
          <w:sz w:val="16"/>
        </w:rPr>
        <w:t xml:space="preserve">. In addition, </w:t>
      </w:r>
      <w:r w:rsidRPr="00D7045C">
        <w:rPr>
          <w:rFonts w:eastAsia="Cambria"/>
          <w:u w:val="single"/>
        </w:rPr>
        <w:t>it is important to recognize how the virulent legacy of white supremacy persists in all facets of contemporary U.S. society.</w:t>
      </w:r>
      <w:r w:rsidRPr="00D7045C">
        <w:rPr>
          <w:rFonts w:eastAsia="Cambria"/>
          <w:sz w:val="16"/>
        </w:rPr>
        <w:t xml:space="preserve"> While this article presents lived experiences and documented narratives to illustrate the brutal nature of racial terrorism and violence in the U.S., hard data also bear out this reality. People of color make up nearly thirty percent of the U.S. population, yet account for sixty percent of those imprisoned. These </w:t>
      </w:r>
      <w:r w:rsidRPr="00D7045C">
        <w:rPr>
          <w:rFonts w:eastAsia="Cambria"/>
          <w:u w:val="single"/>
        </w:rPr>
        <w:t>incarceration rates disproportionately impact men of color</w:t>
      </w:r>
      <w:r w:rsidRPr="00D7045C">
        <w:rPr>
          <w:rFonts w:eastAsia="Cambria"/>
          <w:sz w:val="16"/>
        </w:rPr>
        <w:t xml:space="preserve">, with 1 in every 15 Black men and 1 in every 36 Latino men incarcerated as opposed to 1 in every 106 white men. </w:t>
      </w:r>
      <w:r w:rsidRPr="00D7045C">
        <w:rPr>
          <w:rFonts w:eastAsia="Cambria"/>
          <w:u w:val="single"/>
        </w:rPr>
        <w:t>One in three Black men will go to prison in their lifetime.</w:t>
      </w:r>
      <w:r w:rsidRPr="00D7045C">
        <w:rPr>
          <w:rFonts w:eastAsia="Cambria"/>
          <w:sz w:val="16"/>
        </w:rPr>
        <w:t xml:space="preserve"> While the number of women incarcerated is relatively low in the U.S. (yet has increased by 800 percent over the last thirty years), </w:t>
      </w:r>
      <w:r w:rsidRPr="00D7045C">
        <w:rPr>
          <w:rFonts w:eastAsia="Cambria"/>
          <w:u w:val="single"/>
        </w:rPr>
        <w:t>Black women are three times more likely than white women to be incarcerated</w:t>
      </w:r>
      <w:r w:rsidRPr="00D7045C">
        <w:rPr>
          <w:rFonts w:eastAsia="Cambria"/>
          <w:sz w:val="16"/>
        </w:rPr>
        <w:t xml:space="preserve">; and Latino women are 69 percent more likely than white women to be incarcerated (ACLU, 2011; Bowman, 2010; Kerby, 2012; Sentencing Project, 2007; Sentencing Project, 2014). </w:t>
      </w:r>
      <w:r w:rsidRPr="00D7045C">
        <w:rPr>
          <w:rFonts w:eastAsia="Cambria"/>
          <w:u w:val="single"/>
        </w:rPr>
        <w:t>Racial profiling also results in people of color having a disproportionate number of encounters with police</w:t>
      </w:r>
      <w:r w:rsidRPr="00D7045C">
        <w:rPr>
          <w:rFonts w:eastAsia="Cambria"/>
          <w:sz w:val="16"/>
        </w:rPr>
        <w:t xml:space="preserve">—they are three times more likely to be searched during a traffic stop compared to white people. Black people are twice as likely to be arrested and almost four times as likely to be subjected to the use of force when encountering the police. Nationwide, </w:t>
      </w:r>
      <w:r w:rsidRPr="00D7045C">
        <w:rPr>
          <w:rFonts w:eastAsia="Cambria"/>
          <w:u w:val="single"/>
        </w:rPr>
        <w:t>young Black males are 21 times more likely to be killed by police compared to young white males</w:t>
      </w:r>
      <w:r w:rsidRPr="00D7045C">
        <w:rPr>
          <w:rFonts w:eastAsia="Cambria"/>
          <w:sz w:val="16"/>
        </w:rPr>
        <w:t xml:space="preserve"> (ACLU, 2007; Gabrielson, Jones &amp; Sagara, 2014; Kerby, 2012). According to the Equal Justice Initiative, an organization that represents prisoners who have been denied fair treatment in the legal system, “</w:t>
      </w:r>
      <w:r w:rsidRPr="00D7045C">
        <w:rPr>
          <w:rFonts w:eastAsia="Cambria"/>
          <w:u w:val="single"/>
        </w:rPr>
        <w:t xml:space="preserve">the lives of African Americans have been profoundly shaped by the era of slavery, the era of racial terror that continued from the end of Reconstruction until World War II, the era of Jim Crow and racial apartheid that produced the civil rights movement, and </w:t>
      </w:r>
      <w:r w:rsidRPr="00D7045C">
        <w:rPr>
          <w:rFonts w:eastAsia="Cambria"/>
          <w:b/>
          <w:iCs/>
          <w:u w:val="single"/>
        </w:rPr>
        <w:t>now the era of mass incarceration</w:t>
      </w:r>
      <w:r w:rsidRPr="00D7045C">
        <w:rPr>
          <w:rFonts w:eastAsia="Cambria"/>
          <w:u w:val="single"/>
        </w:rPr>
        <w:t>”</w:t>
      </w:r>
      <w:r w:rsidRPr="00D7045C">
        <w:rPr>
          <w:rFonts w:eastAsia="Cambria"/>
          <w:sz w:val="16"/>
        </w:rPr>
        <w:t xml:space="preserve"> (2014, para. 2). Additionally, felony-disenfranchisement policies in 11 states deny the right to vote to over 10 percent of their Black population. Current efforts by state legislators to implement restrictive voter ID laws that disproportionately impact people of color along with shortened early voting periods, limits on same-day voter registration, polling places without enough voting machines or poll workers are furthering the marginalization of Black and Latino voters (Kerby, 2012; Liebelson, 2014; Oh, 2014; Sentencing Project, 2009). </w:t>
      </w:r>
      <w:r w:rsidRPr="00D7045C">
        <w:rPr>
          <w:rFonts w:eastAsia="Cambria"/>
          <w:b/>
          <w:iCs/>
          <w:u w:val="single"/>
        </w:rPr>
        <w:t>These forms of racial violence and disenfranchisement disproportionately subject people of color to a life of poverty or economic insecurity that further impedes social, political and economic agency; effectively distressing family systems and severely impacting health outcomes and life expectancy</w:t>
      </w:r>
      <w:r w:rsidRPr="00D7045C">
        <w:rPr>
          <w:rFonts w:eastAsia="Cambria"/>
          <w:sz w:val="16"/>
        </w:rPr>
        <w:t xml:space="preserve"> (Marable, 2001; Goldberg, 2012; Ortiz, 2013; Justice Policy Institute, 2014). </w:t>
      </w:r>
    </w:p>
    <w:p w14:paraId="538F8D5E" w14:textId="77777777" w:rsidR="009B5F8E" w:rsidRPr="009F1D0C" w:rsidRDefault="009B5F8E" w:rsidP="009B5F8E">
      <w:pPr>
        <w:pStyle w:val="Heading4"/>
      </w:pPr>
      <w:r>
        <w:t>Education systems are failing black students in the squo and harms VTL – test scores, dropout risk, and college attendance</w:t>
      </w:r>
    </w:p>
    <w:p w14:paraId="452F417D" w14:textId="77777777" w:rsidR="009B5F8E" w:rsidRDefault="009B5F8E" w:rsidP="009B5F8E">
      <w:r w:rsidRPr="009F1D0C">
        <w:rPr>
          <w:rStyle w:val="Style13ptBold"/>
        </w:rPr>
        <w:t>Darby and Saatcioglu 14</w:t>
      </w:r>
      <w:r>
        <w:t xml:space="preserve"> (Derrick, Department of Philosophy University of Michigan, Argun, Department of Educational Leadership and Policy Studies, 2014, “Race, Justice, and Desegregation,” Du Bois Review, 11:1, pg. 88-89) KVA</w:t>
      </w:r>
    </w:p>
    <w:p w14:paraId="40F0394B" w14:textId="77777777" w:rsidR="009B5F8E" w:rsidRDefault="009B5F8E" w:rsidP="009B5F8E">
      <w:pPr>
        <w:rPr>
          <w:rFonts w:eastAsia="Times New Roman"/>
          <w:sz w:val="16"/>
        </w:rPr>
      </w:pPr>
      <w:r w:rsidRPr="00CB1311">
        <w:rPr>
          <w:rStyle w:val="StyleUnderline"/>
        </w:rPr>
        <w:t>Education is a central domain where racial inequality persists in the U</w:t>
      </w:r>
      <w:r w:rsidRPr="00CB1311">
        <w:rPr>
          <w:rFonts w:eastAsia="Times New Roman"/>
          <w:sz w:val="16"/>
        </w:rPr>
        <w:t xml:space="preserve">nited </w:t>
      </w:r>
      <w:r w:rsidRPr="00CB1311">
        <w:rPr>
          <w:rStyle w:val="StyleUnderline"/>
        </w:rPr>
        <w:t>S</w:t>
      </w:r>
      <w:r w:rsidRPr="00CB1311">
        <w:rPr>
          <w:rFonts w:eastAsia="Times New Roman"/>
          <w:sz w:val="16"/>
        </w:rPr>
        <w:t xml:space="preserve">tates. </w:t>
      </w:r>
      <w:r w:rsidRPr="00CB1311">
        <w:rPr>
          <w:rStyle w:val="Emphasis"/>
        </w:rPr>
        <w:t>Black students not only have lower tests scores and lower grades than White students, but they experience greater dropout risks, are typically overrepresented in special education, and tend to enroll in college at a lower rate than Whites</w:t>
      </w:r>
      <w:r w:rsidRPr="00CB1311">
        <w:rPr>
          <w:rFonts w:eastAsia="Times New Roman"/>
          <w:sz w:val="16"/>
        </w:rPr>
        <w:t xml:space="preserve"> (Losen and Orfield, 2002 ; Magnuson and Waldfogel, 2008 ; Orfield et al., 2004 ). </w:t>
      </w:r>
      <w:r w:rsidRPr="00CB1311">
        <w:rPr>
          <w:rStyle w:val="StyleUnderline"/>
        </w:rPr>
        <w:t>The fourth and eighth grade Black-White gaps in mathematics performance</w:t>
      </w:r>
      <w:r w:rsidRPr="00CB1311">
        <w:rPr>
          <w:rFonts w:eastAsia="Times New Roman"/>
          <w:sz w:val="16"/>
        </w:rPr>
        <w:t xml:space="preserve"> in the 2007 National Assessment of Educational Progress </w:t>
      </w:r>
      <w:r w:rsidRPr="00CB1311">
        <w:rPr>
          <w:rStyle w:val="StyleUnderline"/>
        </w:rPr>
        <w:t>were twenty-six and thirty-one points respectively</w:t>
      </w:r>
      <w:r w:rsidRPr="00CB1311">
        <w:rPr>
          <w:rFonts w:eastAsia="Times New Roman"/>
          <w:sz w:val="16"/>
        </w:rPr>
        <w:t xml:space="preserve">. </w:t>
      </w:r>
      <w:r w:rsidRPr="00CB1311">
        <w:rPr>
          <w:rStyle w:val="StyleUnderline"/>
        </w:rPr>
        <w:t>The gaps in reading</w:t>
      </w:r>
      <w:r w:rsidRPr="00CB1311">
        <w:rPr>
          <w:rFonts w:eastAsia="Times New Roman"/>
          <w:sz w:val="16"/>
        </w:rPr>
        <w:t xml:space="preserve"> for the same grades were </w:t>
      </w:r>
      <w:r w:rsidRPr="00CB1311">
        <w:rPr>
          <w:rStyle w:val="StyleUnderline"/>
        </w:rPr>
        <w:t>twenty-six and twenty-seven points respectively.</w:t>
      </w:r>
      <w:r w:rsidRPr="00CB1311">
        <w:rPr>
          <w:rFonts w:eastAsia="Times New Roman"/>
          <w:sz w:val="16"/>
        </w:rPr>
        <w:t xml:space="preserve"> Thus</w:t>
      </w:r>
      <w:r w:rsidRPr="00CB1311">
        <w:rPr>
          <w:rStyle w:val="StyleUnderline"/>
        </w:rPr>
        <w:t>, Black students are nearly three grade levels behind their White peers in the same age</w:t>
      </w:r>
      <w:r w:rsidRPr="00CB1311">
        <w:rPr>
          <w:rFonts w:eastAsia="Times New Roman"/>
          <w:sz w:val="16"/>
        </w:rPr>
        <w:t xml:space="preserve"> (National Center for Education Statistics 2010). As of 2006, the national graduation rate for Whites was nearly 75%, while that for Blacks was 50%, dropping to as low as 30% in some large urban school districts (Losen 2006 ). Among all high school graduates in 2008, nearly 70% of Whites enrolled in college, while only 55% of Blacks did (Baum et al., 2010 ). </w:t>
      </w:r>
      <w:r w:rsidRPr="00CB1311">
        <w:rPr>
          <w:rStyle w:val="StyleUnderline"/>
        </w:rPr>
        <w:t>Black students are also nearly 65% more likely than Whites to be identified for special education (</w:t>
      </w:r>
      <w:r w:rsidRPr="00CB1311">
        <w:rPr>
          <w:rFonts w:eastAsia="Times New Roman"/>
          <w:sz w:val="16"/>
        </w:rPr>
        <w:t xml:space="preserve">Skiba et al., 2008 ). In particular, </w:t>
      </w:r>
      <w:r w:rsidRPr="00CB1311">
        <w:rPr>
          <w:rStyle w:val="StyleUnderline"/>
        </w:rPr>
        <w:t>Blacks are three times more likely to be identified as mentally</w:t>
      </w:r>
      <w:r w:rsidRPr="00CB1311">
        <w:rPr>
          <w:rFonts w:eastAsia="Times New Roman"/>
          <w:sz w:val="16"/>
        </w:rPr>
        <w:t xml:space="preserve"> </w:t>
      </w:r>
      <w:r w:rsidRPr="00CB1311">
        <w:rPr>
          <w:rFonts w:eastAsia="Times New Roman"/>
          <w:strike/>
          <w:sz w:val="16"/>
        </w:rPr>
        <w:t>retarded</w:t>
      </w:r>
      <w:r w:rsidRPr="000263EE">
        <w:rPr>
          <w:rFonts w:eastAsia="Times New Roman"/>
          <w:sz w:val="16"/>
        </w:rPr>
        <w:t>[</w:t>
      </w:r>
      <w:r w:rsidRPr="00CB1311">
        <w:rPr>
          <w:rStyle w:val="StyleUnderline"/>
        </w:rPr>
        <w:t>deficient] and twice more likely to be identified as emotionally disturbed,</w:t>
      </w:r>
      <w:r w:rsidRPr="00CB1311">
        <w:rPr>
          <w:rFonts w:eastAsia="Times New Roman"/>
          <w:sz w:val="16"/>
        </w:rPr>
        <w:t xml:space="preserve"> which often results in removal from regular classrooms and placement in restrictive classrooms (U.S. Department of Education 2010). This not only limits their exposure to regular curricula, peers, and teachers, but also aggravates their risk of stigmatization and academic failure (Wagner et al., 2005 ). </w:t>
      </w:r>
      <w:r w:rsidRPr="000263EE">
        <w:rPr>
          <w:rStyle w:val="StyleUnderline"/>
        </w:rPr>
        <w:t>While Blacks are persistently overrepresented in special education, they are underrepresented in advanced placement classes and gifted programs</w:t>
      </w:r>
      <w:r w:rsidRPr="00CB1311">
        <w:rPr>
          <w:rFonts w:eastAsia="Times New Roman"/>
          <w:sz w:val="16"/>
        </w:rPr>
        <w:t xml:space="preserve"> (Losen and Orfield, 2002 ). Educational achievement and attainment are important for labor market outcomes. Given the growing demand for knowledge-intensive labor, the educational gap in cognitive skills puts Blacks at a significant disadvantage (Mitra 2000 ). Education influences how much income one earns, how much wealth one can accumulate, and whether one can secure adequate health benefits and afford decent housing in low-crime neighborhoods with good schools. </w:t>
      </w:r>
      <w:r w:rsidRPr="000263EE">
        <w:rPr>
          <w:rStyle w:val="StyleUnderline"/>
        </w:rPr>
        <w:t>In addition, some social scientists have identified non-pecuniary returns to education including better health outcomes, longer life expectancy, greater efficiency in choices about labor, consumption, savings, marriage, family size, voting, and civic participation among other things</w:t>
      </w:r>
      <w:r w:rsidRPr="00CB1311">
        <w:rPr>
          <w:rFonts w:eastAsia="Times New Roman"/>
          <w:sz w:val="16"/>
        </w:rPr>
        <w:t xml:space="preserve"> (Haveman and Wolfe, 1984 ). </w:t>
      </w:r>
      <w:r w:rsidRPr="000263EE">
        <w:rPr>
          <w:rStyle w:val="Emphasis"/>
        </w:rPr>
        <w:t>Philosophers and political theorists have argued that education is also vital for democratic citizenship and for living a life that one has reason to value</w:t>
      </w:r>
      <w:r w:rsidRPr="00CB1311">
        <w:rPr>
          <w:rFonts w:eastAsia="Times New Roman"/>
          <w:sz w:val="16"/>
        </w:rPr>
        <w:t xml:space="preserve"> (Anderson 2007 ). </w:t>
      </w:r>
    </w:p>
    <w:p w14:paraId="5AD2C6C4" w14:textId="77777777" w:rsidR="009B5F8E" w:rsidRPr="00B519E2" w:rsidRDefault="009B5F8E" w:rsidP="009B5F8E">
      <w:pPr>
        <w:pStyle w:val="Heading4"/>
      </w:pPr>
      <w:r w:rsidRPr="00B519E2">
        <w:t xml:space="preserve">Desegregation </w:t>
      </w:r>
      <w:r>
        <w:t>is not the be-all end-all solution but it is necessary to check state sanctioned violence</w:t>
      </w:r>
    </w:p>
    <w:p w14:paraId="632022D8" w14:textId="77777777" w:rsidR="009B5F8E" w:rsidRDefault="009B5F8E" w:rsidP="009B5F8E">
      <w:r w:rsidRPr="00E70F6F">
        <w:rPr>
          <w:rStyle w:val="Style13ptBold"/>
        </w:rPr>
        <w:t xml:space="preserve">Darby and Saatcioglu 14 </w:t>
      </w:r>
      <w:r>
        <w:t>(Derrick, Department of Philosophy University of Michigan, Argun, Department of Educational Leadership and Policy Studies, 2014, “Race, Justice, and Desegregation,” Du Bois Review, 11:1, pg. 95-96) KVA</w:t>
      </w:r>
    </w:p>
    <w:p w14:paraId="62E5A9E9" w14:textId="77777777" w:rsidR="009B5F8E" w:rsidRPr="00E70F6F" w:rsidRDefault="009B5F8E" w:rsidP="009B5F8E">
      <w:pPr>
        <w:tabs>
          <w:tab w:val="left" w:pos="3040"/>
        </w:tabs>
        <w:rPr>
          <w:sz w:val="16"/>
        </w:rPr>
      </w:pPr>
      <w:r w:rsidRPr="00E70F6F">
        <w:rPr>
          <w:rFonts w:eastAsia="Times New Roman"/>
          <w:sz w:val="16"/>
        </w:rPr>
        <w:t xml:space="preserve">Perhaps </w:t>
      </w:r>
      <w:r w:rsidRPr="00360D2B">
        <w:rPr>
          <w:rStyle w:val="StyleUnderline"/>
        </w:rPr>
        <w:t>the most important implication of the return to freedom-of-choice has been the discursive transformation in education reform</w:t>
      </w:r>
      <w:r w:rsidRPr="00E70F6F">
        <w:rPr>
          <w:rFonts w:eastAsia="Times New Roman"/>
          <w:sz w:val="16"/>
        </w:rPr>
        <w:t xml:space="preserve">. Prior to the full-fledged prominence of school choice, “racial separation” was considered a principally problematic situation. </w:t>
      </w:r>
      <w:r w:rsidRPr="00360D2B">
        <w:rPr>
          <w:rStyle w:val="StyleUnderline"/>
        </w:rPr>
        <w:t>Therefore, a color-conscious perspective on the structural causes of and associated remedies for inequality had been a paradigmatic concern in policymaking</w:t>
      </w:r>
      <w:r w:rsidRPr="00E70F6F">
        <w:rPr>
          <w:rFonts w:eastAsia="Times New Roman"/>
          <w:sz w:val="16"/>
        </w:rPr>
        <w:t xml:space="preserve">, regardless of the prospect of eventual success in achieving racial integration. </w:t>
      </w:r>
      <w:r w:rsidRPr="00360D2B">
        <w:rPr>
          <w:rStyle w:val="StyleUnderline"/>
        </w:rPr>
        <w:t>While most magnet schools continue to reflect this concern to some degree—because of their reliance on racial quotas—color-conscious perspectives are commonly absent in the underlying logic and practical operation of the majority of charter schools and voucher programs</w:t>
      </w:r>
      <w:r w:rsidRPr="00E70F6F">
        <w:rPr>
          <w:rFonts w:eastAsia="Times New Roman"/>
          <w:sz w:val="16"/>
        </w:rPr>
        <w:t xml:space="preserve"> (Henig 1994 ). These options typically treat school quality and performance as objectives largely distinct from racial desegregation. </w:t>
      </w:r>
      <w:r w:rsidRPr="00360D2B">
        <w:rPr>
          <w:rStyle w:val="Emphasis"/>
        </w:rPr>
        <w:t>Contemporary school choice conveys a subtle reversal in the openly racial understanding of unfairness and of the perceived need for policies directed explicitly at alleviating racial separation and unfairness</w:t>
      </w:r>
      <w:r w:rsidRPr="00E70F6F">
        <w:rPr>
          <w:rFonts w:eastAsia="Times New Roman"/>
          <w:sz w:val="16"/>
        </w:rPr>
        <w:t xml:space="preserve"> (Rothstein 2004 ). Choice initiatives gained considerable ground in the 1990s as the Supreme Court explicitly retreated from school desegregation in three consecutive rulings. </w:t>
      </w:r>
      <w:r w:rsidRPr="00360D2B">
        <w:rPr>
          <w:rStyle w:val="Emphasis"/>
        </w:rPr>
        <w:t>In the 1991 Board of Education of Oklahoma v. Dowell ruling, the Court described racial desegregation not as a consistent, long-term goal, but as a temporary and formalistic punishment for historical violations</w:t>
      </w:r>
      <w:r w:rsidRPr="00E70F6F">
        <w:rPr>
          <w:rFonts w:eastAsia="Times New Roman"/>
          <w:sz w:val="16"/>
        </w:rPr>
        <w:t xml:space="preserve">. </w:t>
      </w:r>
      <w:r w:rsidRPr="00360D2B">
        <w:rPr>
          <w:rStyle w:val="StyleUnderline"/>
        </w:rPr>
        <w:t xml:space="preserve">It was therefore constitutionally acceptable for a district to return to segregated schools once it was declared “unitary,” even if it had successfully desegregated schools. </w:t>
      </w:r>
      <w:r w:rsidRPr="00E70F6F">
        <w:rPr>
          <w:rFonts w:eastAsia="Times New Roman"/>
          <w:sz w:val="16"/>
        </w:rPr>
        <w:t xml:space="preserve">The following year, in Freeman v. Pitts (1992), the Court concluded that districts could be partially released from desegregation responsibilities even if integration had not been achieved in all the specific areas outlined in the 1968 Green ruling. </w:t>
      </w:r>
      <w:r w:rsidRPr="00360D2B">
        <w:rPr>
          <w:rStyle w:val="StyleUnderline"/>
        </w:rPr>
        <w:t>In addition, the concept of unitary status, which had previously denoted “racial integration,” was recast on the basis of the defendant district’s ability to demonstrate its commitment to desegregate, not on the basis of its actual success in desegregation. T</w:t>
      </w:r>
      <w:r w:rsidRPr="00E70F6F">
        <w:rPr>
          <w:rFonts w:eastAsia="Times New Roman"/>
          <w:sz w:val="16"/>
        </w:rPr>
        <w:t xml:space="preserve">his was followed by Missouri v. Jenkins in 1995, where the Court declared that Milliken II equalization remedies should be limited in time and scope, and that districts need not show any actual correction of the educational harms of segregation. Jenkins also defined rapid restoration of local control as the primary goal in desegregation cases. </w:t>
      </w:r>
      <w:r w:rsidRPr="00360D2B">
        <w:rPr>
          <w:rStyle w:val="StyleUnderline"/>
        </w:rPr>
        <w:t>Given this retreat from the goal of comprehensive racial integration in the schools, formal legislative efforts at the state and local levels to establish school choice options as the dominant means to achieve equality</w:t>
      </w:r>
      <w:r w:rsidRPr="00E70F6F">
        <w:rPr>
          <w:rFonts w:eastAsia="Times New Roman"/>
          <w:sz w:val="16"/>
        </w:rPr>
        <w:t xml:space="preserve">—particularly charter schools and private school vouchers—spread rapidly in the 1990s (Renzulli 2005 ), </w:t>
      </w:r>
      <w:r w:rsidRPr="00360D2B">
        <w:rPr>
          <w:rStyle w:val="StyleUnderline"/>
        </w:rPr>
        <w:t xml:space="preserve">reinforcing the plausibility of the colorblind view of egalitarian justice. </w:t>
      </w:r>
      <w:r w:rsidRPr="00E70F6F">
        <w:rPr>
          <w:rFonts w:eastAsia="Times New Roman"/>
          <w:sz w:val="16"/>
        </w:rPr>
        <w:t xml:space="preserve">This view became most explicit in Supreme Court’s 2007 Parents Involved v. Seattle ruling, which struck down color-conscious admissions to magnet schools and, by implication, to other choice programs that may such admissions. The Court argued that color-blind admission was the true policy perspective </w:t>
      </w:r>
      <w:r w:rsidRPr="00360D2B">
        <w:rPr>
          <w:rStyle w:val="StyleUnderline"/>
        </w:rPr>
        <w:t>consistent with Brown’s spirit and its goals of racial nondiscrimination and equality. While Parents Involved had little impact in practice on desegregation—since much of the momentum for school desegregation had already been lost—it had considerable implications for law and policy orientation because it nullified race as an essential frame of reference in examining educational inequality and diminished the relevance of group-rights in developing remedies</w:t>
      </w:r>
      <w:r w:rsidRPr="00E70F6F">
        <w:rPr>
          <w:rFonts w:eastAsia="Times New Roman"/>
          <w:sz w:val="16"/>
        </w:rPr>
        <w:t xml:space="preserve">. The Court considered racial integration an “elitist fad,” even if, as James Ryan ( 2007 ) points out, it made little sense to assume that Brown’s focus on race and advocacy of integration was meant to keep Black students in separate schools. </w:t>
      </w:r>
    </w:p>
    <w:p w14:paraId="5C26B235" w14:textId="77777777" w:rsidR="009B5F8E" w:rsidRPr="00D7045C" w:rsidRDefault="009B5F8E" w:rsidP="005A4715">
      <w:pPr>
        <w:rPr>
          <w:rFonts w:eastAsia="Cambria"/>
          <w:sz w:val="16"/>
        </w:rPr>
      </w:pPr>
    </w:p>
    <w:p w14:paraId="3F07334A" w14:textId="77777777" w:rsidR="00C34A94" w:rsidRPr="00D7045C" w:rsidRDefault="00C34A94" w:rsidP="00C34A94">
      <w:pPr>
        <w:pStyle w:val="Heading3"/>
        <w:rPr>
          <w:rFonts w:cs="Times New Roman"/>
          <w:lang w:eastAsia="zh-CN"/>
        </w:rPr>
      </w:pPr>
      <w:r w:rsidRPr="00D7045C">
        <w:rPr>
          <w:rFonts w:cs="Times New Roman"/>
          <w:lang w:eastAsia="zh-CN"/>
        </w:rPr>
        <w:t>A</w:t>
      </w:r>
      <w:r w:rsidR="00AE4371" w:rsidRPr="00D7045C">
        <w:rPr>
          <w:rFonts w:cs="Times New Roman"/>
          <w:lang w:eastAsia="zh-CN"/>
        </w:rPr>
        <w:t>.</w:t>
      </w:r>
      <w:r w:rsidRPr="00D7045C">
        <w:rPr>
          <w:rFonts w:cs="Times New Roman"/>
          <w:lang w:eastAsia="zh-CN"/>
        </w:rPr>
        <w:t>T</w:t>
      </w:r>
      <w:r w:rsidR="00AE4371" w:rsidRPr="00D7045C">
        <w:rPr>
          <w:rFonts w:cs="Times New Roman"/>
          <w:lang w:eastAsia="zh-CN"/>
        </w:rPr>
        <w:t>. –</w:t>
      </w:r>
      <w:r w:rsidRPr="00D7045C">
        <w:rPr>
          <w:rFonts w:cs="Times New Roman"/>
          <w:lang w:eastAsia="zh-CN"/>
        </w:rPr>
        <w:t xml:space="preserve"> Busing Bad</w:t>
      </w:r>
    </w:p>
    <w:p w14:paraId="124783DD" w14:textId="77777777" w:rsidR="00C34A94" w:rsidRPr="00D7045C" w:rsidRDefault="00C34A94" w:rsidP="00C34A94">
      <w:pPr>
        <w:pStyle w:val="Heading4"/>
        <w:rPr>
          <w:rFonts w:cs="Times New Roman"/>
        </w:rPr>
      </w:pPr>
      <w:r w:rsidRPr="00D7045C">
        <w:rPr>
          <w:rFonts w:cs="Times New Roman"/>
        </w:rPr>
        <w:t>Busing is justified – social inequalities need to be attacked head on, even if that means removing parental choice</w:t>
      </w:r>
    </w:p>
    <w:p w14:paraId="5C9A70ED" w14:textId="77777777" w:rsidR="00C34A94" w:rsidRPr="00D7045C" w:rsidRDefault="00C34A94" w:rsidP="00C34A94">
      <w:pPr>
        <w:rPr>
          <w:rFonts w:eastAsia="Times New Roman"/>
        </w:rPr>
      </w:pPr>
      <w:r w:rsidRPr="00D7045C">
        <w:rPr>
          <w:rStyle w:val="Style13ptBold"/>
        </w:rPr>
        <w:t>McDowell 17</w:t>
      </w:r>
      <w:r w:rsidRPr="00D7045C">
        <w:rPr>
          <w:rFonts w:eastAsia="Times New Roman"/>
        </w:rPr>
        <w:t xml:space="preserve"> (Michael, Attorney for St. Louis, 2017, “A Dying Dream: The State of Segregation in the United States and Its Effects on Students,” Rice University, pg. 17-19) KVA</w:t>
      </w:r>
    </w:p>
    <w:p w14:paraId="2BEB246B" w14:textId="77777777" w:rsidR="00C34A94" w:rsidRPr="00D7045C" w:rsidRDefault="00C34A94" w:rsidP="00C34A94">
      <w:pPr>
        <w:rPr>
          <w:rStyle w:val="Emphasis"/>
        </w:rPr>
      </w:pPr>
      <w:r w:rsidRPr="00D7045C">
        <w:rPr>
          <w:rFonts w:eastAsia="Times New Roman"/>
          <w:sz w:val="16"/>
        </w:rPr>
        <w:t xml:space="preserve">Furthermore, segregation between nonwhites also now exists mostly between districts. However, </w:t>
      </w:r>
      <w:r w:rsidRPr="00D7045C">
        <w:rPr>
          <w:rStyle w:val="StyleUnderline"/>
        </w:rPr>
        <w:t>segregation within districts themselves still remains acute, and thus state, local, and federal governments must work to correct segregation between and within districts</w:t>
      </w:r>
      <w:r w:rsidRPr="00D7045C">
        <w:rPr>
          <w:rFonts w:eastAsia="Times New Roman"/>
          <w:sz w:val="16"/>
        </w:rPr>
        <w:t xml:space="preserve">. Thus this paper will propose an inside-out approach to ending segregation, starting outside the district, and working inside from there. </w:t>
      </w:r>
      <w:r w:rsidRPr="00D7045C">
        <w:rPr>
          <w:rStyle w:val="StyleUnderline"/>
        </w:rPr>
        <w:t xml:space="preserve">The first step that needs to happen is a massive incentive program from the Federal government for States that achieve wholesale desegregation. </w:t>
      </w:r>
      <w:r w:rsidRPr="00D7045C">
        <w:rPr>
          <w:rFonts w:eastAsia="Times New Roman"/>
          <w:sz w:val="16"/>
        </w:rPr>
        <w:t xml:space="preserve">New Haven defines a desegregated school as 25% of students attending a school must be a minority within that school. </w:t>
      </w:r>
      <w:r w:rsidRPr="00D7045C">
        <w:rPr>
          <w:rStyle w:val="StyleUnderline"/>
        </w:rPr>
        <w:t>The Federal government as well as State and local governments should also adopt that measure.</w:t>
      </w:r>
      <w:r w:rsidRPr="00D7045C">
        <w:rPr>
          <w:rFonts w:eastAsia="Times New Roman"/>
          <w:sz w:val="16"/>
        </w:rPr>
        <w:t xml:space="preserve"> With the Federal government dangling money in front of states for desegregation, </w:t>
      </w:r>
      <w:r w:rsidRPr="00D7045C">
        <w:rPr>
          <w:rStyle w:val="StyleUnderline"/>
        </w:rPr>
        <w:t>states should do a few things. They first should redraw their districts, specifically urban districts, so that they are as diverse as possible.</w:t>
      </w:r>
      <w:r w:rsidRPr="00D7045C">
        <w:rPr>
          <w:rFonts w:eastAsia="Times New Roman"/>
          <w:sz w:val="16"/>
        </w:rPr>
        <w:t xml:space="preserve"> This is obviously a harder task for rural districts, but even they should have to serve as diverse a community as possible</w:t>
      </w:r>
      <w:r w:rsidRPr="00D7045C">
        <w:rPr>
          <w:rStyle w:val="StyleUnderline"/>
        </w:rPr>
        <w:t>. Planners should draw urban districts so that each district serves approximately the same amount of white and nonwhite communities. They should use the most recent census data available, and the governor should lead the charge to redraw districts in order to minimize segregation</w:t>
      </w:r>
      <w:r w:rsidRPr="00D7045C">
        <w:rPr>
          <w:rFonts w:eastAsia="Times New Roman"/>
          <w:sz w:val="16"/>
        </w:rPr>
        <w:t xml:space="preserve">. This will allow for more conventional desegregation techniques to take place within the newly-drawn districts, as well as prevent white families from fleeing to the suburbs, because even suburban districts would be drawn to serve a roughly equal amount of white and nonwhite students. The desegregation process should then move inwards to within the districts themselves, as after the redrawing of district lines segregation would presumably still exist within districts. </w:t>
      </w:r>
      <w:r w:rsidRPr="00D7045C">
        <w:rPr>
          <w:rStyle w:val="StyleUnderline"/>
        </w:rPr>
        <w:t>The first, and ideally the only, step districts should have to take to relieve segregation within their lines is to institute an effective and robust school choice program, with districts like Houston ISD and Denver Public Schools as models.</w:t>
      </w:r>
      <w:r w:rsidRPr="00D7045C">
        <w:rPr>
          <w:rFonts w:eastAsia="Times New Roman"/>
          <w:sz w:val="16"/>
        </w:rPr>
        <w:t xml:space="preserve"> The UCLA center for human rights found that segregation exists most acutely in New York (Kucsera, 2014), and though this highly correlative and not at all a totally causal relationship, New York public schools provide very little leeway for school choice. Obviously not every family will get the school they want, and families zoned to the school should have priority, but schools should be required to take in at least 25% of the minority in that community. </w:t>
      </w:r>
      <w:r w:rsidRPr="00D7045C">
        <w:rPr>
          <w:rStyle w:val="StyleUnderline"/>
        </w:rPr>
        <w:t>New Haven is also placing all of their terrific magnet programs within inner city schools in order to motivate white people to choose those schools, and it is working very well</w:t>
      </w:r>
      <w:r w:rsidRPr="00D7045C">
        <w:rPr>
          <w:rFonts w:eastAsia="Times New Roman"/>
          <w:sz w:val="16"/>
        </w:rPr>
        <w:t xml:space="preserve"> (Orfield, 2015). Hopefully the school choice would work, because the alternative has the potential to take several years before it is implemented. </w:t>
      </w:r>
      <w:r w:rsidRPr="00D7045C">
        <w:rPr>
          <w:rStyle w:val="StyleUnderline"/>
        </w:rPr>
        <w:t>If school choice did not adequately desegregate school districts, then the governor of states dedicated to desegregation should order districts to randomize school placement both for students and teachers</w:t>
      </w:r>
      <w:r w:rsidRPr="00D7045C">
        <w:rPr>
          <w:rFonts w:eastAsia="Times New Roman"/>
          <w:sz w:val="16"/>
        </w:rPr>
        <w:t xml:space="preserve">. This would not go over well, and families would inevitably file suit, where it would likely make it to the Supreme Court, where it would likely lose under the current court. </w:t>
      </w:r>
      <w:r w:rsidRPr="00D7045C">
        <w:rPr>
          <w:rStyle w:val="Emphasis"/>
        </w:rPr>
        <w:t xml:space="preserve">Barring a reinstitution of desegregation orders from Federal Courts, or Milliken being overturned, this last, most extreme measure likely could not work, although the end of segregation absolutely justifies the means of taking away the choices of schools for families. </w:t>
      </w:r>
    </w:p>
    <w:p w14:paraId="76E0DB0F" w14:textId="1EE046B5" w:rsidR="00C34A94" w:rsidRDefault="00C34A94" w:rsidP="00C34A94">
      <w:pPr>
        <w:pStyle w:val="Heading3"/>
        <w:rPr>
          <w:rFonts w:cs="Times New Roman"/>
        </w:rPr>
      </w:pPr>
      <w:r w:rsidRPr="00D7045C">
        <w:rPr>
          <w:rFonts w:cs="Times New Roman"/>
        </w:rPr>
        <w:t>A</w:t>
      </w:r>
      <w:r w:rsidR="00AE4371" w:rsidRPr="00D7045C">
        <w:rPr>
          <w:rFonts w:cs="Times New Roman"/>
        </w:rPr>
        <w:t>.</w:t>
      </w:r>
      <w:r w:rsidRPr="00D7045C">
        <w:rPr>
          <w:rFonts w:cs="Times New Roman"/>
        </w:rPr>
        <w:t>T</w:t>
      </w:r>
      <w:r w:rsidR="00AE4371" w:rsidRPr="00D7045C">
        <w:rPr>
          <w:rFonts w:cs="Times New Roman"/>
        </w:rPr>
        <w:t>. –</w:t>
      </w:r>
      <w:r w:rsidRPr="00D7045C">
        <w:rPr>
          <w:rFonts w:cs="Times New Roman"/>
        </w:rPr>
        <w:t xml:space="preserve"> Courts </w:t>
      </w:r>
      <w:r w:rsidR="00D67A22">
        <w:rPr>
          <w:rFonts w:cs="Times New Roman"/>
        </w:rPr>
        <w:t>fail</w:t>
      </w:r>
    </w:p>
    <w:p w14:paraId="4EA7DF32" w14:textId="77777777" w:rsidR="002A5B87" w:rsidRDefault="002A5B87" w:rsidP="002A5B87">
      <w:pPr>
        <w:pStyle w:val="Heading4"/>
      </w:pPr>
      <w:r>
        <w:t>Supreme Court sways social change—even if not immediate, court decisions change the political dynamic towards social change</w:t>
      </w:r>
    </w:p>
    <w:p w14:paraId="192A6C64" w14:textId="77777777" w:rsidR="002A5B87" w:rsidRDefault="002A5B87" w:rsidP="002A5B87">
      <w:r w:rsidRPr="00D05F86">
        <w:rPr>
          <w:rStyle w:val="Style13ptBold"/>
        </w:rPr>
        <w:t>Landsberg</w:t>
      </w:r>
      <w:r w:rsidRPr="00554F74">
        <w:t>, Law Professor at University of Pacific, 20</w:t>
      </w:r>
      <w:r w:rsidRPr="00D05F86">
        <w:rPr>
          <w:rStyle w:val="Style13ptBold"/>
        </w:rPr>
        <w:t>14</w:t>
      </w:r>
      <w:r w:rsidRPr="00554F74">
        <w:t xml:space="preserve"> (Brian K., "Enforcing Desegregation: A Case Study of Federal District Court Power and Social Change in Macon County Alabama", Law and Society Review, 48:4, accessed on 6/28/17, BEN)</w:t>
      </w:r>
      <w:r>
        <w:t xml:space="preserve"> </w:t>
      </w:r>
    </w:p>
    <w:p w14:paraId="0B8CE909" w14:textId="77777777" w:rsidR="002A5B87" w:rsidRPr="00D05F86" w:rsidRDefault="002A5B87" w:rsidP="002A5B87">
      <w:pPr>
        <w:rPr>
          <w:sz w:val="16"/>
        </w:rPr>
      </w:pPr>
      <w:r w:rsidRPr="00D05F86">
        <w:rPr>
          <w:sz w:val="16"/>
        </w:rPr>
        <w:t xml:space="preserve">The story of Lee v. Macon County Board of Education shows that </w:t>
      </w:r>
      <w:r w:rsidRPr="00BF3074">
        <w:rPr>
          <w:rStyle w:val="Emphasis"/>
        </w:rPr>
        <w:t>seekers of social change may achieve it through court action</w:t>
      </w:r>
      <w:r w:rsidRPr="00D05F86">
        <w:rPr>
          <w:sz w:val="16"/>
        </w:rPr>
        <w:t xml:space="preserve">. The change may take longer than wished. It may not take the precise shape envisioned at the outset. Constraints on the courts do mean that they cannot create social change by themselves. And </w:t>
      </w:r>
      <w:r w:rsidRPr="00BF3074">
        <w:rPr>
          <w:rStyle w:val="Emphasis"/>
        </w:rPr>
        <w:t>the norms that the Supreme Court establishes can profoundly affect the course of events.</w:t>
      </w:r>
      <w:r w:rsidRPr="00D05F86">
        <w:rPr>
          <w:sz w:val="16"/>
        </w:rPr>
        <w:t xml:space="preserve"> Even a reluctant executive branch may find itself enforcing the court’s decrees, not because it agrees with them but because it recognizes the rule of law. Building on what other judges had done in the Eisenhower administration, Judge Johnson was able to marshal assistance from the Kennedy and Johnson administrations in Lee v. Macon County Board of Education by making the United States a party and amicus. </w:t>
      </w:r>
      <w:r w:rsidRPr="00BF3074">
        <w:rPr>
          <w:rStyle w:val="StyleUnderline"/>
        </w:rPr>
        <w:t>Social change is particularly difficult when prior court decisions have validated deeply embedded social practices in society and have created structural as well as cultural impediments to change</w:t>
      </w:r>
      <w:r w:rsidRPr="00D05F86">
        <w:rPr>
          <w:sz w:val="16"/>
        </w:rPr>
        <w:t xml:space="preserve">. Southern whites knew that dismantling the dual school systems would upset the racial caste system. </w:t>
      </w:r>
      <w:r w:rsidRPr="00BF3074">
        <w:rPr>
          <w:rStyle w:val="Emphasis"/>
        </w:rPr>
        <w:t>That system had ensured white dominance in education</w:t>
      </w:r>
      <w:r w:rsidRPr="00D05F86">
        <w:rPr>
          <w:sz w:val="16"/>
        </w:rPr>
        <w:t xml:space="preserve">, in employment, in politics, and in social and economic affairs. As Judge Frank Easterbrook explained an analogous cultural phenomenon: People taught from birth that black people are fit only for slavery rarely rebelled against that creed; beliefs coupled with the self-interest of the masters established a social structure that inflicted great harm while enduring for centuries. (American Booksellers v.Hudnut 1985: 329)So the white South saw Brown as an attack on a way of life, just as an earlier generation had viewed emancipation. African Americans saw it in much the same way. Although heavily black school systems would have few, if any, whites to provide an integrated education, black parents knew that </w:t>
      </w:r>
      <w:r w:rsidRPr="00BF3074">
        <w:rPr>
          <w:rStyle w:val="Emphasis"/>
        </w:rPr>
        <w:t>desegregation could mean that their children could attend the closest school</w:t>
      </w:r>
      <w:r w:rsidRPr="00D05F86">
        <w:rPr>
          <w:sz w:val="16"/>
        </w:rPr>
        <w:t xml:space="preserve">, </w:t>
      </w:r>
      <w:r w:rsidRPr="00D05F86">
        <w:rPr>
          <w:sz w:val="16"/>
          <w:szCs w:val="16"/>
        </w:rPr>
        <w:t>study from the newer text-books, ride on the good buses, have integrated faculty, compete in integrated athletic leagues, and advance to integrated universities, as Anthony Lee and Willie Wyatt did after graduation. The experience in Macon County fills out the picture found in the nation-wide and regional statistics reflecting the extent of desegregation over time that inform many studies of the impact of Brown (Klarman 2004: 363; Rosenberg 2008: 50–51).1One should discount the courts as agents of social change if the evidence shows that the change would have taken place with or without judicial intervention or if one could show that change did not take place. So long as Plessy v. Ferguson (1896) stood as both a symbol and a precedent, it was extremely unlikely that either Con-gress or the southern states would bring about desegregation. This helps explain why neither the state nor federal governments moved to desegregate the schools. Nor did any school districts sue the state to overturn the segregation laws. Some northern states did pass civil rights legislation, and President Truman desegregated the armed forces (Klarman 2004: 364; Kluger 1975: 759). But against those who wished for school desegregation, Plessy was repeatedly cited not only to support the legality of state segregation laws, but also as a constitutional barrier to federal action. While Congress and the Executive need not have court approval to act within the scope of their authority, Congress’ power to enforce the Fourteenth Amendment would not include the power to require desegregation so long as Plessy stood. Separation of powers doctrine applies differently to court decisions interpreting the Constitution and those interpreting statutes. Congress may overturn the latter; it may not overturn the former, except by constitutional amendment or indirect means such as influencing the courts through its exercise of the advise-and-consent oversight of judicial nominees or adjusting the budget of the courts (City of Boerne v. Flores 1997: 519; Epstein and Walker2007: 58–60, 123–24; Eskridge 1991: 679–80; Harvey and Friedman 2009: 575–76). Drawing on the Spending Power, Con-gress could have imposed desegregation as a condition to receiving federal funds. However, it consistently rejected the Powell amend-ment, which would have forbidden race discrimination by school systems receiving federal funds (Rosenberg 2008: 122–23). Not until 1965 was federal education spending a significant stick to coerce compliance with federal rules (Elementary and Secondary Education Act of 1965). Under Plessy, the southern states had created a complex arrangement of separate school systems, and societal reliance on the existing structure created a further barrier to change (Golden 1959: 169–70). In the words of President Eisenhower (1957), “the practice of segregating educational facili-ties was authorized by the law of the land under Supreme Court ruling, from 1896 to 1954. Under that ruling..., customs were established in certain sections of our country which have been repudiated and declared illegal by the Supreme Court ruling of1954.” Plessy not only stamped segregation with legality but also stamped it, in the eyes of most Southern whites, as moral (Briggs v.Elliott 1951: 537; Davis v. County School Board of Prince Edward County1952: 339</w:t>
      </w:r>
      <w:r w:rsidRPr="00850C08">
        <w:rPr>
          <w:u w:val="single"/>
        </w:rPr>
        <w:t>). Thus, the need for the Brown decision stemmed not just from the growing desire for social change, but also from the sub-stantial barriers to social change so long as Plessy’s application to public schools remained good law.</w:t>
      </w:r>
      <w:r w:rsidRPr="00D05F86">
        <w:rPr>
          <w:sz w:val="16"/>
        </w:rPr>
        <w:t xml:space="preserve"> Although Brown faced the challenges of the “constrained court,” Lee v. Macon County Board of Education provides a vivid example of those challenges being overcome without aid from Congress. Lee v. Macon County Board of Education did not standalone in 1963, as desegregation began or continued in every state except Mississippi even though it was widely believed that Presi-dent Kennedy’s proposed Civil Rights Act had little chance of passing (Greenberg 1994: 254–55; The Alabama Council on Human Rights et al. 1972: 1). </w:t>
      </w:r>
      <w:r w:rsidRPr="00B642C3">
        <w:rPr>
          <w:rStyle w:val="Emphasis"/>
        </w:rPr>
        <w:t>The constraints on the courts did slow down judicial actio</w:t>
      </w:r>
      <w:r w:rsidRPr="00D05F86">
        <w:rPr>
          <w:sz w:val="16"/>
        </w:rPr>
        <w:t xml:space="preserve">n, as prospective plaintiffs struggled to find lawyers, decisions of reluctant trial courts went through the appeals process, and determined defendants used every possible tool to delay. But in the fullness of time, the lower courts did enforce Brown and the school districts did comply. A final con-straint here was the culture of the white minority. If the objective of the plaintiffs was to end racial isolation, the flight of whites to private schools did defeat meeting that goal in Macon County, at least for a time. Did Brown cause change? Those who deny that it did cite the long delay between the Brown decision in 1954 and the desegregation of public schools in the Deep South (Rosenberg 2008: 52) and statistics showing that many black students still attend virtually one race schools. Not until after the executive branch and the Congress got involved did the Deep South desegregate its public schools. However, the border states did, either voluntarily or as a result of litigation, make significant progress in compliance during that10-year period from 1955 to 1964 (2008: 103–104). While African Americans filed few desegregation suits in the Deep South from1954 to 1964, Brown energized the African-American community to seek desegregation of buses, parks, libraries, zoos, and other public facilities (Brown-Nagin 2011: 432–34). More importantly, it became central element in the ideology of the civil rights movement. AsDr. Martin Luther King, Jr. (1963: 83) said, “Thus it is that I can urge man to obey the 1954 decision of the Supreme Court, for it is morally right; and I can urge them to disobey segregation ordinances, for they are morally wrong.” Change did come slowly. </w:t>
      </w:r>
      <w:r w:rsidRPr="00B642C3">
        <w:rPr>
          <w:rStyle w:val="Emphasis"/>
        </w:rPr>
        <w:t>A court may issue a decree, but that does not necessarily bring about instant change. Taking a long view, though, the combination of the voting decrees and the school desegregation decrees led to the end of the racial caste system in Macon County.</w:t>
      </w:r>
      <w:r w:rsidRPr="00D05F86">
        <w:rPr>
          <w:sz w:val="16"/>
        </w:rPr>
        <w:t xml:space="preserve"> The black residents of Macon County had to prioritize how to use their limited resources. Their focus on gaining a measure of political power resulted in the all-white school board taking a moderate stance on desegregation, but the school board had no control over the actions of state officials or of the parents of white students. Change through the ballot box would not become feasible until after passage of the Voting Rights Act of 1965. Even then black voters were in the minority in every state; their electoral influence in the South was scattered at best until after the 1970decennial census, the first time that the Act was applied to redistricting. Not until after the Voting Rights Act Amendments of 1982banned state voting laws that resulted in diluting the vote based on race did racial fairness in districting become the general rule. In the process, the TCA made contact with the federal govern-ment, and the connections made during the voting rights case helped solidify the ability of the Department of Justice to help bring about school desegregation, first in planning for a peaceful school opening, then </w:t>
      </w:r>
      <w:r w:rsidRPr="00D92034">
        <w:rPr>
          <w:u w:val="single"/>
        </w:rPr>
        <w:t xml:space="preserve">as a defender of the court order against outside interference, and ultimately as a shaper of substantive positions on such issues as tuition grants, the content of desegregation plans, and the contours of statewide relief. </w:t>
      </w:r>
      <w:r w:rsidRPr="00D05F86">
        <w:rPr>
          <w:sz w:val="16"/>
        </w:rPr>
        <w:t xml:space="preserve">Judge Johnson’s bold action in designating the United States as a party removed one of the major constraints on judicial power. Brown was a necessary, if not sufficient, prerequisite to change. Macon County African Americans turned to the federal court because they had nowhere else to turn. Their petitions to the schoolboard went unanswered, as did similar petitions in over a dozen Alabama school districts in 1954 and 1955 (Bagley 2014: 29–31).Even if the district wished to desegregate, it could not do so, since Alabama law forbidding desegregation was consistent with Plessy.Arequest to the State of Alabama for relief would have fallen on antagonistic ears. Nor is there any evidence that changing attitudes might have led to change in 10, 20, or 30 years after 1954. So although compliance with Brown was slow in coming, it was faster than reliance on change at the state level. Finally, </w:t>
      </w:r>
      <w:r w:rsidRPr="00D92034">
        <w:rPr>
          <w:rStyle w:val="Emphasis"/>
        </w:rPr>
        <w:t>change was unlikely to come from the other branches of the federal govern-ment</w:t>
      </w:r>
      <w:r w:rsidRPr="00D05F86">
        <w:rPr>
          <w:sz w:val="16"/>
        </w:rPr>
        <w:t xml:space="preserve">, constrained as they were by the Plessy decision and the political strength of the white “Solid South. “Seekers of social change must engage in a calculus, reviewing their options and often being forced to choose among limited ones. For them, the federal courts, however constrained they may be, have one advantage that the other two branches and the state governments do not have: They are not captives of the prevailing majority will of the moment but instead answer to the larger values embedded in the Constitution. It is difficult to see how change would have come to Macon County without federal court intervention. Sam Engelhardt and those like him ran Macon County and dominated the Alabama legislature. </w:t>
      </w:r>
      <w:r w:rsidRPr="00D92034">
        <w:rPr>
          <w:rStyle w:val="Emphasis"/>
        </w:rPr>
        <w:t>Civil rights activists needed support from the courts and the federal government, so change from within had little chance</w:t>
      </w:r>
      <w:r w:rsidRPr="00D05F86">
        <w:rPr>
          <w:sz w:val="16"/>
        </w:rPr>
        <w:t>. In such a situation, the natural place to turn is Congress. Yet, despite demands from civil rights groups, Congress rebuffed efforts to authorize the Attorney General to sue for school desegregation. Congress, neither resisting nor promoting desegregation, showed no leadership on this issue, because the southern committee chairs and caucus in the Senate were too strong and unyielding on most race issues. The backbone of segregated schools in Alabama was broken by Lee v. Macon County Board of Education and other cases in1963, before Congress had acted.</w:t>
      </w:r>
    </w:p>
    <w:p w14:paraId="3C870AEF" w14:textId="77777777" w:rsidR="002A5B87" w:rsidRPr="002A5B87" w:rsidRDefault="002A5B87" w:rsidP="002A5B87"/>
    <w:p w14:paraId="2B40C583" w14:textId="77777777" w:rsidR="00C34A94" w:rsidRPr="00D7045C" w:rsidRDefault="00C34A94" w:rsidP="00C34A94">
      <w:pPr>
        <w:pStyle w:val="Heading4"/>
        <w:spacing w:line="240" w:lineRule="auto"/>
        <w:rPr>
          <w:rFonts w:cs="Times New Roman"/>
        </w:rPr>
      </w:pPr>
      <w:r w:rsidRPr="00D7045C">
        <w:rPr>
          <w:rFonts w:cs="Times New Roman"/>
        </w:rPr>
        <w:t>Supreme Court Rulings shape Public Opinion -- Gay Marriage Proves</w:t>
      </w:r>
    </w:p>
    <w:p w14:paraId="6EE5FE31" w14:textId="77777777" w:rsidR="00C34A94" w:rsidRPr="00D7045C" w:rsidRDefault="00C34A94" w:rsidP="00C34A94">
      <w:pPr>
        <w:spacing w:line="240" w:lineRule="auto"/>
      </w:pPr>
      <w:r w:rsidRPr="00D7045C">
        <w:rPr>
          <w:rStyle w:val="Style13ptBold"/>
        </w:rPr>
        <w:t>Lauter 6-26</w:t>
      </w:r>
      <w:r w:rsidRPr="00D7045C">
        <w:t xml:space="preserve"> (David, Bureau chief of Los Angelos Time Washington, June 26 2017 7:29 am, “Support for same-sex marriage has grown steadily since Supreme Court ruling,” Los Angelos Times, </w:t>
      </w:r>
      <w:hyperlink r:id="rId56" w:history="1">
        <w:r w:rsidRPr="00D7045C">
          <w:rPr>
            <w:rStyle w:val="Hyperlink"/>
          </w:rPr>
          <w:t>http://www.latimes.com/politics/washington/la-na-essential-washington-updates-support-for-same-sex-marriage-has-grown-1498485534-htmlstory.html)</w:t>
        </w:r>
      </w:hyperlink>
      <w:r w:rsidRPr="00D7045C">
        <w:t xml:space="preserve"> KVA</w:t>
      </w:r>
    </w:p>
    <w:p w14:paraId="08558235" w14:textId="77777777" w:rsidR="00C34A94" w:rsidRPr="00D7045C" w:rsidRDefault="00C34A94" w:rsidP="00C34A94">
      <w:pPr>
        <w:shd w:val="clear" w:color="auto" w:fill="FFFFFF"/>
        <w:spacing w:after="240" w:line="240" w:lineRule="auto"/>
        <w:rPr>
          <w:rStyle w:val="StyleUnderline"/>
          <w:lang w:eastAsia="zh-CN"/>
        </w:rPr>
      </w:pPr>
      <w:r w:rsidRPr="00D7045C">
        <w:rPr>
          <w:rStyle w:val="StyleUnderline"/>
        </w:rPr>
        <w:t xml:space="preserve">The Supreme Court agreed Monday to consider a case next fall about the rights of people who oppose same-sex marriage — a group that has steadily shrunk in recent years. </w:t>
      </w:r>
      <w:r w:rsidRPr="00D7045C">
        <w:rPr>
          <w:sz w:val="16"/>
        </w:rPr>
        <w:t xml:space="preserve">Public opinion on same-sex marriage appears to be following the same pattern as views of marriage between people of different races — something that was illegal in many states, controversial when the Supreme Court ruled in its favor in 1967 and now accepted by all but a fairly small minority. </w:t>
      </w:r>
      <w:r w:rsidRPr="00D7045C">
        <w:rPr>
          <w:rStyle w:val="Emphasis"/>
        </w:rPr>
        <w:t xml:space="preserve">As recently as a decade ago, more than half of Americans said they opposed allowing gay and lesbian couples to marry legally. Today, two years after the Supreme Court ruled that the Constitution requires states to allow same-sex marriages, </w:t>
      </w:r>
      <w:hyperlink r:id="rId57" w:history="1">
        <w:r w:rsidRPr="00D7045C">
          <w:rPr>
            <w:rStyle w:val="Emphasis"/>
          </w:rPr>
          <w:t>opposition has fallen to about one-third of the population</w:t>
        </w:r>
      </w:hyperlink>
      <w:r w:rsidRPr="00D7045C">
        <w:rPr>
          <w:rStyle w:val="Emphasis"/>
        </w:rPr>
        <w:t>, according to a new survey released Monday by the nonpartisan Pew Research Center</w:t>
      </w:r>
      <w:r w:rsidRPr="00D7045C">
        <w:rPr>
          <w:sz w:val="16"/>
        </w:rPr>
        <w:t>. Nearly two-thirds now support equal marriage rights for same-sex couples, the survey showed. Other recent surveys have shown similar trends. Opposition to same-sex marriage remains strongest among white, conservative evangelical Protestants, like the Colorado baker, Jack Phillips, who has</w:t>
      </w:r>
      <w:r w:rsidRPr="00D7045C">
        <w:rPr>
          <w:rStyle w:val="apple-converted-space"/>
          <w:sz w:val="16"/>
        </w:rPr>
        <w:t xml:space="preserve"> </w:t>
      </w:r>
      <w:hyperlink r:id="rId58" w:history="1">
        <w:r w:rsidRPr="00D7045C">
          <w:rPr>
            <w:rStyle w:val="Hyperlink"/>
            <w:sz w:val="16"/>
          </w:rPr>
          <w:t>brought his challenge to his state's civil rights law to the Supreme Court</w:t>
        </w:r>
      </w:hyperlink>
      <w:r w:rsidRPr="00D7045C">
        <w:rPr>
          <w:sz w:val="16"/>
        </w:rPr>
        <w:t xml:space="preserve">. He argues that his cakes are an artistic expression protected by the 1st Amendment and that requiring him to produce them for couples he disapproves of violates his rights. Among white evangelicals, 35% support same-sex marriage rights, and 59% are opposed. Even among that group, however, support for same-sex marriage rights has grown, the survey showed. The numbers suggest that trend likely will continue. Among white evangelicals born after 1964 — millennials and members of Generation X — 47% support same-sex marriage. By contrast, among white evangelicals in the baby boom generation and older, just over 25% support same-sex marriage. </w:t>
      </w:r>
      <w:r w:rsidRPr="00D7045C">
        <w:rPr>
          <w:sz w:val="16"/>
          <w:lang w:eastAsia="zh-CN"/>
        </w:rPr>
        <w:t xml:space="preserve">That's in keeping with the trend in society as a whole, in which large majorities among the younger generations support equal marriage rights. </w:t>
      </w:r>
      <w:r w:rsidRPr="00D7045C">
        <w:rPr>
          <w:rStyle w:val="StyleUnderline"/>
          <w:lang w:eastAsia="zh-CN"/>
        </w:rPr>
        <w:t xml:space="preserve">With support growing among evangelicals, who make up a large share of Republicans, the party's followers are now evenly divided on the marriage issue. Democrats, who were closely divided a decade ago, now overwhelmingly support same-sex marriage. </w:t>
      </w:r>
    </w:p>
    <w:p w14:paraId="7C21C21A" w14:textId="77777777" w:rsidR="00163FAF" w:rsidRDefault="00163FAF" w:rsidP="00163FAF">
      <w:pPr>
        <w:pStyle w:val="Heading4"/>
      </w:pPr>
      <w:r>
        <w:t xml:space="preserve">Courts elevate visibility of obscured/denied issues, provide a vehicle for minority empowerment, are critical to revealing blatant discriminatory practices, and cause institutional follow-on across other branches of government and a sociopolitical societal shift </w:t>
      </w:r>
    </w:p>
    <w:p w14:paraId="36206604" w14:textId="77777777" w:rsidR="00163FAF" w:rsidRDefault="00163FAF" w:rsidP="00163FAF">
      <w:r w:rsidRPr="00285A17">
        <w:rPr>
          <w:rStyle w:val="Style13ptBold"/>
        </w:rPr>
        <w:t>Baumeister 14</w:t>
      </w:r>
      <w:r>
        <w:t xml:space="preserve"> (Michel F., MD, Rutgers Univ, “A look at the efficacy of the American Judiciary as a Catalyst for Public Policy and Institutional Reformation,” Rutger’s PoliSci Department, pg.140-177) KC</w:t>
      </w:r>
    </w:p>
    <w:p w14:paraId="13F689FD" w14:textId="77777777" w:rsidR="00163FAF" w:rsidRDefault="00163FAF" w:rsidP="00163FAF">
      <w:pPr>
        <w:rPr>
          <w:rStyle w:val="Emphasis"/>
        </w:rPr>
      </w:pPr>
      <w:r>
        <w:t xml:space="preserve">So </w:t>
      </w:r>
      <w:r w:rsidRPr="00540116">
        <w:rPr>
          <w:rStyle w:val="StyleUnderline"/>
        </w:rPr>
        <w:t>where do we end up when trying to answer the question of whether courts are an effective agent for generating institutional reform and force for changing public policy?</w:t>
      </w:r>
      <w:r>
        <w:t xml:space="preserve"> </w:t>
      </w:r>
      <w:r w:rsidRPr="00540116">
        <w:rPr>
          <w:rStyle w:val="StyleUnderline"/>
        </w:rPr>
        <w:t xml:space="preserve">We have observed </w:t>
      </w:r>
      <w:r w:rsidRPr="00540116">
        <w:rPr>
          <w:rStyle w:val="Emphasis"/>
        </w:rPr>
        <w:t>courts</w:t>
      </w:r>
      <w:r w:rsidRPr="00540116">
        <w:rPr>
          <w:rStyle w:val="StyleUnderline"/>
        </w:rPr>
        <w:t xml:space="preserve"> on both the federal and state level affirmatively </w:t>
      </w:r>
      <w:r w:rsidRPr="00540116">
        <w:rPr>
          <w:rStyle w:val="Emphasis"/>
        </w:rPr>
        <w:t>act</w:t>
      </w:r>
      <w:r w:rsidRPr="00540116">
        <w:rPr>
          <w:rStyle w:val="StyleUnderline"/>
        </w:rPr>
        <w:t xml:space="preserve">ing </w:t>
      </w:r>
      <w:r w:rsidRPr="00540116">
        <w:rPr>
          <w:rStyle w:val="Emphasis"/>
        </w:rPr>
        <w:t>to abolish discriminatory conduct aimed at those with the least amount of political power or financial resources</w:t>
      </w:r>
      <w:r w:rsidRPr="00540116">
        <w:rPr>
          <w:rStyle w:val="StyleUnderline"/>
        </w:rPr>
        <w:t xml:space="preserve">, particularly </w:t>
      </w:r>
      <w:r w:rsidRPr="00540116">
        <w:rPr>
          <w:rStyle w:val="Emphasis"/>
        </w:rPr>
        <w:t xml:space="preserve">when the other two branches of government are </w:t>
      </w:r>
      <w:r w:rsidRPr="00540116">
        <w:rPr>
          <w:rStyle w:val="Emphasis"/>
          <w:strike/>
        </w:rPr>
        <w:t>paralyzed</w:t>
      </w:r>
      <w:r w:rsidRPr="00540116">
        <w:rPr>
          <w:rStyle w:val="Emphasis"/>
        </w:rPr>
        <w:t>gridlocked</w:t>
      </w:r>
      <w:r w:rsidRPr="00540116">
        <w:rPr>
          <w:rStyle w:val="StyleUnderline"/>
        </w:rPr>
        <w:t xml:space="preserve"> by political fears associated with controversial social issues or bureaucratic inertia.</w:t>
      </w:r>
      <w:r>
        <w:t xml:space="preserve"> </w:t>
      </w:r>
      <w:r w:rsidRPr="00540116">
        <w:rPr>
          <w:rStyle w:val="StyleUnderline"/>
        </w:rPr>
        <w:t>For many victims of discrimination and abuse, courts stand as the last refuge for assistance before disaster occurs.</w:t>
      </w:r>
      <w:r>
        <w:t xml:space="preserve"> Lawsuits brought on behalf of the powerless can also be the leverage needed to garner the attention of the legislative and administrative branches of government to move the bureaucracies that stand in the way of much needed relief. </w:t>
      </w:r>
      <w:r w:rsidRPr="00540116">
        <w:rPr>
          <w:rStyle w:val="StyleUnderline"/>
        </w:rPr>
        <w:t>This was the case with the United State’s Supreme Court decisions in Brown v. Board of Education and other decisions that sought to put an end racial discrimination in this country and laid the foundation for the 1964 Civil Rights Act, the 1965 Voting Rights Act and the 1964 Fair Housing Act</w:t>
      </w:r>
      <w:r>
        <w:t>. Furthermore</w:t>
      </w:r>
      <w:r w:rsidRPr="00540116">
        <w:rPr>
          <w:rStyle w:val="Emphasis"/>
        </w:rPr>
        <w:t>, the existence of a lawsuit can elevate the visibility of issues</w:t>
      </w:r>
      <w:r>
        <w:t xml:space="preserve"> </w:t>
      </w:r>
      <w:r w:rsidRPr="00540116">
        <w:rPr>
          <w:rStyle w:val="StyleUnderline"/>
        </w:rPr>
        <w:t>that some would rather remain hidden, and</w:t>
      </w:r>
      <w:r>
        <w:t xml:space="preserve"> </w:t>
      </w:r>
      <w:r w:rsidRPr="00540116">
        <w:rPr>
          <w:rStyle w:val="Emphasis"/>
        </w:rPr>
        <w:t>its continued force can provide sustained pressure for change,</w:t>
      </w:r>
      <w:r>
        <w:t xml:space="preserve"> particularly in circumstances such as the national fight for child welfare reform undertaken by Marcia Robinson Lowry and Children’s Rights. We have also noted that </w:t>
      </w:r>
      <w:r w:rsidRPr="00540116">
        <w:rPr>
          <w:rStyle w:val="StyleUnderline"/>
        </w:rPr>
        <w:t>the refinement of constitutionally guaranteed civil liberties to conform to the cultural and moral norms of the day may best be articulated by those who are sworn to uphold the Constitution without succumbing to political or ideological pressures</w:t>
      </w:r>
      <w:r w:rsidRPr="00285A17">
        <w:rPr>
          <w:rStyle w:val="StyleUnderline"/>
        </w:rPr>
        <w:t>. Divisive issues are rarely resolved when they enter the political fray. While there are many people</w:t>
      </w:r>
      <w:r>
        <w:t xml:space="preserve">, including the vast majority of White Southerners, </w:t>
      </w:r>
      <w:r w:rsidRPr="00285A17">
        <w:rPr>
          <w:rStyle w:val="StyleUnderline"/>
        </w:rPr>
        <w:t>that opposed the decisions of the United States Supreme Court in Brown v. Board of Education</w:t>
      </w:r>
      <w:r>
        <w:t xml:space="preserve"> which led the way to the cessation of segregationist practices in this country, </w:t>
      </w:r>
      <w:r w:rsidRPr="00285A17">
        <w:rPr>
          <w:rStyle w:val="Emphasis"/>
        </w:rPr>
        <w:t>there is no one today who would argue that the cases were wrong to strip the blinders way and reveal the blatant discriminatory practices that were rampant in this country during the fifties and the sixties.</w:t>
      </w:r>
      <w:r>
        <w:t xml:space="preserve"> It is elemental that courts must make a decision when presented with a dispute between -141- two adverse parties. Lawmakers and legislatures, on the other hand, are by their very nature fractured caucuses driven by the desire to remain in office or retain their power, oftentimes rendering them incapable of enacting meaningful legislation capable of promoting social change. When the legislative and executive branches of government fail to enact or uphold laws to counter society’s ills, judges should, and, indeed, they must, act as policymakers in deference to the democratic ideal. Moreover, while ours is a system of law based on precedent, judges must be free to stimulate policy as a means to complement existing law in the administration of justice. This was the path chosen by the Justices of the United States Supreme Court in Brown and as demonstrated in this paper, it was the path followed by many other courts in its aftermath. What we may conclude then, is the simple principle that </w:t>
      </w:r>
      <w:r w:rsidRPr="00285A17">
        <w:rPr>
          <w:rStyle w:val="Emphasis"/>
        </w:rPr>
        <w:t>courts are legitimate agents of institutional reform and catalysts for public policy change</w:t>
      </w:r>
      <w:r>
        <w:t xml:space="preserve">, but they may lack the capacity to implement such change on their own. We have seen that doctrinal implementation following judicial policymaking is a slow, lengthy process, but it is one that satisfies the basic tenets of our democratic principles requiring participation from all three branches of government. </w:t>
      </w:r>
      <w:r w:rsidRPr="00285A17">
        <w:rPr>
          <w:rStyle w:val="StyleUnderline"/>
        </w:rPr>
        <w:t xml:space="preserve">Courts do not have to prove their decisions stand as a necessary cause in every case in order to conclude that they have been, to some extent, an effective agent of either reform or policy change. </w:t>
      </w:r>
      <w:r>
        <w:t xml:space="preserve">No institution can be said to be perfectly effective, and under our three-party democratic system, no single branch can set and maintain policy to the exclusion of the other two. Each branch acts within a complex system of checks and balances and in conjunction with a complex interplay of social forces. </w:t>
      </w:r>
      <w:r w:rsidRPr="00285A17">
        <w:rPr>
          <w:rStyle w:val="Emphasis"/>
        </w:rPr>
        <w:t>What is critical about the decisions rendered in Brown, Roe, Miranda, Jose P., Robinson/Abbott, Mount Laurel, Goodridge and Gwendolyn, Wilder and Marisol and similar -</w:t>
      </w:r>
      <w:r>
        <w:t xml:space="preserve">142- bellwether decisions, </w:t>
      </w:r>
      <w:r w:rsidRPr="00285A17">
        <w:rPr>
          <w:rStyle w:val="Emphasis"/>
        </w:rPr>
        <w:t xml:space="preserve">is how they reshaped choices, expectations, institutions, and structures. </w:t>
      </w:r>
      <w:r>
        <w:t xml:space="preserve">In this respect, </w:t>
      </w:r>
      <w:r w:rsidRPr="00285A17">
        <w:rPr>
          <w:rStyle w:val="Emphasis"/>
        </w:rPr>
        <w:t>American society was significantly different the day after these decisions were issued because courts granted legitimacy to certain claims, attached legal support or approbation to certain actions, or otherwise defined new roles for itself or for other institutions to follow.</w:t>
      </w:r>
      <w:r>
        <w:t xml:space="preserve"> </w:t>
      </w:r>
      <w:r w:rsidRPr="00285A17">
        <w:rPr>
          <w:rStyle w:val="Emphasis"/>
        </w:rPr>
        <w:t xml:space="preserve">Moreover, each of them lent political power to groups, particularly to Black Americans, where they previously held little or none. </w:t>
      </w:r>
      <w:r>
        <w:t xml:space="preserve">While it is true that our federal and state court dockets are congested with litigation involving a variety of civil and criminal matters, the solution offered by some who seek to close the courthouse door to individuals seeking what may be desperately needed relief, especially those who have been deprived of their constitutional rights, is, in the words of the esteemed late Supreme Court Justice William J. Brennan, “not only the wrong tool, but also a dangerous [one] for solving the problem”501 </w:t>
      </w:r>
      <w:r w:rsidRPr="00285A17">
        <w:rPr>
          <w:rStyle w:val="Emphasis"/>
        </w:rPr>
        <w:t xml:space="preserve">since the victims of the use of such a tool are often the poor, the underprivileged and minorities most in need of judicial protection of their rights. </w:t>
      </w:r>
    </w:p>
    <w:p w14:paraId="7FF55C99" w14:textId="77777777" w:rsidR="00163FAF" w:rsidRDefault="00163FAF" w:rsidP="00163FAF">
      <w:pPr>
        <w:pStyle w:val="Heading4"/>
      </w:pPr>
      <w:r>
        <w:t>Courts shape overall political attitude and social dynamic of the US</w:t>
      </w:r>
    </w:p>
    <w:p w14:paraId="02EE65B4" w14:textId="77777777" w:rsidR="00163FAF" w:rsidRPr="001502DB" w:rsidRDefault="00163FAF" w:rsidP="00163FAF">
      <w:pPr>
        <w:spacing w:line="240" w:lineRule="auto"/>
        <w:rPr>
          <w:rStyle w:val="Style13ptBold"/>
          <w:rFonts w:eastAsia="Times New Roman"/>
          <w:b w:val="0"/>
        </w:rPr>
      </w:pPr>
      <w:r>
        <w:rPr>
          <w:rStyle w:val="Style13ptBold"/>
        </w:rPr>
        <w:t xml:space="preserve">Ura 14 </w:t>
      </w:r>
      <w:r w:rsidRPr="001502DB">
        <w:t>(Joseph Daniel, Associate Professor of Political Science at Texas A&amp;M University, “Backlash and Legitimation: Macro Political Responses to Supreme Court Decisions,</w:t>
      </w:r>
      <w:r w:rsidRPr="001502DB">
        <w:rPr>
          <w:rFonts w:hint="eastAsia"/>
        </w:rPr>
        <w:t>”</w:t>
      </w:r>
      <w:r w:rsidRPr="001502DB">
        <w:t>58(1), pg 117-118) DCC</w:t>
      </w:r>
    </w:p>
    <w:p w14:paraId="0EC05148" w14:textId="77777777" w:rsidR="00163FAF" w:rsidRDefault="00163FAF" w:rsidP="00163FAF">
      <w:r w:rsidRPr="00023E87">
        <w:t xml:space="preserve">Despite the limited scope of the literature’s empirical analyses, legitimation theory predicts that </w:t>
      </w:r>
      <w:r w:rsidRPr="001502DB">
        <w:rPr>
          <w:b/>
          <w:u w:val="single"/>
        </w:rPr>
        <w:t>Supreme Court decisions may have important dynamic implications on Americans’ political attitudes</w:t>
      </w:r>
      <w:r w:rsidRPr="00023E87">
        <w:t xml:space="preserve">. In particular legitimation theory argues that at least some people will not support policies they regard as “illegitimate,” even if they might approve of them otherwise, and, furthermore, that </w:t>
      </w:r>
      <w:r w:rsidRPr="001502DB">
        <w:rPr>
          <w:b/>
          <w:u w:val="single"/>
        </w:rPr>
        <w:t>individual judgements about the legitimacy of public policies are influenced by the actions of the Supreme Court.</w:t>
      </w:r>
      <w:r w:rsidRPr="00023E87">
        <w:t xml:space="preserve"> By Dahl’s (1957) account, </w:t>
      </w:r>
      <w:r w:rsidRPr="001502DB">
        <w:rPr>
          <w:u w:val="single"/>
        </w:rPr>
        <w:t>the Court may cement or undermine a policy’s legitimacy by bringing its unique association with the U.S. Constitution to bear in support of or in opposition to a policy it considers.</w:t>
      </w:r>
      <w:r w:rsidRPr="00023E87">
        <w:t xml:space="preserve"> Recent developments in positivity theory (Gibson and Caldeira 2009; Gibson et al. 2010) suggest that there are </w:t>
      </w:r>
      <w:r w:rsidRPr="001502DB">
        <w:rPr>
          <w:u w:val="single"/>
        </w:rPr>
        <w:t>many other potent symbols of judicial legitimacy beyond the Constitution itself</w:t>
      </w:r>
      <w:r w:rsidRPr="00023E87">
        <w:t>, including the impact of the blind justice and justices’</w:t>
      </w:r>
      <w:r>
        <w:t xml:space="preserve"> </w:t>
      </w:r>
      <w:r w:rsidRPr="00023E87">
        <w:t xml:space="preserve">black robes, which </w:t>
      </w:r>
      <w:r w:rsidRPr="001502DB">
        <w:rPr>
          <w:u w:val="single"/>
        </w:rPr>
        <w:t>are symbolic of procedural fairness and the related concepts of law, fairness, and justice- at least in the context of American politics</w:t>
      </w:r>
      <w:r w:rsidRPr="00023E87">
        <w:t xml:space="preserve">. </w:t>
      </w:r>
      <w:r w:rsidRPr="001502DB">
        <w:rPr>
          <w:b/>
          <w:u w:val="single"/>
        </w:rPr>
        <w:t xml:space="preserve">When the supreme court decides a case, these powerful legitimizing symbols accompany the Court’s judgment and attach, positively or negatively, to the policy or policies in question. </w:t>
      </w:r>
      <w:r>
        <w:t xml:space="preserve">In turn, the </w:t>
      </w:r>
      <w:r w:rsidRPr="001502DB">
        <w:rPr>
          <w:b/>
          <w:u w:val="single"/>
        </w:rPr>
        <w:t>Supreme Court’s decision may become an important consideration weighing for or against expressing support for a policy related to any given decision</w:t>
      </w:r>
      <w:r>
        <w:t xml:space="preserve"> (e.g., Zaller 1992.) As a result, those who favor a policy contrary to the result of the Court’s decisions must overcome the social and cognitive costs of standing against the Court and the substantive import of the </w:t>
      </w:r>
      <w:r w:rsidRPr="001502DB">
        <w:rPr>
          <w:b/>
          <w:u w:val="single"/>
        </w:rPr>
        <w:t>Court’s unique symbols of institutional legitimacy to do so</w:t>
      </w:r>
      <w:r>
        <w:t xml:space="preserve">. Those whose preferences or attitudes are contrary to the direction of the Court’s decision and that are insufficiently strong to resist the legitimizing influence of the judiciary will come to express support for the Court’s position, shifting aggregate public opinion toward the Court. </w:t>
      </w:r>
    </w:p>
    <w:p w14:paraId="02FAF50E" w14:textId="77777777" w:rsidR="00163FAF" w:rsidRPr="00285A17" w:rsidRDefault="00163FAF" w:rsidP="00163FAF">
      <w:pPr>
        <w:rPr>
          <w:rStyle w:val="Emphasis"/>
        </w:rPr>
      </w:pPr>
    </w:p>
    <w:p w14:paraId="7097BF8C" w14:textId="77777777" w:rsidR="00163FAF" w:rsidRPr="00324CE2" w:rsidRDefault="00163FAF" w:rsidP="00163FAF">
      <w:pPr>
        <w:rPr>
          <w:sz w:val="14"/>
        </w:rPr>
      </w:pPr>
    </w:p>
    <w:p w14:paraId="5370EE04" w14:textId="77777777" w:rsidR="005A4715" w:rsidRPr="00D7045C" w:rsidRDefault="005A4715" w:rsidP="005A4715">
      <w:pPr>
        <w:pStyle w:val="Heading3"/>
        <w:rPr>
          <w:rFonts w:eastAsia="Times New Roman" w:cs="Times New Roman"/>
          <w:lang w:eastAsia="zh-CN"/>
        </w:rPr>
      </w:pPr>
      <w:r w:rsidRPr="00D7045C">
        <w:rPr>
          <w:rFonts w:eastAsia="Times New Roman" w:cs="Times New Roman"/>
          <w:lang w:eastAsia="zh-CN"/>
        </w:rPr>
        <w:t>A</w:t>
      </w:r>
      <w:r w:rsidR="00AE4371" w:rsidRPr="00D7045C">
        <w:rPr>
          <w:rFonts w:eastAsia="Times New Roman" w:cs="Times New Roman"/>
          <w:lang w:eastAsia="zh-CN"/>
        </w:rPr>
        <w:t>.</w:t>
      </w:r>
      <w:r w:rsidRPr="00D7045C">
        <w:rPr>
          <w:rFonts w:eastAsia="Times New Roman" w:cs="Times New Roman"/>
          <w:lang w:eastAsia="zh-CN"/>
        </w:rPr>
        <w:t>T</w:t>
      </w:r>
      <w:r w:rsidR="00AE4371" w:rsidRPr="00D7045C">
        <w:rPr>
          <w:rFonts w:eastAsia="Times New Roman" w:cs="Times New Roman"/>
          <w:lang w:eastAsia="zh-CN"/>
        </w:rPr>
        <w:t>. –</w:t>
      </w:r>
      <w:r w:rsidRPr="00D7045C">
        <w:rPr>
          <w:rFonts w:eastAsia="Times New Roman" w:cs="Times New Roman"/>
          <w:lang w:eastAsia="zh-CN"/>
        </w:rPr>
        <w:t xml:space="preserve"> De Facto</w:t>
      </w:r>
    </w:p>
    <w:p w14:paraId="2E67E339" w14:textId="77777777" w:rsidR="005A4715" w:rsidRPr="00D7045C" w:rsidRDefault="005A4715" w:rsidP="005A4715">
      <w:pPr>
        <w:pStyle w:val="Heading4"/>
        <w:rPr>
          <w:rFonts w:cs="Times New Roman"/>
        </w:rPr>
      </w:pPr>
      <w:r w:rsidRPr="00D7045C">
        <w:rPr>
          <w:rFonts w:cs="Times New Roman"/>
        </w:rPr>
        <w:t xml:space="preserve">Segregation is de joure – segregation is supported by federal policy </w:t>
      </w:r>
    </w:p>
    <w:p w14:paraId="6284DE64" w14:textId="77777777" w:rsidR="005A4715" w:rsidRPr="00D7045C" w:rsidRDefault="005A4715" w:rsidP="005A4715">
      <w:r w:rsidRPr="00D7045C">
        <w:rPr>
          <w:rStyle w:val="Style13ptBold"/>
        </w:rPr>
        <w:t>Rothstein 14</w:t>
      </w:r>
      <w:r w:rsidRPr="00D7045C">
        <w:t xml:space="preserve"> (Richard, research associate of the Economic Policy Institute and a Fellow at the Thurgood Marshall Institute of the NAACP Legal Defense Fund, The Racial Achievement Gap, Segregated Schools, and Segregated Neighborhoods: A Constitutional Insult, </w:t>
      </w:r>
      <w:hyperlink r:id="rId59" w:history="1">
        <w:r w:rsidRPr="00D7045C">
          <w:rPr>
            <w:rStyle w:val="Hyperlink"/>
          </w:rPr>
          <w:t>http://www.epi.org/publication/the-racial-achievement-gap-segregated-schools-and-segregated-neighborhoods-a-constitutional-insult/</w:t>
        </w:r>
      </w:hyperlink>
      <w:r w:rsidRPr="00D7045C">
        <w:t xml:space="preserve">) mlm </w:t>
      </w:r>
    </w:p>
    <w:p w14:paraId="1E54969F" w14:textId="77777777" w:rsidR="005A4715" w:rsidRPr="00D7045C" w:rsidRDefault="005A4715" w:rsidP="005A4715">
      <w:pPr>
        <w:rPr>
          <w:sz w:val="16"/>
        </w:rPr>
      </w:pPr>
      <w:r w:rsidRPr="00D7045C">
        <w:rPr>
          <w:sz w:val="16"/>
        </w:rPr>
        <w:t xml:space="preserve">In 2007, </w:t>
      </w:r>
      <w:r w:rsidRPr="00D7045C">
        <w:rPr>
          <w:u w:val="single"/>
        </w:rPr>
        <w:t>the Supreme Court made integration even more difficult than it already was</w:t>
      </w:r>
      <w:r w:rsidRPr="00D7045C">
        <w:rPr>
          <w:sz w:val="16"/>
        </w:rPr>
        <w:t xml:space="preserve">, when the Court prohibited the Louisville and Seattle school districts from making racial balance a factor in assigning students to schools, in situations where applicant numbers exceeded available seats (Parents Involved in Community Schools v. Seattle School District No. 1 2007). The plurality opinion by Chief Justice John Roberts </w:t>
      </w:r>
      <w:r w:rsidRPr="00D7045C">
        <w:rPr>
          <w:u w:val="single"/>
        </w:rPr>
        <w:t xml:space="preserve">decreed that student categorization by race </w:t>
      </w:r>
      <w:r w:rsidRPr="00D7045C">
        <w:rPr>
          <w:sz w:val="16"/>
        </w:rPr>
        <w:t>(for purposes of administering a choice program</w:t>
      </w:r>
      <w:r w:rsidRPr="00D7045C">
        <w:rPr>
          <w:u w:val="single"/>
        </w:rPr>
        <w:t>) is unconstitutional unless it is designed to reverse effects of explicit rules that segregated students by race</w:t>
      </w:r>
      <w:r w:rsidRPr="00D7045C">
        <w:rPr>
          <w:sz w:val="16"/>
        </w:rPr>
        <w:t xml:space="preserve">. Desegregation efforts, he stated, are impermissible if students are racially isolated, not as the result of government policy but because of societal discrimination, economic characteristics, or what Justice Clarence Thomas, in his concurring opinion, termed ‘‘any number of innocent private decisions, including voluntary housing choices.’’ In Roberts’ terminology, commonly accepted by policymakers from across the political spectrum, constitutionally forbidden segregation established by federal, state or local government action is de jure, while racial isolation independent of state action, as, in Roberts’ view, in Louisville and Seattle, is de facto. </w:t>
      </w:r>
      <w:r w:rsidRPr="00D7045C">
        <w:rPr>
          <w:u w:val="single"/>
        </w:rPr>
        <w:t>It is generally accepted today, even by sophisticated policymakers, that black students’ racial isolation is now de facto, with no constitutional remedy—</w:t>
      </w:r>
      <w:r w:rsidRPr="00D7045C">
        <w:rPr>
          <w:sz w:val="16"/>
        </w:rPr>
        <w:t xml:space="preserve">not only in Louisville and Seattle, but in all metropolitan areas, North and South. Even the liberal dissenters in the Louisville-Seattle case, led by Justice Stephen Breyer, agreed with this characterization. </w:t>
      </w:r>
      <w:r w:rsidRPr="00D7045C">
        <w:rPr>
          <w:u w:val="single"/>
        </w:rPr>
        <w:t>Breyer argued that school districts should be permitted voluntarily to address de facto racial homogeneity, even if not constitutionally required to do so. But he accepted that for the most part, Louisville and Seattle schools were not segregated by state action and thus not constitutionally required to desegregat</w:t>
      </w:r>
      <w:r w:rsidRPr="00D7045C">
        <w:rPr>
          <w:sz w:val="16"/>
        </w:rPr>
        <w:t xml:space="preserve">e. This is a dubious proposition. Certainly, Northern schools have not been segregated by policies assigning Race Soc Probl (2015) 7:21–30 23 123 blacks to some schools and whites to others—at least not since the 1940s; they are segregated because their neighborhoods are racially homogenous. But neighborhoods did not get that way from ‘‘innocent private decisions’’ or, as the late Justice Potter Stewart once put it, from ‘‘unknown and perhaps unknowable factors such as in-migration, birth rates, economic changes, or cumulative acts of private racial fears’’ (Milliken v. Bradley 1974). In truth, </w:t>
      </w:r>
      <w:r w:rsidRPr="00D7045C">
        <w:rPr>
          <w:u w:val="single"/>
        </w:rPr>
        <w:t>residential segregation’s causes are both knowable and known</w:t>
      </w:r>
      <w:r w:rsidRPr="00D7045C">
        <w:rPr>
          <w:sz w:val="16"/>
        </w:rPr>
        <w:t xml:space="preserve">—twentieth century </w:t>
      </w:r>
      <w:r w:rsidRPr="00D7045C">
        <w:rPr>
          <w:u w:val="single"/>
        </w:rPr>
        <w:t>federal, state and local policies explicitly designed to separate the races and whose effects endure today. In any meaningful sense, neighborhoods and in consequence, schools, have been segregated de jure. The notion of de facto segregation is a myth, although widely accepted in a national consensus that wants to avoid confronting our racial history. The federal government led in the establishment and maintenance of residential segregation</w:t>
      </w:r>
      <w:r w:rsidRPr="00D7045C">
        <w:rPr>
          <w:sz w:val="16"/>
        </w:rPr>
        <w:t xml:space="preserve"> in metropolitan areas. From its New Deal inception and especially during and after World War II, federally funded public housing was explicitly racially segregated, both by federal and local governments. Not only in the South, but in the Northeast, Midwest, and West, projects were officially and publicly designated either for whites or for blacks. Some projects were ‘‘integrated’’ with separate buildings designated for whites or for blacks. Later, as white families left the projects for the suburbs, public housing became overwhelmingly black and in most cities was placed only in black neighborhoods, explicitly so. This policy continued one originating in the New Deal, when Harold Ickes, President </w:t>
      </w:r>
      <w:r w:rsidRPr="00D7045C">
        <w:rPr>
          <w:u w:val="single"/>
        </w:rPr>
        <w:t>Roosevelt’s first public housing director</w:t>
      </w:r>
      <w:r w:rsidRPr="00D7045C">
        <w:rPr>
          <w:sz w:val="16"/>
        </w:rPr>
        <w:t xml:space="preserve">, established the ‘‘neighborhood composition rule’’ that public housing should not disturb the preexisting racial composition of neighborhoods where it was placed (Hirsch 1998/1983, p. 14; Hirsch 2000, p. 209; e.g., Hills v. Gautreaux 1976; Rothstein 2012). </w:t>
      </w:r>
      <w:r w:rsidRPr="00D7045C">
        <w:rPr>
          <w:u w:val="single"/>
        </w:rPr>
        <w:t>This was de jure segregation</w:t>
      </w:r>
      <w:r w:rsidRPr="00D7045C">
        <w:rPr>
          <w:sz w:val="16"/>
        </w:rPr>
        <w:t>.</w:t>
      </w:r>
    </w:p>
    <w:p w14:paraId="41FD021A" w14:textId="77777777" w:rsidR="00C34A94" w:rsidRPr="00D7045C" w:rsidRDefault="00C34A94" w:rsidP="00C34A94">
      <w:pPr>
        <w:pStyle w:val="Heading3"/>
        <w:rPr>
          <w:rFonts w:cs="Times New Roman"/>
        </w:rPr>
      </w:pPr>
      <w:r w:rsidRPr="00D7045C">
        <w:rPr>
          <w:rFonts w:cs="Times New Roman"/>
        </w:rPr>
        <w:t>A</w:t>
      </w:r>
      <w:r w:rsidR="00AE4371" w:rsidRPr="00D7045C">
        <w:rPr>
          <w:rFonts w:cs="Times New Roman"/>
        </w:rPr>
        <w:t>.</w:t>
      </w:r>
      <w:r w:rsidRPr="00D7045C">
        <w:rPr>
          <w:rFonts w:cs="Times New Roman"/>
        </w:rPr>
        <w:t>T</w:t>
      </w:r>
      <w:r w:rsidR="00AE4371" w:rsidRPr="00D7045C">
        <w:rPr>
          <w:rFonts w:cs="Times New Roman"/>
        </w:rPr>
        <w:t>. –</w:t>
      </w:r>
      <w:r w:rsidRPr="00D7045C">
        <w:rPr>
          <w:rFonts w:cs="Times New Roman"/>
        </w:rPr>
        <w:t xml:space="preserve"> No Segregation</w:t>
      </w:r>
    </w:p>
    <w:p w14:paraId="2246717E" w14:textId="77777777" w:rsidR="00C34A94" w:rsidRPr="00D7045C" w:rsidRDefault="00C34A94" w:rsidP="00C34A94">
      <w:pPr>
        <w:pStyle w:val="Heading4"/>
        <w:rPr>
          <w:rFonts w:cs="Times New Roman"/>
        </w:rPr>
      </w:pPr>
      <w:r w:rsidRPr="00D7045C">
        <w:rPr>
          <w:rFonts w:cs="Times New Roman"/>
        </w:rPr>
        <w:t xml:space="preserve">Schools with no integration policies have more stratification – plan is key to end segregation </w:t>
      </w:r>
    </w:p>
    <w:p w14:paraId="037CC4A5" w14:textId="77777777" w:rsidR="00C34A94" w:rsidRPr="00D7045C" w:rsidRDefault="00C34A94" w:rsidP="00C34A94">
      <w:pPr>
        <w:pStyle w:val="NoSpacing"/>
        <w:rPr>
          <w:rStyle w:val="Style13ptBold"/>
          <w:rFonts w:ascii="Times New Roman" w:eastAsia="Times New Roman" w:hAnsi="Times New Roman" w:cs="Times New Roman"/>
          <w:b w:val="0"/>
        </w:rPr>
      </w:pPr>
      <w:r w:rsidRPr="00D7045C">
        <w:rPr>
          <w:rStyle w:val="Style13ptBold"/>
          <w:rFonts w:ascii="Times New Roman" w:hAnsi="Times New Roman" w:cs="Times New Roman"/>
        </w:rPr>
        <w:t xml:space="preserve">Wells 13 </w:t>
      </w:r>
      <w:r w:rsidRPr="00D7045C">
        <w:rPr>
          <w:rFonts w:ascii="Times New Roman" w:hAnsi="Times New Roman" w:cs="Times New Roman"/>
          <w:sz w:val="16"/>
          <w:szCs w:val="16"/>
        </w:rPr>
        <w:t>(Amy Stuart, Columbia University, Teachers College and Graduate School of Arts and Sciences “School Choice Policies and Racial Segregation: Where White Parents’ Good Intentions,Anxiety, and Privilege Collide”, 119(2), pg 262) DCC</w:t>
      </w:r>
    </w:p>
    <w:p w14:paraId="6490A78F" w14:textId="77777777" w:rsidR="00C34A94" w:rsidRPr="00D7045C" w:rsidRDefault="00C34A94" w:rsidP="00C34A94">
      <w:pPr>
        <w:rPr>
          <w:rStyle w:val="apple-converted-space"/>
          <w:sz w:val="16"/>
        </w:rPr>
      </w:pPr>
      <w:r w:rsidRPr="00D7045C">
        <w:rPr>
          <w:sz w:val="16"/>
        </w:rPr>
        <w:t xml:space="preserve">Still, a growing body of </w:t>
      </w:r>
      <w:r w:rsidRPr="00D7045C">
        <w:rPr>
          <w:b/>
          <w:u w:val="single"/>
        </w:rPr>
        <w:t>research has documented a strong positive correlation between increasing racial/ethnic segregation</w:t>
      </w:r>
      <w:r w:rsidRPr="00D7045C">
        <w:rPr>
          <w:sz w:val="16"/>
        </w:rPr>
        <w:t xml:space="preserve"> in public schools </w:t>
      </w:r>
      <w:r w:rsidRPr="00D7045C">
        <w:rPr>
          <w:b/>
          <w:u w:val="single"/>
        </w:rPr>
        <w:t>and</w:t>
      </w:r>
      <w:r w:rsidRPr="00D7045C">
        <w:rPr>
          <w:sz w:val="16"/>
        </w:rPr>
        <w:t xml:space="preserve"> the </w:t>
      </w:r>
      <w:r w:rsidRPr="00D7045C">
        <w:rPr>
          <w:b/>
          <w:u w:val="single"/>
        </w:rPr>
        <w:t>growth in</w:t>
      </w:r>
      <w:r w:rsidRPr="00D7045C">
        <w:rPr>
          <w:sz w:val="16"/>
        </w:rPr>
        <w:t xml:space="preserve"> these popular so-called </w:t>
      </w:r>
      <w:r w:rsidRPr="00D7045C">
        <w:rPr>
          <w:b/>
          <w:u w:val="single"/>
        </w:rPr>
        <w:t>colorblind</w:t>
      </w:r>
      <w:r w:rsidRPr="00D7045C">
        <w:rPr>
          <w:sz w:val="16"/>
        </w:rPr>
        <w:t xml:space="preserve"> and more market-based school choice </w:t>
      </w:r>
      <w:r w:rsidRPr="00D7045C">
        <w:rPr>
          <w:b/>
          <w:u w:val="single"/>
        </w:rPr>
        <w:t>policies, which do not explicitly promote racial integration</w:t>
      </w:r>
      <w:r w:rsidRPr="00D7045C">
        <w:rPr>
          <w:sz w:val="16"/>
        </w:rPr>
        <w:t xml:space="preserve"> (see Mead and Green 2012; Mickelson et al. 2008; Wells and Roda 2008). In other words, mounting evidence suggests that </w:t>
      </w:r>
      <w:r w:rsidRPr="00D7045C">
        <w:rPr>
          <w:b/>
          <w:u w:val="single"/>
        </w:rPr>
        <w:t>when school choice policies are not designed to promote racial integration</w:t>
      </w:r>
      <w:r w:rsidRPr="00D7045C">
        <w:rPr>
          <w:sz w:val="16"/>
        </w:rPr>
        <w:t>—which most newer school choice policies are not—</w:t>
      </w:r>
      <w:r w:rsidRPr="00D7045C">
        <w:rPr>
          <w:b/>
          <w:u w:val="single"/>
        </w:rPr>
        <w:t>they generally manage to do the opposite by leading to greater stratification and separation of students by race and ethnicity</w:t>
      </w:r>
      <w:r w:rsidRPr="00D7045C">
        <w:rPr>
          <w:sz w:val="16"/>
        </w:rPr>
        <w:t xml:space="preserve"> across schools and programs. </w:t>
      </w:r>
      <w:r w:rsidRPr="00D7045C">
        <w:rPr>
          <w:u w:val="single"/>
        </w:rPr>
        <w:t>In a society with an increasingly diverse school-age population</w:t>
      </w:r>
      <w:r w:rsidRPr="00D7045C">
        <w:rPr>
          <w:sz w:val="16"/>
        </w:rPr>
        <w:t xml:space="preserve"> (now only 54% white, non-Hispanic [NCES 2010]), </w:t>
      </w:r>
      <w:r w:rsidRPr="00D7045C">
        <w:rPr>
          <w:u w:val="single"/>
        </w:rPr>
        <w:t>this pattern of choice-based racial segregation occurs</w:t>
      </w:r>
      <w:r w:rsidRPr="00D7045C">
        <w:rPr>
          <w:sz w:val="16"/>
        </w:rPr>
        <w:t xml:space="preserve">—even when a growing number of parents say they want their children to attend racially diverse schools (Farkas et al. 1998; Orfield 1995; Wells et al. 2009). Meanwhile, </w:t>
      </w:r>
      <w:r w:rsidRPr="00D7045C">
        <w:rPr>
          <w:b/>
          <w:u w:val="single"/>
        </w:rPr>
        <w:t>the number</w:t>
      </w:r>
      <w:r w:rsidRPr="00D7045C">
        <w:rPr>
          <w:sz w:val="16"/>
        </w:rPr>
        <w:t xml:space="preserve"> of students participating in these colorblind, </w:t>
      </w:r>
      <w:r w:rsidRPr="00D7045C">
        <w:rPr>
          <w:b/>
          <w:u w:val="single"/>
        </w:rPr>
        <w:t xml:space="preserve">market-based school choice plans is on the rise </w:t>
      </w:r>
      <w:r w:rsidRPr="00D7045C">
        <w:rPr>
          <w:sz w:val="16"/>
        </w:rPr>
        <w:t xml:space="preserve">(now more than 2 million), </w:t>
      </w:r>
      <w:r w:rsidRPr="00D7045C">
        <w:rPr>
          <w:b/>
          <w:u w:val="single"/>
        </w:rPr>
        <w:t>as is racial/ethnic segregation in K–12 education</w:t>
      </w:r>
      <w:r w:rsidRPr="00D7045C">
        <w:rPr>
          <w:sz w:val="16"/>
        </w:rPr>
        <w:t xml:space="preserve"> (CER 2010; Civil Rights Project 2011; NCES 2011;).</w:t>
      </w:r>
      <w:r w:rsidRPr="00D7045C">
        <w:rPr>
          <w:rStyle w:val="apple-converted-space"/>
          <w:sz w:val="16"/>
        </w:rPr>
        <w:t> </w:t>
      </w:r>
    </w:p>
    <w:p w14:paraId="1C790CF1" w14:textId="77777777" w:rsidR="00C34A94" w:rsidRPr="00D7045C" w:rsidRDefault="00C34A94" w:rsidP="00C34A94">
      <w:pPr>
        <w:pStyle w:val="Heading4"/>
        <w:rPr>
          <w:rStyle w:val="apple-converted-space"/>
          <w:rFonts w:cs="Times New Roman"/>
        </w:rPr>
      </w:pPr>
      <w:r w:rsidRPr="00D7045C">
        <w:rPr>
          <w:rStyle w:val="apple-converted-space"/>
          <w:rFonts w:cs="Times New Roman"/>
        </w:rPr>
        <w:t>The ability to “choose” schools result in the segregation and discrimination policies like Milliken v Bradley – ending school district lines stops the separation of the ‘good’ and the ‘bad’</w:t>
      </w:r>
    </w:p>
    <w:p w14:paraId="6AF233EB" w14:textId="77777777" w:rsidR="00C34A94" w:rsidRPr="00D7045C" w:rsidRDefault="00C34A94" w:rsidP="00C34A94">
      <w:pPr>
        <w:pStyle w:val="NoSpacing"/>
        <w:rPr>
          <w:rFonts w:ascii="Times New Roman" w:eastAsia="Times New Roman" w:hAnsi="Times New Roman" w:cs="Times New Roman"/>
          <w:sz w:val="24"/>
        </w:rPr>
      </w:pPr>
      <w:r w:rsidRPr="00D7045C">
        <w:rPr>
          <w:rStyle w:val="Style13ptBold"/>
          <w:rFonts w:ascii="Times New Roman" w:hAnsi="Times New Roman" w:cs="Times New Roman"/>
        </w:rPr>
        <w:t xml:space="preserve">Wells 13 </w:t>
      </w:r>
      <w:r w:rsidRPr="00D7045C">
        <w:rPr>
          <w:rFonts w:ascii="Times New Roman" w:hAnsi="Times New Roman" w:cs="Times New Roman"/>
          <w:sz w:val="16"/>
          <w:szCs w:val="16"/>
        </w:rPr>
        <w:t>(Amy Stuart, Columbia University, Teachers College and Graduate School of Arts and Sciences “School Choice Policies and Racial Segregation: Where White Parents’ Good Intentions,Anxiety, and Privilege Collide”, 119(2), pg 262) DCC</w:t>
      </w:r>
    </w:p>
    <w:p w14:paraId="68BEAB51" w14:textId="77777777" w:rsidR="00C34A94" w:rsidRPr="00D7045C" w:rsidRDefault="00C34A94" w:rsidP="00C34A94">
      <w:pPr>
        <w:rPr>
          <w:sz w:val="16"/>
          <w:szCs w:val="15"/>
        </w:rPr>
      </w:pPr>
      <w:r w:rsidRPr="00D7045C">
        <w:rPr>
          <w:sz w:val="16"/>
        </w:rPr>
        <w:t xml:space="preserve">In this article, </w:t>
      </w:r>
      <w:r w:rsidRPr="00D7045C">
        <w:rPr>
          <w:u w:val="single"/>
        </w:rPr>
        <w:t>we examine the contradictions between what advantaged parents say and what they do when confronted with segregated schools and school programs.</w:t>
      </w:r>
      <w:r w:rsidRPr="00D7045C">
        <w:rPr>
          <w:sz w:val="16"/>
        </w:rPr>
        <w:t xml:space="preserve"> Thus, we focus here on interview data from the 39 white, more advantaged parents interviewed as part of the larger study. In these indepth interviews, we heard how </w:t>
      </w:r>
      <w:r w:rsidRPr="00D7045C">
        <w:rPr>
          <w:u w:val="single"/>
        </w:rPr>
        <w:t>advantaged parents made sense of their school choice options and how those options often clashed with their understanding of the type of education they wanted for their children</w:t>
      </w:r>
      <w:r w:rsidRPr="00D7045C">
        <w:rPr>
          <w:sz w:val="16"/>
        </w:rPr>
        <w:t xml:space="preserve">. These parents said, as the vast majority of parents in national opinion polls do, that </w:t>
      </w:r>
      <w:r w:rsidRPr="00D7045C">
        <w:rPr>
          <w:u w:val="single"/>
        </w:rPr>
        <w:t>it is either “very” or “somewhat” important for their children to attend a racially/ethnically diverse school to prepare them for a global economy and society</w:t>
      </w:r>
      <w:r w:rsidRPr="00D7045C">
        <w:rPr>
          <w:sz w:val="16"/>
        </w:rPr>
        <w:t xml:space="preserve"> (Farkas et al. 1998</w:t>
      </w:r>
      <w:r w:rsidRPr="00D7045C">
        <w:rPr>
          <w:u w:val="single"/>
        </w:rPr>
        <w:t xml:space="preserve">). And yet, when it came time to choose schools for their children, </w:t>
      </w:r>
      <w:r w:rsidRPr="00D7045C">
        <w:rPr>
          <w:b/>
          <w:u w:val="single"/>
        </w:rPr>
        <w:t>white parents</w:t>
      </w:r>
      <w:r w:rsidRPr="00D7045C">
        <w:rPr>
          <w:sz w:val="16"/>
        </w:rPr>
        <w:t xml:space="preserve"> with economic means in District Q </w:t>
      </w:r>
      <w:r w:rsidRPr="00D7045C">
        <w:rPr>
          <w:b/>
          <w:u w:val="single"/>
        </w:rPr>
        <w:t>are drawn toward schools</w:t>
      </w:r>
      <w:r w:rsidRPr="00D7045C">
        <w:rPr>
          <w:sz w:val="16"/>
        </w:rPr>
        <w:t xml:space="preserve"> (and separate G&amp;T programs within schools</w:t>
      </w:r>
      <w:r w:rsidRPr="00D7045C">
        <w:rPr>
          <w:b/>
          <w:u w:val="single"/>
        </w:rPr>
        <w:t>) that are predominantly white and thus far more racially homogeneous than the school district as a whole</w:t>
      </w:r>
      <w:r w:rsidRPr="00D7045C">
        <w:rPr>
          <w:sz w:val="16"/>
        </w:rPr>
        <w:t xml:space="preserve">. In order to introduce what we have learned from these interviews with white parents, we provide a conceptual framework of the school choice process within a racially segregated and increasingly unequal educational and social context (see Wells et al. 2009). As contradictory as these District Q parents’ decisions may be, </w:t>
      </w:r>
      <w:r w:rsidRPr="00D7045C">
        <w:rPr>
          <w:b/>
          <w:u w:val="single"/>
        </w:rPr>
        <w:t>they are not surprising</w:t>
      </w:r>
      <w:r w:rsidRPr="00D7045C">
        <w:rPr>
          <w:sz w:val="16"/>
        </w:rPr>
        <w:t xml:space="preserve"> given the few “good” school choice options available and the parents’ anxiety about helping their children “win” in the competitive scramble for the more prestigious educational credentials. Therefore, </w:t>
      </w:r>
      <w:r w:rsidRPr="00D7045C">
        <w:rPr>
          <w:b/>
          <w:u w:val="single"/>
        </w:rPr>
        <w:t>given the larger context of these parents’ choices</w:t>
      </w:r>
      <w:r w:rsidRPr="00D7045C">
        <w:rPr>
          <w:sz w:val="16"/>
        </w:rPr>
        <w:t xml:space="preserve">, this study provides a more nuanced understanding of how </w:t>
      </w:r>
      <w:r w:rsidRPr="00D7045C">
        <w:rPr>
          <w:b/>
          <w:u w:val="single"/>
        </w:rPr>
        <w:t xml:space="preserve">social reproduction is perpetuated through school choice policies and </w:t>
      </w:r>
      <w:r w:rsidRPr="00D7045C">
        <w:rPr>
          <w:sz w:val="16"/>
        </w:rPr>
        <w:t>how</w:t>
      </w:r>
      <w:r w:rsidRPr="00D7045C">
        <w:rPr>
          <w:b/>
          <w:u w:val="single"/>
        </w:rPr>
        <w:t xml:space="preserve"> policy makers could break that cycle.</w:t>
      </w:r>
      <w:r w:rsidRPr="00D7045C">
        <w:rPr>
          <w:rStyle w:val="apple-converted-space"/>
          <w:b/>
          <w:u w:val="single"/>
        </w:rPr>
        <w:t> </w:t>
      </w:r>
    </w:p>
    <w:p w14:paraId="75BF2075" w14:textId="77777777" w:rsidR="005A4715" w:rsidRPr="00D7045C" w:rsidRDefault="00AE4371" w:rsidP="005A4715">
      <w:pPr>
        <w:pStyle w:val="Heading2"/>
        <w:rPr>
          <w:rFonts w:cs="Times New Roman"/>
          <w:sz w:val="26"/>
        </w:rPr>
      </w:pPr>
      <w:r w:rsidRPr="00D7045C">
        <w:rPr>
          <w:rFonts w:eastAsia="Times New Roman" w:cs="Times New Roman"/>
          <w:lang w:eastAsia="zh-CN"/>
        </w:rPr>
        <w:t xml:space="preserve"> Affirmative </w:t>
      </w:r>
      <w:r w:rsidR="003D049F" w:rsidRPr="00D7045C">
        <w:rPr>
          <w:rFonts w:eastAsia="Times New Roman" w:cs="Times New Roman"/>
          <w:lang w:eastAsia="zh-CN"/>
        </w:rPr>
        <w:t xml:space="preserve">– </w:t>
      </w:r>
      <w:r w:rsidRPr="00D7045C">
        <w:rPr>
          <w:rFonts w:eastAsia="Times New Roman" w:cs="Times New Roman"/>
          <w:lang w:eastAsia="zh-CN"/>
        </w:rPr>
        <w:t xml:space="preserve">A.T. – </w:t>
      </w:r>
      <w:r w:rsidR="003D049F" w:rsidRPr="00D7045C">
        <w:rPr>
          <w:rFonts w:eastAsia="Times New Roman" w:cs="Times New Roman"/>
          <w:lang w:eastAsia="zh-CN"/>
        </w:rPr>
        <w:t>Off C</w:t>
      </w:r>
      <w:r w:rsidR="005A4715" w:rsidRPr="00D7045C">
        <w:rPr>
          <w:rFonts w:eastAsia="Times New Roman" w:cs="Times New Roman"/>
          <w:lang w:eastAsia="zh-CN"/>
        </w:rPr>
        <w:t>ase</w:t>
      </w:r>
    </w:p>
    <w:p w14:paraId="404D2722" w14:textId="77777777" w:rsidR="005A4715" w:rsidRPr="00D7045C" w:rsidRDefault="00AE4371" w:rsidP="005A4715">
      <w:pPr>
        <w:pStyle w:val="Heading3"/>
        <w:rPr>
          <w:rFonts w:cs="Times New Roman"/>
        </w:rPr>
      </w:pPr>
      <w:r w:rsidRPr="00D7045C">
        <w:rPr>
          <w:rFonts w:cs="Times New Roman"/>
        </w:rPr>
        <w:t>A.T.</w:t>
      </w:r>
      <w:r w:rsidR="003D049F" w:rsidRPr="00D7045C">
        <w:rPr>
          <w:rFonts w:cs="Times New Roman"/>
        </w:rPr>
        <w:t xml:space="preserve"> – S</w:t>
      </w:r>
      <w:r w:rsidR="005A4715" w:rsidRPr="00D7045C">
        <w:rPr>
          <w:rFonts w:cs="Times New Roman"/>
        </w:rPr>
        <w:t>tates</w:t>
      </w:r>
      <w:r w:rsidR="003D049F" w:rsidRPr="00D7045C">
        <w:rPr>
          <w:rFonts w:cs="Times New Roman"/>
        </w:rPr>
        <w:t xml:space="preserve"> CP</w:t>
      </w:r>
    </w:p>
    <w:p w14:paraId="6AE31C4A" w14:textId="77777777" w:rsidR="00633411" w:rsidRPr="00D7045C" w:rsidRDefault="00633411" w:rsidP="00633411">
      <w:pPr>
        <w:pStyle w:val="Heading4"/>
        <w:rPr>
          <w:rFonts w:cs="Times New Roman"/>
        </w:rPr>
      </w:pPr>
      <w:r w:rsidRPr="00D7045C">
        <w:rPr>
          <w:rFonts w:cs="Times New Roman"/>
        </w:rPr>
        <w:t xml:space="preserve">Local Governments fail to resolve segregation by housing – Federal solutions are key </w:t>
      </w:r>
    </w:p>
    <w:p w14:paraId="25C13407" w14:textId="77777777" w:rsidR="00633411" w:rsidRPr="00D7045C" w:rsidRDefault="00633411" w:rsidP="00633411">
      <w:pPr>
        <w:rPr>
          <w:rFonts w:eastAsia="Times New Roman"/>
          <w:sz w:val="16"/>
          <w:lang w:eastAsia="zh-CN"/>
        </w:rPr>
      </w:pPr>
      <w:r w:rsidRPr="00D7045C">
        <w:rPr>
          <w:rStyle w:val="Style13ptBold"/>
        </w:rPr>
        <w:t xml:space="preserve">Boyack 17 (AJ, Prof. of law at Washburn University, Masters in law from Tufts, May 25 2017, “Limiting the Collective Right to Exclude,” </w:t>
      </w:r>
      <w:hyperlink r:id="rId60" w:history="1">
        <w:r w:rsidRPr="00D7045C">
          <w:rPr>
            <w:rStyle w:val="Hyperlink"/>
            <w:sz w:val="26"/>
          </w:rPr>
          <w:t>https://papers.ssrn.com/sol3/papers.cfm?abstract_id=2973417)</w:t>
        </w:r>
      </w:hyperlink>
      <w:r w:rsidRPr="00D7045C">
        <w:rPr>
          <w:rStyle w:val="Style13ptBold"/>
        </w:rPr>
        <w:t xml:space="preserve"> AL </w:t>
      </w:r>
      <w:r w:rsidRPr="00D7045C">
        <w:rPr>
          <w:sz w:val="16"/>
        </w:rPr>
        <w:br/>
        <w:t>The federal government passed the Fair Housing Act in 1968, pursuant to which all Housing and Urban Development ("HUD") aid recipients were affirmatively required to "further fair housing."</w:t>
      </w:r>
      <w:r w:rsidRPr="00D7045C">
        <w:rPr>
          <w:rFonts w:eastAsia="Times New Roman"/>
          <w:sz w:val="16"/>
          <w:lang w:eastAsia="zh-CN"/>
        </w:rPr>
        <w:t xml:space="preserve">15 1 The precise scope of this requirement has varied during the past fifty years, as has HUD's ability and inclination to take decisive strides toward improving housing equity. In 2015, the Supreme Court upheld the concept of disparate impact as a basis for a Fair Housing Act violation, and in the aftermath of this decision, 152 HUD finalized its current "Affirmatively Furthering Fair Housing" ("AFFH") Rule. The current AFFH Rule requires states and localities to specifically test the impact of housing decisions on housing integration aspirations. 153 In 2016, Congress showed an increased willingness to address affordable housing issues, and unanimously passed the Housing Opportunities Through Modernization Act ("HOTMA"), which was signed into law by President Obama in July 2016.154 Based on these developments, as of 2015 and 2016, the fair housing pendulum appeared to be swinging toward more active federal involvement, but current uncertainties about HUD's fair housing policies in the Trump administration have tempered the hopes that the Fair Housing Act would finally "get its groove back." </w:t>
      </w:r>
      <w:r w:rsidRPr="00D7045C">
        <w:rPr>
          <w:rStyle w:val="StyleUnderline"/>
        </w:rPr>
        <w:t>The federal government plays a key role in promoting housing affordability as well</w:t>
      </w:r>
      <w:r w:rsidRPr="00D7045C">
        <w:rPr>
          <w:rStyle w:val="StyleUnderline"/>
          <w:lang w:eastAsia="zh-CN"/>
        </w:rPr>
        <w:t>.</w:t>
      </w:r>
      <w:r w:rsidRPr="00D7045C">
        <w:rPr>
          <w:rFonts w:eastAsia="Times New Roman"/>
          <w:sz w:val="16"/>
          <w:lang w:eastAsia="zh-CN"/>
        </w:rPr>
        <w:t xml:space="preserve"> HUD provides rental assistance in the form of vouchers, payable to landlords or to tenants, that attempt to bridge the gap between what lower-income renters can pay and what landlords legitimately expect to receive in rent.156 Other federal affordable housing programs, such as the low-income housing tax credit ("LIHTC") and various development grants, attempt to grow the supply of affordable housing.157 One problem with federal affordable housing efforts is that they historically have been concerned with quantity of housing rather than the location of affordable units. 158 Because housing funds have historically been allocated without affirmatively considering the optimum location for affordable housing, and because of the effectiveness of community exclusions described above, most affordable housing is located in highpoverty neighborhoods. 15 9 Another problem with federal affordable housing funding is that the aid provided is hugely insufficient to meet needs.160 Insufficient funding means that housing assistance ends up being allocated based either on political judgments regarding merit or even on sheer luck. 161 </w:t>
      </w:r>
      <w:r w:rsidRPr="00D7045C">
        <w:rPr>
          <w:rStyle w:val="StyleUnderline"/>
          <w:lang w:eastAsia="zh-CN"/>
        </w:rPr>
        <w:t>Even though the federal government sets the tone for policy and</w:t>
      </w:r>
      <w:r w:rsidRPr="00D7045C">
        <w:rPr>
          <w:rStyle w:val="StyleUnderline"/>
        </w:rPr>
        <w:t xml:space="preserve"> </w:t>
      </w:r>
      <w:r w:rsidRPr="00D7045C">
        <w:rPr>
          <w:rStyle w:val="StyleUnderline"/>
          <w:lang w:eastAsia="zh-CN"/>
        </w:rPr>
        <w:t xml:space="preserve">provides </w:t>
      </w:r>
      <w:r w:rsidRPr="00D7045C">
        <w:rPr>
          <w:rFonts w:eastAsia="Times New Roman"/>
          <w:sz w:val="16"/>
          <w:lang w:eastAsia="zh-CN"/>
        </w:rPr>
        <w:t xml:space="preserve">much of the </w:t>
      </w:r>
      <w:r w:rsidRPr="00D7045C">
        <w:rPr>
          <w:rStyle w:val="StyleUnderline"/>
          <w:lang w:eastAsia="zh-CN"/>
        </w:rPr>
        <w:t>funding for fair and affordable housing efforts, local</w:t>
      </w:r>
      <w:r w:rsidRPr="00D7045C">
        <w:rPr>
          <w:rStyle w:val="StyleUnderline"/>
        </w:rPr>
        <w:t xml:space="preserve"> </w:t>
      </w:r>
      <w:r w:rsidRPr="00D7045C">
        <w:rPr>
          <w:rStyle w:val="StyleUnderline"/>
          <w:lang w:eastAsia="zh-CN"/>
        </w:rPr>
        <w:t>governments continue to control almost all of the nation's land-use</w:t>
      </w:r>
      <w:r w:rsidRPr="00D7045C">
        <w:rPr>
          <w:rStyle w:val="StyleUnderline"/>
        </w:rPr>
        <w:t xml:space="preserve"> </w:t>
      </w:r>
      <w:r w:rsidRPr="00D7045C">
        <w:rPr>
          <w:rStyle w:val="StyleUnderline"/>
          <w:lang w:eastAsia="zh-CN"/>
        </w:rPr>
        <w:t>decisions.</w:t>
      </w:r>
      <w:r w:rsidRPr="00D7045C">
        <w:rPr>
          <w:rFonts w:eastAsia="Times New Roman"/>
          <w:sz w:val="16"/>
          <w:lang w:eastAsia="zh-CN"/>
        </w:rPr>
        <w:t xml:space="preserve"> In this role, </w:t>
      </w:r>
      <w:r w:rsidRPr="00D7045C">
        <w:rPr>
          <w:rStyle w:val="StyleUnderline"/>
          <w:lang w:eastAsia="zh-CN"/>
        </w:rPr>
        <w:t>local governments regulate the placement,</w:t>
      </w:r>
      <w:r w:rsidRPr="00D7045C">
        <w:rPr>
          <w:rStyle w:val="StyleUnderline"/>
        </w:rPr>
        <w:t xml:space="preserve"> </w:t>
      </w:r>
      <w:r w:rsidRPr="00D7045C">
        <w:rPr>
          <w:rStyle w:val="StyleUnderline"/>
          <w:lang w:eastAsia="zh-CN"/>
        </w:rPr>
        <w:t>allocation, and approach to housing production and neighborhood</w:t>
      </w:r>
      <w:r w:rsidRPr="00D7045C">
        <w:rPr>
          <w:rStyle w:val="StyleUnderline"/>
        </w:rPr>
        <w:t xml:space="preserve"> </w:t>
      </w:r>
      <w:r w:rsidRPr="00D7045C">
        <w:rPr>
          <w:rStyle w:val="StyleUnderline"/>
          <w:lang w:eastAsia="zh-CN"/>
        </w:rPr>
        <w:t>design</w:t>
      </w:r>
      <w:r w:rsidRPr="00D7045C">
        <w:rPr>
          <w:rFonts w:eastAsia="Times New Roman"/>
          <w:sz w:val="16"/>
          <w:lang w:eastAsia="zh-CN"/>
        </w:rPr>
        <w:t xml:space="preserve">. 162 Although local governments purport to promote affordable housing production and housing integration, almost </w:t>
      </w:r>
      <w:r w:rsidRPr="00D7045C">
        <w:rPr>
          <w:rStyle w:val="StyleUnderline"/>
          <w:lang w:eastAsia="zh-CN"/>
        </w:rPr>
        <w:t>fifty years of local</w:t>
      </w:r>
      <w:r w:rsidRPr="00D7045C">
        <w:rPr>
          <w:rStyle w:val="StyleUnderline"/>
        </w:rPr>
        <w:t xml:space="preserve"> </w:t>
      </w:r>
      <w:r w:rsidRPr="00D7045C">
        <w:rPr>
          <w:rStyle w:val="StyleUnderline"/>
          <w:lang w:eastAsia="zh-CN"/>
        </w:rPr>
        <w:t>government action under the Fair Housing Act has failed to alleviate</w:t>
      </w:r>
      <w:r w:rsidRPr="00D7045C">
        <w:rPr>
          <w:rStyle w:val="StyleUnderline"/>
        </w:rPr>
        <w:t xml:space="preserve"> </w:t>
      </w:r>
      <w:r w:rsidRPr="00D7045C">
        <w:rPr>
          <w:rStyle w:val="StyleUnderline"/>
          <w:lang w:eastAsia="zh-CN"/>
        </w:rPr>
        <w:t>housing inequities and unaffordability</w:t>
      </w:r>
      <w:r w:rsidRPr="00D7045C">
        <w:rPr>
          <w:rFonts w:eastAsia="Times New Roman"/>
          <w:sz w:val="16"/>
          <w:lang w:eastAsia="zh-CN"/>
        </w:rPr>
        <w:t xml:space="preserve">. 163 It seems as though </w:t>
      </w:r>
      <w:r w:rsidRPr="00D7045C">
        <w:rPr>
          <w:rStyle w:val="Emphasis"/>
          <w:lang w:eastAsia="zh-CN"/>
        </w:rPr>
        <w:t>unconstrained</w:t>
      </w:r>
      <w:r w:rsidRPr="00D7045C">
        <w:rPr>
          <w:rStyle w:val="Emphasis"/>
        </w:rPr>
        <w:t xml:space="preserve"> </w:t>
      </w:r>
      <w:r w:rsidRPr="00D7045C">
        <w:rPr>
          <w:rStyle w:val="Emphasis"/>
          <w:lang w:eastAsia="zh-CN"/>
        </w:rPr>
        <w:t>majority-rule local government control of land use in our pluralistic society</w:t>
      </w:r>
      <w:r w:rsidRPr="00D7045C">
        <w:rPr>
          <w:rStyle w:val="Emphasis"/>
        </w:rPr>
        <w:t xml:space="preserve"> </w:t>
      </w:r>
      <w:r w:rsidRPr="00D7045C">
        <w:rPr>
          <w:rStyle w:val="Emphasis"/>
          <w:lang w:eastAsia="zh-CN"/>
        </w:rPr>
        <w:t>inhibits a sustainable housing system from developing naturally</w:t>
      </w:r>
      <w:r w:rsidRPr="00D7045C">
        <w:rPr>
          <w:rFonts w:eastAsia="Times New Roman"/>
          <w:sz w:val="16"/>
          <w:lang w:eastAsia="zh-CN"/>
        </w:rPr>
        <w:t xml:space="preserve"> (legislatively). </w:t>
      </w:r>
      <w:r w:rsidRPr="00D7045C">
        <w:rPr>
          <w:rStyle w:val="StyleUnderline"/>
          <w:lang w:eastAsia="zh-CN"/>
        </w:rPr>
        <w:t>Even if local governments accurately do express the desires</w:t>
      </w:r>
      <w:r w:rsidRPr="00D7045C">
        <w:rPr>
          <w:rStyle w:val="StyleUnderline"/>
        </w:rPr>
        <w:t xml:space="preserve"> </w:t>
      </w:r>
      <w:r w:rsidRPr="00D7045C">
        <w:rPr>
          <w:rStyle w:val="StyleUnderline"/>
          <w:lang w:eastAsia="zh-CN"/>
        </w:rPr>
        <w:t>of their constituents, homeowners typically vote their pocketbook over</w:t>
      </w:r>
      <w:r w:rsidRPr="00D7045C">
        <w:rPr>
          <w:rStyle w:val="StyleUnderline"/>
        </w:rPr>
        <w:t xml:space="preserve"> </w:t>
      </w:r>
      <w:r w:rsidRPr="00D7045C">
        <w:rPr>
          <w:rStyle w:val="StyleUnderline"/>
          <w:lang w:eastAsia="zh-CN"/>
        </w:rPr>
        <w:t>what may be in society's best interests for the production and placement of</w:t>
      </w:r>
      <w:r w:rsidRPr="00D7045C">
        <w:rPr>
          <w:rStyle w:val="StyleUnderline"/>
        </w:rPr>
        <w:t xml:space="preserve"> </w:t>
      </w:r>
      <w:r w:rsidRPr="00D7045C">
        <w:rPr>
          <w:rStyle w:val="StyleUnderline"/>
          <w:lang w:eastAsia="zh-CN"/>
        </w:rPr>
        <w:t>affordable housing</w:t>
      </w:r>
      <w:r w:rsidRPr="00D7045C">
        <w:rPr>
          <w:rFonts w:eastAsia="Times New Roman"/>
          <w:sz w:val="16"/>
          <w:lang w:eastAsia="zh-CN"/>
        </w:rPr>
        <w:t xml:space="preserve">. A collective right to exclude through zoning and restrictive covenants essentially creates a legally enforced monopoly on housing affordability. Homeowners can avoid the collective action problem that would undermine un-coordinated efforts to fix the prices of housing by limiting supply and excluding certain types of residences and residents because they can act as collectively. 164 </w:t>
      </w:r>
      <w:r w:rsidRPr="00D7045C">
        <w:rPr>
          <w:rStyle w:val="StyleUnderline"/>
          <w:lang w:eastAsia="zh-CN"/>
        </w:rPr>
        <w:t>Our land use decisions are</w:t>
      </w:r>
      <w:r w:rsidRPr="00D7045C">
        <w:rPr>
          <w:rStyle w:val="StyleUnderline"/>
        </w:rPr>
        <w:t xml:space="preserve"> </w:t>
      </w:r>
      <w:r w:rsidRPr="00D7045C">
        <w:rPr>
          <w:rStyle w:val="StyleUnderline"/>
          <w:lang w:eastAsia="zh-CN"/>
        </w:rPr>
        <w:t>made by community groups who collectivel</w:t>
      </w:r>
      <w:r w:rsidRPr="00D7045C">
        <w:rPr>
          <w:rStyle w:val="StyleUnderline"/>
        </w:rPr>
        <w:t>y prioritize their insular self i</w:t>
      </w:r>
      <w:r w:rsidRPr="00D7045C">
        <w:rPr>
          <w:rStyle w:val="StyleUnderline"/>
          <w:lang w:eastAsia="zh-CN"/>
        </w:rPr>
        <w:t>nterest</w:t>
      </w:r>
      <w:r w:rsidRPr="00D7045C">
        <w:rPr>
          <w:rStyle w:val="StyleUnderline"/>
        </w:rPr>
        <w:t xml:space="preserve"> </w:t>
      </w:r>
      <w:r w:rsidRPr="00D7045C">
        <w:rPr>
          <w:rStyle w:val="StyleUnderline"/>
          <w:lang w:eastAsia="zh-CN"/>
        </w:rPr>
        <w:t>over broader state or national concerns</w:t>
      </w:r>
      <w:r w:rsidRPr="00D7045C">
        <w:rPr>
          <w:rFonts w:eastAsia="Times New Roman"/>
          <w:sz w:val="16"/>
          <w:lang w:eastAsia="zh-CN"/>
        </w:rPr>
        <w:t xml:space="preserve">. 165 For decades, scholars have recognized that a political solution to housing integration and affordability is unlikely. In the 1990s, Professor Frug postulated that </w:t>
      </w:r>
      <w:r w:rsidRPr="00D7045C">
        <w:rPr>
          <w:rStyle w:val="StyleUnderline"/>
          <w:lang w:eastAsia="zh-CN"/>
        </w:rPr>
        <w:t>"[o]nly a central government seems capable of bringing</w:t>
      </w:r>
      <w:r w:rsidRPr="00D7045C">
        <w:rPr>
          <w:rStyle w:val="StyleUnderline"/>
        </w:rPr>
        <w:t xml:space="preserve"> </w:t>
      </w:r>
      <w:r w:rsidRPr="00D7045C">
        <w:rPr>
          <w:rStyle w:val="StyleUnderline"/>
          <w:lang w:eastAsia="zh-CN"/>
        </w:rPr>
        <w:t>together the disparate groups that have grown so remote from each</w:t>
      </w:r>
      <w:r w:rsidRPr="00D7045C">
        <w:rPr>
          <w:rStyle w:val="StyleUnderline"/>
        </w:rPr>
        <w:t xml:space="preserve"> </w:t>
      </w:r>
      <w:r w:rsidRPr="00D7045C">
        <w:rPr>
          <w:rStyle w:val="StyleUnderline"/>
          <w:lang w:eastAsia="zh-CN"/>
        </w:rPr>
        <w:t>other.</w:t>
      </w:r>
      <w:r w:rsidRPr="00D7045C">
        <w:rPr>
          <w:rFonts w:eastAsia="Times New Roman"/>
          <w:sz w:val="16"/>
          <w:lang w:eastAsia="zh-CN"/>
        </w:rPr>
        <w:t>" 16 6 In his current article on the intractability of affordable housing, Professor Eagle agrees that</w:t>
      </w:r>
      <w:r w:rsidRPr="00D7045C">
        <w:rPr>
          <w:rStyle w:val="Emphasis"/>
          <w:lang w:eastAsia="zh-CN"/>
        </w:rPr>
        <w:t xml:space="preserve"> local governmental solutions are unrealistic</w:t>
      </w:r>
      <w:r w:rsidRPr="00D7045C">
        <w:rPr>
          <w:rFonts w:eastAsia="Times New Roman"/>
          <w:sz w:val="16"/>
          <w:lang w:eastAsia="zh-CN"/>
        </w:rPr>
        <w:t>. 167 Both Frug and Eagle admit, however, that a federal solution to local</w:t>
      </w:r>
      <w:r w:rsidRPr="00D7045C">
        <w:rPr>
          <w:sz w:val="16"/>
        </w:rPr>
        <w:t xml:space="preserve"> </w:t>
      </w:r>
      <w:r w:rsidRPr="00D7045C">
        <w:rPr>
          <w:rFonts w:eastAsia="Times New Roman"/>
          <w:sz w:val="16"/>
          <w:lang w:eastAsia="zh-CN"/>
        </w:rPr>
        <w:t>exclusionary policies is likewise improbable. 168 Congress has shown no desire to rein in state or municipal zoning powers, nor has it indicated any discomfort with the broad exclusionary authority exercised by common interest community governments. To date, courts have typically deferred to public and private local group decisions with respect to land use.</w:t>
      </w:r>
    </w:p>
    <w:p w14:paraId="7FF5AECE" w14:textId="05F4E279" w:rsidR="005A4715" w:rsidRPr="00D7045C" w:rsidRDefault="005A4715" w:rsidP="005A4715">
      <w:pPr>
        <w:pStyle w:val="Heading4"/>
        <w:rPr>
          <w:rFonts w:cs="Times New Roman"/>
        </w:rPr>
      </w:pPr>
      <w:r w:rsidRPr="00D7045C">
        <w:rPr>
          <w:rFonts w:cs="Times New Roman"/>
        </w:rPr>
        <w:t>State’s fail – no enforcement and more segregation</w:t>
      </w:r>
      <w:r w:rsidR="00924D59">
        <w:rPr>
          <w:rFonts w:cs="Times New Roman"/>
        </w:rPr>
        <w:t xml:space="preserve"> --</w:t>
      </w:r>
      <w:r w:rsidRPr="00D7045C">
        <w:rPr>
          <w:rFonts w:cs="Times New Roman"/>
        </w:rPr>
        <w:t xml:space="preserve"> </w:t>
      </w:r>
      <w:r w:rsidR="00E34FCD" w:rsidRPr="00D7045C">
        <w:rPr>
          <w:rFonts w:cs="Times New Roman"/>
        </w:rPr>
        <w:t>Connecticut proves</w:t>
      </w:r>
    </w:p>
    <w:p w14:paraId="0F4012DE" w14:textId="77777777" w:rsidR="005A4715" w:rsidRPr="00D7045C" w:rsidRDefault="005A4715" w:rsidP="005A4715">
      <w:pPr>
        <w:pStyle w:val="NoSpacing"/>
        <w:rPr>
          <w:rStyle w:val="Style13ptBold"/>
          <w:rFonts w:ascii="Times New Roman" w:hAnsi="Times New Roman" w:cs="Times New Roman"/>
          <w:b w:val="0"/>
        </w:rPr>
      </w:pPr>
      <w:r w:rsidRPr="00DF5184">
        <w:rPr>
          <w:rStyle w:val="Style13ptBold"/>
        </w:rPr>
        <w:t>Yergin 15</w:t>
      </w:r>
      <w:r w:rsidRPr="00D7045C">
        <w:rPr>
          <w:rStyle w:val="Style13ptBold"/>
          <w:rFonts w:ascii="Times New Roman" w:hAnsi="Times New Roman" w:cs="Times New Roman"/>
        </w:rPr>
        <w:t xml:space="preserve"> </w:t>
      </w:r>
      <w:r w:rsidRPr="00DF5184">
        <w:rPr>
          <w:sz w:val="18"/>
        </w:rPr>
        <w:t>(Rebecca, Law Clerk at Covington &amp; Burling LLP, “RETHINKING PUBLIC EDUCATION LITIGATION STRATEGY: A DUTY-BASED APPROACH TO REFORM, 115(6), pg 1578-1579) DCC</w:t>
      </w:r>
    </w:p>
    <w:p w14:paraId="28209635" w14:textId="77777777" w:rsidR="005A4715" w:rsidRPr="00D7045C" w:rsidRDefault="005A4715" w:rsidP="005A4715">
      <w:pPr>
        <w:pStyle w:val="NoSpacing"/>
        <w:rPr>
          <w:rFonts w:ascii="Times New Roman" w:hAnsi="Times New Roman" w:cs="Times New Roman"/>
          <w:u w:val="single"/>
        </w:rPr>
      </w:pPr>
      <w:r w:rsidRPr="00D7045C">
        <w:rPr>
          <w:rFonts w:ascii="Times New Roman" w:hAnsi="Times New Roman" w:cs="Times New Roman"/>
          <w:sz w:val="16"/>
        </w:rPr>
        <w:t xml:space="preserve">Reflecting limitations of the Horton and Sheff remedies, major litigation to improve Connecticut's public education system continues today with Connecticut Coalition for Justice in Education Funding, Inc. v. Reil. school-funding lawsuit based on an adequacy theory, the case was filed in 2005 to challenge Connecticut's "arbitrary and inadequate funding system." Plaintiffs claimed that </w:t>
      </w:r>
      <w:r w:rsidRPr="00D7045C">
        <w:rPr>
          <w:rFonts w:ascii="Times New Roman" w:hAnsi="Times New Roman" w:cs="Times New Roman"/>
          <w:u w:val="single"/>
        </w:rPr>
        <w:t>the state failed to provide a variety of resources to children in cities like Hartford, New Haven,</w:t>
      </w:r>
      <w:r w:rsidRPr="00D7045C">
        <w:rPr>
          <w:rFonts w:ascii="Times New Roman" w:hAnsi="Times New Roman" w:cs="Times New Roman"/>
          <w:sz w:val="16"/>
        </w:rPr>
        <w:t xml:space="preserve"> and They also argued that the </w:t>
      </w:r>
      <w:r w:rsidRPr="00D7045C">
        <w:rPr>
          <w:rFonts w:ascii="Times New Roman" w:hAnsi="Times New Roman" w:cs="Times New Roman"/>
          <w:u w:val="single"/>
        </w:rPr>
        <w:t>state's failure to remedy inadequate resource allocation resulted in great disparities in performance outcomes and life opportunities between students in their home districts and those in wealthy districts</w:t>
      </w:r>
      <w:r w:rsidRPr="00D7045C">
        <w:rPr>
          <w:rFonts w:ascii="Times New Roman" w:hAnsi="Times New Roman" w:cs="Times New Roman"/>
          <w:sz w:val="16"/>
        </w:rPr>
        <w:t xml:space="preserve">. In 2010, the Connecticut Supreme Court reaffirmed the guarantees of Horton and Sheff and reasoned that the state constitution also requires "a particular minimum quality of education.” Citing a decision from the New York courts, a plurality opinion in Connecticut outlined "'essen- tial' components" of an "adequate" education, including guidelines for physical facilities, learning materials, teaching materials, and personnel training. </w:t>
      </w:r>
      <w:r w:rsidRPr="00D7045C">
        <w:rPr>
          <w:rFonts w:ascii="Times New Roman" w:hAnsi="Times New Roman" w:cs="Times New Roman"/>
          <w:u w:val="single"/>
        </w:rPr>
        <w:t>The court</w:t>
      </w:r>
      <w:r w:rsidRPr="00D7045C">
        <w:rPr>
          <w:rFonts w:ascii="Times New Roman" w:hAnsi="Times New Roman" w:cs="Times New Roman"/>
          <w:sz w:val="16"/>
        </w:rPr>
        <w:t xml:space="preserve"> remanded the case to the lower courts to deter- mine whether Connecticut was providing an adequate education. The trial date was originally January 6, 2015, but has been postponed. Although the scope of the right to an adequate education remains in flux, the court has </w:t>
      </w:r>
      <w:r w:rsidRPr="00D7045C">
        <w:rPr>
          <w:rFonts w:ascii="Times New Roman" w:hAnsi="Times New Roman" w:cs="Times New Roman"/>
          <w:u w:val="single"/>
        </w:rPr>
        <w:t>established such a guarantee and will likely use it as a framework for determining whether Connecticut's current funding system is unconstitutional</w:t>
      </w:r>
      <w:r w:rsidRPr="00D7045C">
        <w:rPr>
          <w:rFonts w:ascii="Times New Roman" w:hAnsi="Times New Roman" w:cs="Times New Roman"/>
          <w:sz w:val="16"/>
        </w:rPr>
        <w:t xml:space="preserve">. The Connecticut cases, like many early desegregation and school- finance lawsuits, helped eliminate some of the most egregious barriers to educational opportunity, but a singular focus on segregation or school finance fails to address the myriad of other factors that perpetuate the achievement gap. At the national level, public law litigation helped eradicate overt segregation and grave funding disparities. In the South, laws no longer assign students based on their race to attend separate schools, and </w:t>
      </w:r>
      <w:r w:rsidRPr="00D7045C">
        <w:rPr>
          <w:rFonts w:ascii="Times New Roman" w:hAnsi="Times New Roman" w:cs="Times New Roman"/>
          <w:u w:val="single"/>
        </w:rPr>
        <w:t>most states recognize that too great a reliance on local property taxes can result in significant differences in educational quality.</w:t>
      </w:r>
    </w:p>
    <w:p w14:paraId="2E247021" w14:textId="77777777" w:rsidR="002D5090" w:rsidRDefault="002D5090" w:rsidP="002D5090">
      <w:pPr>
        <w:pStyle w:val="Heading4"/>
      </w:pPr>
      <w:r>
        <w:t>Risks of a federated regionalism approach outweigh benefits—perm is the only option in a regional approach</w:t>
      </w:r>
    </w:p>
    <w:p w14:paraId="46EE795B" w14:textId="77777777" w:rsidR="002D5090" w:rsidRPr="003565F9" w:rsidRDefault="002D5090" w:rsidP="002D5090">
      <w:r w:rsidRPr="009F3837">
        <w:rPr>
          <w:rStyle w:val="Style13ptBold"/>
        </w:rPr>
        <w:t>Powell 16</w:t>
      </w:r>
      <w:r>
        <w:t xml:space="preserve"> (John A., PhD., prof of ethnic studies at Berkeley, “Race and Space: What really drives Metropolitan Growth,” Brookings Review, pp.20-22, </w:t>
      </w:r>
      <w:hyperlink r:id="rId61" w:history="1">
        <w:r w:rsidRPr="009B6524">
          <w:rPr>
            <w:rStyle w:val="Hyperlink"/>
          </w:rPr>
          <w:t>https://www.brookings.edu/wp-content/uploads/2016/06/powell.pdf</w:t>
        </w:r>
      </w:hyperlink>
      <w:r>
        <w:t>)KC</w:t>
      </w:r>
    </w:p>
    <w:p w14:paraId="45B269F5" w14:textId="77777777" w:rsidR="002D5090" w:rsidRDefault="002D5090" w:rsidP="002D5090">
      <w:pPr>
        <w:rPr>
          <w:rStyle w:val="StyleUnderline"/>
        </w:rPr>
      </w:pPr>
      <w:r>
        <w:t>A federated approach recognizes t he regional nature of racial and economic segregat ion and provides a solut ion that integrat es regional policymaking wit h local governance. An example is t axbase sharing, which, as pract iced in Minnesot a’s Twin Cit ies, dist ribut es t he regional t ax base according t o regional needs wit hout compromising local int erest s. Each cit y is allocated a cert ain share of t he regional t ax base but cont rols t he tax rat e for it s resident s, thereby maint aining aut horit y and discret ion over local issues. Anot her example is Port land’s regional housing strat egy. There, t he regional governing body set s requirement s for aff ordable housing, but municipalit ies maint ain responsibilit y for zoning and how t hey choose t o meet their share of t he regional housing need</w:t>
      </w:r>
      <w:r w:rsidRPr="003565F9">
        <w:rPr>
          <w:rStyle w:val="Emphasis"/>
        </w:rPr>
        <w:t xml:space="preserve">. </w:t>
      </w:r>
      <w:r>
        <w:rPr>
          <w:rStyle w:val="Emphasis"/>
        </w:rPr>
        <w:t>While strat</w:t>
      </w:r>
      <w:r w:rsidRPr="003565F9">
        <w:rPr>
          <w:rStyle w:val="Emphasis"/>
        </w:rPr>
        <w:t xml:space="preserve">egies of federat ed regionalism </w:t>
      </w:r>
      <w:r w:rsidRPr="003565F9">
        <w:t>such as those noted above</w:t>
      </w:r>
      <w:r w:rsidRPr="003565F9">
        <w:rPr>
          <w:rStyle w:val="Emphasis"/>
        </w:rPr>
        <w:t xml:space="preserve"> can provide a balance bet ween local governance and regional concerns, not all federat ed st rat egies st rike t hat balance. Those t hat fail t o do so can actually perpetuate reg</w:t>
      </w:r>
      <w:r>
        <w:rPr>
          <w:rStyle w:val="Emphasis"/>
        </w:rPr>
        <w:t>ional fragmentatio</w:t>
      </w:r>
      <w:r w:rsidRPr="003565F9">
        <w:rPr>
          <w:rStyle w:val="Emphasis"/>
        </w:rPr>
        <w:t>n.</w:t>
      </w:r>
      <w:r>
        <w:t xml:space="preserve"> </w:t>
      </w:r>
      <w:r>
        <w:rPr>
          <w:rStyle w:val="StyleUnderline"/>
        </w:rPr>
        <w:t>A n examp</w:t>
      </w:r>
      <w:r w:rsidRPr="003565F9">
        <w:rPr>
          <w:rStyle w:val="StyleUnderline"/>
        </w:rPr>
        <w:t xml:space="preserve">le is Indianapolis’s Uni-Gov, which made regional many areas of governance but left t he schools under </w:t>
      </w:r>
      <w:r>
        <w:rPr>
          <w:rStyle w:val="StyleUnderline"/>
        </w:rPr>
        <w:t>existing local segregat</w:t>
      </w:r>
      <w:r w:rsidRPr="003565F9">
        <w:rPr>
          <w:rStyle w:val="StyleUnderline"/>
        </w:rPr>
        <w:t xml:space="preserve">ed boundaries. The ideal balance bet ween “ local” and “ federat ed” must be responsive to concerns of communit ies of color </w:t>
      </w:r>
      <w:r>
        <w:rPr>
          <w:rStyle w:val="StyleUnderline"/>
        </w:rPr>
        <w:t>and t</w:t>
      </w:r>
      <w:r w:rsidRPr="003565F9">
        <w:rPr>
          <w:rStyle w:val="StyleUnderline"/>
        </w:rPr>
        <w:t>he problems of concent rat ed povert y.</w:t>
      </w:r>
      <w:r>
        <w:t xml:space="preserve"> It is critical that racial minorit ies part icipat e in t he effort t o st rike t hat balance. </w:t>
      </w:r>
      <w:r>
        <w:rPr>
          <w:rStyle w:val="Emphasis"/>
        </w:rPr>
        <w:t>Minorities have cause t</w:t>
      </w:r>
      <w:r w:rsidRPr="003565F9">
        <w:rPr>
          <w:rStyle w:val="Emphasis"/>
        </w:rPr>
        <w:t>o be wary of regional solut ions t o t he problems of segregation and concent rat ed povert y. What lit t le polit ical power t hey wield seems at risk of dilution if regionalism further fragments t heir communit ies</w:t>
      </w:r>
      <w:r w:rsidRPr="003565F9">
        <w:rPr>
          <w:rStyle w:val="StyleUnderline"/>
        </w:rPr>
        <w:t xml:space="preserve">. In searching for regional </w:t>
      </w:r>
      <w:r>
        <w:rPr>
          <w:rStyle w:val="StyleUnderline"/>
        </w:rPr>
        <w:t>strat</w:t>
      </w:r>
      <w:r w:rsidRPr="003565F9">
        <w:rPr>
          <w:rStyle w:val="StyleUnderline"/>
        </w:rPr>
        <w:t>egies,</w:t>
      </w:r>
      <w:r>
        <w:rPr>
          <w:rStyle w:val="StyleUnderline"/>
        </w:rPr>
        <w:t xml:space="preserve"> we must steer between t wo ext</w:t>
      </w:r>
      <w:r w:rsidRPr="003565F9">
        <w:rPr>
          <w:rStyle w:val="StyleUnderline"/>
        </w:rPr>
        <w:t>remes.</w:t>
      </w:r>
      <w:r>
        <w:t xml:space="preserve"> </w:t>
      </w:r>
      <w:r>
        <w:rPr>
          <w:rStyle w:val="StyleUnderline"/>
        </w:rPr>
        <w:t>One is to be so jealous of local control as t</w:t>
      </w:r>
      <w:r w:rsidRPr="003565F9">
        <w:rPr>
          <w:rStyle w:val="StyleUnderline"/>
        </w:rPr>
        <w:t>o preserve political and cul</w:t>
      </w:r>
      <w:r>
        <w:rPr>
          <w:rStyle w:val="StyleUnderline"/>
        </w:rPr>
        <w:t>tural control, but in areas t</w:t>
      </w:r>
      <w:r w:rsidRPr="003565F9">
        <w:rPr>
          <w:rStyle w:val="StyleUnderline"/>
        </w:rPr>
        <w:t>hat are isolated and</w:t>
      </w:r>
      <w:r>
        <w:rPr>
          <w:rStyle w:val="StyleUnderline"/>
        </w:rPr>
        <w:t xml:space="preserve"> st</w:t>
      </w:r>
      <w:r w:rsidRPr="003565F9">
        <w:rPr>
          <w:rStyle w:val="StyleUnderline"/>
        </w:rPr>
        <w:t xml:space="preserve">arved of economic resources. The </w:t>
      </w:r>
      <w:r>
        <w:rPr>
          <w:rStyle w:val="StyleUnderline"/>
        </w:rPr>
        <w:t>other ext</w:t>
      </w:r>
      <w:r w:rsidRPr="003565F9">
        <w:rPr>
          <w:rStyle w:val="StyleUnderline"/>
        </w:rPr>
        <w:t>reme is a r</w:t>
      </w:r>
      <w:r>
        <w:rPr>
          <w:rStyle w:val="StyleUnderline"/>
        </w:rPr>
        <w:t>egionalism that offers access t</w:t>
      </w:r>
      <w:r w:rsidRPr="003565F9">
        <w:rPr>
          <w:rStyle w:val="StyleUnderline"/>
        </w:rPr>
        <w:t xml:space="preserve">o resources at the cost of a stifled political voice and </w:t>
      </w:r>
      <w:r>
        <w:rPr>
          <w:rStyle w:val="StyleUnderline"/>
        </w:rPr>
        <w:t>cultural assimilation or marginalizat</w:t>
      </w:r>
      <w:r w:rsidRPr="003565F9">
        <w:rPr>
          <w:rStyle w:val="StyleUnderline"/>
        </w:rPr>
        <w:t>ion.</w:t>
      </w:r>
      <w:r>
        <w:t xml:space="preserve"> </w:t>
      </w:r>
      <w:r w:rsidRPr="003565F9">
        <w:rPr>
          <w:rStyle w:val="StyleUnderline"/>
        </w:rPr>
        <w:t xml:space="preserve">We need a </w:t>
      </w:r>
      <w:r>
        <w:rPr>
          <w:rStyle w:val="StyleUnderline"/>
        </w:rPr>
        <w:t>met</w:t>
      </w:r>
      <w:r w:rsidRPr="003565F9">
        <w:rPr>
          <w:rStyle w:val="StyleUnderline"/>
        </w:rPr>
        <w:t>ropolit an approach t hat addresses bot h the econ</w:t>
      </w:r>
      <w:r>
        <w:rPr>
          <w:rStyle w:val="StyleUnderline"/>
        </w:rPr>
        <w:t>omic and concentrated-povert</w:t>
      </w:r>
      <w:r w:rsidRPr="003565F9">
        <w:rPr>
          <w:rStyle w:val="StyleUnderline"/>
        </w:rPr>
        <w:t xml:space="preserve">y issues of the </w:t>
      </w:r>
      <w:r>
        <w:rPr>
          <w:rStyle w:val="StyleUnderline"/>
        </w:rPr>
        <w:t>central core while respecting the right to effect</w:t>
      </w:r>
      <w:r w:rsidRPr="003565F9">
        <w:rPr>
          <w:rStyle w:val="StyleUnderline"/>
        </w:rPr>
        <w:t xml:space="preserve">ive </w:t>
      </w:r>
      <w:r>
        <w:rPr>
          <w:rStyle w:val="StyleUnderline"/>
        </w:rPr>
        <w:t>participation in political and cultural institut</w:t>
      </w:r>
      <w:r w:rsidRPr="003565F9">
        <w:rPr>
          <w:rStyle w:val="StyleUnderline"/>
        </w:rPr>
        <w:t>ions. Tension</w:t>
      </w:r>
      <w:r>
        <w:rPr>
          <w:rStyle w:val="StyleUnderline"/>
        </w:rPr>
        <w:t>s bet ween local concerns and t</w:t>
      </w:r>
      <w:r w:rsidRPr="003565F9">
        <w:rPr>
          <w:rStyle w:val="StyleUnderline"/>
        </w:rPr>
        <w:t xml:space="preserve">he needs </w:t>
      </w:r>
      <w:r>
        <w:rPr>
          <w:rStyle w:val="StyleUnderline"/>
        </w:rPr>
        <w:t>of t</w:t>
      </w:r>
      <w:r w:rsidRPr="003565F9">
        <w:rPr>
          <w:rStyle w:val="StyleUnderline"/>
        </w:rPr>
        <w:t xml:space="preserve">he whole </w:t>
      </w:r>
      <w:r>
        <w:rPr>
          <w:rStyle w:val="StyleUnderline"/>
        </w:rPr>
        <w:t>metropolitan region are healt</w:t>
      </w:r>
      <w:r w:rsidRPr="003565F9">
        <w:rPr>
          <w:rStyle w:val="StyleUnderline"/>
        </w:rPr>
        <w:t xml:space="preserve">hy. </w:t>
      </w:r>
      <w:r>
        <w:rPr>
          <w:rStyle w:val="StyleUnderline"/>
        </w:rPr>
        <w:t>St</w:t>
      </w:r>
      <w:r w:rsidRPr="003565F9">
        <w:rPr>
          <w:rStyle w:val="StyleUnderline"/>
        </w:rPr>
        <w:t>ructu</w:t>
      </w:r>
      <w:r>
        <w:rPr>
          <w:rStyle w:val="StyleUnderline"/>
        </w:rPr>
        <w:t>ring t hese tensions in a way that leads t</w:t>
      </w:r>
      <w:r w:rsidRPr="003565F9">
        <w:rPr>
          <w:rStyle w:val="StyleUnderline"/>
        </w:rPr>
        <w:t xml:space="preserve">o </w:t>
      </w:r>
      <w:r>
        <w:rPr>
          <w:rStyle w:val="StyleUnderline"/>
        </w:rPr>
        <w:t>true democratic cooperation in metropolit</w:t>
      </w:r>
      <w:r w:rsidRPr="003565F9">
        <w:rPr>
          <w:rStyle w:val="StyleUnderline"/>
        </w:rPr>
        <w:t>an planning—cooperat</w:t>
      </w:r>
      <w:r>
        <w:rPr>
          <w:rStyle w:val="StyleUnderline"/>
        </w:rPr>
        <w:t>ion that t</w:t>
      </w:r>
      <w:r w:rsidRPr="003565F9">
        <w:rPr>
          <w:rStyle w:val="StyleUnderline"/>
        </w:rPr>
        <w:t>ranscends racial polarizat</w:t>
      </w:r>
      <w:r>
        <w:rPr>
          <w:rStyle w:val="StyleUnderline"/>
        </w:rPr>
        <w:t>ion—is t</w:t>
      </w:r>
      <w:r w:rsidRPr="003565F9">
        <w:rPr>
          <w:rStyle w:val="StyleUnderline"/>
        </w:rPr>
        <w:t>he challenge.</w:t>
      </w:r>
    </w:p>
    <w:p w14:paraId="0AE65276" w14:textId="77777777" w:rsidR="00C67A40" w:rsidRDefault="00C67A40" w:rsidP="00C67A40">
      <w:pPr>
        <w:pStyle w:val="Heading4"/>
      </w:pPr>
      <w:r>
        <w:t xml:space="preserve">Their author concedes that federated regionalism has empirically failed to represent the interests of minority and poor communities – their model of governance fails in the context of public education </w:t>
      </w:r>
    </w:p>
    <w:p w14:paraId="40F6254D" w14:textId="77777777" w:rsidR="00C67A40" w:rsidRDefault="00C67A40" w:rsidP="00C67A40">
      <w:r w:rsidRPr="00310AD1">
        <w:rPr>
          <w:rStyle w:val="Style13ptBold"/>
        </w:rPr>
        <w:t>Wilson</w:t>
      </w:r>
      <w:r>
        <w:t xml:space="preserve"> </w:t>
      </w:r>
      <w:r w:rsidRPr="00310AD1">
        <w:rPr>
          <w:rStyle w:val="Style13ptBold"/>
        </w:rPr>
        <w:t>14</w:t>
      </w:r>
      <w:r w:rsidRPr="00477F44">
        <w:t xml:space="preserve"> (Erika K., J.D. from UCLA School of Law, "Toward a Theory of Equiable Federated Regionalism in Public Education", UCLA  Law Review, 61:1416)</w:t>
      </w:r>
      <w:r>
        <w:t xml:space="preserve"> mlm </w:t>
      </w:r>
    </w:p>
    <w:p w14:paraId="3E01C9CC" w14:textId="77777777" w:rsidR="00C67A40" w:rsidRPr="002A5450" w:rsidRDefault="00C67A40" w:rsidP="00C67A40">
      <w:pPr>
        <w:rPr>
          <w:sz w:val="16"/>
        </w:rPr>
      </w:pPr>
      <w:r w:rsidRPr="002A5450">
        <w:rPr>
          <w:sz w:val="16"/>
        </w:rPr>
        <w:t xml:space="preserve">Nevertheless, despite their successes, as other scholars have noted, </w:t>
      </w:r>
      <w:r w:rsidRPr="002A5450">
        <w:rPr>
          <w:u w:val="single"/>
        </w:rPr>
        <w:t>they also have a number of practical challenges that limit their overall effectiveness</w:t>
      </w:r>
      <w:r w:rsidRPr="002A5450">
        <w:rPr>
          <w:sz w:val="16"/>
        </w:rPr>
        <w:t xml:space="preserve">. First, their </w:t>
      </w:r>
      <w:r w:rsidRPr="002A5450">
        <w:rPr>
          <w:u w:val="single"/>
        </w:rPr>
        <w:t>scope is often limited</w:t>
      </w:r>
      <w:r w:rsidRPr="002A5450">
        <w:rPr>
          <w:sz w:val="16"/>
        </w:rPr>
        <w:t xml:space="preserve">.288 </w:t>
      </w:r>
      <w:r w:rsidRPr="002A5450">
        <w:rPr>
          <w:u w:val="single"/>
        </w:rPr>
        <w:t>They serve a small number of students relative to the number of students in the metropolitan areas in which they operate.289 These programs also lack governing bodies with proportionate representation and with the authority to make policy decisions beyond the desegregation goal of the districts</w:t>
      </w:r>
      <w:r w:rsidRPr="002A5450">
        <w:rPr>
          <w:sz w:val="16"/>
        </w:rPr>
        <w:t xml:space="preserve">.5 For example, </w:t>
      </w:r>
      <w:r w:rsidRPr="002A5450">
        <w:rPr>
          <w:u w:val="single"/>
        </w:rPr>
        <w:t xml:space="preserve">the desegregation programs in Hartford, Connecticut, and Minneapolis, Minnesota, have regional governing bodies that consist of one representative from the participating school districts without regard for the size of various districts that make up the regionalist governing bodies.291 </w:t>
      </w:r>
      <w:r w:rsidRPr="00310AD1">
        <w:rPr>
          <w:b/>
          <w:u w:val="single"/>
        </w:rPr>
        <w:t>The lack of proportional representation makes it likely that these regionalist governing bodies may not adequately address the interests of the larger districts, which are typically poor and minority.</w:t>
      </w:r>
      <w:r w:rsidRPr="002A5450">
        <w:rPr>
          <w:sz w:val="16"/>
        </w:rPr>
        <w:t xml:space="preserve">292 Moreover, the inter district plans all lack comprehensive and effective funding schemes to address fiscal disparities between participating districts.293 Instead, </w:t>
      </w:r>
      <w:r w:rsidRPr="002A5450">
        <w:rPr>
          <w:u w:val="single"/>
        </w:rPr>
        <w:t>the inter district plans for the most part rely on voluntary funding or state per-pupil allotments that do not adequately address the fiscal disparities between the participating districts</w:t>
      </w:r>
      <w:r w:rsidRPr="002A5450">
        <w:rPr>
          <w:sz w:val="16"/>
        </w:rPr>
        <w:t>.294 Significantly, with the exception of an inter district plan in Omaha, Nebraska, discussed in further detail below</w:t>
      </w:r>
      <w:r w:rsidRPr="002A5450">
        <w:rPr>
          <w:u w:val="single"/>
        </w:rPr>
        <w:t>, none of the inter district plans requires the redistribution of tax revenue to poorer school district</w:t>
      </w:r>
      <w:r w:rsidRPr="002A5450">
        <w:rPr>
          <w:sz w:val="16"/>
        </w:rPr>
        <w:t xml:space="preserve">s.295 Finally, all of the inter district programs are largely voluntary.296 This is the case primarily because </w:t>
      </w:r>
      <w:r w:rsidRPr="002A5450">
        <w:rPr>
          <w:u w:val="single"/>
        </w:rPr>
        <w:t>the political will to enact regionalism in public education is weak at best.</w:t>
      </w:r>
      <w:r w:rsidRPr="002A5450">
        <w:rPr>
          <w:sz w:val="16"/>
        </w:rPr>
        <w:t xml:space="preserve"> Thus, the </w:t>
      </w:r>
      <w:r w:rsidRPr="002A5450">
        <w:rPr>
          <w:u w:val="single"/>
        </w:rPr>
        <w:t>few regionalist public governance structures</w:t>
      </w:r>
      <w:r w:rsidRPr="002A5450">
        <w:rPr>
          <w:sz w:val="16"/>
        </w:rPr>
        <w:t xml:space="preserve"> that exist in public education are small in scope and voluntary, such that they </w:t>
      </w:r>
      <w:r w:rsidRPr="002A5450">
        <w:rPr>
          <w:u w:val="single"/>
        </w:rPr>
        <w:t>do not challenge the dominant localist refrain in public education</w:t>
      </w:r>
      <w:r w:rsidRPr="002A5450">
        <w:rPr>
          <w:sz w:val="16"/>
        </w:rPr>
        <w:t xml:space="preserve">. Yet </w:t>
      </w:r>
      <w:r w:rsidRPr="002A5450">
        <w:rPr>
          <w:u w:val="single"/>
        </w:rPr>
        <w:t>the successes of the inter district plans should not be minimized or overlooked and instead suggest that an expansion of regionalism in public education warrants at least serious consideration.</w:t>
      </w:r>
    </w:p>
    <w:p w14:paraId="65A7743E" w14:textId="77777777" w:rsidR="00C67A40" w:rsidRPr="00C67A40" w:rsidRDefault="00C67A40" w:rsidP="00C67A40"/>
    <w:p w14:paraId="052F34A4" w14:textId="77777777" w:rsidR="005A4715" w:rsidRPr="00D7045C" w:rsidRDefault="00AE4371" w:rsidP="005A4715">
      <w:pPr>
        <w:pStyle w:val="Heading3"/>
        <w:rPr>
          <w:rFonts w:cs="Times New Roman"/>
        </w:rPr>
      </w:pPr>
      <w:r w:rsidRPr="00D7045C">
        <w:rPr>
          <w:rFonts w:cs="Times New Roman"/>
        </w:rPr>
        <w:t>A.T.</w:t>
      </w:r>
      <w:r w:rsidR="005A4715" w:rsidRPr="00D7045C">
        <w:rPr>
          <w:rFonts w:cs="Times New Roman"/>
        </w:rPr>
        <w:t xml:space="preserve"> – </w:t>
      </w:r>
      <w:r w:rsidR="003D049F" w:rsidRPr="00D7045C">
        <w:rPr>
          <w:rFonts w:cs="Times New Roman"/>
        </w:rPr>
        <w:t>Neoliberalism K</w:t>
      </w:r>
    </w:p>
    <w:p w14:paraId="7F0332B1" w14:textId="77777777" w:rsidR="005A4715" w:rsidRPr="00D7045C" w:rsidRDefault="005A4715" w:rsidP="005A4715">
      <w:pPr>
        <w:pStyle w:val="Heading4"/>
        <w:rPr>
          <w:rFonts w:cs="Times New Roman"/>
          <w:i/>
        </w:rPr>
      </w:pPr>
      <w:r w:rsidRPr="00D7045C">
        <w:rPr>
          <w:rFonts w:cs="Times New Roman"/>
        </w:rPr>
        <w:t xml:space="preserve">Extralegal strategies lack possibilities of reflexivity, creates a myth of engagement, contributes to conservative rhetoric, becomes a barrier to transformative politics, absolves the state of ethical responsibility, and </w:t>
      </w:r>
      <w:r w:rsidRPr="00D7045C">
        <w:rPr>
          <w:rFonts w:cs="Times New Roman"/>
          <w:i/>
        </w:rPr>
        <w:t xml:space="preserve">fundamentally cannot escape </w:t>
      </w:r>
      <w:r w:rsidRPr="00D7045C">
        <w:rPr>
          <w:rFonts w:cs="Times New Roman"/>
        </w:rPr>
        <w:t>“legal cooptation.”</w:t>
      </w:r>
      <w:r w:rsidRPr="00D7045C">
        <w:rPr>
          <w:rFonts w:cs="Times New Roman"/>
          <w:i/>
        </w:rPr>
        <w:t xml:space="preserve"> </w:t>
      </w:r>
    </w:p>
    <w:p w14:paraId="38BCBC91" w14:textId="77777777" w:rsidR="005A4715" w:rsidRPr="00D7045C" w:rsidRDefault="005A4715" w:rsidP="005A4715">
      <w:r w:rsidRPr="00D7045C">
        <w:rPr>
          <w:rStyle w:val="Style13ptBold"/>
        </w:rPr>
        <w:t>Lobel 7</w:t>
      </w:r>
      <w:r w:rsidRPr="00D7045C">
        <w:t xml:space="preserve"> (Orly, PhD, prof of Law at U San Diego, “The Paradox of Extralegal Activism: Critical Legal Consciousness and Transformative,” The Harvard Law Review, Vol. 120, No. 4 (Feb., 2007), </w:t>
      </w:r>
      <w:hyperlink r:id="rId62" w:history="1">
        <w:r w:rsidRPr="00D7045C">
          <w:rPr>
            <w:rStyle w:val="Hyperlink"/>
          </w:rPr>
          <w:t>http://www.jstor.org/stable/40041996</w:t>
        </w:r>
      </w:hyperlink>
      <w:r w:rsidRPr="00D7045C">
        <w:t>, pg. 938-942)KC</w:t>
      </w:r>
    </w:p>
    <w:p w14:paraId="3B9AE1B7" w14:textId="77777777" w:rsidR="005A4715" w:rsidRPr="00D7045C" w:rsidRDefault="005A4715" w:rsidP="005A4715">
      <w:pPr>
        <w:rPr>
          <w:sz w:val="16"/>
        </w:rPr>
      </w:pPr>
      <w:r w:rsidRPr="00D7045C">
        <w:rPr>
          <w:sz w:val="16"/>
        </w:rPr>
        <w:t>The limits of the law as a means of effecting social change have been a key focus of legal thinkers over the past several decades. The aggregate impact of emerging schools of thought challenging the value of legal reform in producing social change has been the development of a contemporary critical legal consciousness - a conventional wisdom * Assistant Professor of Law, University of San Diego. LL.M. 2000 (waived), Harvard Law School; LL.B. 1998, Tel-Aviv University. Many friends and colleagues shared their thoughts, and I particularly thank Arthur Applbaum, On Amir, Janet Halley, Duncan Kennedy, Martha Minow, Yoav Sapir, David TVubek, Louise TVubek, Henry Steiner, and Lucie White for their valuable in- sights. A special thanks to Scott Cummings who reminded me to move forward with this project. This Article has also benefited from presentations at workshops at the Kennedy School of Gov- ernment, the Law and Society Annual Meeting, and the Center for Ethics and the Profession, all at Harvard University; Yale Law School; University of Wisconsin Law School; and the Centre for Socio-Legal Studies, Oxford University. 938 This content downloaded from 192.31.105.195 on Fri, 30 Jun 2017 00:08:12 UTC All use subject to http://about.jstor.org/terms 2007] THE PARADOX OF EXTRALEGAL ACTIVISM 939 about the relative inefficacy of law.1 Critical claims go further than simply expressing disappointment in the capacity of the legal system to achieve the desired goals of a social movement</w:t>
      </w:r>
      <w:r w:rsidRPr="00D7045C">
        <w:rPr>
          <w:rStyle w:val="StyleUnderline"/>
        </w:rPr>
        <w:t>. An argument that has become increasingly prevalent in legal scholarship states that the law often brings more harm than good to social movements that rely on le- gal strategies to advance their goals.</w:t>
      </w:r>
      <w:r w:rsidRPr="00D7045C">
        <w:rPr>
          <w:sz w:val="16"/>
        </w:rPr>
        <w:t xml:space="preserve"> The law entices groups to choose legal strategies to advance their social goals but ultimately proves to be a detrimental path. </w:t>
      </w:r>
      <w:r w:rsidRPr="00D7045C">
        <w:rPr>
          <w:rStyle w:val="StyleUnderline"/>
        </w:rPr>
        <w:t xml:space="preserve">The negative effect is generally understood as "legal cooptation" </w:t>
      </w:r>
      <w:r w:rsidRPr="00D7045C">
        <w:rPr>
          <w:rStyle w:val="Emphasis"/>
        </w:rPr>
        <w:t>- a process by which the focus on legal reform nar- rows the causes, deradicalizes the agenda, legitimizes ongoing injus- tices, and diverts energies away from more effective and transforma- tive alternatives</w:t>
      </w:r>
      <w:r w:rsidRPr="00D7045C">
        <w:rPr>
          <w:rStyle w:val="StyleUnderline"/>
        </w:rPr>
        <w:t>.</w:t>
      </w:r>
      <w:r w:rsidRPr="00D7045C">
        <w:rPr>
          <w:sz w:val="16"/>
        </w:rPr>
        <w:t xml:space="preserve"> Consequently, </w:t>
      </w:r>
      <w:r w:rsidRPr="00D7045C">
        <w:rPr>
          <w:rStyle w:val="StyleUnderline"/>
        </w:rPr>
        <w:t>the argument proceeds, the turn to the law actually reinforces existing institutions and ideologies.</w:t>
      </w:r>
      <w:r w:rsidRPr="00D7045C">
        <w:rPr>
          <w:sz w:val="16"/>
        </w:rPr>
        <w:t xml:space="preserve"> As they en- gage with the law, social reform groups become absorbed by the sys- tem even as they struggle against it. </w:t>
      </w:r>
      <w:r w:rsidRPr="00D7045C">
        <w:rPr>
          <w:rStyle w:val="Emphasis"/>
        </w:rPr>
        <w:t xml:space="preserve">When examining closely the dominant set of assumptions underly- ing recent critical scholarship, one must face the question: what is uniquely legal about cooptation? </w:t>
      </w:r>
      <w:r w:rsidRPr="00D7045C">
        <w:rPr>
          <w:sz w:val="16"/>
        </w:rPr>
        <w:t xml:space="preserve">This Article considers the claims of 1 The term "legal consciousness" has been developed in two parallel streams. Legal consciousness research in this second stream is described as the examination of: the role of law (broadly conceived) and its role in constructing understandings, affecting actions, and shaping various aspects of social life. It centers on the study of individuals' experiences with law and legal norms, decisions about legal compliance, and a detailed exploration of the subtle ways in which law affects the everyday lives of individuals to articulate the various understandings of law/legality that people have and use to con- struct their understanding of their world. Id. at 1059. This Article adopts the first stream's definition of legal consciousness, tracing the genealogies of paradigm construction made by legal scholars. However, the analysis of these ge- nealogies draws partly on the complexities of law developed by the second stream of scholarship. One aim of the Article is, therefore, to bring the two streams of research closer by demonstrating how critical legal consciousness extends beyond the conventional scope of the critical legal studies scholarship of the 1970s. In effect, </w:t>
      </w:r>
      <w:r w:rsidRPr="00D7045C">
        <w:rPr>
          <w:rStyle w:val="StyleUnderline"/>
        </w:rPr>
        <w:t>emerging extralegal schools of thought have embraced the ideas of cooptation as conventional wisdom, elevating the mantra "we are all crits now" to a tru- ism</w:t>
      </w:r>
      <w:r w:rsidRPr="00D7045C">
        <w:rPr>
          <w:sz w:val="16"/>
        </w:rPr>
        <w:t xml:space="preserve">, much as scholars in the 1960s belabored the mantra "we are all realists now." See LAURA KALMAN, LEGAL REALISM AT YALE, 1927-1960, at 229 (1986) (characterizing the statement "we are all realists now" as so frequently made that it has become a truism to refer to it as a truism). This content downloaded from 192.31.105.195 on Fri, 30 Jun 2017 00:08:12 UTC All use subject to http://about.jstor.org/terms Q40 HARVARD LAW REVIEW [Vol. 120:937 legal cooptation as they have been developed vis-a-vis former periods of social activism - primarily the New Deal labor movement and the 1960s civil rights movement - in relation to recent scholarship that purports to provide alternatives to cooptive legal processes. It traces the impact of critical understandings of the law to three strands of contemporary "extralegal" schools of thought that operate under a critical legal consciousness. The Article argues that the limits of social change are not confined to legal reform, but in fact are as likely (if not more so) to occur in the realm of extralegal activism. Moreover, </w:t>
      </w:r>
      <w:r w:rsidRPr="00D7045C">
        <w:rPr>
          <w:rStyle w:val="Emphasis"/>
        </w:rPr>
        <w:t>the very idea of opting out of the legal arena creates a false binary be- tween social spheres that in reality permeate one another</w:t>
      </w:r>
      <w:r w:rsidRPr="00D7045C">
        <w:rPr>
          <w:sz w:val="16"/>
        </w:rPr>
        <w:t xml:space="preserve">. </w:t>
      </w:r>
      <w:r w:rsidRPr="00D7045C">
        <w:rPr>
          <w:rStyle w:val="StyleUnderline"/>
        </w:rPr>
        <w:t>Under the contemporary axiomatic skepticism about the law, analysts often bun- dle and collapse legal cooptation claims rather than differentiate among myriad, distinct sets of concerns. When claims about the fail- ures of legal reform are unbundled, they provide a window into our assumptions about the possibilities and rhythms of change in general, not merely change via the path of the law</w:t>
      </w:r>
      <w:r w:rsidRPr="00D7045C">
        <w:rPr>
          <w:sz w:val="16"/>
        </w:rPr>
        <w:t xml:space="preserve">. Accordingly, this Article asserts </w:t>
      </w:r>
      <w:r w:rsidRPr="00D7045C">
        <w:rPr>
          <w:rStyle w:val="Emphasis"/>
        </w:rPr>
        <w:t>that contemporary critical legal consciousness has eclipsed the origins of critical theory</w:t>
      </w:r>
      <w:r w:rsidRPr="00D7045C">
        <w:rPr>
          <w:sz w:val="16"/>
        </w:rPr>
        <w:t xml:space="preserve">, </w:t>
      </w:r>
      <w:r w:rsidRPr="00D7045C">
        <w:rPr>
          <w:rStyle w:val="Emphasis"/>
        </w:rPr>
        <w:t>which situated various forms of social action - all of which potentially have cooptive as well as transformative ef- fects - on more equal grounds</w:t>
      </w:r>
      <w:r w:rsidRPr="00D7045C">
        <w:rPr>
          <w:sz w:val="16"/>
        </w:rPr>
        <w:t xml:space="preserve">. The inquiry begins by delineating three periods of social reform ac- tivism, their relationship to legal reform, and their successes and fail- ures as perceived by legal scholars. Part II describes the first two pe- riods, which have served contemporary thinkers as paradigmatic moments for analyzing the failures of legal reform and the negative consequences that followed the decline of social activism. The first pe- riod is </w:t>
      </w:r>
      <w:r w:rsidRPr="00D7045C">
        <w:rPr>
          <w:rStyle w:val="StyleUnderline"/>
        </w:rPr>
        <w:t>the New Deal labor movement</w:t>
      </w:r>
      <w:r w:rsidRPr="00D7045C">
        <w:rPr>
          <w:sz w:val="16"/>
        </w:rPr>
        <w:t xml:space="preserve">, which </w:t>
      </w:r>
      <w:r w:rsidRPr="00D7045C">
        <w:rPr>
          <w:rStyle w:val="StyleUnderline"/>
        </w:rPr>
        <w:t>achieved statutory reor- dering of labor relations yet was ultimately criticized for creating a hostile environment for collective bargaining and for leading to the sharp decline of unionism.</w:t>
      </w:r>
      <w:r w:rsidRPr="00D7045C">
        <w:rPr>
          <w:sz w:val="16"/>
        </w:rPr>
        <w:t xml:space="preserve"> The second period is </w:t>
      </w:r>
      <w:r w:rsidRPr="00D7045C">
        <w:rPr>
          <w:rStyle w:val="StyleUnderline"/>
        </w:rPr>
        <w:t>the civil rights movement</w:t>
      </w:r>
      <w:r w:rsidRPr="00D7045C">
        <w:rPr>
          <w:sz w:val="16"/>
        </w:rPr>
        <w:t xml:space="preserve"> of the 1950s and 1960s, which </w:t>
      </w:r>
      <w:r w:rsidRPr="00D7045C">
        <w:rPr>
          <w:rStyle w:val="StyleUnderline"/>
        </w:rPr>
        <w:t>achieved widespread recog- nition for its legislative and judicial victories yet has been widely cri- tiqued for its limited success in eliminating racial injustice. In both cases, cooptation analysis focuses not simply on the limits of the legal victories but also, and often primarily, on the pacification of the social movement and the decline of a reform vision, which resulted from the perceived successes of legislative and judicial victories</w:t>
      </w:r>
      <w:r w:rsidRPr="00D7045C">
        <w:rPr>
          <w:sz w:val="16"/>
        </w:rPr>
        <w:t xml:space="preserve">. Pointing to these two "failed successes," </w:t>
      </w:r>
      <w:r w:rsidRPr="00D7045C">
        <w:rPr>
          <w:rStyle w:val="StyleUnderline"/>
        </w:rPr>
        <w:t>contemporary legal scholars express a now-axiomatic skepticism about law's ability to produce social trans- formation</w:t>
      </w:r>
      <w:r w:rsidRPr="00D7045C">
        <w:rPr>
          <w:sz w:val="16"/>
        </w:rPr>
        <w:t xml:space="preserve">. Drawing on the critical scholarship that has developed in relation to these two periods, Part II unpacks the arguments about le- gal cooptation, demonstrating that they are not monolithic but rather constitute distinct sets of claims, including concerns about resources and energy, framing and fragmentation, lawyering and professionalThis content downloaded from 192.31.105.195 on Fri, 30 Jun 2017 00:08:12 UTC All use subject to http://about.jstor.org/terms 2007] THE PARADOX OF EXTRALEGAL ACTIVISM 94 1 ism, crowding-out effects, institutional limitations, and the unsubstan- tiated legitimation of existing social arrangements. </w:t>
      </w:r>
      <w:r w:rsidRPr="00D7045C">
        <w:rPr>
          <w:rStyle w:val="StyleUnderline"/>
        </w:rPr>
        <w:t xml:space="preserve">As a result of an emerging truism about the limitations of legal re- form - captured by the reference to legalism as the "hollow hope"2 - contemporary critics </w:t>
      </w:r>
      <w:r w:rsidRPr="00D7045C">
        <w:rPr>
          <w:rStyle w:val="Style13ptBold"/>
          <w:sz w:val="16"/>
        </w:rPr>
        <w:t>warn</w:t>
      </w:r>
      <w:r w:rsidRPr="00D7045C">
        <w:rPr>
          <w:rStyle w:val="StyleUnderline"/>
        </w:rPr>
        <w:t xml:space="preserve"> against a reliance on law, courts, legal lan- guage, and lawyers in the struggles of social movements</w:t>
      </w:r>
      <w:r w:rsidRPr="00D7045C">
        <w:rPr>
          <w:sz w:val="16"/>
        </w:rPr>
        <w:t xml:space="preserve">. Part III de- scribes a third period, this one involving extralegal activism, as it is represented and celebrated in legal scholarship. In mapping the land- scape of this "alternative scholarship," three distinct types of </w:t>
      </w:r>
      <w:r w:rsidRPr="00D7045C">
        <w:rPr>
          <w:rStyle w:val="StyleUnderline"/>
        </w:rPr>
        <w:t>extralegal strategies</w:t>
      </w:r>
      <w:r w:rsidRPr="00D7045C">
        <w:rPr>
          <w:sz w:val="16"/>
        </w:rPr>
        <w:t xml:space="preserve"> emerge: first, </w:t>
      </w:r>
      <w:r w:rsidRPr="00D7045C">
        <w:rPr>
          <w:rStyle w:val="StyleUnderline"/>
        </w:rPr>
        <w:t>the redefinition of the purpose of the legal sys- tem as promoting secondary goals rather than primary ones</w:t>
      </w:r>
      <w:r w:rsidRPr="00D7045C">
        <w:rPr>
          <w:sz w:val="16"/>
        </w:rPr>
        <w:t xml:space="preserve">; second, </w:t>
      </w:r>
      <w:r w:rsidRPr="00D7045C">
        <w:rPr>
          <w:rStyle w:val="StyleUnderline"/>
        </w:rPr>
        <w:t>the move away from the legal arena to an extralegal sphere of action, often evoking the notion of civil society</w:t>
      </w:r>
      <w:r w:rsidRPr="00D7045C">
        <w:rPr>
          <w:sz w:val="16"/>
        </w:rPr>
        <w:t xml:space="preserve">; and third, </w:t>
      </w:r>
      <w:r w:rsidRPr="00D7045C">
        <w:rPr>
          <w:rStyle w:val="StyleUnderline"/>
        </w:rPr>
        <w:t>the expansion of the meanings of law and legality</w:t>
      </w:r>
      <w:r w:rsidRPr="00D7045C">
        <w:rPr>
          <w:sz w:val="16"/>
        </w:rPr>
        <w:t xml:space="preserve">, building on earlier understandings of the legal pluralism school of thought. After exploring the underlying assumptions of each of these pro- posals with regard to the limits of law and the limits of change, this Article revisits the concept of cooptation within the broader range of possibilities for social struggle. Rather than dismissing concerns about legal cooptation, Part IV asserts that </w:t>
      </w:r>
      <w:r w:rsidRPr="00D7045C">
        <w:rPr>
          <w:rStyle w:val="Emphasis"/>
        </w:rPr>
        <w:t>the emerging umbrella school of thought draws erroneous conclusions from critical understandings and presents false alternatives in the gamut of law and social change</w:t>
      </w:r>
      <w:r w:rsidRPr="00D7045C">
        <w:rPr>
          <w:sz w:val="16"/>
        </w:rPr>
        <w:t xml:space="preserve">. </w:t>
      </w:r>
      <w:r w:rsidRPr="00D7045C">
        <w:rPr>
          <w:rStyle w:val="Emphasis"/>
        </w:rPr>
        <w:t>A more accurate inquiry into the limits of change should cast doubt on the privileged role of extralegal activism that is trumpeted in contem- porary writings</w:t>
      </w:r>
      <w:r w:rsidRPr="00D7045C">
        <w:rPr>
          <w:sz w:val="16"/>
        </w:rPr>
        <w:t xml:space="preserve">. This Article demonstrates how </w:t>
      </w:r>
      <w:r w:rsidRPr="00D7045C">
        <w:rPr>
          <w:rStyle w:val="Emphasis"/>
        </w:rPr>
        <w:t xml:space="preserve">extralegal activism proponents misrepresent alternative avenues of activism as solutions to cooptation concerns by overlooking the risks of cooptation present in extralegal activism. </w:t>
      </w:r>
      <w:r w:rsidRPr="00D7045C">
        <w:rPr>
          <w:sz w:val="16"/>
        </w:rPr>
        <w:t xml:space="preserve">Consequently, </w:t>
      </w:r>
      <w:r w:rsidRPr="00D7045C">
        <w:rPr>
          <w:rStyle w:val="Emphasis"/>
        </w:rPr>
        <w:t>a counter "myth of engagement" is reified by the rejection of the "myth of law."</w:t>
      </w:r>
      <w:r w:rsidRPr="00D7045C">
        <w:rPr>
          <w:sz w:val="16"/>
        </w:rPr>
        <w:t xml:space="preserve"> </w:t>
      </w:r>
      <w:r w:rsidRPr="00D7045C">
        <w:rPr>
          <w:rStyle w:val="Emphasis"/>
        </w:rPr>
        <w:t>Not only is the idea of avoiding legal strategies as a means of social change misdirected, but such a construction also conceals the ways in which the law continues to exist in the background of the envisioned alternatives. Thus, earlier critical insights about the ongoing importance of law in seemingly un- regulated spheres are lost in the contemporary message</w:t>
      </w:r>
      <w:r w:rsidRPr="00D7045C">
        <w:rPr>
          <w:sz w:val="16"/>
        </w:rPr>
        <w:t xml:space="preserve">. Further, </w:t>
      </w:r>
      <w:r w:rsidRPr="00D7045C">
        <w:rPr>
          <w:rStyle w:val="Emphasis"/>
        </w:rPr>
        <w:t xml:space="preserve">the idea of opting out of the legal arena fails to recognize a reality of grow- ing interpenetration and blurring of boundaries between private and public spheres, for-profit and nonprofit actors, and formal and infor- mal institutions. </w:t>
      </w:r>
      <w:r w:rsidRPr="00D7045C">
        <w:rPr>
          <w:sz w:val="16"/>
        </w:rPr>
        <w:t xml:space="preserve">Most importantly, </w:t>
      </w:r>
      <w:r w:rsidRPr="00D7045C">
        <w:rPr>
          <w:rStyle w:val="Emphasis"/>
        </w:rPr>
        <w:t>a theory of avoidance contributes to a conservative rhetoric about the decline of the state, the necessities of deregulation, and the inevitability of mounting inequalities.</w:t>
      </w:r>
      <w:r w:rsidRPr="00D7045C">
        <w:rPr>
          <w:sz w:val="16"/>
        </w:rPr>
        <w:t xml:space="preserve"> The Article reveals a contemporary false equation of formal legal reform 2 Gerald N. Rosenberg, The Hollow Hope: Can Courts Bring About Social Change? (1991). This content downloaded from 192.31.105.195 on Fri, 30 Jun 2017 00:08:12 UTC All use subject to http://about.jstor.org/terms 942 HARVARD LAW REVIEW [Vol. 120:937 avenues with a conservative status quo and of informal - that is, ex- tralegal - avenues with transformative progress. </w:t>
      </w:r>
      <w:r w:rsidRPr="00D7045C">
        <w:rPr>
          <w:rStyle w:val="StyleUnderline"/>
        </w:rPr>
        <w:t xml:space="preserve">The movement to extralegal activism has unwittingly aligned itself with concepts such as civil society revivalism, informality, and nongovernmental norm gen- eration. All of these concepts are associated with decreasing commit- ments of the state, privatization, deregulation, and devolution of gov- ernmental authority in the social arena. </w:t>
      </w:r>
      <w:r w:rsidRPr="00D7045C">
        <w:rPr>
          <w:rStyle w:val="Emphasis"/>
        </w:rPr>
        <w:t>All three brands of extralegal strategies reflect not only disillusionment with and disappointment in the legal system as a potential engine for social reform, but also imply path dependency with current economic realities and shifting com- mitments of the state in an era of globalization</w:t>
      </w:r>
      <w:r w:rsidRPr="00D7045C">
        <w:rPr>
          <w:rStyle w:val="StyleUnderline"/>
        </w:rPr>
        <w:t>. Since the critique of legal cooptation asserts that legal reform, even when viewed as successful, is never radically transformative, it is equally crucial to ask what criteria are available for assessing the suc- cess of the suggested alternatives</w:t>
      </w:r>
      <w:r w:rsidRPr="00D7045C">
        <w:rPr>
          <w:sz w:val="16"/>
        </w:rPr>
        <w:t xml:space="preserve">. As this Article argues, the risks of extralegal cooptation are similar to the risks of legal cooptation. </w:t>
      </w:r>
      <w:r w:rsidRPr="00D7045C">
        <w:rPr>
          <w:rStyle w:val="StyleUnderline"/>
        </w:rPr>
        <w:t>How- ever, the allure of an alternative model of progressive politics that would avoid the critical risks of cooptation has prevented its advocates from scrutinizing it in the same way that legal strategies are routinely questioned</w:t>
      </w:r>
      <w:r w:rsidRPr="00D7045C">
        <w:rPr>
          <w:sz w:val="16"/>
        </w:rPr>
        <w:t xml:space="preserve">. </w:t>
      </w:r>
      <w:r w:rsidRPr="00D7045C">
        <w:rPr>
          <w:rStyle w:val="StyleUnderline"/>
        </w:rPr>
        <w:t>Therefore, the new wave of extralegal politics risks entail- ing no more than a loser's ex post self-mystification.</w:t>
      </w:r>
      <w:r w:rsidRPr="00D7045C">
        <w:rPr>
          <w:sz w:val="16"/>
        </w:rPr>
        <w:t xml:space="preserve"> Posing these challenges, Part V concludes that </w:t>
      </w:r>
      <w:r w:rsidRPr="00D7045C">
        <w:rPr>
          <w:rStyle w:val="Emphasis"/>
        </w:rPr>
        <w:t>much of the contemporary alterna- tive scholarship obscures the lines between description and prescrip- tion in the exploration and formulation of transformative politics</w:t>
      </w:r>
      <w:r w:rsidRPr="00D7045C">
        <w:rPr>
          <w:sz w:val="16"/>
        </w:rPr>
        <w:t xml:space="preserve">. II. "Inside" the Law and the Critique of Legal Cooptation: Two Phases and a Practical Map of Critical Categories </w:t>
      </w:r>
      <w:r w:rsidRPr="00D7045C">
        <w:rPr>
          <w:rStyle w:val="StyleUnderline"/>
        </w:rPr>
        <w:t>Two seminal moments of social movement legal struggles, the New Deal labor movement and the 1960s civil rights movement, are key to understanding the ways in which contemporary thinkers evaluate the promise and perils of legal reform. In both periods, critics have under- stood victories as limited and symbolic, deradicalizing and coopting a more comprehensive vision.</w:t>
      </w:r>
      <w:r w:rsidRPr="00D7045C">
        <w:rPr>
          <w:sz w:val="16"/>
        </w:rPr>
        <w:t xml:space="preserve"> Building on the debates from these two paradigmatic moments, this Part unbundles claims of cooptation into distinct ideas about the limitations and risks of reform. </w:t>
      </w:r>
    </w:p>
    <w:p w14:paraId="3FD1F78E" w14:textId="77777777" w:rsidR="00E34FCD" w:rsidRPr="00D7045C" w:rsidRDefault="00E34FCD" w:rsidP="00BE7E02">
      <w:pPr>
        <w:pStyle w:val="NoSpacing"/>
      </w:pPr>
    </w:p>
    <w:p w14:paraId="7512E6C3" w14:textId="77777777" w:rsidR="005A4715" w:rsidRPr="00D7045C" w:rsidRDefault="005A4715" w:rsidP="005A4715">
      <w:pPr>
        <w:pStyle w:val="Heading4"/>
        <w:rPr>
          <w:rFonts w:cs="Times New Roman"/>
        </w:rPr>
      </w:pPr>
      <w:r w:rsidRPr="00D7045C">
        <w:rPr>
          <w:rFonts w:cs="Times New Roman"/>
        </w:rPr>
        <w:t>Legal engagement must not be abandoned because law doesn’t solely exist in the “legal sphere”— effective community empowerment requires legal commitment; extralegal romanticization is based on a false narrative of binarism.</w:t>
      </w:r>
    </w:p>
    <w:p w14:paraId="712BC16B" w14:textId="77777777" w:rsidR="005A4715" w:rsidRPr="00D7045C" w:rsidRDefault="005A4715" w:rsidP="005A4715">
      <w:r w:rsidRPr="00D7045C">
        <w:rPr>
          <w:rStyle w:val="Style13ptBold"/>
        </w:rPr>
        <w:t>Lobel 7</w:t>
      </w:r>
      <w:r w:rsidRPr="00D7045C">
        <w:t xml:space="preserve"> (Orly, PhD, prof of Law at U San Diego, “The Paradox of Extralegal Activism: Critical Legal Consciousness and Transformative,” The Harvard Law Review, Vol. 120, No. 4 (Feb., 2007), </w:t>
      </w:r>
      <w:hyperlink r:id="rId63" w:history="1">
        <w:r w:rsidRPr="00D7045C">
          <w:rPr>
            <w:rStyle w:val="Hyperlink"/>
          </w:rPr>
          <w:t>http://www.jstor.org/stable/40041996</w:t>
        </w:r>
      </w:hyperlink>
      <w:r w:rsidRPr="00D7045C">
        <w:t>, pg. 978-983)KC</w:t>
      </w:r>
    </w:p>
    <w:p w14:paraId="36A82C5E" w14:textId="77777777" w:rsidR="005A4715" w:rsidRPr="00D7045C" w:rsidRDefault="005A4715" w:rsidP="005A4715">
      <w:pPr>
        <w:rPr>
          <w:b/>
          <w:iCs/>
          <w:u w:val="single"/>
        </w:rPr>
      </w:pPr>
      <w:r w:rsidRPr="00D7045C">
        <w:rPr>
          <w:sz w:val="12"/>
        </w:rPr>
        <w:t xml:space="preserve">Conceptual Boundaries: When the Dichotomies of Exit Are Unchecked At first glance, </w:t>
      </w:r>
      <w:r w:rsidRPr="00D7045C">
        <w:rPr>
          <w:rStyle w:val="StyleUnderline"/>
        </w:rPr>
        <w:t>the idea of opting out of the legal sphere and mov- ing to an extralegal space using alternative modes of social activism may seem attractive</w:t>
      </w:r>
      <w:r w:rsidRPr="00D7045C">
        <w:rPr>
          <w:sz w:val="12"/>
        </w:rPr>
        <w:t xml:space="preserve"> to new social movements. </w:t>
      </w:r>
      <w:r w:rsidRPr="00D7045C">
        <w:rPr>
          <w:rStyle w:val="StyleUnderline"/>
        </w:rPr>
        <w:t>We are used to think- ing in binary categories, constantly carving out different aspects of life as belonging to different spatial and temporal spheres.</w:t>
      </w:r>
      <w:r w:rsidRPr="00D7045C">
        <w:rPr>
          <w:sz w:val="12"/>
        </w:rPr>
        <w:t xml:space="preserve"> Moreover</w:t>
      </w:r>
      <w:r w:rsidRPr="00D7045C">
        <w:rPr>
          <w:rStyle w:val="StyleUnderline"/>
        </w:rPr>
        <w:t>, we are attracted to declarations about newness</w:t>
      </w:r>
      <w:r w:rsidRPr="00D7045C">
        <w:rPr>
          <w:sz w:val="12"/>
        </w:rPr>
        <w:t xml:space="preserve"> - new paradigms, new spheres of action, and new strategies that are seemingly untainted by prior failures.186 </w:t>
      </w:r>
      <w:r w:rsidRPr="00D7045C">
        <w:rPr>
          <w:rStyle w:val="Emphasis"/>
        </w:rPr>
        <w:t>However, the critical insights about law's reach must not be abandoned in the process of critical analysis</w:t>
      </w:r>
      <w:r w:rsidRPr="00D7045C">
        <w:rPr>
          <w:sz w:val="12"/>
        </w:rPr>
        <w:t>. Just as advocates of a laissez-faire market are incorrect in imagining a purely private space free of regulation, and just as the "state" is not a single organism but a multiplicity of legislative, administrative, and judicial organs, "</w:t>
      </w:r>
      <w:r w:rsidRPr="00D7045C">
        <w:rPr>
          <w:rStyle w:val="Emphasis"/>
        </w:rPr>
        <w:t>nonstate arenas" are dispersed, multiple, and constructed</w:t>
      </w:r>
      <w:r w:rsidRPr="00D7045C">
        <w:rPr>
          <w:sz w:val="12"/>
        </w:rPr>
        <w:t xml:space="preserve">. </w:t>
      </w:r>
      <w:r w:rsidRPr="00D7045C">
        <w:rPr>
          <w:rStyle w:val="Emphasis"/>
        </w:rPr>
        <w:t>The focus on action in a separate sphere broadly defined as civil society can be self-defeating precisely because it conceals the many ways in which law continues to play a crucial role in all spheres of life</w:t>
      </w:r>
      <w:r w:rsidRPr="00D7045C">
        <w:rPr>
          <w:sz w:val="12"/>
        </w:rPr>
        <w:t xml:space="preserve">. Today, the lines between private and public functions are increasingly blurred, forming what Professor Gunther Teubner terms "polycorpora- tist regimes," a symbiosis between private and public sectors.187 Simi- larly, new economic partnerships and structures blur the lines between for-profit and nonprofit entities.188 Yet </w:t>
      </w:r>
      <w:r w:rsidRPr="00D7045C">
        <w:rPr>
          <w:rStyle w:val="StyleUnderline"/>
        </w:rPr>
        <w:t>much of the current literature on the limits of legal reform and the crisis of government action is built upon a privatization/regulation binary,</w:t>
      </w:r>
      <w:r w:rsidRPr="00D7045C">
        <w:rPr>
          <w:sz w:val="12"/>
        </w:rPr>
        <w:t xml:space="preserve"> particularly with regard to social commitments, paying little attention to how the background conditions of a privatized market can sustain or curtail new concep- tions of the public good.189 In the same way, </w:t>
      </w:r>
      <w:r w:rsidRPr="00D7045C">
        <w:rPr>
          <w:rStyle w:val="StyleUnderline"/>
        </w:rPr>
        <w:t>legal scholars often em- phasize sharp shifts between regulation and deregulation, overlooking the continuing presence of legal norms that shape and inform these shifts</w:t>
      </w:r>
      <w:r w:rsidRPr="00D7045C">
        <w:rPr>
          <w:sz w:val="12"/>
        </w:rPr>
        <w:t xml:space="preserve">.190 </w:t>
      </w:r>
      <w:r w:rsidRPr="00D7045C">
        <w:rPr>
          <w:rStyle w:val="Emphasis"/>
        </w:rPr>
        <w:t>These false dichotomies should resonate well with classic co- optation analysis</w:t>
      </w:r>
      <w:r w:rsidRPr="00D7045C">
        <w:rPr>
          <w:sz w:val="12"/>
        </w:rPr>
        <w:t xml:space="preserve">, which shows how social reformers overestimate the possibilities of one channel for reform while crowding out other paths and more complex alternatives. Indeed, in the contemporary extralegal climate, and contrary to the conservative portrayal of federal social policies as harmful to the non- profit sector, voluntary associations have flourished in mutually bene- ficial relationships with federal regulations.191 </w:t>
      </w:r>
      <w:r w:rsidRPr="00D7045C">
        <w:rPr>
          <w:rStyle w:val="Emphasis"/>
        </w:rPr>
        <w:t>A dichotomized notion of a shift between spheres -</w:t>
      </w:r>
      <w:r w:rsidRPr="00D7045C">
        <w:rPr>
          <w:sz w:val="12"/>
        </w:rPr>
        <w:t xml:space="preserve"> between law and informalization, and between regulatory and nonregulatory schemes - </w:t>
      </w:r>
      <w:r w:rsidRPr="00D7045C">
        <w:rPr>
          <w:rStyle w:val="Emphasis"/>
        </w:rPr>
        <w:t>therefore neglects the ongoing possibilities within the legal system to develop and sustain desired outcomes and to eliminate others.</w:t>
      </w:r>
      <w:r w:rsidRPr="00D7045C">
        <w:rPr>
          <w:sz w:val="12"/>
        </w:rPr>
        <w:t xml:space="preserve"> </w:t>
      </w:r>
      <w:r w:rsidRPr="00D7045C">
        <w:rPr>
          <w:rStyle w:val="Emphasis"/>
        </w:rPr>
        <w:t>The challenge for social re- form groups and for policymakers today is to identify the diverse ways in which some legal regulations and formal structures contribute to so- cially responsible practices while others produce new forms of exclu- sion and inequality.</w:t>
      </w:r>
      <w:r w:rsidRPr="00D7045C">
        <w:rPr>
          <w:sz w:val="12"/>
        </w:rPr>
        <w:t xml:space="preserve"> </w:t>
      </w:r>
      <w:r w:rsidRPr="00D7045C">
        <w:rPr>
          <w:rStyle w:val="Emphasis"/>
        </w:rPr>
        <w:t>Community empowerment requires ongoing gov- ernment commitment</w:t>
      </w:r>
      <w:r w:rsidRPr="00D7045C">
        <w:rPr>
          <w:sz w:val="12"/>
        </w:rPr>
        <w:t>.</w:t>
      </w:r>
      <w:r w:rsidRPr="00D7045C">
        <w:rPr>
          <w:rStyle w:val="StyleUnderline"/>
        </w:rPr>
        <w:t>192 In fact, the most successful community- based projects have been those which were not only supported by pub- lic funds, but in which public administration also continued to play some coordination role</w:t>
      </w:r>
      <w:r w:rsidRPr="00D7045C">
        <w:rPr>
          <w:sz w:val="12"/>
        </w:rPr>
        <w:t xml:space="preserve">.193 At both the global and local levels, with the growing enthusiasm around the proliferation of new norm-generating actors, many envision a nonprofit, nongovernmental organization-led democratization of new informal processes.194 Yet this Article has begun to explore the prob- lems with some of the assumptions underlying the potential of these new actors. Recalling the unbundled taxonomy of the cooptation cri- tique, it becomes easier to identify the ways </w:t>
      </w:r>
      <w:r w:rsidRPr="00D7045C">
        <w:rPr>
          <w:rStyle w:val="Emphasis"/>
        </w:rPr>
        <w:t>extralegal activism is prone to problems of fragmentation, institutional limitation, and pro fessionalization.</w:t>
      </w:r>
      <w:r w:rsidRPr="00D7045C">
        <w:rPr>
          <w:sz w:val="12"/>
        </w:rPr>
        <w:t xml:space="preserve"> Private associations, even when structured as non- profit entities, are frequently undemocratic institutions whose legiti- macy is often questionable.195 There are problematic structural differ- ences among NGOs, for example between Northern and Southern NGOs in international fora, stemming from asymmetrical resources and funding,196 and between large foundations and struggling organi- zations at the national level. Moreover, direct regulation of private as- sociations is becoming particularly important as the roles of nonprofits increase in the new political economy. Scholars have pointed to the fact that nonprofit organizations operate in many of the same areas as for-profit corporations and government bureaucracies.197 This phe- nomenon raises a wide variety of difficulties, which range from ordi- nary financial corruption to the misrepresentation of certain partner- ships as "nonprofit" or "private."198 Incidents of corruption within nongovernmental organizations, as well as reports that these organiza- tions serve merely as covers for either for-profit or governmental insti- tutions, have increasingly come to the attention of the government and the public.199 Recently, for example, the IRS revoked the tax-exempt nonprofit status of countless "credit counseling services" because these firms were in fact motivated primarily by profit and not by the not- for-profit cause of helping consumers get out of debt.200 Courts have long recognized that the mere fact that an entity is a nonprofit does not preclude it from being concerned about raising cash revenues and maximizing profits or affecting competition in the market.201 In the application of antitrust laws, for example, almost every court has re- jected the "pure motives" argument when it has been put forth in de- fense of nonprofits.202 Moreover, akin to other sectors and arenas, nongovernmental or- ganizations - even when they do not operate within the formal legal system - frequently report both the need to fit their arguments into the contemporary dominant rhetoric and strong pressures to subjugate themselves in the service of other negotiating interests. This is often the case when they appear before international fora, such as the World Bank and the World TYade Organization, and each of the parties in a given debate attempts to look as though it has formed a well-rounded team by enlisting the support of local voluntary associations.203 One NGO member observes that "when so many different actors are drawn into the process, there is a danger that our demands may be blunted .... Consequently, we may end up with a i lowest common denomina- tor' which is no better than the kind of compromises the officials and diplomats engage in."204 Finally, local NGOs that begin to receive funding for their projects from private investors report the limitations of binding themselves to other interests. Funding is rarely unaccompanied by requirements as to the nature and types of uses to which it is put.205 These concessions to those who have the authority and resources to recognize some social demands but not others are indicative of the sorts of institutional and structural limitations that have been part of the traditional critique of cooptation. In this situation, local NGOs become dependent on play- ers with greater repeat access and are induced to compromise their ini- tial vision in return for limited victories. </w:t>
      </w:r>
      <w:r w:rsidRPr="00D7045C">
        <w:rPr>
          <w:rStyle w:val="Emphasis"/>
        </w:rPr>
        <w:t>The concerns about the nature of both civil society and nongov- ernmental actors illuminate the need to reject the notion of avoiding the legal system and opting into a nonregulated sphere of alternative social activism</w:t>
      </w:r>
      <w:r w:rsidRPr="00D7045C">
        <w:rPr>
          <w:sz w:val="12"/>
        </w:rPr>
        <w:t xml:space="preserve">. </w:t>
      </w:r>
      <w:r w:rsidRPr="00D7045C">
        <w:rPr>
          <w:rStyle w:val="Emphasis"/>
        </w:rPr>
        <w:t>When we understand these different realities and processes as also being formed and sustained by law, we can explore new ways in which legality relates to social reform</w:t>
      </w:r>
      <w:r w:rsidRPr="00D7045C">
        <w:rPr>
          <w:sz w:val="12"/>
        </w:rPr>
        <w:t xml:space="preserve">. </w:t>
      </w:r>
      <w:r w:rsidRPr="00D7045C">
        <w:rPr>
          <w:rStyle w:val="StyleUnderline"/>
        </w:rPr>
        <w:t>Some of these ways include efforts to design mechanisms of accountability that ad- dress the concerns of the new political economy.</w:t>
      </w:r>
      <w:r w:rsidRPr="00D7045C">
        <w:rPr>
          <w:sz w:val="12"/>
        </w:rPr>
        <w:t xml:space="preserve"> </w:t>
      </w:r>
      <w:r w:rsidRPr="00D7045C">
        <w:rPr>
          <w:rStyle w:val="StyleUnderline"/>
        </w:rPr>
        <w:t>Such efforts include</w:t>
      </w:r>
      <w:r w:rsidRPr="00D7045C">
        <w:rPr>
          <w:sz w:val="12"/>
        </w:rPr>
        <w:t xml:space="preserve"> treating private entities as state actors by revising the tests of joint participation and public function that are employed in the state action doctrine; </w:t>
      </w:r>
      <w:r w:rsidRPr="00D7045C">
        <w:rPr>
          <w:rStyle w:val="StyleUnderline"/>
        </w:rPr>
        <w:t>extending public requirements such as nondiscrimination</w:t>
      </w:r>
      <w:r w:rsidRPr="00D7045C">
        <w:rPr>
          <w:sz w:val="12"/>
        </w:rPr>
        <w:t>, due process, and transparency to private actors; and developing proce- dural rules for such activities as standard-setting and certification by private groups.206g</w:t>
      </w:r>
      <w:r w:rsidRPr="00D7045C">
        <w:rPr>
          <w:sz w:val="12"/>
        </w:rPr>
        <w:tab/>
        <w:t xml:space="preserve">yhhu They may also include using the nondelegation doc- trine to prevent certain processes of privatization and rethinking the tax exemption criteria for nonprofits.207 </w:t>
      </w:r>
      <w:r w:rsidRPr="00D7045C">
        <w:rPr>
          <w:rStyle w:val="Emphasis"/>
        </w:rPr>
        <w:t>All of these avenues under- stand the law as performing significant roles in the quest for reform and accountability while recognizing that new realities require creative rethinking of existing courses of action. Rather than opting out of the legal arena, it is possible to accept the need to diversify modes of activism and legal categories while us- ing legal reform in ways that are responsive to new realities</w:t>
      </w:r>
      <w:r w:rsidRPr="00D7045C">
        <w:rPr>
          <w:sz w:val="12"/>
        </w:rPr>
        <w:t>. Focusing on function and architecture, rather than on labels or distinct sectors, requires legal scholars to consider the desirability of new legal models of governmental and nongovernmental partnerships and of the direct regulation of nonstate actors. In recent years, scholars and policymak- ers have produced a body of literature, rooted primarily in administra- tive law, describing ways in which the government can harness the po- tential of private individuals to contribute to the project of governance.208 These new insights develop the idea that administra- tive agencies must be cognizant of, and actively involve, the private actors that they are charged with regulating. These studies, in fields ranging from occupational risk prevention to environmental policy to financial regulation, draw on the idea that groups and individuals will 206 On using the state action doctrine in the privatization context, see Daphne Barak-Erez, A State Action Doctrine for an Age of Privatization, 45 SYRACUSE L. REV. 1169, 1 188-91 (1995); Sheila S. Kennedy, When is Private Public? State Action in the Era of Privatization and Public- Private Partnerships, 11 GEO. MASON U. ClV. RTS. LJ. 203, 221-23 (2001); and Gillian E. Metzger, Privatization as Delegation, 103 COLUM. L. REV. 1367, 1456-1501 (2003). It is also in- creasingly clear that voluntary self-regulation and initiatives of private accreditation and certifica- tion will work better in certain situations, especially when a particular set of incentives exists. The culture of the industry is significant - multiple factors determine the relative success of these efforts. Such factors include the level of professionalism in the industry, the prestige and reputa- tion at stake, the multiplicity of actors involved, the existence of strong network links in the in- dustry, and the presence of a strong union. More detailed research is required in order to under- stand these differences and accordingly adopt adequate policies. 207 See Metzger, supra note 206. On the function of the nonprofit sector and its growth, see Norman I. Silber, A Corporate Form of Freedom: The Emergence of the Mod- ern NONPROFIT SECTOR (2001); Evelyn Brody, The Twilight of Organizational Form for Char- ity: Musings on Norman Silber, A Corporate Form of Freedom: The Emergence of the Modern Nonprofit Sector, 30 HOFSTRA L. REV. 1261 (2002) (book review); and Mark Sidel, The Nonprofit Sector and the New State Activism, 100 MICH. L. REV. 13 12 (2002) (book review). 208 See Lobel, supra note 57, at 345-48, 357-66, 451-53; Orly Lobel, Surreply, Setting the Agenda for New Governance Research, 89 MINN. L. REV. 498, 499-501 (2004). This content downloaded from 192.31.105.195 on Fri, 30 Jun 2017 00:08:12 UTC All use subject to http://about.jstor.org/terms 2007] THE PARADOX OF EXTRALEGAL ACTIVISM 983 better comply with state norms once they internalize them.209 For ex- ample, in the context of occupational safety, there is a growing body of evidence that focusing on the implementation of a culture of safety, rather than on the promulgation of rules, can enhance compliance and induce effective self-monitoring by private firms.210 Consequently, so- cial activists interested in improving the conditions of safety and health for workers should advocate for the involvement of employees in cooperative compliance regimes that involve both top-down agency regulation and firm- and industry-wide risk-management techniques. Importantly, in all of these new models of governance, the government agency and the courts must preserve their authority to discipline those who lack the willingness or the capacity to participate actively and dynamically in collaborative governance. Thus, unlike the contempo- rary message regarding extralegal activism that privileges private ac- tors and nonlegal techniques to promote social goals, the new govern- ance scholarship is engaged in developing a broad menu of legal reform strategies that involve private industry and nongovernmental actors in a variety of ways while maintaining the necessary role of the state to aid weaker groups in order to promote overall welfare and eq- uity</w:t>
      </w:r>
      <w:r w:rsidRPr="00D7045C">
        <w:rPr>
          <w:rStyle w:val="Emphasis"/>
        </w:rPr>
        <w:t xml:space="preserve">. A responsive legal architecture has the potential to generate new forms of accountability and social responsibility and to link hard law with "softer" practices and normativities. Reformers can potentially use law to increase the power and access of vulnerable individuals and groups and to develop tools to increase fair practices and knowledge building within the new market. </w:t>
      </w:r>
    </w:p>
    <w:p w14:paraId="4EDD3816" w14:textId="77777777" w:rsidR="00E4150E" w:rsidRPr="00D7045C" w:rsidRDefault="00E4150E" w:rsidP="00E4150E">
      <w:pPr>
        <w:pStyle w:val="Heading4"/>
        <w:rPr>
          <w:rFonts w:cs="Times New Roman"/>
        </w:rPr>
      </w:pPr>
      <w:r w:rsidRPr="00D7045C">
        <w:rPr>
          <w:rFonts w:cs="Times New Roman"/>
        </w:rPr>
        <w:t xml:space="preserve">Collective transformative momentum and concrete material change is the </w:t>
      </w:r>
      <w:r w:rsidRPr="00D7045C">
        <w:rPr>
          <w:rFonts w:cs="Times New Roman"/>
          <w:i/>
        </w:rPr>
        <w:t>only</w:t>
      </w:r>
      <w:r w:rsidRPr="00D7045C">
        <w:rPr>
          <w:rFonts w:cs="Times New Roman"/>
        </w:rPr>
        <w:t xml:space="preserve"> effective tactic of producing solutions to spatial racism—individual reform won’t cut it</w:t>
      </w:r>
    </w:p>
    <w:p w14:paraId="17BD8AB9" w14:textId="77777777" w:rsidR="00E4150E" w:rsidRPr="00D7045C" w:rsidRDefault="00E4150E" w:rsidP="00E4150E">
      <w:r w:rsidRPr="00D7045C">
        <w:rPr>
          <w:rStyle w:val="Style13ptBold"/>
        </w:rPr>
        <w:t>Lipsitz 11</w:t>
      </w:r>
      <w:r w:rsidRPr="00D7045C">
        <w:t xml:space="preserve"> (George, PhD, prof of American studies and black studies at UC Santa Barbara, “How Racism Takes Place,” p.18) KC</w:t>
      </w:r>
    </w:p>
    <w:p w14:paraId="5D7F8FCE" w14:textId="77777777" w:rsidR="00E4150E" w:rsidRPr="00D7045C" w:rsidRDefault="00E4150E" w:rsidP="00E4150E">
      <w:pPr>
        <w:rPr>
          <w:sz w:val="16"/>
        </w:rPr>
      </w:pPr>
      <w:r w:rsidRPr="00D7045C">
        <w:rPr>
          <w:sz w:val="16"/>
        </w:rPr>
        <w:t xml:space="preserve">Instead, king asked his followers to “be those creative dissenters who will call our beloved nation to a higher destiny, to a new plateau of compassion, to a more noble expression of humaneness.”60 king perceived part of the race problem and its solution as spatial. “the suburbs are white nooses around the black necks of the cities,” he wrote. “housing deteriorates in central cities; urban renewal has been negro removal and has benefited big merchants and real estate interests; and suburbs expand with little regard for what happens to the rest of america.”61 king complained that “the federal government subsidizes the nonpoor twice as much as the poor when we include various forms of subsidies such as middle-income public housing, tax deductions for mortgage interest and real estate taxes.”62 he called for the creation and enforcement of fair-housing laws, desegregation of neighborhoods, an end to homelessness, and a guarantee that all housing would meet minimum standards of adequacy.63 </w:t>
      </w:r>
      <w:r w:rsidRPr="00D7045C">
        <w:rPr>
          <w:rStyle w:val="StyleUnderline"/>
        </w:rPr>
        <w:t>yet king believed that the nation’s racial and spatial problems had already started to produce racial and spatial solutions. He saw ideas and actions emanating from black spaces as tremendously valuable to the nation at large.</w:t>
      </w:r>
      <w:r w:rsidRPr="00D7045C">
        <w:rPr>
          <w:sz w:val="16"/>
        </w:rPr>
        <w:t xml:space="preserve"> </w:t>
      </w:r>
      <w:r w:rsidRPr="00D7045C">
        <w:rPr>
          <w:rStyle w:val="StyleUnderline"/>
        </w:rPr>
        <w:t xml:space="preserve">In montgomery in 1955 and 1956, black people boycotted the buses and walked to work on the sidewalks. They </w:t>
      </w:r>
      <w:r w:rsidRPr="00D7045C">
        <w:rPr>
          <w:sz w:val="16"/>
        </w:rPr>
        <w:t>conducted lengthy public mass meetings that</w:t>
      </w:r>
      <w:r w:rsidRPr="00D7045C">
        <w:rPr>
          <w:rStyle w:val="StyleUnderline"/>
        </w:rPr>
        <w:t xml:space="preserve"> turned churches into sites for deliberative talk, face-to-face decision making, and collective mobilization. </w:t>
      </w:r>
      <w:r w:rsidRPr="00D7045C">
        <w:rPr>
          <w:sz w:val="16"/>
        </w:rPr>
        <w:t xml:space="preserve">Masses in motion on the streets of birmingham, </w:t>
      </w:r>
      <w:r w:rsidRPr="00D7045C">
        <w:rPr>
          <w:rStyle w:val="StyleUnderline"/>
        </w:rPr>
        <w:t xml:space="preserve">students staging sit-ins a lunch counters throughout the south, freedom riders transforming buses and bus stations into new democratic spaces, marchers protesting racist violence on rural highways in mississippi or pushing for voting rights on the road from selma to montgomery </w:t>
      </w:r>
      <w:r w:rsidRPr="00D7045C">
        <w:rPr>
          <w:rStyle w:val="Emphasis"/>
        </w:rPr>
        <w:t>expressed new spatial and racial imaginaries.</w:t>
      </w:r>
      <w:r w:rsidRPr="00D7045C">
        <w:rPr>
          <w:sz w:val="16"/>
        </w:rPr>
        <w:t xml:space="preserve"> </w:t>
      </w:r>
      <w:r w:rsidRPr="00D7045C">
        <w:rPr>
          <w:rStyle w:val="Emphasis"/>
        </w:rPr>
        <w:t>King recognized the importance of the fact that these actions took place in actual places</w:t>
      </w:r>
      <w:r w:rsidRPr="00D7045C">
        <w:rPr>
          <w:sz w:val="16"/>
        </w:rPr>
        <w:t xml:space="preserve">, </w:t>
      </w:r>
      <w:r w:rsidRPr="00D7045C">
        <w:rPr>
          <w:rStyle w:val="Emphasis"/>
        </w:rPr>
        <w:t>that they enacted in real time the social relations that dreamers could only envision.</w:t>
      </w:r>
      <w:r w:rsidRPr="00D7045C">
        <w:rPr>
          <w:sz w:val="16"/>
        </w:rPr>
        <w:t xml:space="preserve"> “</w:t>
      </w:r>
      <w:r w:rsidRPr="00D7045C">
        <w:rPr>
          <w:rStyle w:val="StyleUnderline"/>
        </w:rPr>
        <w:t>by taking to the streets, and there giving practical lessons in democracy and its defaults,” king asserted, “negroes have decisively influenced white thought.”64 more than any individual reform, the great achievement of the civil rights movement was the creation of blacks as an aggrieved and insurgent people dedicated to the democratic transformation of the nation and the world. Up to the day he died, king kept insisting on the need for direct action</w:t>
      </w:r>
      <w:r w:rsidRPr="00D7045C">
        <w:rPr>
          <w:sz w:val="16"/>
        </w:rPr>
        <w:t xml:space="preserve">. For him, </w:t>
      </w:r>
      <w:r w:rsidRPr="00D7045C">
        <w:rPr>
          <w:rStyle w:val="Emphasis"/>
        </w:rPr>
        <w:t>action mattered precisely because it did not depend solely on moral suasion, but instead strengthened ethical appeals by supporting them with what dr. King called “constructive coercive power.</w:t>
      </w:r>
      <w:r w:rsidRPr="00D7045C">
        <w:rPr>
          <w:sz w:val="16"/>
        </w:rPr>
        <w:t xml:space="preserve">”65 consistent with his oft-repeated injunction that in order to comfort the afflicted it was often necessary to afflict the comfortable, king also believed that collective action in public contained powerful potential for expanding democracy. Mass participation required critiques and demands capable of involving the broadest possible range of participants, countered tendencies toward autocracy and bureaucracy by generating the development of new leaders among the rank and file, and kept leaders accountable to their constituents. King believed in participatory democracy as both a means and an end. As he explained, “no great victories are won in a war for the transformation of a whole people without total participation. Less than this will not create a new society; it will only evoke more sophisticated token amelioration.”66 i have dealt with the ideas of dr. King at length in this introduction because his good name is often invoked to support and justify policies he certainly would have opposed. The statements that he made on these subjects are a matter of public record. If we do not know his ideas, it is because time and time again we have been lied to about them. But there is more at stake here than the personal reputation of one national icon, even one as brilliant and visionary as dr. King. The ideas that king championed were not his alone. They emerged from and spoke for a black spatial imaginary created in dispersed and diffuse sites by a broad range of activists, artists, intellectuals, and ordinary citizens. </w:t>
      </w:r>
    </w:p>
    <w:p w14:paraId="01BCBF4F" w14:textId="77777777" w:rsidR="00E4150E" w:rsidRPr="00D7045C" w:rsidRDefault="00E4150E" w:rsidP="00E4150E">
      <w:pPr>
        <w:pStyle w:val="NoSpacing"/>
      </w:pPr>
      <w:bookmarkStart w:id="1" w:name="_GoBack"/>
      <w:bookmarkEnd w:id="1"/>
    </w:p>
    <w:sectPr w:rsidR="00E4150E" w:rsidRPr="00D704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C866B9D"/>
    <w:multiLevelType w:val="hybridMultilevel"/>
    <w:tmpl w:val="52D41810"/>
    <w:lvl w:ilvl="0" w:tplc="894455C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2D4182"/>
    <w:multiLevelType w:val="hybridMultilevel"/>
    <w:tmpl w:val="8984086E"/>
    <w:lvl w:ilvl="0" w:tplc="8D56BFDA">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884C08"/>
    <w:multiLevelType w:val="hybridMultilevel"/>
    <w:tmpl w:val="4C46A6DE"/>
    <w:lvl w:ilvl="0" w:tplc="9D8441DE">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4"/>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65510224"/>
  </w:docVars>
  <w:rsids>
    <w:rsidRoot w:val="00DC61AC"/>
    <w:rsid w:val="0001795B"/>
    <w:rsid w:val="00033427"/>
    <w:rsid w:val="00035902"/>
    <w:rsid w:val="000A4057"/>
    <w:rsid w:val="000D2554"/>
    <w:rsid w:val="000D32D0"/>
    <w:rsid w:val="000E2FAE"/>
    <w:rsid w:val="00100534"/>
    <w:rsid w:val="00112678"/>
    <w:rsid w:val="00116411"/>
    <w:rsid w:val="00136B75"/>
    <w:rsid w:val="0014483F"/>
    <w:rsid w:val="00160378"/>
    <w:rsid w:val="00163FAF"/>
    <w:rsid w:val="00172131"/>
    <w:rsid w:val="001821CC"/>
    <w:rsid w:val="001B0874"/>
    <w:rsid w:val="001B22E1"/>
    <w:rsid w:val="001C7101"/>
    <w:rsid w:val="001F00EB"/>
    <w:rsid w:val="00201352"/>
    <w:rsid w:val="00264DB7"/>
    <w:rsid w:val="00270303"/>
    <w:rsid w:val="00274867"/>
    <w:rsid w:val="002A5B87"/>
    <w:rsid w:val="002B0061"/>
    <w:rsid w:val="002B4E8E"/>
    <w:rsid w:val="002D5090"/>
    <w:rsid w:val="002E4EAE"/>
    <w:rsid w:val="002F0651"/>
    <w:rsid w:val="002F6202"/>
    <w:rsid w:val="00324AB0"/>
    <w:rsid w:val="00324CE2"/>
    <w:rsid w:val="00385AE7"/>
    <w:rsid w:val="00386B87"/>
    <w:rsid w:val="003B4FAF"/>
    <w:rsid w:val="003D049F"/>
    <w:rsid w:val="00426241"/>
    <w:rsid w:val="00452AFE"/>
    <w:rsid w:val="00455FCC"/>
    <w:rsid w:val="00457118"/>
    <w:rsid w:val="00472727"/>
    <w:rsid w:val="004763A4"/>
    <w:rsid w:val="004A3CF3"/>
    <w:rsid w:val="004B1979"/>
    <w:rsid w:val="004C4175"/>
    <w:rsid w:val="00502DEC"/>
    <w:rsid w:val="005047A2"/>
    <w:rsid w:val="005243AD"/>
    <w:rsid w:val="00545ADC"/>
    <w:rsid w:val="005640C7"/>
    <w:rsid w:val="0056468E"/>
    <w:rsid w:val="0059026A"/>
    <w:rsid w:val="00596F8F"/>
    <w:rsid w:val="005A4715"/>
    <w:rsid w:val="005B36B6"/>
    <w:rsid w:val="005F21F6"/>
    <w:rsid w:val="0060671F"/>
    <w:rsid w:val="0062607B"/>
    <w:rsid w:val="00633411"/>
    <w:rsid w:val="00656B65"/>
    <w:rsid w:val="00683A2B"/>
    <w:rsid w:val="006A17C3"/>
    <w:rsid w:val="006B4F56"/>
    <w:rsid w:val="006E229F"/>
    <w:rsid w:val="006E7D0B"/>
    <w:rsid w:val="006F1291"/>
    <w:rsid w:val="00747E37"/>
    <w:rsid w:val="00780DE5"/>
    <w:rsid w:val="00785262"/>
    <w:rsid w:val="007D13D7"/>
    <w:rsid w:val="007E3F74"/>
    <w:rsid w:val="00804DFD"/>
    <w:rsid w:val="008165E8"/>
    <w:rsid w:val="0082079B"/>
    <w:rsid w:val="0086602E"/>
    <w:rsid w:val="00887970"/>
    <w:rsid w:val="00891A71"/>
    <w:rsid w:val="008B1834"/>
    <w:rsid w:val="00910FCF"/>
    <w:rsid w:val="00915228"/>
    <w:rsid w:val="00923C58"/>
    <w:rsid w:val="00924D59"/>
    <w:rsid w:val="00925756"/>
    <w:rsid w:val="00932159"/>
    <w:rsid w:val="00945477"/>
    <w:rsid w:val="00980781"/>
    <w:rsid w:val="009839F3"/>
    <w:rsid w:val="00985EE5"/>
    <w:rsid w:val="00993638"/>
    <w:rsid w:val="009A0629"/>
    <w:rsid w:val="009B29E5"/>
    <w:rsid w:val="009B5F8E"/>
    <w:rsid w:val="009F067D"/>
    <w:rsid w:val="009F0A65"/>
    <w:rsid w:val="00A11B11"/>
    <w:rsid w:val="00A304E0"/>
    <w:rsid w:val="00A31B31"/>
    <w:rsid w:val="00A845B6"/>
    <w:rsid w:val="00A87F6A"/>
    <w:rsid w:val="00A911DF"/>
    <w:rsid w:val="00AA3188"/>
    <w:rsid w:val="00AE305A"/>
    <w:rsid w:val="00AE4371"/>
    <w:rsid w:val="00AF489C"/>
    <w:rsid w:val="00AF53A9"/>
    <w:rsid w:val="00AF6254"/>
    <w:rsid w:val="00B1152E"/>
    <w:rsid w:val="00B57F6E"/>
    <w:rsid w:val="00B75A77"/>
    <w:rsid w:val="00B94E68"/>
    <w:rsid w:val="00BD4A07"/>
    <w:rsid w:val="00BE477F"/>
    <w:rsid w:val="00BE7E02"/>
    <w:rsid w:val="00BF3295"/>
    <w:rsid w:val="00BF3E90"/>
    <w:rsid w:val="00C2167B"/>
    <w:rsid w:val="00C247D3"/>
    <w:rsid w:val="00C313D2"/>
    <w:rsid w:val="00C3358A"/>
    <w:rsid w:val="00C34A94"/>
    <w:rsid w:val="00C640A3"/>
    <w:rsid w:val="00C65FD8"/>
    <w:rsid w:val="00C67A40"/>
    <w:rsid w:val="00C8268C"/>
    <w:rsid w:val="00C9035D"/>
    <w:rsid w:val="00CD22CB"/>
    <w:rsid w:val="00CD4E03"/>
    <w:rsid w:val="00CE1326"/>
    <w:rsid w:val="00D00730"/>
    <w:rsid w:val="00D10575"/>
    <w:rsid w:val="00D156E7"/>
    <w:rsid w:val="00D17980"/>
    <w:rsid w:val="00D31774"/>
    <w:rsid w:val="00D419D4"/>
    <w:rsid w:val="00D61894"/>
    <w:rsid w:val="00D67A22"/>
    <w:rsid w:val="00D7045C"/>
    <w:rsid w:val="00D864F3"/>
    <w:rsid w:val="00DA5774"/>
    <w:rsid w:val="00DB70B5"/>
    <w:rsid w:val="00DC2901"/>
    <w:rsid w:val="00DC61AC"/>
    <w:rsid w:val="00DD05B3"/>
    <w:rsid w:val="00DD5780"/>
    <w:rsid w:val="00DE13DF"/>
    <w:rsid w:val="00DF5184"/>
    <w:rsid w:val="00E11B19"/>
    <w:rsid w:val="00E34FCD"/>
    <w:rsid w:val="00E372FA"/>
    <w:rsid w:val="00E4150E"/>
    <w:rsid w:val="00E41701"/>
    <w:rsid w:val="00E727CF"/>
    <w:rsid w:val="00E74CE1"/>
    <w:rsid w:val="00E94EC4"/>
    <w:rsid w:val="00EA4302"/>
    <w:rsid w:val="00EC22B2"/>
    <w:rsid w:val="00ED186A"/>
    <w:rsid w:val="00EE2012"/>
    <w:rsid w:val="00EE7C51"/>
    <w:rsid w:val="00F208D3"/>
    <w:rsid w:val="00F2516F"/>
    <w:rsid w:val="00F35A0B"/>
    <w:rsid w:val="00F54650"/>
    <w:rsid w:val="00F557C9"/>
    <w:rsid w:val="00F61640"/>
    <w:rsid w:val="00F64C87"/>
    <w:rsid w:val="00F711BA"/>
    <w:rsid w:val="00F77B3E"/>
    <w:rsid w:val="00FB1CBD"/>
    <w:rsid w:val="00FB4334"/>
    <w:rsid w:val="00FB794A"/>
    <w:rsid w:val="00FF7E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8D1D9"/>
  <w15:docId w15:val="{52FDB687-0803-4AC8-8874-4175F7740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8268C"/>
    <w:pPr>
      <w:spacing w:after="160" w:line="259" w:lineRule="auto"/>
    </w:pPr>
    <w:rPr>
      <w:rFonts w:ascii="Calibri" w:hAnsi="Calibri"/>
    </w:rPr>
  </w:style>
  <w:style w:type="paragraph" w:styleId="Heading1">
    <w:name w:val="heading 1"/>
    <w:aliases w:val="Pocket"/>
    <w:basedOn w:val="Normal"/>
    <w:next w:val="Normal"/>
    <w:link w:val="Heading1Char"/>
    <w:qFormat/>
    <w:rsid w:val="00C826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826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826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8268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8268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8268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8268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8268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link w:val="textbold"/>
    <w:uiPriority w:val="7"/>
    <w:qFormat/>
    <w:rsid w:val="00C8268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8268C"/>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Bold Cite Char,Citation Char Char Char,ci,c,Underline Char"/>
    <w:basedOn w:val="DefaultParagraphFont"/>
    <w:uiPriority w:val="6"/>
    <w:qFormat/>
    <w:rsid w:val="00C8268C"/>
    <w:rPr>
      <w:b w:val="0"/>
      <w:sz w:val="22"/>
      <w:u w:val="single"/>
    </w:rPr>
  </w:style>
  <w:style w:type="character" w:styleId="Hyperlink">
    <w:name w:val="Hyperlink"/>
    <w:basedOn w:val="DefaultParagraphFont"/>
    <w:uiPriority w:val="99"/>
    <w:unhideWhenUsed/>
    <w:rsid w:val="00C8268C"/>
    <w:rPr>
      <w:color w:val="auto"/>
      <w:u w:val="none"/>
    </w:rPr>
  </w:style>
  <w:style w:type="character" w:styleId="FollowedHyperlink">
    <w:name w:val="FollowedHyperlink"/>
    <w:basedOn w:val="DefaultParagraphFont"/>
    <w:uiPriority w:val="99"/>
    <w:semiHidden/>
    <w:unhideWhenUsed/>
    <w:rsid w:val="00C8268C"/>
    <w:rPr>
      <w:color w:val="auto"/>
      <w:u w:val="none"/>
    </w:rPr>
  </w:style>
  <w:style w:type="character" w:customStyle="1" w:styleId="apple-converted-space">
    <w:name w:val="apple-converted-space"/>
    <w:basedOn w:val="DefaultParagraphFont"/>
    <w:rsid w:val="00172131"/>
  </w:style>
  <w:style w:type="paragraph" w:customStyle="1" w:styleId="p1">
    <w:name w:val="p1"/>
    <w:basedOn w:val="Normal"/>
    <w:rsid w:val="00172131"/>
    <w:pPr>
      <w:spacing w:line="240" w:lineRule="auto"/>
    </w:pPr>
    <w:rPr>
      <w:rFonts w:ascii="Times" w:hAnsi="Times"/>
      <w:sz w:val="17"/>
      <w:szCs w:val="17"/>
    </w:rPr>
  </w:style>
  <w:style w:type="character" w:customStyle="1" w:styleId="s1">
    <w:name w:val="s1"/>
    <w:basedOn w:val="DefaultParagraphFont"/>
    <w:rsid w:val="00172131"/>
    <w:rPr>
      <w:rFonts w:ascii="Times" w:hAnsi="Times" w:hint="default"/>
      <w:sz w:val="13"/>
      <w:szCs w:val="13"/>
    </w:rPr>
  </w:style>
  <w:style w:type="character" w:customStyle="1" w:styleId="s2">
    <w:name w:val="s2"/>
    <w:basedOn w:val="DefaultParagraphFont"/>
    <w:rsid w:val="00172131"/>
    <w:rPr>
      <w:rFonts w:ascii="Times" w:hAnsi="Times" w:hint="default"/>
      <w:sz w:val="11"/>
      <w:szCs w:val="11"/>
    </w:rPr>
  </w:style>
  <w:style w:type="paragraph" w:styleId="NoSpacing">
    <w:name w:val="No Spacing"/>
    <w:uiPriority w:val="1"/>
    <w:qFormat/>
    <w:rsid w:val="00172131"/>
    <w:pPr>
      <w:spacing w:after="0" w:line="240" w:lineRule="auto"/>
    </w:pPr>
    <w:rPr>
      <w:rFonts w:ascii="Calibri" w:eastAsiaTheme="minorEastAsia" w:hAnsi="Calibri"/>
      <w:szCs w:val="24"/>
    </w:rPr>
  </w:style>
  <w:style w:type="paragraph" w:customStyle="1" w:styleId="textbold">
    <w:name w:val="text bold"/>
    <w:basedOn w:val="Normal"/>
    <w:link w:val="Emphasis"/>
    <w:uiPriority w:val="7"/>
    <w:qFormat/>
    <w:rsid w:val="00FB794A"/>
    <w:pPr>
      <w:ind w:left="720"/>
      <w:jc w:val="both"/>
    </w:pPr>
    <w:rPr>
      <w:b/>
      <w:iCs/>
      <w:u w:val="single"/>
    </w:rPr>
  </w:style>
  <w:style w:type="paragraph" w:styleId="ListParagraph">
    <w:name w:val="List Paragraph"/>
    <w:basedOn w:val="Normal"/>
    <w:uiPriority w:val="34"/>
    <w:qFormat/>
    <w:rsid w:val="007D13D7"/>
    <w:pPr>
      <w:ind w:left="720"/>
      <w:contextualSpacing/>
    </w:pPr>
  </w:style>
  <w:style w:type="paragraph" w:styleId="NormalWeb">
    <w:name w:val="Normal (Web)"/>
    <w:basedOn w:val="Normal"/>
    <w:uiPriority w:val="99"/>
    <w:semiHidden/>
    <w:unhideWhenUsed/>
    <w:rsid w:val="00B57F6E"/>
    <w:pPr>
      <w:spacing w:before="100" w:beforeAutospacing="1" w:after="100" w:afterAutospacing="1" w:line="240" w:lineRule="auto"/>
    </w:pPr>
    <w:rPr>
      <w:lang w:eastAsia="zh-CN"/>
    </w:rPr>
  </w:style>
  <w:style w:type="character" w:styleId="Strong">
    <w:name w:val="Strong"/>
    <w:basedOn w:val="DefaultParagraphFont"/>
    <w:uiPriority w:val="22"/>
    <w:qFormat/>
    <w:rsid w:val="00B57F6E"/>
    <w:rPr>
      <w:b/>
      <w:bCs/>
    </w:rPr>
  </w:style>
  <w:style w:type="paragraph" w:customStyle="1" w:styleId="story-body-text">
    <w:name w:val="story-body-text"/>
    <w:basedOn w:val="Normal"/>
    <w:rsid w:val="00B57F6E"/>
    <w:pPr>
      <w:spacing w:before="100" w:beforeAutospacing="1" w:after="100" w:afterAutospacing="1" w:line="240" w:lineRule="auto"/>
    </w:pPr>
    <w:rPr>
      <w:lang w:eastAsia="zh-CN"/>
    </w:rPr>
  </w:style>
  <w:style w:type="paragraph" w:styleId="DocumentMap">
    <w:name w:val="Document Map"/>
    <w:basedOn w:val="Normal"/>
    <w:link w:val="DocumentMapChar"/>
    <w:uiPriority w:val="99"/>
    <w:semiHidden/>
    <w:unhideWhenUsed/>
    <w:rsid w:val="00BE7E02"/>
    <w:pPr>
      <w:spacing w:line="240" w:lineRule="auto"/>
    </w:pPr>
    <w:rPr>
      <w:sz w:val="24"/>
      <w:szCs w:val="24"/>
    </w:rPr>
  </w:style>
  <w:style w:type="character" w:customStyle="1" w:styleId="DocumentMapChar">
    <w:name w:val="Document Map Char"/>
    <w:basedOn w:val="DefaultParagraphFont"/>
    <w:link w:val="DocumentMap"/>
    <w:uiPriority w:val="99"/>
    <w:semiHidden/>
    <w:rsid w:val="00BE7E02"/>
    <w:rPr>
      <w:rFonts w:ascii="Times New Roman" w:hAnsi="Times New Roman" w:cs="Times New Roman"/>
      <w:sz w:val="24"/>
      <w:szCs w:val="24"/>
    </w:rPr>
  </w:style>
  <w:style w:type="character" w:customStyle="1" w:styleId="UnresolvedMention1">
    <w:name w:val="Unresolved Mention1"/>
    <w:basedOn w:val="DefaultParagraphFont"/>
    <w:uiPriority w:val="99"/>
    <w:semiHidden/>
    <w:unhideWhenUsed/>
    <w:rsid w:val="00F557C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290758">
      <w:bodyDiv w:val="1"/>
      <w:marLeft w:val="0"/>
      <w:marRight w:val="0"/>
      <w:marTop w:val="0"/>
      <w:marBottom w:val="0"/>
      <w:divBdr>
        <w:top w:val="none" w:sz="0" w:space="0" w:color="auto"/>
        <w:left w:val="none" w:sz="0" w:space="0" w:color="auto"/>
        <w:bottom w:val="none" w:sz="0" w:space="0" w:color="auto"/>
        <w:right w:val="none" w:sz="0" w:space="0" w:color="auto"/>
      </w:divBdr>
    </w:div>
    <w:div w:id="1573154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article/10.1007%2Fs12552-014-9135-0" TargetMode="External"/><Relationship Id="rId18" Type="http://schemas.openxmlformats.org/officeDocument/2006/relationships/hyperlink" Target="http://www.jstor.org/stable/healhumarigh.12.1.83" TargetMode="External"/><Relationship Id="rId26" Type="http://schemas.openxmlformats.org/officeDocument/2006/relationships/hyperlink" Target="https://www.amren.com/news/2014/08/did-school-integration-fail-black-children/)" TargetMode="External"/><Relationship Id="rId39" Type="http://schemas.openxmlformats.org/officeDocument/2006/relationships/hyperlink" Target="http://www.jstor.org/stable/40041996" TargetMode="External"/><Relationship Id="rId21" Type="http://schemas.openxmlformats.org/officeDocument/2006/relationships/hyperlink" Target="http://www.jstor.org/stable/40041996" TargetMode="External"/><Relationship Id="rId34" Type="http://schemas.openxmlformats.org/officeDocument/2006/relationships/hyperlink" Target="http://mjnelson.wustl.edu/papers/AnnualReview.pdf)A" TargetMode="External"/><Relationship Id="rId42" Type="http://schemas.openxmlformats.org/officeDocument/2006/relationships/hyperlink" Target="https://www.nytimes.com/2017/01/17/upshot/republican-men-say-its-a-better-time-to-be-a-woman-than-a-man.html" TargetMode="External"/><Relationship Id="rId47" Type="http://schemas.openxmlformats.org/officeDocument/2006/relationships/hyperlink" Target="https://www.theglobeandmail.com/opinion/do-we-need-any-more-proof-that-trump-is-a-misogynist/article35505912/)" TargetMode="External"/><Relationship Id="rId50" Type="http://schemas.openxmlformats.org/officeDocument/2006/relationships/hyperlink" Target="https://www.washingtonpost.com/news/monkey-cage/wp/2017/06/28/controversial-supreme-court-decisions-change-public-opinion-in-part-because-the-media-mostly-report-on-them-uncritically/?utm_term=.b6709582871b)" TargetMode="External"/><Relationship Id="rId55" Type="http://schemas.openxmlformats.org/officeDocument/2006/relationships/hyperlink" Target="http://www.truth-out.org/news/item/32171-us-education-reform-and-the-maintenance-of-white-supremacy-through-structural-violence)" TargetMode="External"/><Relationship Id="rId63" Type="http://schemas.openxmlformats.org/officeDocument/2006/relationships/hyperlink" Target="http://www.jstor.org/stable/40041996" TargetMode="External"/><Relationship Id="rId7" Type="http://schemas.openxmlformats.org/officeDocument/2006/relationships/hyperlink" Target="https://psmag.com/america-s-fragmented-education-funding-system-963a0ec5287e" TargetMode="External"/><Relationship Id="rId2" Type="http://schemas.openxmlformats.org/officeDocument/2006/relationships/numbering" Target="numbering.xml"/><Relationship Id="rId16" Type="http://schemas.openxmlformats.org/officeDocument/2006/relationships/hyperlink" Target="http://www.jstor.org/stable/40041996" TargetMode="External"/><Relationship Id="rId20" Type="http://schemas.openxmlformats.org/officeDocument/2006/relationships/hyperlink" Target="http://mjnelson.wustl.edu/papers/AnnualReview.pdf" TargetMode="External"/><Relationship Id="rId29" Type="http://schemas.openxmlformats.org/officeDocument/2006/relationships/hyperlink" Target="http://www.loyno.edu/jsri/race-racism-and-whiteness" TargetMode="External"/><Relationship Id="rId41" Type="http://schemas.openxmlformats.org/officeDocument/2006/relationships/hyperlink" Target="https://www.scribd.com/document/336804316/PerryUndem-Gender-Equality-Report" TargetMode="External"/><Relationship Id="rId54" Type="http://schemas.openxmlformats.org/officeDocument/2006/relationships/hyperlink" Target="http://www.scotusblog.com/case-files/cases/arizona-v-united-states/" TargetMode="External"/><Relationship Id="rId62" Type="http://schemas.openxmlformats.org/officeDocument/2006/relationships/hyperlink" Target="http://www.jstor.org/stable/40041996" TargetMode="External"/><Relationship Id="rId1" Type="http://schemas.openxmlformats.org/officeDocument/2006/relationships/customXml" Target="../customXml/item1.xml"/><Relationship Id="rId6" Type="http://schemas.openxmlformats.org/officeDocument/2006/relationships/hyperlink" Target="https://psmag.com/the-problem-with-title-i-education-funding-afd52ba7225a" TargetMode="External"/><Relationship Id="rId11" Type="http://schemas.openxmlformats.org/officeDocument/2006/relationships/hyperlink" Target="http://www.truth-out.org/news/item/32171-us-education-reform-and-the-maintenance-of-white-supremacy-through-structural-violence)" TargetMode="External"/><Relationship Id="rId24" Type="http://schemas.openxmlformats.org/officeDocument/2006/relationships/hyperlink" Target="http://www.loyno.edu/jsri/race-racism-and-whiteness" TargetMode="External"/><Relationship Id="rId32" Type="http://schemas.openxmlformats.org/officeDocument/2006/relationships/hyperlink" Target="http://americanhistory.oxfordre.com/view/10.1093/acrefore/9780199329175.001.0001/acrefore-9780199329175-e-62)" TargetMode="External"/><Relationship Id="rId37" Type="http://schemas.openxmlformats.org/officeDocument/2006/relationships/hyperlink" Target="https://lawreview.law.ucdavis.edu/issues/40/5/articles/DavisVol40No5_Robinson.pdf" TargetMode="External"/><Relationship Id="rId40" Type="http://schemas.openxmlformats.org/officeDocument/2006/relationships/hyperlink" Target="https://www.theguardian.com/commentisfree/2017/jan/19/donald-trump-sexism-trickle-down-influence-women-men-us-voters)" TargetMode="External"/><Relationship Id="rId45" Type="http://schemas.openxmlformats.org/officeDocument/2006/relationships/hyperlink" Target="https://www.americanprogress.org/issues/women/reports/2017/04/25/430969/100-days-100-ways-trump-administration-harming-women-families/)" TargetMode="External"/><Relationship Id="rId53" Type="http://schemas.openxmlformats.org/officeDocument/2006/relationships/hyperlink" Target="http://www.scotusblog.com/case-files/cases/national-federation-of-independent-business-v-sebelius/" TargetMode="External"/><Relationship Id="rId58" Type="http://schemas.openxmlformats.org/officeDocument/2006/relationships/hyperlink" Target="http://www.latimes.com/politics/la-na-pol-court-gays-religion-20170626-story.html" TargetMode="External"/><Relationship Id="rId5" Type="http://schemas.openxmlformats.org/officeDocument/2006/relationships/webSettings" Target="webSettings.xml"/><Relationship Id="rId15" Type="http://schemas.openxmlformats.org/officeDocument/2006/relationships/hyperlink" Target="http://www.truth-out.org/news/item/32171-us-education-reform-and-the-maintenance-of-white-supremacy-through-structural-violence)" TargetMode="External"/><Relationship Id="rId23" Type="http://schemas.openxmlformats.org/officeDocument/2006/relationships/hyperlink" Target="http://content.time.com/time/magazine/article/0,9171,902503.00.html" TargetMode="External"/><Relationship Id="rId28" Type="http://schemas.openxmlformats.org/officeDocument/2006/relationships/hyperlink" Target="https://www.washingtonpost.com/posteverything/wp/2014/07/24/youve-probably-never-heard-of-one-of-the-worst-supreme-court-decisions/?utm_term=.db9133a8d8f9" TargetMode="External"/><Relationship Id="rId36" Type="http://schemas.openxmlformats.org/officeDocument/2006/relationships/hyperlink" Target="http://www.dailytargum.com/article/2016/11/segregation-persists-in-modern-day-schools" TargetMode="External"/><Relationship Id="rId49" Type="http://schemas.openxmlformats.org/officeDocument/2006/relationships/hyperlink" Target="http://heinonline.org/HOL/LandingPage?handle=hein.journals/mercer68&amp;div=25&amp;id=&amp;page" TargetMode="External"/><Relationship Id="rId57" Type="http://schemas.openxmlformats.org/officeDocument/2006/relationships/hyperlink" Target="http://www.people-press.org/2017/06/26/support-for-same-sex-marriage-grows-even-among-groups-that-had-been-skeptical/" TargetMode="External"/><Relationship Id="rId61" Type="http://schemas.openxmlformats.org/officeDocument/2006/relationships/hyperlink" Target="https://www.brookings.edu/wp-content/uploads/2016/06/powell.pdf" TargetMode="External"/><Relationship Id="rId10" Type="http://schemas.openxmlformats.org/officeDocument/2006/relationships/hyperlink" Target="http://edbuild.org/" TargetMode="External"/><Relationship Id="rId19" Type="http://schemas.openxmlformats.org/officeDocument/2006/relationships/hyperlink" Target="https://academic.oup.com/poq/article-abstract/80/3/622/1752884/Change-in-Institutional-Support-for-the-US-Supreme?redirectedFrom=PDF" TargetMode="External"/><Relationship Id="rId31" Type="http://schemas.openxmlformats.org/officeDocument/2006/relationships/hyperlink" Target="http://www.truth-out.org/news/item/32171-us-education-reform-and-the-maintenance-of-white-supremacy-through-structural-violence)" TargetMode="External"/><Relationship Id="rId44" Type="http://schemas.openxmlformats.org/officeDocument/2006/relationships/hyperlink" Target="https://www.theguardian.com/us-news/2017/jan/14/womens-march-on-washington-protest-size-donald-trump" TargetMode="External"/><Relationship Id="rId52" Type="http://schemas.openxmlformats.org/officeDocument/2006/relationships/hyperlink" Target="https://papers.ssrn.com/sol3/papers.cfm?abstract_id=2900526" TargetMode="External"/><Relationship Id="rId60" Type="http://schemas.openxmlformats.org/officeDocument/2006/relationships/hyperlink" Target="https://papers.ssrn.com/sol3/papers.cfm?abstract_id=2973417)"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viz.edbuild.org/maps/2016/fault-lines/" TargetMode="External"/><Relationship Id="rId14" Type="http://schemas.openxmlformats.org/officeDocument/2006/relationships/hyperlink" Target="http://www.analyse-und-kritik.net/2013-1/AK_Williamson_2013.pdf" TargetMode="External"/><Relationship Id="rId22" Type="http://schemas.openxmlformats.org/officeDocument/2006/relationships/hyperlink" Target="http://www.slate.com/articles/life/history/features/2014/the_liberal_failure_on_race/how_the_left_s_embrace_of_busing_hurt_the_cause_of_integration.html)" TargetMode="External"/><Relationship Id="rId27" Type="http://schemas.openxmlformats.org/officeDocument/2006/relationships/hyperlink" Target="http://www.slate.com/articles/life/history/features/2014/the_liberal_failure_on_race/how_the_left_s_embrace_of_busing_hurt_the_cause_of_integration.html)" TargetMode="External"/><Relationship Id="rId30" Type="http://schemas.openxmlformats.org/officeDocument/2006/relationships/hyperlink" Target="http://news.stanford.edu/2016/04/29/local-education-inequities-across-u-s-revealed-new-stanford-data-set/)" TargetMode="External"/><Relationship Id="rId35" Type="http://schemas.openxmlformats.org/officeDocument/2006/relationships/hyperlink" Target="http://archive.boston.com/news/globe/editorial_opinion/oped/articles/2004/04/23/hub_of_hypersegregation?pg=2" TargetMode="External"/><Relationship Id="rId43" Type="http://schemas.openxmlformats.org/officeDocument/2006/relationships/hyperlink" Target="https://www.splcenter.org/20161129/ten-days-after-harassment-and-intimidation-aftermath-election" TargetMode="External"/><Relationship Id="rId48" Type="http://schemas.openxmlformats.org/officeDocument/2006/relationships/hyperlink" Target="https://rewire.news/article/2017/04/24/trumps-first-100-days-blueprint-hurt-people-color/)" TargetMode="External"/><Relationship Id="rId56" Type="http://schemas.openxmlformats.org/officeDocument/2006/relationships/hyperlink" Target="http://www.latimes.com/politics/washington/la-na-essential-washington-updates-support-for-same-sex-marriage-has-grown-1498485534-htmlstory.html)" TargetMode="External"/><Relationship Id="rId64" Type="http://schemas.openxmlformats.org/officeDocument/2006/relationships/fontTable" Target="fontTable.xml"/><Relationship Id="rId8" Type="http://schemas.openxmlformats.org/officeDocument/2006/relationships/hyperlink" Target="https://psmag.com/america-s-fragmented-education-funding-system-963a0ec5287e" TargetMode="External"/><Relationship Id="rId51" Type="http://schemas.openxmlformats.org/officeDocument/2006/relationships/hyperlink" Target="https://www.washingtonpost.com/politics/courts_law/supreme-court-allows-limited-version-of-trumps-travel-ban-to-take-effect-will-consider-case-in-fall/2017/06/26/97afa314-573e-11e7-b38e-35fd8e0c288f_story.html?utm_term=.e8cbb80e5189" TargetMode="External"/><Relationship Id="rId3" Type="http://schemas.openxmlformats.org/officeDocument/2006/relationships/styles" Target="styles.xml"/><Relationship Id="rId12" Type="http://schemas.openxmlformats.org/officeDocument/2006/relationships/hyperlink" Target="http://www.truth-out.org/news/item/32171-us-education-reform-and-the-maintenance-of-white-supremacy-through-structural-violence)" TargetMode="External"/><Relationship Id="rId17" Type="http://schemas.openxmlformats.org/officeDocument/2006/relationships/hyperlink" Target="http://prospect.org/article/citizen-activism-and-courts" TargetMode="External"/><Relationship Id="rId25" Type="http://schemas.openxmlformats.org/officeDocument/2006/relationships/hyperlink" Target="https://link.springer.com/article/10.1007%2Fs12552-014-9135-0" TargetMode="External"/><Relationship Id="rId33" Type="http://schemas.openxmlformats.org/officeDocument/2006/relationships/hyperlink" Target="http://www.slate.com/articles/life/history/features/2014/the_liberal_failure_on_race/how_the_left_s_embrace_of_busing_hurt_the_cause_of_integration.html)" TargetMode="External"/><Relationship Id="rId38" Type="http://schemas.openxmlformats.org/officeDocument/2006/relationships/hyperlink" Target="http://www.uclalawreview.org/pdf/62-2-3.pdf" TargetMode="External"/><Relationship Id="rId46" Type="http://schemas.openxmlformats.org/officeDocument/2006/relationships/hyperlink" Target="https://mic.com/articles/160110/donald-trump-s-administration-is-going-to-be-so-bad-for-women-especially-women-of-color" TargetMode="External"/><Relationship Id="rId59" Type="http://schemas.openxmlformats.org/officeDocument/2006/relationships/hyperlink" Target="http://www.epi.org/publication/the-racial-achievement-gap-segregated-schools-and-segregated-neighborhoods-a-constitutional-insul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5D08BE-9B4D-470A-B3CA-03F450ED3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517</TotalTime>
  <Pages>1</Pages>
  <Words>69061</Words>
  <Characters>393654</Characters>
  <Application>Microsoft Office Word</Application>
  <DocSecurity>0</DocSecurity>
  <Lines>3280</Lines>
  <Paragraphs>923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Miles Gray</cp:lastModifiedBy>
  <cp:revision>78</cp:revision>
  <dcterms:created xsi:type="dcterms:W3CDTF">2017-06-30T22:17:00Z</dcterms:created>
  <dcterms:modified xsi:type="dcterms:W3CDTF">2017-07-03T17:53:00Z</dcterms:modified>
</cp:coreProperties>
</file>