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297387" w14:textId="3B553ED6" w:rsidR="00E0260D" w:rsidRDefault="00E0260D" w:rsidP="00E0260D">
      <w:pPr>
        <w:pStyle w:val="Heading3"/>
      </w:pPr>
      <w:r>
        <w:t xml:space="preserve">2AC Overviews: </w:t>
      </w:r>
    </w:p>
    <w:p w14:paraId="505870FB" w14:textId="2B0D01A2" w:rsidR="00E0260D" w:rsidRDefault="00E0260D" w:rsidP="00E0260D">
      <w:pPr>
        <w:pStyle w:val="Heading3"/>
      </w:pPr>
      <w:r>
        <w:t>2AC – “Framing”</w:t>
      </w:r>
    </w:p>
    <w:p w14:paraId="6DC252FE" w14:textId="7E071E7C" w:rsidR="00E42E4C" w:rsidRDefault="00E0260D" w:rsidP="00E0260D">
      <w:pPr>
        <w:pStyle w:val="Heading3"/>
      </w:pPr>
      <w:r>
        <w:t xml:space="preserve">2AC – States CP </w:t>
      </w:r>
    </w:p>
    <w:p w14:paraId="3240998E" w14:textId="77777777" w:rsidR="00130C8F" w:rsidRPr="00EF204C" w:rsidRDefault="00130C8F" w:rsidP="00130C8F">
      <w:pPr>
        <w:pStyle w:val="Heading4"/>
        <w:rPr>
          <w:rStyle w:val="Style13ptBold"/>
          <w:b/>
        </w:rPr>
      </w:pPr>
      <w:r>
        <w:rPr>
          <w:rStyle w:val="Style13ptBold"/>
          <w:b/>
        </w:rPr>
        <w:t>Transferring control of Native land over to states is a bad idea</w:t>
      </w:r>
      <w:r w:rsidRPr="00EF204C">
        <w:rPr>
          <w:rStyle w:val="Style13ptBold"/>
          <w:b/>
        </w:rPr>
        <w:t xml:space="preserve"> </w:t>
      </w:r>
    </w:p>
    <w:p w14:paraId="734F9F92" w14:textId="77777777" w:rsidR="00130C8F" w:rsidRDefault="00130C8F" w:rsidP="00130C8F">
      <w:proofErr w:type="spellStart"/>
      <w:r w:rsidRPr="001F4F7A">
        <w:rPr>
          <w:rStyle w:val="Style13ptBold"/>
        </w:rPr>
        <w:t>Setshwaelo</w:t>
      </w:r>
      <w:proofErr w:type="spellEnd"/>
      <w:r w:rsidRPr="001F4F7A">
        <w:rPr>
          <w:rStyle w:val="Style13ptBold"/>
        </w:rPr>
        <w:t>, 17</w:t>
      </w:r>
      <w:r>
        <w:t xml:space="preserve"> (Sarah </w:t>
      </w:r>
      <w:proofErr w:type="spellStart"/>
      <w:r>
        <w:t>Setshwaelo</w:t>
      </w:r>
      <w:proofErr w:type="spellEnd"/>
      <w:r>
        <w:t>, m</w:t>
      </w:r>
      <w:r w:rsidRPr="001F4F7A">
        <w:t xml:space="preserve">ember of </w:t>
      </w:r>
      <w:proofErr w:type="spellStart"/>
      <w:r w:rsidRPr="001F4F7A">
        <w:t>Dentons</w:t>
      </w:r>
      <w:proofErr w:type="spellEnd"/>
      <w:r w:rsidRPr="001F4F7A">
        <w:t>' public law practice, focusing on Native American law and policy, and a member of the Ione Band of Miwok Indians</w:t>
      </w:r>
      <w:r>
        <w:t>, “State Control of Federal Lands Would Erode Protections of Indian Resources,” 1/17/17, New York Times, “</w:t>
      </w:r>
      <w:r w:rsidRPr="00590FE7">
        <w:t>https://www.nytimes.com/roomfordebate/2017/01/17/can-western-states-afford-a-federal-land-transfer/state-control-of-federal-lands-would-erode-protections-of-indian-resources</w:t>
      </w:r>
      <w:r>
        <w:t>,” AG)</w:t>
      </w:r>
    </w:p>
    <w:p w14:paraId="50A98CB7" w14:textId="77777777" w:rsidR="00130C8F" w:rsidRPr="00495E17" w:rsidRDefault="00130C8F" w:rsidP="00130C8F">
      <w:pPr>
        <w:rPr>
          <w:sz w:val="16"/>
        </w:rPr>
      </w:pPr>
      <w:r w:rsidRPr="00495E17">
        <w:rPr>
          <w:sz w:val="16"/>
        </w:rPr>
        <w:t xml:space="preserve">Routinely faced with threats to their traditions and cultural resources, American Indian tribes and their citizens are no strangers to struggle. Unquestionably, </w:t>
      </w:r>
      <w:r w:rsidRPr="00D9580F">
        <w:rPr>
          <w:u w:val="single"/>
        </w:rPr>
        <w:t xml:space="preserve">the transfer of federal public lands to the state has the potential to </w:t>
      </w:r>
      <w:r w:rsidRPr="00495E17">
        <w:rPr>
          <w:b/>
          <w:u w:val="single"/>
        </w:rPr>
        <w:t>seriously jeopardize invaluable cultural resources</w:t>
      </w:r>
      <w:r w:rsidRPr="00D9580F">
        <w:rPr>
          <w:u w:val="single"/>
        </w:rPr>
        <w:t xml:space="preserve"> that Indian tribes and American Indian people have fought hard to protect.</w:t>
      </w:r>
      <w:r w:rsidRPr="00495E17">
        <w:rPr>
          <w:sz w:val="16"/>
        </w:rPr>
        <w:t xml:space="preserve"> With that in mind, </w:t>
      </w:r>
      <w:r w:rsidRPr="00495E17">
        <w:rPr>
          <w:u w:val="single"/>
        </w:rPr>
        <w:t>the question isn’t as simple as whether states can handle the responsibility for management of presently federal public lands. Where Indian tribes are concerned, the question must also be asked, “</w:t>
      </w:r>
      <w:r w:rsidRPr="00495E17">
        <w:rPr>
          <w:b/>
          <w:u w:val="single"/>
        </w:rPr>
        <w:t>What does each state do, or what will it do, to protect important cultural resources on these lands?”</w:t>
      </w:r>
      <w:r w:rsidRPr="00495E17">
        <w:rPr>
          <w:u w:val="single"/>
        </w:rPr>
        <w:t xml:space="preserve"> Though tumultuous at times, the roots of the government-to-government relationship between the federal government and Indian tribes run deep, and in many ways federal-tribal relations are stronger today than ever before. Sadly, the same cannot be said of the relationship between Indian tribes and state governments, particularly where state objectives and tribal cultural ideals collide. </w:t>
      </w:r>
      <w:r w:rsidRPr="00D9580F">
        <w:rPr>
          <w:u w:val="single"/>
        </w:rPr>
        <w:t>Compared to the federal government, states have been less active in conserving tribal cultural resources or involving Indian tribes in the process. Compared to the federal government, states have been less active in conserving tribal resources or involving Indian tribes in the process.</w:t>
      </w:r>
      <w:r w:rsidRPr="00495E17">
        <w:rPr>
          <w:sz w:val="16"/>
        </w:rPr>
        <w:t xml:space="preserve"> For instance, the U.S. Department of the Interior has adopted a robust policy requiring consultation with Indian tribes — built on the government's commitment to true collaboration with Indian tribes as embodied in Executive Order 13175 — that mandates the Department of the Interior consult with Indian tribes regarding any agency action that may have a substantial effect on tribal cultural practices and areas of traditional importance on federally managed lands. Many states do not employ such consultation policies. </w:t>
      </w:r>
      <w:r w:rsidRPr="00495E17">
        <w:rPr>
          <w:u w:val="single"/>
        </w:rPr>
        <w:t xml:space="preserve">Consequently, the relinquishment of federal public lands to the states could </w:t>
      </w:r>
      <w:r w:rsidRPr="00495E17">
        <w:rPr>
          <w:b/>
          <w:u w:val="single"/>
        </w:rPr>
        <w:t>substantially hinder Indian tribes’ ability to protect traditional resources presently located on these lands</w:t>
      </w:r>
      <w:r w:rsidRPr="00495E17">
        <w:rPr>
          <w:u w:val="single"/>
        </w:rPr>
        <w:t xml:space="preserve"> — resources that, in many cases, they have fought long and hard to protect. Even in states where some form of tribal consultation policy has been developed, such as California, the transfer of federal public lands to the state might curtail tribes' traditional cultural resources. This is because certain protections afforded to these resources under federal law</w:t>
      </w:r>
      <w:r w:rsidRPr="00495E17">
        <w:rPr>
          <w:sz w:val="16"/>
        </w:rPr>
        <w:t xml:space="preserve"> — like provisions of the National Historic Preservation Act and the Native American Graves Protection and Repatriation Act — are unlikely to be triggered on state public lands.</w:t>
      </w:r>
    </w:p>
    <w:p w14:paraId="68049721" w14:textId="77777777" w:rsidR="008D6192" w:rsidRDefault="008D6192" w:rsidP="008D6192">
      <w:pPr>
        <w:pStyle w:val="Heading4"/>
      </w:pPr>
      <w:r>
        <w:t>Fed key—BIE schools are federally funded and need reform the most</w:t>
      </w:r>
    </w:p>
    <w:p w14:paraId="1326C2DB" w14:textId="77777777" w:rsidR="008D6192" w:rsidRPr="009224F3" w:rsidRDefault="008D6192" w:rsidP="008D6192">
      <w:r w:rsidRPr="009224F3">
        <w:rPr>
          <w:rStyle w:val="Style13ptBold"/>
        </w:rPr>
        <w:t xml:space="preserve">Faircloth and </w:t>
      </w:r>
      <w:proofErr w:type="spellStart"/>
      <w:r w:rsidRPr="009224F3">
        <w:rPr>
          <w:rStyle w:val="Style13ptBold"/>
        </w:rPr>
        <w:t>Tippeconnic</w:t>
      </w:r>
      <w:proofErr w:type="spellEnd"/>
      <w:r w:rsidRPr="009224F3">
        <w:rPr>
          <w:rStyle w:val="Style13ptBold"/>
        </w:rPr>
        <w:t xml:space="preserve"> 10</w:t>
      </w:r>
      <w:r>
        <w:t xml:space="preserve"> (</w:t>
      </w:r>
      <w:r w:rsidRPr="009224F3">
        <w:t xml:space="preserve">Faircloth, Susan C., Professor of the Educational Leadership Department at the University of North Carolina </w:t>
      </w:r>
      <w:r>
        <w:t>–</w:t>
      </w:r>
      <w:r w:rsidRPr="009224F3">
        <w:t xml:space="preserve"> Wilmington</w:t>
      </w:r>
      <w:r>
        <w:t xml:space="preserve"> and </w:t>
      </w:r>
      <w:proofErr w:type="spellStart"/>
      <w:r w:rsidRPr="009224F3">
        <w:t>and</w:t>
      </w:r>
      <w:proofErr w:type="spellEnd"/>
      <w:r w:rsidRPr="009224F3">
        <w:t xml:space="preserve"> John W. </w:t>
      </w:r>
      <w:proofErr w:type="spellStart"/>
      <w:r w:rsidRPr="009224F3">
        <w:t>Tippeconnic</w:t>
      </w:r>
      <w:proofErr w:type="spellEnd"/>
      <w:r w:rsidRPr="009224F3">
        <w:t xml:space="preserve"> III</w:t>
      </w:r>
      <w:r>
        <w:t xml:space="preserve">, </w:t>
      </w:r>
      <w:r w:rsidRPr="002F10EF">
        <w:t>Ph.D. from Pennsylvania State University in Educational Administration</w:t>
      </w:r>
      <w:r w:rsidRPr="009224F3">
        <w:t>. "The Dropout/Graduation Crisis among American Indian and Alaska Native Students: Failure to Respond Places the Future of Native Peoples at Risk." Civil Rights Pro</w:t>
      </w:r>
      <w:r>
        <w:t>ject/</w:t>
      </w:r>
      <w:proofErr w:type="spellStart"/>
      <w:r>
        <w:t>Proyecto</w:t>
      </w:r>
      <w:proofErr w:type="spellEnd"/>
      <w:r>
        <w:t xml:space="preserve"> </w:t>
      </w:r>
      <w:proofErr w:type="spellStart"/>
      <w:r>
        <w:t>Derechos</w:t>
      </w:r>
      <w:proofErr w:type="spellEnd"/>
      <w:r>
        <w:t xml:space="preserve"> </w:t>
      </w:r>
      <w:proofErr w:type="spellStart"/>
      <w:r>
        <w:t>Civiles</w:t>
      </w:r>
      <w:proofErr w:type="spellEnd"/>
      <w:r>
        <w:t>, January 2010)</w:t>
      </w:r>
    </w:p>
    <w:p w14:paraId="510DF452" w14:textId="77777777" w:rsidR="008D6192" w:rsidRDefault="008D6192" w:rsidP="008D6192">
      <w:pPr>
        <w:rPr>
          <w:sz w:val="16"/>
          <w:szCs w:val="22"/>
        </w:rPr>
      </w:pPr>
      <w:r w:rsidRPr="00E10C09">
        <w:rPr>
          <w:sz w:val="16"/>
          <w:szCs w:val="22"/>
        </w:rPr>
        <w:t xml:space="preserve">To fully understand and respond to this crisis, we must first acknowledge the multiple contexts in which education of Native students occurs (e.g., Freeman &amp; Fox, 2005; </w:t>
      </w:r>
      <w:proofErr w:type="spellStart"/>
      <w:r w:rsidRPr="00E10C09">
        <w:rPr>
          <w:sz w:val="16"/>
          <w:szCs w:val="22"/>
        </w:rPr>
        <w:t>KewalRamani</w:t>
      </w:r>
      <w:proofErr w:type="spellEnd"/>
      <w:r w:rsidRPr="00E10C09">
        <w:rPr>
          <w:sz w:val="16"/>
          <w:szCs w:val="22"/>
        </w:rPr>
        <w:t xml:space="preserve">, Gilbertson, &amp; Fox, 2007). </w:t>
      </w:r>
      <w:r w:rsidRPr="00E10C09">
        <w:rPr>
          <w:rStyle w:val="StyleUnderline"/>
        </w:rPr>
        <w:t xml:space="preserve">Nationally, there are approximately 644,000 American Indian and Alaska Native students in kindergarten through twelfth grade. Although the majority </w:t>
      </w:r>
      <w:r w:rsidRPr="00E10C09">
        <w:rPr>
          <w:sz w:val="16"/>
        </w:rPr>
        <w:t>(approximately 92%)</w:t>
      </w:r>
      <w:r w:rsidRPr="00E10C09">
        <w:rPr>
          <w:rStyle w:val="StyleUnderline"/>
        </w:rPr>
        <w:t xml:space="preserve"> of Native students attend regular public schools, a significant number </w:t>
      </w:r>
      <w:r w:rsidRPr="00E10C09">
        <w:rPr>
          <w:sz w:val="16"/>
        </w:rPr>
        <w:t>(approximately 8%)</w:t>
      </w:r>
      <w:r w:rsidRPr="00E10C09">
        <w:rPr>
          <w:rStyle w:val="StyleUnderline"/>
        </w:rPr>
        <w:t xml:space="preserve"> attend schools operated or funded by the federal Bureau of Indian Education</w:t>
      </w:r>
      <w:r w:rsidRPr="00E10C09">
        <w:rPr>
          <w:sz w:val="16"/>
          <w:szCs w:val="22"/>
        </w:rPr>
        <w:t xml:space="preserve"> (BIE) 3 or by individual tribes (</w:t>
      </w:r>
      <w:proofErr w:type="spellStart"/>
      <w:r w:rsidRPr="00E10C09">
        <w:rPr>
          <w:sz w:val="16"/>
          <w:szCs w:val="22"/>
        </w:rPr>
        <w:t>DeVoe</w:t>
      </w:r>
      <w:proofErr w:type="spellEnd"/>
      <w:r w:rsidRPr="00E10C09">
        <w:rPr>
          <w:sz w:val="16"/>
          <w:szCs w:val="22"/>
        </w:rPr>
        <w:t xml:space="preserve"> &amp; Darling-Churchill, 2008). Although American Indians and Alaska Natives are more likely (46%) to attend rural schools than are their non-Native peers, </w:t>
      </w:r>
      <w:r w:rsidRPr="00E10C09">
        <w:rPr>
          <w:rStyle w:val="StyleUnderline"/>
        </w:rPr>
        <w:t>a majority of Native students live off reservations and an increasing number attend schools in urban areas. Approximately one-third attend schools in which 50% or more of the student population is American Indian/Alaska Native</w:t>
      </w:r>
      <w:r w:rsidRPr="00E10C09">
        <w:rPr>
          <w:sz w:val="16"/>
          <w:szCs w:val="22"/>
        </w:rPr>
        <w:t xml:space="preserve">5 </w:t>
      </w:r>
      <w:r w:rsidRPr="00E10C09">
        <w:rPr>
          <w:rStyle w:val="StyleUnderline"/>
        </w:rPr>
        <w:t>In contrast to public schools, BIE schools are primarily federally funded</w:t>
      </w:r>
      <w:r w:rsidRPr="00E10C09">
        <w:rPr>
          <w:sz w:val="16"/>
          <w:szCs w:val="22"/>
        </w:rPr>
        <w:t xml:space="preserve">; however, </w:t>
      </w:r>
      <w:r w:rsidRPr="00E10C09">
        <w:rPr>
          <w:rStyle w:val="StyleUnderline"/>
        </w:rPr>
        <w:t>some of these schools are operated by tribes through contracts and grants with the BIE</w:t>
      </w:r>
      <w:r w:rsidRPr="00E10C09">
        <w:rPr>
          <w:sz w:val="16"/>
          <w:szCs w:val="22"/>
        </w:rPr>
        <w:t xml:space="preserve">. </w:t>
      </w:r>
      <w:r w:rsidRPr="00E10C09">
        <w:rPr>
          <w:rStyle w:val="StyleUnderline"/>
        </w:rPr>
        <w:t xml:space="preserve">The BIE currently operates or funds 184 schools and dormitories on 63 reservations in 23 states </w:t>
      </w:r>
      <w:r w:rsidRPr="00E10C09">
        <w:rPr>
          <w:sz w:val="16"/>
        </w:rPr>
        <w:t>including:</w:t>
      </w:r>
      <w:r w:rsidRPr="00E10C09">
        <w:rPr>
          <w:sz w:val="16"/>
          <w:szCs w:val="22"/>
        </w:rPr>
        <w:t xml:space="preserve"> Arizona, California, Florida, Idaho, Iowa, Kansas, Louisiana, Maine, Michigan, Minnesota, Mississippi, Montana, Nevada, New Mexico, North Carolina, North Dakota, Oklahoma, Oregon, South Dakota, Utah, Washington, Wisconsin, and Wyoming (Bureau of Indian Affairs, 2005). </w:t>
      </w:r>
      <w:r w:rsidRPr="00E10C09">
        <w:rPr>
          <w:rStyle w:val="StyleUnderline"/>
        </w:rPr>
        <w:t>Schools operated or funded by the BIE are primarily located in rural areas and small towns and serve students living on or near reservations.</w:t>
      </w:r>
      <w:r w:rsidRPr="00E10C09">
        <w:rPr>
          <w:sz w:val="16"/>
          <w:szCs w:val="22"/>
        </w:rPr>
        <w:t xml:space="preserve"> Although similar to public schools in terms of staffing and access to Internet and other technologies, </w:t>
      </w:r>
      <w:r w:rsidRPr="00E10C09">
        <w:rPr>
          <w:rStyle w:val="StyleUnderline"/>
        </w:rPr>
        <w:t>a report by the U.S. General Accounting Office</w:t>
      </w:r>
      <w:r w:rsidRPr="00E10C09">
        <w:rPr>
          <w:sz w:val="16"/>
          <w:szCs w:val="22"/>
        </w:rPr>
        <w:t xml:space="preserve"> (2001) </w:t>
      </w:r>
      <w:r w:rsidRPr="00E10C09">
        <w:rPr>
          <w:rStyle w:val="StyleUnderline"/>
        </w:rPr>
        <w:t xml:space="preserve">cited a need for significant building and structural improvements to BIE school facilities. </w:t>
      </w:r>
      <w:r w:rsidRPr="00E10C09">
        <w:rPr>
          <w:sz w:val="16"/>
        </w:rPr>
        <w:t>Further</w:t>
      </w:r>
      <w:r w:rsidRPr="00E10C09">
        <w:rPr>
          <w:rStyle w:val="StyleUnderline"/>
        </w:rPr>
        <w:t xml:space="preserve">, children attending BIE schools tend to experience poorer educational outcomes than do their American Indian and Alaska Native peers who attend public schools. </w:t>
      </w:r>
      <w:r w:rsidRPr="00E10C09">
        <w:rPr>
          <w:sz w:val="16"/>
          <w:szCs w:val="22"/>
        </w:rPr>
        <w:t xml:space="preserve">For example, during the 2003-2004 school year, </w:t>
      </w:r>
      <w:r w:rsidRPr="00E10C09">
        <w:rPr>
          <w:rStyle w:val="StyleUnderline"/>
        </w:rPr>
        <w:t>the BIE reported approximately 60% of its high school students graduated</w:t>
      </w:r>
      <w:r w:rsidRPr="00E10C09">
        <w:rPr>
          <w:sz w:val="16"/>
          <w:szCs w:val="22"/>
        </w:rPr>
        <w:t xml:space="preserve"> (Bureau of Indian Affairs, </w:t>
      </w:r>
      <w:proofErr w:type="spellStart"/>
      <w:r w:rsidRPr="00E10C09">
        <w:rPr>
          <w:sz w:val="16"/>
          <w:szCs w:val="22"/>
        </w:rPr>
        <w:t>n.d.</w:t>
      </w:r>
      <w:proofErr w:type="spellEnd"/>
      <w:r w:rsidRPr="00E10C09">
        <w:rPr>
          <w:sz w:val="16"/>
          <w:szCs w:val="22"/>
        </w:rPr>
        <w:t xml:space="preserve">), </w:t>
      </w:r>
      <w:r w:rsidRPr="00E10C09">
        <w:rPr>
          <w:rStyle w:val="StyleUnderline"/>
        </w:rPr>
        <w:t>compared to a national average of 70%</w:t>
      </w:r>
      <w:r w:rsidRPr="00E10C09">
        <w:rPr>
          <w:sz w:val="16"/>
          <w:szCs w:val="22"/>
        </w:rPr>
        <w:t xml:space="preserve"> (Education Week, 2007).</w:t>
      </w:r>
    </w:p>
    <w:p w14:paraId="63975C25" w14:textId="77777777" w:rsidR="006E4280" w:rsidRPr="006E4280" w:rsidRDefault="006E4280" w:rsidP="006E4280"/>
    <w:p w14:paraId="41A8A678" w14:textId="080A6CD0" w:rsidR="00E0260D" w:rsidRDefault="006E4280" w:rsidP="006E4280">
      <w:pPr>
        <w:pStyle w:val="Heading3"/>
      </w:pPr>
      <w:r>
        <w:t xml:space="preserve">2AC – </w:t>
      </w:r>
      <w:proofErr w:type="spellStart"/>
      <w:r>
        <w:t>Deschooling</w:t>
      </w:r>
      <w:proofErr w:type="spellEnd"/>
    </w:p>
    <w:p w14:paraId="47467403" w14:textId="77777777" w:rsidR="006E4280" w:rsidRDefault="006E4280" w:rsidP="006E4280">
      <w:pPr>
        <w:pStyle w:val="Heading4"/>
      </w:pPr>
      <w:r>
        <w:t xml:space="preserve">The </w:t>
      </w:r>
      <w:proofErr w:type="spellStart"/>
      <w:r>
        <w:t>aff’s</w:t>
      </w:r>
      <w:proofErr w:type="spellEnd"/>
      <w:r>
        <w:t xml:space="preserve"> culturally responsive education is a good example of education – it’s key to resisting whiteness in schooling</w:t>
      </w:r>
    </w:p>
    <w:p w14:paraId="74DD7413" w14:textId="77777777" w:rsidR="006E4280" w:rsidRPr="0097704C" w:rsidRDefault="006E4280" w:rsidP="006E4280">
      <w:pPr>
        <w:rPr>
          <w:b/>
          <w:sz w:val="26"/>
        </w:rPr>
      </w:pPr>
      <w:r>
        <w:rPr>
          <w:rStyle w:val="Style13ptBold"/>
        </w:rPr>
        <w:t>Arenas et al 7</w:t>
      </w:r>
      <w:r w:rsidRPr="00E920CB">
        <w:t xml:space="preserve"> (Alberto Arenas, associate professor who specializes in the intersection between environmental and sustainability education with sociology of education and history of education, </w:t>
      </w:r>
      <w:proofErr w:type="spellStart"/>
      <w:r w:rsidRPr="00E920CB">
        <w:t>Iliana</w:t>
      </w:r>
      <w:proofErr w:type="spellEnd"/>
      <w:r w:rsidRPr="00E920CB">
        <w:t xml:space="preserve"> Reyes, Associate Professor of Teaching, Learning &amp; Sociocultural Studies, and </w:t>
      </w:r>
      <w:proofErr w:type="spellStart"/>
      <w:r w:rsidRPr="00E920CB">
        <w:t>Leisy</w:t>
      </w:r>
      <w:proofErr w:type="spellEnd"/>
      <w:r w:rsidRPr="00E920CB">
        <w:t xml:space="preserve"> Wyman, assistant professor in the Department of Language, Reading and Culture, 2007, “When Indigenous and Modern Education Collide,” World Studies in Education: Vol. 8, No. 2, Accessed 7/15/17 // MH)</w:t>
      </w:r>
    </w:p>
    <w:p w14:paraId="6EBAE6B3" w14:textId="77777777" w:rsidR="006E4280" w:rsidRPr="0097704C" w:rsidRDefault="006E4280" w:rsidP="006E4280">
      <w:pPr>
        <w:rPr>
          <w:sz w:val="16"/>
        </w:rPr>
      </w:pPr>
      <w:r w:rsidRPr="00E920CB">
        <w:rPr>
          <w:rStyle w:val="StyleUnderline"/>
        </w:rPr>
        <w:t>Yet along with other leaders in the field of indigenous education we believe that these challenges call for a continuing effort to deepen, rather than abandon or back away from, engagement with indigenous epistemologies and ways of knowing in formal educational efforts</w:t>
      </w:r>
      <w:r w:rsidRPr="0097704C">
        <w:rPr>
          <w:sz w:val="16"/>
        </w:rPr>
        <w:t xml:space="preserve">. As shown by </w:t>
      </w:r>
      <w:proofErr w:type="spellStart"/>
      <w:r w:rsidRPr="0097704C">
        <w:rPr>
          <w:sz w:val="16"/>
        </w:rPr>
        <w:t>Lomawaima</w:t>
      </w:r>
      <w:proofErr w:type="spellEnd"/>
      <w:r w:rsidRPr="0097704C">
        <w:rPr>
          <w:sz w:val="16"/>
        </w:rPr>
        <w:t xml:space="preserve"> and McCarty (2006), </w:t>
      </w:r>
      <w:r w:rsidRPr="00E920CB">
        <w:rPr>
          <w:rStyle w:val="StyleUnderline"/>
        </w:rPr>
        <w:t>historically in the US, even when efforts to incorporate Indigenous ways of knowing into for- mal educational efforts have been severely constrained and controlled by the kinds of hegemonic forces described within, some of these efforts have been ‘remarkable harbingers of new possibilities, new visions for Indian education’ for their time</w:t>
      </w:r>
      <w:r w:rsidRPr="0097704C">
        <w:rPr>
          <w:sz w:val="16"/>
        </w:rPr>
        <w:t xml:space="preserve"> (</w:t>
      </w:r>
      <w:proofErr w:type="spellStart"/>
      <w:r w:rsidRPr="0097704C">
        <w:rPr>
          <w:sz w:val="16"/>
        </w:rPr>
        <w:t>Lomawaima</w:t>
      </w:r>
      <w:proofErr w:type="spellEnd"/>
      <w:r w:rsidRPr="0097704C">
        <w:rPr>
          <w:sz w:val="16"/>
        </w:rPr>
        <w:t xml:space="preserve"> &amp; McCarty, 2006: 108). In the 1930-1950s in the USA, for instance, </w:t>
      </w:r>
      <w:r w:rsidRPr="00E920CB">
        <w:rPr>
          <w:rStyle w:val="StyleUnderline"/>
        </w:rPr>
        <w:t xml:space="preserve">non-Native employees and academic experts often controlled the production of indigenous </w:t>
      </w:r>
      <w:proofErr w:type="spellStart"/>
      <w:r w:rsidRPr="00E920CB">
        <w:rPr>
          <w:rStyle w:val="StyleUnderline"/>
        </w:rPr>
        <w:t>bilin</w:t>
      </w:r>
      <w:proofErr w:type="spellEnd"/>
      <w:r w:rsidRPr="00E920CB">
        <w:rPr>
          <w:rStyle w:val="StyleUnderline"/>
        </w:rPr>
        <w:t xml:space="preserve">- </w:t>
      </w:r>
      <w:proofErr w:type="spellStart"/>
      <w:r w:rsidRPr="00E920CB">
        <w:rPr>
          <w:rStyle w:val="StyleUnderline"/>
        </w:rPr>
        <w:t>gual</w:t>
      </w:r>
      <w:proofErr w:type="spellEnd"/>
      <w:r w:rsidRPr="00E920CB">
        <w:rPr>
          <w:rStyle w:val="StyleUnderline"/>
        </w:rPr>
        <w:t xml:space="preserve"> materials production in ways that ‘blatantly intended to </w:t>
      </w:r>
      <w:proofErr w:type="spellStart"/>
      <w:r w:rsidRPr="00E920CB">
        <w:rPr>
          <w:rStyle w:val="StyleUnderline"/>
        </w:rPr>
        <w:t>accultur</w:t>
      </w:r>
      <w:proofErr w:type="spellEnd"/>
      <w:r w:rsidRPr="00E920CB">
        <w:rPr>
          <w:rStyle w:val="StyleUnderline"/>
        </w:rPr>
        <w:t>- ate readers’ by ‘gently guiding [indigenous students] away from the values of their own society and toward the Protestant work ethic’</w:t>
      </w:r>
      <w:r w:rsidRPr="0097704C">
        <w:rPr>
          <w:sz w:val="16"/>
        </w:rPr>
        <w:t xml:space="preserve"> (2006: 92). </w:t>
      </w:r>
      <w:r w:rsidRPr="00E920CB">
        <w:rPr>
          <w:rStyle w:val="StyleUnderline"/>
        </w:rPr>
        <w:t xml:space="preserve">Even within such constraints, as </w:t>
      </w:r>
      <w:proofErr w:type="spellStart"/>
      <w:r w:rsidRPr="00E920CB">
        <w:rPr>
          <w:rStyle w:val="StyleUnderline"/>
        </w:rPr>
        <w:t>Lomawaima</w:t>
      </w:r>
      <w:proofErr w:type="spellEnd"/>
      <w:r w:rsidRPr="00E920CB">
        <w:rPr>
          <w:rStyle w:val="StyleUnderline"/>
        </w:rPr>
        <w:t xml:space="preserve"> and McCarty showed, individual indigenous educators, such as the Hopi translators who worked for the Bureau of Indian Affairs in the effort above, were sometimes able to find avenues for infusing materials with terms that provided windows into unique ways of knowing.</w:t>
      </w:r>
      <w:r w:rsidRPr="0097704C">
        <w:rPr>
          <w:sz w:val="16"/>
        </w:rPr>
        <w:t xml:space="preserve"> While these efforts later rightly came to be seen as severely flawed from a perspective of indigenous education, within the history of indigenous education in the US the same efforts ‘laid a foundation that later generations built on, directly or indirectly, as Native people increasingly took hold’ (2006: 108) of the local processes and mechanisms of Indian education. As such, </w:t>
      </w:r>
      <w:r w:rsidRPr="00E920CB">
        <w:rPr>
          <w:rStyle w:val="StyleUnderline"/>
        </w:rPr>
        <w:t xml:space="preserve">even such flawed steps represented ‘important steps in the journey toward increasing self-determination at the levels of </w:t>
      </w:r>
      <w:proofErr w:type="spellStart"/>
      <w:r w:rsidRPr="00E920CB">
        <w:rPr>
          <w:rStyle w:val="StyleUnderline"/>
        </w:rPr>
        <w:t>educa</w:t>
      </w:r>
      <w:proofErr w:type="spellEnd"/>
      <w:r w:rsidRPr="00E920CB">
        <w:rPr>
          <w:rStyle w:val="StyleUnderline"/>
        </w:rPr>
        <w:t xml:space="preserve">- </w:t>
      </w:r>
      <w:proofErr w:type="spellStart"/>
      <w:r w:rsidRPr="00E920CB">
        <w:rPr>
          <w:rStyle w:val="StyleUnderline"/>
        </w:rPr>
        <w:t>tional</w:t>
      </w:r>
      <w:proofErr w:type="spellEnd"/>
      <w:r w:rsidRPr="00E920CB">
        <w:rPr>
          <w:rStyle w:val="StyleUnderline"/>
        </w:rPr>
        <w:t xml:space="preserve"> policymaking and control’</w:t>
      </w:r>
      <w:r w:rsidRPr="0097704C">
        <w:rPr>
          <w:sz w:val="16"/>
        </w:rPr>
        <w:t xml:space="preserve"> (2006: 108).</w:t>
      </w:r>
    </w:p>
    <w:p w14:paraId="254A7A33" w14:textId="77777777" w:rsidR="00B32C1D" w:rsidRDefault="00B32C1D" w:rsidP="00B32C1D">
      <w:pPr>
        <w:pStyle w:val="Heading4"/>
      </w:pPr>
      <w:r>
        <w:t xml:space="preserve">The </w:t>
      </w:r>
      <w:proofErr w:type="spellStart"/>
      <w:r>
        <w:t>aff’s</w:t>
      </w:r>
      <w:proofErr w:type="spellEnd"/>
      <w:r>
        <w:t xml:space="preserve"> form of native education is uniquely key to deconstructing norms in current education </w:t>
      </w:r>
    </w:p>
    <w:p w14:paraId="353EC188" w14:textId="77777777" w:rsidR="00B32C1D" w:rsidRPr="00721764" w:rsidRDefault="00B32C1D" w:rsidP="00B32C1D">
      <w:pPr>
        <w:rPr>
          <w:b/>
          <w:sz w:val="26"/>
        </w:rPr>
      </w:pPr>
      <w:r>
        <w:rPr>
          <w:rStyle w:val="Style13ptBold"/>
        </w:rPr>
        <w:t>Arenas et al 7</w:t>
      </w:r>
      <w:r w:rsidRPr="00E920CB">
        <w:t xml:space="preserve"> (Alberto Arenas, associate professor who specializes in the intersection between environmental and sustainability education with sociology of education and history of education, </w:t>
      </w:r>
      <w:proofErr w:type="spellStart"/>
      <w:r w:rsidRPr="00E920CB">
        <w:t>Iliana</w:t>
      </w:r>
      <w:proofErr w:type="spellEnd"/>
      <w:r w:rsidRPr="00E920CB">
        <w:t xml:space="preserve"> Reyes, Associate Professor of Teaching, Learning &amp; Sociocultural Studies, and </w:t>
      </w:r>
      <w:proofErr w:type="spellStart"/>
      <w:r w:rsidRPr="00E920CB">
        <w:t>Leisy</w:t>
      </w:r>
      <w:proofErr w:type="spellEnd"/>
      <w:r w:rsidRPr="00E920CB">
        <w:t xml:space="preserve"> Wyman, assistant professor in the Department of Language, Reading and Culture, 2007, “When Indigenous and Modern Education Collide,” World Studies in Education: Vol. 8, No. 2, Accessed 7/15/17 // MH)</w:t>
      </w:r>
    </w:p>
    <w:p w14:paraId="4393516D" w14:textId="77777777" w:rsidR="00B32C1D" w:rsidRPr="00721764" w:rsidRDefault="00B32C1D" w:rsidP="00B32C1D">
      <w:pPr>
        <w:rPr>
          <w:sz w:val="16"/>
        </w:rPr>
      </w:pPr>
      <w:r w:rsidRPr="00721764">
        <w:rPr>
          <w:sz w:val="16"/>
        </w:rPr>
        <w:t xml:space="preserve">At this point a caveat is in order. </w:t>
      </w:r>
      <w:r w:rsidRPr="00721764">
        <w:rPr>
          <w:rStyle w:val="StyleUnderline"/>
        </w:rPr>
        <w:t xml:space="preserve">We do not believe that the </w:t>
      </w:r>
      <w:proofErr w:type="spellStart"/>
      <w:r w:rsidRPr="00721764">
        <w:rPr>
          <w:rStyle w:val="StyleUnderline"/>
        </w:rPr>
        <w:t>experi</w:t>
      </w:r>
      <w:proofErr w:type="spellEnd"/>
      <w:r w:rsidRPr="00721764">
        <w:rPr>
          <w:rStyle w:val="StyleUnderline"/>
        </w:rPr>
        <w:t xml:space="preserve">- </w:t>
      </w:r>
      <w:proofErr w:type="spellStart"/>
      <w:r w:rsidRPr="00721764">
        <w:rPr>
          <w:rStyle w:val="StyleUnderline"/>
        </w:rPr>
        <w:t>ence</w:t>
      </w:r>
      <w:proofErr w:type="spellEnd"/>
      <w:r w:rsidRPr="00721764">
        <w:rPr>
          <w:rStyle w:val="StyleUnderline"/>
        </w:rPr>
        <w:t xml:space="preserve"> of schooling for indigenous children will inevitably lead to the series of educational problems typically associated with subordinated minority children</w:t>
      </w:r>
      <w:r w:rsidRPr="00721764">
        <w:rPr>
          <w:sz w:val="16"/>
        </w:rPr>
        <w:t xml:space="preserve"> (e.g., low grades; low self-esteem; high levels of dropout). </w:t>
      </w:r>
      <w:r w:rsidRPr="00721764">
        <w:rPr>
          <w:rStyle w:val="StyleUnderline"/>
        </w:rPr>
        <w:t xml:space="preserve">Children from indigenous communities can certainly </w:t>
      </w:r>
      <w:proofErr w:type="spellStart"/>
      <w:r w:rsidRPr="00721764">
        <w:rPr>
          <w:rStyle w:val="StyleUnderline"/>
        </w:rPr>
        <w:t>suc</w:t>
      </w:r>
      <w:proofErr w:type="spellEnd"/>
      <w:r w:rsidRPr="00721764">
        <w:rPr>
          <w:rStyle w:val="StyleUnderline"/>
        </w:rPr>
        <w:t xml:space="preserve">- </w:t>
      </w:r>
      <w:proofErr w:type="spellStart"/>
      <w:r w:rsidRPr="00721764">
        <w:rPr>
          <w:rStyle w:val="StyleUnderline"/>
        </w:rPr>
        <w:t>ceed</w:t>
      </w:r>
      <w:proofErr w:type="spellEnd"/>
      <w:r w:rsidRPr="00721764">
        <w:rPr>
          <w:rStyle w:val="StyleUnderline"/>
        </w:rPr>
        <w:t xml:space="preserve"> in school and eventually may even occupy positions of high </w:t>
      </w:r>
      <w:proofErr w:type="spellStart"/>
      <w:r w:rsidRPr="00721764">
        <w:rPr>
          <w:rStyle w:val="StyleUnderline"/>
        </w:rPr>
        <w:t>sta</w:t>
      </w:r>
      <w:proofErr w:type="spellEnd"/>
      <w:r w:rsidRPr="00721764">
        <w:rPr>
          <w:rStyle w:val="StyleUnderline"/>
        </w:rPr>
        <w:t xml:space="preserve">- </w:t>
      </w:r>
      <w:proofErr w:type="spellStart"/>
      <w:r w:rsidRPr="00721764">
        <w:rPr>
          <w:rStyle w:val="StyleUnderline"/>
        </w:rPr>
        <w:t>tus</w:t>
      </w:r>
      <w:proofErr w:type="spellEnd"/>
      <w:r w:rsidRPr="00721764">
        <w:rPr>
          <w:rStyle w:val="StyleUnderline"/>
        </w:rPr>
        <w:t xml:space="preserve"> in society</w:t>
      </w:r>
      <w:r w:rsidRPr="00721764">
        <w:rPr>
          <w:sz w:val="16"/>
        </w:rPr>
        <w:t xml:space="preserve">. As Sonia Nieto (1992), John </w:t>
      </w:r>
      <w:proofErr w:type="spellStart"/>
      <w:r w:rsidRPr="00721764">
        <w:rPr>
          <w:sz w:val="16"/>
        </w:rPr>
        <w:t>Ogbu</w:t>
      </w:r>
      <w:proofErr w:type="spellEnd"/>
      <w:r w:rsidRPr="00721764">
        <w:rPr>
          <w:sz w:val="16"/>
        </w:rPr>
        <w:t xml:space="preserve"> (2003), James Banks and Cherry McGee Banks (2004) and others have shown, schooling affects different minority communities, and different individuals within each community, in varied ways. </w:t>
      </w:r>
      <w:r w:rsidRPr="00721764">
        <w:rPr>
          <w:rStyle w:val="StyleUnderline"/>
        </w:rPr>
        <w:t>The likelihood that a child will do well will depend on a host of factors related to the larger con- text of schooling, including the degree of the cultural mismatch between home life and school life, students’ and families’ oppositional relationships to schools, racism and discrimination, financial inequities suffered by poor schools, and particular interactions between teacher and child</w:t>
      </w:r>
      <w:r w:rsidRPr="00721764">
        <w:rPr>
          <w:sz w:val="16"/>
        </w:rPr>
        <w:t xml:space="preserve">. Our argument, however, is not related to the possibility that children may accrue the necessary cultural </w:t>
      </w:r>
      <w:proofErr w:type="spellStart"/>
      <w:r w:rsidRPr="00721764">
        <w:rPr>
          <w:sz w:val="16"/>
        </w:rPr>
        <w:t>capi</w:t>
      </w:r>
      <w:proofErr w:type="spellEnd"/>
      <w:r w:rsidRPr="00721764">
        <w:rPr>
          <w:sz w:val="16"/>
        </w:rPr>
        <w:t xml:space="preserve">- </w:t>
      </w:r>
      <w:proofErr w:type="spellStart"/>
      <w:proofErr w:type="gramStart"/>
      <w:r w:rsidRPr="00721764">
        <w:rPr>
          <w:sz w:val="16"/>
        </w:rPr>
        <w:t>tal</w:t>
      </w:r>
      <w:proofErr w:type="spellEnd"/>
      <w:proofErr w:type="gramEnd"/>
      <w:r w:rsidRPr="00721764">
        <w:rPr>
          <w:sz w:val="16"/>
        </w:rPr>
        <w:t xml:space="preserve"> to do well in school and eventually amass the alleged benefits of modern society (e.g., individual mobility, material wealth, high </w:t>
      </w:r>
      <w:proofErr w:type="spellStart"/>
      <w:r w:rsidRPr="00721764">
        <w:rPr>
          <w:sz w:val="16"/>
        </w:rPr>
        <w:t>sta</w:t>
      </w:r>
      <w:proofErr w:type="spellEnd"/>
      <w:r w:rsidRPr="00721764">
        <w:rPr>
          <w:sz w:val="16"/>
        </w:rPr>
        <w:t xml:space="preserve">- </w:t>
      </w:r>
      <w:proofErr w:type="spellStart"/>
      <w:r w:rsidRPr="00721764">
        <w:rPr>
          <w:sz w:val="16"/>
        </w:rPr>
        <w:t>tus</w:t>
      </w:r>
      <w:proofErr w:type="spellEnd"/>
      <w:r w:rsidRPr="00721764">
        <w:rPr>
          <w:sz w:val="16"/>
        </w:rPr>
        <w:t xml:space="preserve">). It is also not our intent to devalue the ongoing efforts of </w:t>
      </w:r>
      <w:proofErr w:type="spellStart"/>
      <w:r w:rsidRPr="00721764">
        <w:rPr>
          <w:sz w:val="16"/>
        </w:rPr>
        <w:t>educa</w:t>
      </w:r>
      <w:proofErr w:type="spellEnd"/>
      <w:r w:rsidRPr="00721764">
        <w:rPr>
          <w:sz w:val="16"/>
        </w:rPr>
        <w:t>- tors and indigenous community members. Rather</w:t>
      </w:r>
      <w:r w:rsidRPr="00721764">
        <w:rPr>
          <w:rStyle w:val="StyleUnderline"/>
        </w:rPr>
        <w:t xml:space="preserve">, we have pointed out the need to maintain a broad perspective on the goals of education itself, and the value of questioning Western educational assumptions so that indigenous children might maintain connections to knowledge and traditions, that historically have kept their communities </w:t>
      </w:r>
      <w:proofErr w:type="spellStart"/>
      <w:r w:rsidRPr="00721764">
        <w:rPr>
          <w:rStyle w:val="StyleUnderline"/>
        </w:rPr>
        <w:t>togeth</w:t>
      </w:r>
      <w:proofErr w:type="spellEnd"/>
      <w:r w:rsidRPr="00721764">
        <w:rPr>
          <w:rStyle w:val="StyleUnderline"/>
        </w:rPr>
        <w:t xml:space="preserve">- </w:t>
      </w:r>
      <w:proofErr w:type="spellStart"/>
      <w:r w:rsidRPr="00721764">
        <w:rPr>
          <w:rStyle w:val="StyleUnderline"/>
        </w:rPr>
        <w:t>er</w:t>
      </w:r>
      <w:proofErr w:type="spellEnd"/>
      <w:r w:rsidRPr="00721764">
        <w:rPr>
          <w:rStyle w:val="StyleUnderline"/>
        </w:rPr>
        <w:t xml:space="preserve"> and attached to the land in harmonious ways</w:t>
      </w:r>
      <w:r w:rsidRPr="00721764">
        <w:rPr>
          <w:sz w:val="16"/>
        </w:rPr>
        <w:t xml:space="preserve">. We have also shown how, when this broad perspective is lost, </w:t>
      </w:r>
      <w:r w:rsidRPr="00721764">
        <w:rPr>
          <w:rStyle w:val="StyleUnderline"/>
        </w:rPr>
        <w:t xml:space="preserve">both indigenous and main- stream children lose important opportunities for deepening their con- </w:t>
      </w:r>
      <w:proofErr w:type="spellStart"/>
      <w:r w:rsidRPr="00721764">
        <w:rPr>
          <w:rStyle w:val="StyleUnderline"/>
        </w:rPr>
        <w:t>nections</w:t>
      </w:r>
      <w:proofErr w:type="spellEnd"/>
      <w:r w:rsidRPr="00721764">
        <w:rPr>
          <w:rStyle w:val="StyleUnderline"/>
        </w:rPr>
        <w:t xml:space="preserve"> and understanding of specific places, traditions and </w:t>
      </w:r>
      <w:proofErr w:type="spellStart"/>
      <w:r w:rsidRPr="00721764">
        <w:rPr>
          <w:rStyle w:val="StyleUnderline"/>
        </w:rPr>
        <w:t>commu</w:t>
      </w:r>
      <w:proofErr w:type="spellEnd"/>
      <w:r w:rsidRPr="00721764">
        <w:rPr>
          <w:rStyle w:val="StyleUnderline"/>
        </w:rPr>
        <w:t xml:space="preserve">- </w:t>
      </w:r>
      <w:proofErr w:type="spellStart"/>
      <w:r w:rsidRPr="00721764">
        <w:rPr>
          <w:rStyle w:val="StyleUnderline"/>
        </w:rPr>
        <w:t>nities</w:t>
      </w:r>
      <w:proofErr w:type="spellEnd"/>
      <w:r w:rsidRPr="00721764">
        <w:rPr>
          <w:rStyle w:val="StyleUnderline"/>
        </w:rPr>
        <w:t xml:space="preserve">. Schools can play a role in reversing cultural loss, but educators must be mindful of the imperative to continuously re-invent </w:t>
      </w:r>
      <w:proofErr w:type="spellStart"/>
      <w:r w:rsidRPr="00721764">
        <w:rPr>
          <w:rStyle w:val="StyleUnderline"/>
        </w:rPr>
        <w:t>indige</w:t>
      </w:r>
      <w:proofErr w:type="spellEnd"/>
      <w:r w:rsidRPr="00721764">
        <w:rPr>
          <w:rStyle w:val="StyleUnderline"/>
        </w:rPr>
        <w:t xml:space="preserve">- nous education to ensure that it </w:t>
      </w:r>
      <w:proofErr w:type="spellStart"/>
      <w:r w:rsidRPr="00721764">
        <w:rPr>
          <w:rStyle w:val="StyleUnderline"/>
        </w:rPr>
        <w:t>honours</w:t>
      </w:r>
      <w:proofErr w:type="spellEnd"/>
      <w:r w:rsidRPr="00721764">
        <w:rPr>
          <w:rStyle w:val="StyleUnderline"/>
        </w:rPr>
        <w:t xml:space="preserve"> the basic cultural tenets of the ethnic groups it serves, </w:t>
      </w:r>
      <w:proofErr w:type="spellStart"/>
      <w:r w:rsidRPr="00721764">
        <w:rPr>
          <w:rStyle w:val="StyleUnderline"/>
        </w:rPr>
        <w:t>recognises</w:t>
      </w:r>
      <w:proofErr w:type="spellEnd"/>
      <w:r w:rsidRPr="00721764">
        <w:rPr>
          <w:rStyle w:val="StyleUnderline"/>
        </w:rPr>
        <w:t xml:space="preserve"> the hybrid nature of many indigenous practices, and uses learning as a spring board to foster social and environmental well-being</w:t>
      </w:r>
      <w:r w:rsidRPr="00721764">
        <w:rPr>
          <w:sz w:val="16"/>
        </w:rPr>
        <w:t>.</w:t>
      </w:r>
    </w:p>
    <w:p w14:paraId="40B6E703" w14:textId="73C9BB04" w:rsidR="006E4280" w:rsidRDefault="00D9733A" w:rsidP="00D9733A">
      <w:pPr>
        <w:pStyle w:val="Heading2"/>
      </w:pPr>
      <w:r>
        <w:t>2AC – Case</w:t>
      </w:r>
    </w:p>
    <w:p w14:paraId="5EB11D61" w14:textId="77777777" w:rsidR="00D9733A" w:rsidRDefault="00D9733A" w:rsidP="00D9733A">
      <w:pPr>
        <w:pStyle w:val="Heading4"/>
      </w:pPr>
      <w:r>
        <w:t>Native students want their language and history to be part of the curriculum</w:t>
      </w:r>
    </w:p>
    <w:p w14:paraId="4BC0F66B" w14:textId="77777777" w:rsidR="00D9733A" w:rsidRPr="005E7E77" w:rsidRDefault="00D9733A" w:rsidP="00D9733A">
      <w:r w:rsidRPr="00E07CC5">
        <w:rPr>
          <w:rStyle w:val="Style13ptBold"/>
        </w:rPr>
        <w:t xml:space="preserve">Lee and </w:t>
      </w:r>
      <w:proofErr w:type="spellStart"/>
      <w:r w:rsidRPr="00E07CC5">
        <w:rPr>
          <w:rStyle w:val="Style13ptBold"/>
        </w:rPr>
        <w:t>Cerecer</w:t>
      </w:r>
      <w:proofErr w:type="spellEnd"/>
      <w:r w:rsidRPr="00E07CC5">
        <w:rPr>
          <w:rStyle w:val="Style13ptBold"/>
        </w:rPr>
        <w:t xml:space="preserve"> 10</w:t>
      </w:r>
      <w:r w:rsidRPr="00E07CC5">
        <w:t xml:space="preserve"> Tiffany S., </w:t>
      </w:r>
      <w:r>
        <w:t xml:space="preserve">and Patricia D. </w:t>
      </w:r>
      <w:proofErr w:type="spellStart"/>
      <w:r>
        <w:t>Quijada</w:t>
      </w:r>
      <w:proofErr w:type="spellEnd"/>
      <w:r>
        <w:t xml:space="preserve"> </w:t>
      </w:r>
      <w:proofErr w:type="spellStart"/>
      <w:r>
        <w:t>Cerecer</w:t>
      </w:r>
      <w:proofErr w:type="spellEnd"/>
      <w:r>
        <w:t>,</w:t>
      </w:r>
      <w:r w:rsidRPr="00E07CC5">
        <w:t xml:space="preserve"> "(Re) Claiming Native Youth Knowledge: Engaging in Socio-culturally Responsive Teaching and Relationships</w:t>
      </w:r>
      <w:r>
        <w:t>,</w:t>
      </w:r>
      <w:r w:rsidRPr="00E07CC5">
        <w:t>" Multicultural Perspectives 12, no. 4: 199-205. Acad</w:t>
      </w:r>
      <w:r>
        <w:t xml:space="preserve">emic Search Complete, </w:t>
      </w:r>
      <w:proofErr w:type="spellStart"/>
      <w:r>
        <w:t>EBSCOhost</w:t>
      </w:r>
      <w:proofErr w:type="spellEnd"/>
      <w:r>
        <w:t xml:space="preserve">, </w:t>
      </w:r>
      <w:proofErr w:type="gramStart"/>
      <w:r>
        <w:t xml:space="preserve">10-1-10 </w:t>
      </w:r>
      <w:r w:rsidRPr="00E07CC5">
        <w:t>http://www.tandfonline.com/doi/abs/10.1080/15210960.2010.527586</w:t>
      </w:r>
      <w:proofErr w:type="gramEnd"/>
    </w:p>
    <w:p w14:paraId="44BA3B17" w14:textId="77777777" w:rsidR="00D9733A" w:rsidRDefault="00D9733A" w:rsidP="00D9733A">
      <w:pPr>
        <w:rPr>
          <w:sz w:val="16"/>
        </w:rPr>
      </w:pPr>
      <w:r w:rsidRPr="007C65EF">
        <w:rPr>
          <w:rStyle w:val="StyleUnderline"/>
        </w:rPr>
        <w:t>Despite the minimal curricular attention to Native people’s history and contributions, and despite a hostile school climate, the students desired and advocated that schools place more emphasis on learning their Native language and history</w:t>
      </w:r>
      <w:r w:rsidRPr="007C65EF">
        <w:rPr>
          <w:sz w:val="16"/>
        </w:rPr>
        <w:t xml:space="preserve">. </w:t>
      </w:r>
      <w:r w:rsidRPr="007C65EF">
        <w:rPr>
          <w:rStyle w:val="StyleUnderline"/>
          <w:sz w:val="16"/>
          <w:u w:val="none"/>
        </w:rPr>
        <w:t>Some opponents have argued that Native languages should be learned at home</w:t>
      </w:r>
      <w:r w:rsidRPr="007C65EF">
        <w:rPr>
          <w:sz w:val="16"/>
        </w:rPr>
        <w:t xml:space="preserve">. However, </w:t>
      </w:r>
      <w:r w:rsidRPr="007C65EF">
        <w:rPr>
          <w:rStyle w:val="StyleUnderline"/>
        </w:rPr>
        <w:t>students often stated that one reason they did not learn much Native language at home was that their parents were busy with work and other financial obligations,</w:t>
      </w:r>
      <w:r w:rsidRPr="007C65EF">
        <w:rPr>
          <w:sz w:val="16"/>
        </w:rPr>
        <w:t xml:space="preserve"> </w:t>
      </w:r>
      <w:r w:rsidRPr="007C65EF">
        <w:rPr>
          <w:rStyle w:val="StyleUnderline"/>
          <w:sz w:val="16"/>
          <w:u w:val="none"/>
        </w:rPr>
        <w:t>which reduced time with their children</w:t>
      </w:r>
      <w:r w:rsidRPr="007C65EF">
        <w:rPr>
          <w:sz w:val="16"/>
        </w:rPr>
        <w:t xml:space="preserve">. </w:t>
      </w:r>
      <w:r w:rsidRPr="007C65EF">
        <w:rPr>
          <w:rStyle w:val="StyleUnderline"/>
          <w:sz w:val="16"/>
          <w:u w:val="none"/>
        </w:rPr>
        <w:t>While cultural knowledge may be passed on at home to varying extents</w:t>
      </w:r>
      <w:r w:rsidRPr="007C65EF">
        <w:rPr>
          <w:sz w:val="16"/>
        </w:rPr>
        <w:t xml:space="preserve">, </w:t>
      </w:r>
      <w:r w:rsidRPr="007C65EF">
        <w:rPr>
          <w:rStyle w:val="StyleUnderline"/>
          <w:sz w:val="16"/>
          <w:u w:val="none"/>
        </w:rPr>
        <w:t xml:space="preserve">the </w:t>
      </w:r>
      <w:r w:rsidRPr="007C65EF">
        <w:rPr>
          <w:rStyle w:val="StyleUnderline"/>
        </w:rPr>
        <w:t>students were calling for more formal and personal connections in school to their families’ and communities’ histories and experiences</w:t>
      </w:r>
      <w:r w:rsidRPr="007C65EF">
        <w:rPr>
          <w:sz w:val="16"/>
        </w:rPr>
        <w:t xml:space="preserve">. For example, </w:t>
      </w:r>
      <w:r w:rsidRPr="007C65EF">
        <w:rPr>
          <w:rStyle w:val="StyleUnderline"/>
        </w:rPr>
        <w:t xml:space="preserve">Martha </w:t>
      </w:r>
      <w:r w:rsidRPr="007C65EF">
        <w:rPr>
          <w:sz w:val="16"/>
        </w:rPr>
        <w:t xml:space="preserve">(Navajo) </w:t>
      </w:r>
      <w:r w:rsidRPr="007C65EF">
        <w:rPr>
          <w:rStyle w:val="StyleUnderline"/>
        </w:rPr>
        <w:t>asserted</w:t>
      </w:r>
      <w:r w:rsidRPr="007C65EF">
        <w:rPr>
          <w:sz w:val="16"/>
        </w:rPr>
        <w:t xml:space="preserve">, </w:t>
      </w:r>
      <w:r w:rsidRPr="007C65EF">
        <w:rPr>
          <w:rStyle w:val="StyleUnderline"/>
          <w:sz w:val="16"/>
          <w:u w:val="none"/>
        </w:rPr>
        <w:t>I’m more of like a Native pride person a little</w:t>
      </w:r>
      <w:r w:rsidRPr="007C65EF">
        <w:rPr>
          <w:sz w:val="16"/>
        </w:rPr>
        <w:t xml:space="preserve">. </w:t>
      </w:r>
      <w:r w:rsidRPr="007C65EF">
        <w:rPr>
          <w:rStyle w:val="StyleUnderline"/>
          <w:sz w:val="16"/>
          <w:u w:val="none"/>
        </w:rPr>
        <w:t>I think my whole family and I are like that</w:t>
      </w:r>
      <w:r w:rsidRPr="007C65EF">
        <w:rPr>
          <w:rStyle w:val="StyleUnderline"/>
        </w:rPr>
        <w:t>. I like the idea of coming into the school and seeing a lot of things that have to do with who I am</w:t>
      </w:r>
      <w:r w:rsidRPr="007C65EF">
        <w:rPr>
          <w:sz w:val="16"/>
        </w:rPr>
        <w:t xml:space="preserve">. (IESG, 2009, F2 p. 13) Similarly, </w:t>
      </w:r>
      <w:r w:rsidRPr="007C65EF">
        <w:rPr>
          <w:rStyle w:val="StyleUnderline"/>
        </w:rPr>
        <w:t>Brandon</w:t>
      </w:r>
      <w:r w:rsidRPr="007C65EF">
        <w:rPr>
          <w:sz w:val="16"/>
        </w:rPr>
        <w:t xml:space="preserve"> (Navajo) </w:t>
      </w:r>
      <w:r w:rsidRPr="007C65EF">
        <w:rPr>
          <w:rStyle w:val="StyleUnderline"/>
        </w:rPr>
        <w:t>said</w:t>
      </w:r>
      <w:r w:rsidRPr="007C65EF">
        <w:rPr>
          <w:sz w:val="16"/>
        </w:rPr>
        <w:t xml:space="preserve">, </w:t>
      </w:r>
      <w:r w:rsidRPr="007C65EF">
        <w:rPr>
          <w:rStyle w:val="StyleUnderline"/>
          <w:sz w:val="16"/>
          <w:u w:val="none"/>
        </w:rPr>
        <w:t>“</w:t>
      </w:r>
      <w:r w:rsidRPr="007C65EF">
        <w:rPr>
          <w:rStyle w:val="StyleUnderline"/>
        </w:rPr>
        <w:t>I’d like to walk in here and I’d like to see more Natives teachings Natives. I’d like to see information about our past</w:t>
      </w:r>
      <w:r w:rsidRPr="007C65EF">
        <w:rPr>
          <w:rStyle w:val="StyleUnderline"/>
          <w:sz w:val="16"/>
          <w:u w:val="none"/>
        </w:rPr>
        <w:t xml:space="preserve"> and just things like that” </w:t>
      </w:r>
      <w:r w:rsidRPr="007C65EF">
        <w:rPr>
          <w:sz w:val="16"/>
        </w:rPr>
        <w:t>(IESG, 2009, F2 p. 13).</w:t>
      </w:r>
    </w:p>
    <w:p w14:paraId="7EA57C94" w14:textId="77777777" w:rsidR="00D52868" w:rsidRDefault="00D52868" w:rsidP="00D52868">
      <w:pPr>
        <w:pStyle w:val="Heading4"/>
      </w:pPr>
      <w:r>
        <w:t>SCR education incorporates Native American teachers and language</w:t>
      </w:r>
    </w:p>
    <w:p w14:paraId="2DA931CD" w14:textId="77777777" w:rsidR="00D52868" w:rsidRPr="00E07CC5" w:rsidRDefault="00D52868" w:rsidP="00D52868">
      <w:r w:rsidRPr="00E07CC5">
        <w:rPr>
          <w:rStyle w:val="Style13ptBold"/>
        </w:rPr>
        <w:t xml:space="preserve">Lee and </w:t>
      </w:r>
      <w:proofErr w:type="spellStart"/>
      <w:r w:rsidRPr="00E07CC5">
        <w:rPr>
          <w:rStyle w:val="Style13ptBold"/>
        </w:rPr>
        <w:t>Cerecer</w:t>
      </w:r>
      <w:proofErr w:type="spellEnd"/>
      <w:r w:rsidRPr="00E07CC5">
        <w:rPr>
          <w:rStyle w:val="Style13ptBold"/>
        </w:rPr>
        <w:t xml:space="preserve"> 10</w:t>
      </w:r>
      <w:r w:rsidRPr="00E07CC5">
        <w:t xml:space="preserve"> Tiffany S., </w:t>
      </w:r>
      <w:r>
        <w:t xml:space="preserve">and Patricia D. </w:t>
      </w:r>
      <w:proofErr w:type="spellStart"/>
      <w:r>
        <w:t>Quijada</w:t>
      </w:r>
      <w:proofErr w:type="spellEnd"/>
      <w:r>
        <w:t xml:space="preserve"> </w:t>
      </w:r>
      <w:proofErr w:type="spellStart"/>
      <w:r>
        <w:t>Cerecer</w:t>
      </w:r>
      <w:proofErr w:type="spellEnd"/>
      <w:r>
        <w:t>,</w:t>
      </w:r>
      <w:r w:rsidRPr="00E07CC5">
        <w:t xml:space="preserve"> "(Re) Claiming Native Youth Knowledge: Engaging in Socio-culturally Responsive Teaching and Relationships</w:t>
      </w:r>
      <w:r>
        <w:t>,</w:t>
      </w:r>
      <w:r w:rsidRPr="00E07CC5">
        <w:t>" Multicultural Perspectives 12, no. 4: 199-205. Acad</w:t>
      </w:r>
      <w:r>
        <w:t xml:space="preserve">emic Search Complete, </w:t>
      </w:r>
      <w:proofErr w:type="spellStart"/>
      <w:r>
        <w:t>EBSCOhost</w:t>
      </w:r>
      <w:proofErr w:type="spellEnd"/>
      <w:r>
        <w:t xml:space="preserve">, </w:t>
      </w:r>
      <w:proofErr w:type="gramStart"/>
      <w:r>
        <w:t xml:space="preserve">10-1-10 </w:t>
      </w:r>
      <w:r w:rsidRPr="00E07CC5">
        <w:t>http://www.tandfonline.com/doi/abs/10.1080/15210960.2010.527586</w:t>
      </w:r>
      <w:proofErr w:type="gramEnd"/>
    </w:p>
    <w:p w14:paraId="4EE85F03" w14:textId="77777777" w:rsidR="00D52868" w:rsidRDefault="00D52868" w:rsidP="00D52868">
      <w:pPr>
        <w:rPr>
          <w:rStyle w:val="StyleUnderline"/>
        </w:rPr>
      </w:pPr>
      <w:r w:rsidRPr="002B1936">
        <w:rPr>
          <w:rStyle w:val="StyleUnderline"/>
        </w:rPr>
        <w:t>The youth</w:t>
      </w:r>
      <w:r w:rsidRPr="00870691">
        <w:rPr>
          <w:sz w:val="16"/>
        </w:rPr>
        <w:t xml:space="preserve"> in these studies offered a sophisticated critique of schooling and recommended how teachers in school settings can form meaningful relationships with them. They </w:t>
      </w:r>
      <w:r w:rsidRPr="002B1936">
        <w:rPr>
          <w:rStyle w:val="StyleUnderline"/>
        </w:rPr>
        <w:t xml:space="preserve">sought teachers who would engage in reciprocal transformative learning relationships with them. They </w:t>
      </w:r>
      <w:r w:rsidRPr="00870691">
        <w:rPr>
          <w:sz w:val="16"/>
        </w:rPr>
        <w:t xml:space="preserve">also </w:t>
      </w:r>
      <w:r w:rsidRPr="002B1936">
        <w:rPr>
          <w:rStyle w:val="StyleUnderline"/>
        </w:rPr>
        <w:t>sought a school climate that appreciates, respects, and honors their Native heritage and language</w:t>
      </w:r>
      <w:r w:rsidRPr="00870691">
        <w:rPr>
          <w:sz w:val="16"/>
        </w:rPr>
        <w:t xml:space="preserve">. Similarly, participants took notice of the pedagogical practices of adults at their school setting. </w:t>
      </w:r>
      <w:r w:rsidRPr="002B1936">
        <w:rPr>
          <w:rStyle w:val="StyleUnderline"/>
        </w:rPr>
        <w:t>The dialectical conversation between school administrators, teachers, and Native youth must be (re) examined in terms of how administrators and teachers enact policies and pedagogical practices, particularly for inclusion of socio-culturally responsive education. Socio-culturally responsive education can foster supportive relationships between adults and youth. Supportive and reciprocal relationships will then transform the school into a healthy, supportive school climate that affirms the identity and heritage of Native youth.</w:t>
      </w:r>
      <w:r w:rsidRPr="00870691">
        <w:rPr>
          <w:sz w:val="16"/>
        </w:rPr>
        <w:t xml:space="preserve"> In closing, the narratives these youth provide clarify how to strengthen relationships between youth and teachers, as well as enhance both youths’ and educators’ educational experiences. </w:t>
      </w:r>
      <w:r w:rsidRPr="002B1936">
        <w:rPr>
          <w:rStyle w:val="StyleUnderline"/>
        </w:rPr>
        <w:t>We advocate,</w:t>
      </w:r>
      <w:r w:rsidRPr="00870691">
        <w:rPr>
          <w:sz w:val="16"/>
        </w:rPr>
        <w:t xml:space="preserve"> therefore, </w:t>
      </w:r>
      <w:r w:rsidRPr="002B1936">
        <w:rPr>
          <w:rStyle w:val="StyleUnderline"/>
        </w:rPr>
        <w:t>that the findings from these studies be placed into practice for multicultural educators. We offer the following suggestions</w:t>
      </w:r>
      <w:r w:rsidRPr="00870691">
        <w:rPr>
          <w:sz w:val="16"/>
        </w:rPr>
        <w:t xml:space="preserve"> as to how this can be take place: • </w:t>
      </w:r>
      <w:r w:rsidRPr="002B1936">
        <w:rPr>
          <w:rStyle w:val="StyleUnderline"/>
        </w:rPr>
        <w:t xml:space="preserve">School administrations and teachers can work to build coalitions and community with local tribal education leaders and parents. Doing so will enhance campus climate and affirm identities of Native youth. • </w:t>
      </w:r>
      <w:r w:rsidRPr="00870691">
        <w:rPr>
          <w:sz w:val="16"/>
        </w:rPr>
        <w:t>School administrations and teachers can</w:t>
      </w:r>
      <w:r w:rsidRPr="002B1936">
        <w:rPr>
          <w:rStyle w:val="StyleUnderline"/>
        </w:rPr>
        <w:t xml:space="preserve"> become proactive to ensure that Native cultures are integrated into the curriculum. </w:t>
      </w:r>
      <w:r w:rsidRPr="00870691">
        <w:rPr>
          <w:sz w:val="16"/>
        </w:rPr>
        <w:t>• School administrations can</w:t>
      </w:r>
      <w:r w:rsidRPr="002B1936">
        <w:rPr>
          <w:rStyle w:val="StyleUnderline"/>
        </w:rPr>
        <w:t xml:space="preserve"> provide professional development workshops for teachers to learn how curriculum can be made relevant to students’ lives </w:t>
      </w:r>
      <w:r w:rsidRPr="00870691">
        <w:rPr>
          <w:sz w:val="16"/>
        </w:rPr>
        <w:t>in multiple ways. • School administrations can</w:t>
      </w:r>
      <w:r w:rsidRPr="002B1936">
        <w:rPr>
          <w:rStyle w:val="StyleUnderline"/>
        </w:rPr>
        <w:t xml:space="preserve"> provide professional development workshops for teachers to learn how to utilize a variety of pedagogical methods, </w:t>
      </w:r>
      <w:r w:rsidRPr="00870691">
        <w:rPr>
          <w:sz w:val="16"/>
        </w:rPr>
        <w:t>such as group work, active learning, and experiential learning. • School administrations can</w:t>
      </w:r>
      <w:r w:rsidRPr="002B1936">
        <w:rPr>
          <w:rStyle w:val="StyleUnderline"/>
        </w:rPr>
        <w:t xml:space="preserve"> provide multiple opportunities for successful students and teachers to share their educational experiences with everyone in the district. </w:t>
      </w:r>
      <w:r w:rsidRPr="00870691">
        <w:rPr>
          <w:sz w:val="16"/>
        </w:rPr>
        <w:t>• School administrations can</w:t>
      </w:r>
      <w:r w:rsidRPr="002B1936">
        <w:rPr>
          <w:rStyle w:val="StyleUnderline"/>
        </w:rPr>
        <w:t xml:space="preserve"> promote and advocate small class sizes, which creates the opportunity for meaningful and reciprocal relationships between students and teachers, and </w:t>
      </w:r>
      <w:r w:rsidRPr="00870691">
        <w:rPr>
          <w:sz w:val="16"/>
        </w:rPr>
        <w:t>which</w:t>
      </w:r>
      <w:r w:rsidRPr="002B1936">
        <w:rPr>
          <w:rStyle w:val="StyleUnderline"/>
        </w:rPr>
        <w:t xml:space="preserve"> enhances student learning.</w:t>
      </w:r>
    </w:p>
    <w:p w14:paraId="60B84686" w14:textId="77777777" w:rsidR="00D52868" w:rsidRDefault="00D52868" w:rsidP="00D52868">
      <w:pPr>
        <w:pStyle w:val="Heading4"/>
      </w:pPr>
      <w:r>
        <w:t xml:space="preserve">Socio-culturally responsive education acknowledges Native students’ heritage </w:t>
      </w:r>
    </w:p>
    <w:p w14:paraId="18766C42" w14:textId="77777777" w:rsidR="00D52868" w:rsidRPr="00E07CC5" w:rsidRDefault="00D52868" w:rsidP="00D52868">
      <w:r w:rsidRPr="00E07CC5">
        <w:rPr>
          <w:rStyle w:val="Style13ptBold"/>
        </w:rPr>
        <w:t xml:space="preserve">Lee and </w:t>
      </w:r>
      <w:proofErr w:type="spellStart"/>
      <w:r w:rsidRPr="00E07CC5">
        <w:rPr>
          <w:rStyle w:val="Style13ptBold"/>
        </w:rPr>
        <w:t>Cerecer</w:t>
      </w:r>
      <w:proofErr w:type="spellEnd"/>
      <w:r w:rsidRPr="00E07CC5">
        <w:rPr>
          <w:rStyle w:val="Style13ptBold"/>
        </w:rPr>
        <w:t xml:space="preserve"> 10</w:t>
      </w:r>
      <w:r w:rsidRPr="00E07CC5">
        <w:t xml:space="preserve"> Tiffany S.,</w:t>
      </w:r>
      <w:r>
        <w:t xml:space="preserve"> </w:t>
      </w:r>
      <w:r w:rsidRPr="00C062D8">
        <w:t>Associate Professor of Native American Studies</w:t>
      </w:r>
      <w:r>
        <w:t xml:space="preserve"> at University of New Mexico</w:t>
      </w:r>
      <w:r w:rsidRPr="00E07CC5">
        <w:t xml:space="preserve"> </w:t>
      </w:r>
      <w:r>
        <w:t xml:space="preserve">and Patricia D. </w:t>
      </w:r>
      <w:proofErr w:type="spellStart"/>
      <w:r>
        <w:t>Quijada</w:t>
      </w:r>
      <w:proofErr w:type="spellEnd"/>
      <w:r>
        <w:t xml:space="preserve"> </w:t>
      </w:r>
      <w:proofErr w:type="spellStart"/>
      <w:r>
        <w:t>Cerecer</w:t>
      </w:r>
      <w:proofErr w:type="spellEnd"/>
      <w:r>
        <w:t>,</w:t>
      </w:r>
      <w:r w:rsidRPr="00E07CC5">
        <w:t xml:space="preserve"> </w:t>
      </w:r>
      <w:r>
        <w:t xml:space="preserve">studies </w:t>
      </w:r>
      <w:r w:rsidRPr="00C062D8">
        <w:t xml:space="preserve">Latina/o and Native American identity formations in P-20 systems </w:t>
      </w:r>
      <w:r>
        <w:t xml:space="preserve">at UC Davis. </w:t>
      </w:r>
      <w:r w:rsidRPr="00E07CC5">
        <w:t>"(Re) Claiming Native Youth Knowledge: Engaging in Socio-culturally Responsive Teaching and Relationships</w:t>
      </w:r>
      <w:r>
        <w:t>,</w:t>
      </w:r>
      <w:r w:rsidRPr="00E07CC5">
        <w:t>" Multicultural Perspectives 12, no. 4: 199-205. Acad</w:t>
      </w:r>
      <w:r>
        <w:t xml:space="preserve">emic Search Complete, </w:t>
      </w:r>
      <w:proofErr w:type="spellStart"/>
      <w:r>
        <w:t>EBSCOhost</w:t>
      </w:r>
      <w:proofErr w:type="spellEnd"/>
      <w:r>
        <w:t xml:space="preserve">, </w:t>
      </w:r>
      <w:proofErr w:type="gramStart"/>
      <w:r>
        <w:t xml:space="preserve">10-1-10 </w:t>
      </w:r>
      <w:r w:rsidRPr="00E07CC5">
        <w:t>http://www.tandfonline.com/doi/abs/10.1080/15210960.2010.527586</w:t>
      </w:r>
      <w:proofErr w:type="gramEnd"/>
    </w:p>
    <w:p w14:paraId="1223D0D5" w14:textId="77777777" w:rsidR="00D52868" w:rsidRDefault="00D52868" w:rsidP="00D52868">
      <w:pPr>
        <w:rPr>
          <w:rStyle w:val="StyleUnderline"/>
        </w:rPr>
      </w:pPr>
      <w:r w:rsidRPr="00661906">
        <w:rPr>
          <w:rStyle w:val="StyleUnderline"/>
        </w:rPr>
        <w:t>SCR education embraces pedagogy that incorporates students’ lived experiences, home-based knowledge, and local environment to inform curriculum design and content as well as how relationships are formed with students</w:t>
      </w:r>
      <w:r w:rsidRPr="00661906">
        <w:rPr>
          <w:sz w:val="16"/>
        </w:rPr>
        <w:t xml:space="preserve"> (</w:t>
      </w:r>
      <w:proofErr w:type="spellStart"/>
      <w:r w:rsidRPr="00661906">
        <w:rPr>
          <w:sz w:val="16"/>
        </w:rPr>
        <w:t>Belgarde</w:t>
      </w:r>
      <w:proofErr w:type="spellEnd"/>
      <w:r w:rsidRPr="00661906">
        <w:rPr>
          <w:sz w:val="16"/>
        </w:rPr>
        <w:t xml:space="preserve">, Mitchell, &amp; </w:t>
      </w:r>
      <w:proofErr w:type="spellStart"/>
      <w:r w:rsidRPr="00661906">
        <w:rPr>
          <w:sz w:val="16"/>
        </w:rPr>
        <w:t>Moquino-Arquero</w:t>
      </w:r>
      <w:proofErr w:type="spellEnd"/>
      <w:r w:rsidRPr="00661906">
        <w:rPr>
          <w:sz w:val="16"/>
        </w:rPr>
        <w:t xml:space="preserve">, 2002; Castagno &amp; </w:t>
      </w:r>
      <w:proofErr w:type="spellStart"/>
      <w:r w:rsidRPr="00661906">
        <w:rPr>
          <w:sz w:val="16"/>
        </w:rPr>
        <w:t>Brayboy</w:t>
      </w:r>
      <w:proofErr w:type="spellEnd"/>
      <w:r w:rsidRPr="00661906">
        <w:rPr>
          <w:sz w:val="16"/>
        </w:rPr>
        <w:t xml:space="preserve">, 2008; </w:t>
      </w:r>
      <w:proofErr w:type="spellStart"/>
      <w:r w:rsidRPr="00661906">
        <w:rPr>
          <w:sz w:val="16"/>
        </w:rPr>
        <w:t>Demmert</w:t>
      </w:r>
      <w:proofErr w:type="spellEnd"/>
      <w:r w:rsidRPr="00661906">
        <w:rPr>
          <w:sz w:val="16"/>
        </w:rPr>
        <w:t xml:space="preserve"> &amp; Towner, 2003; </w:t>
      </w:r>
      <w:proofErr w:type="spellStart"/>
      <w:r w:rsidRPr="00661906">
        <w:rPr>
          <w:sz w:val="16"/>
        </w:rPr>
        <w:t>Quijada</w:t>
      </w:r>
      <w:proofErr w:type="spellEnd"/>
      <w:r w:rsidRPr="00661906">
        <w:rPr>
          <w:sz w:val="16"/>
        </w:rPr>
        <w:t xml:space="preserve"> </w:t>
      </w:r>
      <w:proofErr w:type="spellStart"/>
      <w:r w:rsidRPr="00661906">
        <w:rPr>
          <w:sz w:val="16"/>
        </w:rPr>
        <w:t>Cerecer</w:t>
      </w:r>
      <w:proofErr w:type="spellEnd"/>
      <w:r w:rsidRPr="00661906">
        <w:rPr>
          <w:sz w:val="16"/>
        </w:rPr>
        <w:t xml:space="preserve">, Alvarez </w:t>
      </w:r>
      <w:proofErr w:type="spellStart"/>
      <w:r w:rsidRPr="00661906">
        <w:rPr>
          <w:sz w:val="16"/>
        </w:rPr>
        <w:t>Gut´ıerrez</w:t>
      </w:r>
      <w:proofErr w:type="spellEnd"/>
      <w:r w:rsidRPr="00661906">
        <w:rPr>
          <w:sz w:val="16"/>
        </w:rPr>
        <w:t xml:space="preserve">, &amp; Rios, 2010). </w:t>
      </w:r>
      <w:r w:rsidRPr="00661906">
        <w:rPr>
          <w:rStyle w:val="StyleUnderline"/>
        </w:rPr>
        <w:t>We use the term “socio-culturally responsive education” to recognize how Native youth’s lives are not solely defined by their Native culture</w:t>
      </w:r>
      <w:r w:rsidRPr="00661906">
        <w:rPr>
          <w:sz w:val="16"/>
        </w:rPr>
        <w:t xml:space="preserve">, but are also inclusive of social influences such as the mainstream media, family income and occupations, tribal economic development, off-reservation residence, and peer influences. </w:t>
      </w:r>
      <w:proofErr w:type="spellStart"/>
      <w:r w:rsidRPr="00661906">
        <w:rPr>
          <w:rStyle w:val="StyleUnderline"/>
        </w:rPr>
        <w:t>Socioculturally</w:t>
      </w:r>
      <w:proofErr w:type="spellEnd"/>
      <w:r w:rsidRPr="00661906">
        <w:rPr>
          <w:rStyle w:val="StyleUnderline"/>
        </w:rPr>
        <w:t xml:space="preserve"> responsive education is comprehensive in recognizing the breadth of Native students’ lived experiences</w:t>
      </w:r>
      <w:r w:rsidRPr="00661906">
        <w:rPr>
          <w:sz w:val="16"/>
        </w:rPr>
        <w:t xml:space="preserve"> today. To date </w:t>
      </w:r>
      <w:r w:rsidRPr="00661906">
        <w:rPr>
          <w:rStyle w:val="StyleUnderline"/>
        </w:rPr>
        <w:t>scholars have advocated that SCR teaching is more than being sensitive and aware of a students’ cultural backgrounds, rather it also recognizes how cultures are contextually based and necessitates that educators become culturally competent in order to meaningfully and appropriately incorporate students’ cultural and linguistic backgrounds into their teaching</w:t>
      </w:r>
      <w:r w:rsidRPr="00661906">
        <w:rPr>
          <w:sz w:val="16"/>
        </w:rPr>
        <w:t xml:space="preserve"> (see Castagno &amp; </w:t>
      </w:r>
      <w:proofErr w:type="spellStart"/>
      <w:r w:rsidRPr="00661906">
        <w:rPr>
          <w:sz w:val="16"/>
        </w:rPr>
        <w:t>Brayboy</w:t>
      </w:r>
      <w:proofErr w:type="spellEnd"/>
      <w:r w:rsidRPr="00661906">
        <w:rPr>
          <w:sz w:val="16"/>
        </w:rPr>
        <w:t xml:space="preserve">, 2008; Lee, in press; </w:t>
      </w:r>
      <w:proofErr w:type="spellStart"/>
      <w:r w:rsidRPr="00661906">
        <w:rPr>
          <w:sz w:val="16"/>
        </w:rPr>
        <w:t>Pewewardy</w:t>
      </w:r>
      <w:proofErr w:type="spellEnd"/>
      <w:r w:rsidRPr="00661906">
        <w:rPr>
          <w:sz w:val="16"/>
        </w:rPr>
        <w:t xml:space="preserve">, 1998; </w:t>
      </w:r>
      <w:proofErr w:type="spellStart"/>
      <w:r w:rsidRPr="00661906">
        <w:rPr>
          <w:sz w:val="16"/>
        </w:rPr>
        <w:t>Quijada</w:t>
      </w:r>
      <w:proofErr w:type="spellEnd"/>
      <w:r w:rsidRPr="00661906">
        <w:rPr>
          <w:sz w:val="16"/>
        </w:rPr>
        <w:t xml:space="preserve"> </w:t>
      </w:r>
      <w:proofErr w:type="spellStart"/>
      <w:r w:rsidRPr="00661906">
        <w:rPr>
          <w:sz w:val="16"/>
        </w:rPr>
        <w:t>Cerecer</w:t>
      </w:r>
      <w:proofErr w:type="spellEnd"/>
      <w:r w:rsidRPr="00661906">
        <w:rPr>
          <w:sz w:val="16"/>
        </w:rPr>
        <w:t xml:space="preserve">, in press). </w:t>
      </w:r>
      <w:proofErr w:type="spellStart"/>
      <w:r w:rsidRPr="00661906">
        <w:rPr>
          <w:sz w:val="16"/>
        </w:rPr>
        <w:t>Pewewardy</w:t>
      </w:r>
      <w:proofErr w:type="spellEnd"/>
      <w:r w:rsidRPr="00661906">
        <w:rPr>
          <w:sz w:val="16"/>
        </w:rPr>
        <w:t xml:space="preserve"> (1998) argues </w:t>
      </w:r>
      <w:r w:rsidRPr="00661906">
        <w:rPr>
          <w:rStyle w:val="StyleUnderline"/>
        </w:rPr>
        <w:t>that teachers need to learn to not only respect students’ cultural differences, but they also need to have the strategies and skills for utilizing students’ socio-cultural knowledge and resources in the classroom.</w:t>
      </w:r>
      <w:r w:rsidRPr="00661906">
        <w:rPr>
          <w:sz w:val="16"/>
        </w:rPr>
        <w:t xml:space="preserve"> While we have highlighted research among Native populations, scholars of multicultural education have informed conceptualizations of what it means to be an SCR teacher for all populations. They argue </w:t>
      </w:r>
      <w:r w:rsidRPr="00661906">
        <w:rPr>
          <w:rStyle w:val="StyleUnderline"/>
        </w:rPr>
        <w:t>SCR education is necessary in order to respond to educational inequities that negatively affect poor and/or minority youth</w:t>
      </w:r>
      <w:r w:rsidRPr="00661906">
        <w:rPr>
          <w:sz w:val="16"/>
        </w:rPr>
        <w:t xml:space="preserve"> (Ladson-Billings, 1994; Valdes, 2001). Additionally, </w:t>
      </w:r>
      <w:r w:rsidRPr="00661906">
        <w:rPr>
          <w:rStyle w:val="StyleUnderline"/>
        </w:rPr>
        <w:t>SCR teaching is about centralizing students’ ethnic and cultural heritages so that pedagogy, curriculum, and relationships in the classroom privilege a multicultural framework</w:t>
      </w:r>
      <w:r w:rsidRPr="00661906">
        <w:rPr>
          <w:sz w:val="16"/>
        </w:rPr>
        <w:t xml:space="preserve">3 (Gay, 2000; Nieto, 1999). </w:t>
      </w:r>
      <w:r w:rsidRPr="00661906">
        <w:rPr>
          <w:rStyle w:val="StyleUnderline"/>
        </w:rPr>
        <w:t xml:space="preserve">In embracing this ideology, educators are validating students’ </w:t>
      </w:r>
      <w:proofErr w:type="spellStart"/>
      <w:r w:rsidRPr="00661906">
        <w:rPr>
          <w:rStyle w:val="StyleUnderline"/>
        </w:rPr>
        <w:t>homebased</w:t>
      </w:r>
      <w:proofErr w:type="spellEnd"/>
      <w:r w:rsidRPr="00661906">
        <w:rPr>
          <w:rStyle w:val="StyleUnderline"/>
        </w:rPr>
        <w:t xml:space="preserve"> knowledge and experiences and allowing students to actively participate in constructing what counts as knowledge in their classrooms and schools.</w:t>
      </w:r>
    </w:p>
    <w:p w14:paraId="2E3428FF" w14:textId="77777777" w:rsidR="00C3799B" w:rsidRPr="00C3799B" w:rsidRDefault="00C3799B" w:rsidP="00C3799B">
      <w:pPr>
        <w:pStyle w:val="Heading4"/>
        <w:rPr>
          <w:rStyle w:val="StyleUnderline"/>
          <w:b/>
          <w:sz w:val="26"/>
          <w:u w:val="none"/>
        </w:rPr>
      </w:pPr>
      <w:r w:rsidRPr="00C3799B">
        <w:rPr>
          <w:rStyle w:val="StyleUnderline"/>
          <w:b/>
          <w:sz w:val="26"/>
          <w:u w:val="none"/>
        </w:rPr>
        <w:t>(</w:t>
      </w:r>
      <w:proofErr w:type="gramStart"/>
      <w:r w:rsidRPr="00C3799B">
        <w:rPr>
          <w:rStyle w:val="StyleUnderline"/>
          <w:b/>
          <w:sz w:val="26"/>
          <w:u w:val="none"/>
        </w:rPr>
        <w:t>needs</w:t>
      </w:r>
      <w:proofErr w:type="gramEnd"/>
      <w:r w:rsidRPr="00C3799B">
        <w:rPr>
          <w:rStyle w:val="StyleUnderline"/>
          <w:b/>
          <w:sz w:val="26"/>
          <w:u w:val="none"/>
        </w:rPr>
        <w:t xml:space="preserve"> tag) Defense of operating in the state structure</w:t>
      </w:r>
    </w:p>
    <w:p w14:paraId="22159BED" w14:textId="77777777" w:rsidR="00C3799B" w:rsidRPr="00C3799B" w:rsidRDefault="00C3799B" w:rsidP="00C3799B">
      <w:pPr>
        <w:rPr>
          <w:rStyle w:val="StyleUnderline"/>
          <w:b w:val="0"/>
          <w:u w:val="none"/>
        </w:rPr>
      </w:pPr>
      <w:proofErr w:type="spellStart"/>
      <w:r w:rsidRPr="00C3799B">
        <w:rPr>
          <w:rStyle w:val="StyleUnderline"/>
          <w:sz w:val="26"/>
          <w:szCs w:val="26"/>
          <w:u w:val="none"/>
        </w:rPr>
        <w:t>Laga</w:t>
      </w:r>
      <w:proofErr w:type="spellEnd"/>
      <w:r w:rsidRPr="00C3799B">
        <w:rPr>
          <w:rStyle w:val="StyleUnderline"/>
          <w:sz w:val="26"/>
          <w:szCs w:val="26"/>
          <w:u w:val="none"/>
        </w:rPr>
        <w:t xml:space="preserve"> 94</w:t>
      </w:r>
      <w:r w:rsidRPr="00C3799B">
        <w:rPr>
          <w:rStyle w:val="StyleUnderline"/>
          <w:b w:val="0"/>
          <w:u w:val="none"/>
        </w:rPr>
        <w:t xml:space="preserve"> (Barry E. </w:t>
      </w:r>
      <w:proofErr w:type="spellStart"/>
      <w:r w:rsidRPr="00C3799B">
        <w:rPr>
          <w:rStyle w:val="StyleUnderline"/>
          <w:b w:val="0"/>
          <w:u w:val="none"/>
        </w:rPr>
        <w:t>Laga</w:t>
      </w:r>
      <w:proofErr w:type="spellEnd"/>
      <w:r w:rsidRPr="00C3799B">
        <w:rPr>
          <w:rStyle w:val="StyleUnderline"/>
          <w:b w:val="0"/>
          <w:u w:val="none"/>
        </w:rPr>
        <w:t xml:space="preserve">, Department Head of Literature, Languages and Mass Communication and a professor of English at Colorado Mesa University, "Gerald </w:t>
      </w:r>
      <w:proofErr w:type="spellStart"/>
      <w:r w:rsidRPr="00C3799B">
        <w:rPr>
          <w:rStyle w:val="StyleUnderline"/>
          <w:b w:val="0"/>
          <w:u w:val="none"/>
        </w:rPr>
        <w:t>Vizenor</w:t>
      </w:r>
      <w:proofErr w:type="spellEnd"/>
      <w:r w:rsidRPr="00C3799B">
        <w:rPr>
          <w:rStyle w:val="StyleUnderline"/>
          <w:b w:val="0"/>
          <w:u w:val="none"/>
        </w:rPr>
        <w:t xml:space="preserve"> and His" Heirs of Columbus": A Postmodern Quest for More Discourse." American Indian Quarterly 18.1 (1994): p. 81-82)</w:t>
      </w:r>
    </w:p>
    <w:p w14:paraId="320B8C0B" w14:textId="77777777" w:rsidR="00C3799B" w:rsidRPr="00C3799B" w:rsidRDefault="00C3799B" w:rsidP="00C3799B">
      <w:pPr>
        <w:rPr>
          <w:rStyle w:val="StyleUnderline"/>
          <w:b w:val="0"/>
          <w:sz w:val="16"/>
          <w:u w:val="none"/>
        </w:rPr>
      </w:pPr>
      <w:r w:rsidRPr="00C3799B">
        <w:rPr>
          <w:rStyle w:val="StyleUnderline"/>
          <w:b w:val="0"/>
          <w:sz w:val="16"/>
          <w:u w:val="none"/>
        </w:rPr>
        <w:t xml:space="preserve">Butler's treatment of representation resonates with </w:t>
      </w:r>
      <w:proofErr w:type="spellStart"/>
      <w:r w:rsidRPr="00C3799B">
        <w:rPr>
          <w:rStyle w:val="StyleUnderline"/>
          <w:b w:val="0"/>
          <w:sz w:val="16"/>
          <w:u w:val="none"/>
        </w:rPr>
        <w:t>Vizenor's</w:t>
      </w:r>
      <w:proofErr w:type="spellEnd"/>
      <w:r w:rsidRPr="00C3799B">
        <w:rPr>
          <w:rStyle w:val="StyleUnderline"/>
          <w:b w:val="0"/>
          <w:sz w:val="16"/>
          <w:u w:val="none"/>
        </w:rPr>
        <w:t xml:space="preserve"> project. </w:t>
      </w:r>
      <w:proofErr w:type="spellStart"/>
      <w:r w:rsidRPr="00C3799B">
        <w:rPr>
          <w:rStyle w:val="StyleUnderline"/>
          <w:b w:val="0"/>
        </w:rPr>
        <w:t>Vizenor</w:t>
      </w:r>
      <w:proofErr w:type="spellEnd"/>
      <w:r w:rsidRPr="00C3799B">
        <w:rPr>
          <w:rStyle w:val="StyleUnderline"/>
          <w:b w:val="0"/>
        </w:rPr>
        <w:t xml:space="preserve"> destabilizes the "normalizing" function of language that distorts and oppresses Native Americans, but he maintains an identity that may be represented within the present legal framework.</w:t>
      </w:r>
      <w:r w:rsidRPr="00C3799B">
        <w:rPr>
          <w:rStyle w:val="StyleUnderline"/>
          <w:b w:val="0"/>
          <w:sz w:val="16"/>
          <w:u w:val="none"/>
        </w:rPr>
        <w:t xml:space="preserve"> It makes sense that a significant setting in the novel is a courtroom in which Stone </w:t>
      </w:r>
      <w:proofErr w:type="gramStart"/>
      <w:r w:rsidRPr="00C3799B">
        <w:rPr>
          <w:rStyle w:val="StyleUnderline"/>
          <w:b w:val="0"/>
          <w:sz w:val="16"/>
          <w:u w:val="none"/>
        </w:rPr>
        <w:t>argues that</w:t>
      </w:r>
      <w:proofErr w:type="gramEnd"/>
      <w:r w:rsidRPr="00C3799B">
        <w:rPr>
          <w:rStyle w:val="StyleUnderline"/>
          <w:b w:val="0"/>
          <w:sz w:val="16"/>
          <w:u w:val="none"/>
        </w:rPr>
        <w:t xml:space="preserve"> "Sovereignty is a natural tribal right, not a benefaction or grant from proud flesh patricians, the heirs are sovereign and the court hears our stories." (p. 78). Given the legal system embedded within a culture of ownership, </w:t>
      </w:r>
      <w:r w:rsidRPr="00C3799B">
        <w:rPr>
          <w:rStyle w:val="StyleUnderline"/>
          <w:b w:val="0"/>
        </w:rPr>
        <w:t>Native Americans must retain a degree of identity or sovereignty, for Butler</w:t>
      </w:r>
      <w:r w:rsidRPr="00C3799B">
        <w:rPr>
          <w:rStyle w:val="StyleUnderline"/>
          <w:b w:val="0"/>
          <w:sz w:val="16"/>
          <w:u w:val="none"/>
        </w:rPr>
        <w:t xml:space="preserve"> (1990: 5) again </w:t>
      </w:r>
      <w:r w:rsidRPr="00C3799B">
        <w:rPr>
          <w:rStyle w:val="StyleUnderline"/>
          <w:b w:val="0"/>
        </w:rPr>
        <w:t xml:space="preserve">points out that "the political task is not to refuse representational politics-as if we could. The juridical structures of language and politics constitute the contemporary field of power." To not "honor" tribal identities is tantamount to erasing tribal peoples and concerns. To not maintain, however contingent or temporary, some degree of agency or subjectivity is to ignore the historical moment and the need to deal </w:t>
      </w:r>
      <w:proofErr w:type="gramStart"/>
      <w:r w:rsidRPr="00C3799B">
        <w:rPr>
          <w:rStyle w:val="StyleUnderline"/>
          <w:b w:val="0"/>
        </w:rPr>
        <w:t>with(</w:t>
      </w:r>
      <w:proofErr w:type="gramEnd"/>
      <w:r w:rsidRPr="00C3799B">
        <w:rPr>
          <w:rStyle w:val="StyleUnderline"/>
          <w:b w:val="0"/>
        </w:rPr>
        <w:t>in) the operative power structures.</w:t>
      </w:r>
      <w:r w:rsidRPr="00C3799B">
        <w:rPr>
          <w:rStyle w:val="StyleUnderline"/>
          <w:b w:val="0"/>
          <w:sz w:val="16"/>
          <w:u w:val="none"/>
        </w:rPr>
        <w:t xml:space="preserve"> Given the complexity of this situation, </w:t>
      </w:r>
      <w:r w:rsidRPr="00C3799B">
        <w:rPr>
          <w:rStyle w:val="StyleUnderline"/>
          <w:b w:val="0"/>
        </w:rPr>
        <w:t>there is no contradiction positing some form of agency while simultaneously seeking to deconstruct the system that makes that agency possible. What is constantly acknowledged is that this identity is not natural or fixed. [</w:t>
      </w:r>
      <w:proofErr w:type="gramStart"/>
      <w:r w:rsidRPr="00C3799B">
        <w:rPr>
          <w:rStyle w:val="StyleUnderline"/>
          <w:b w:val="0"/>
        </w:rPr>
        <w:t>T]he</w:t>
      </w:r>
      <w:proofErr w:type="gramEnd"/>
      <w:r w:rsidRPr="00C3799B">
        <w:rPr>
          <w:rStyle w:val="StyleUnderline"/>
          <w:b w:val="0"/>
        </w:rPr>
        <w:t xml:space="preserve"> notion of tribal sovereignty is not </w:t>
      </w:r>
      <w:proofErr w:type="spellStart"/>
      <w:r w:rsidRPr="00C3799B">
        <w:rPr>
          <w:rStyle w:val="StyleUnderline"/>
          <w:b w:val="0"/>
        </w:rPr>
        <w:t>confiscable</w:t>
      </w:r>
      <w:proofErr w:type="spellEnd"/>
      <w:r w:rsidRPr="00C3799B">
        <w:rPr>
          <w:rStyle w:val="StyleUnderline"/>
          <w:b w:val="0"/>
        </w:rPr>
        <w:t>, or earth bound; sovereignty is neither fences or feathers. The essence of sovereignty is imaginative, an original tribal trope, communal and spiritual, an idea that is more than metes and bounds in treaties</w:t>
      </w:r>
      <w:r w:rsidRPr="00C3799B">
        <w:rPr>
          <w:rStyle w:val="StyleUnderline"/>
          <w:b w:val="0"/>
          <w:sz w:val="16"/>
          <w:u w:val="none"/>
        </w:rPr>
        <w:t xml:space="preserve">. (p. 7) And later, during a simulation, the loudspeakers add to Judge Lord's ruling, "the very essence of sovereignty is a communal laser" (p. 62). Sovereignty is not inherent; it is a communal construct, a creation, a work of the imagination, </w:t>
      </w:r>
      <w:proofErr w:type="gramStart"/>
      <w:r w:rsidRPr="00C3799B">
        <w:rPr>
          <w:rStyle w:val="StyleUnderline"/>
          <w:b w:val="0"/>
          <w:sz w:val="16"/>
          <w:u w:val="none"/>
        </w:rPr>
        <w:t>a</w:t>
      </w:r>
      <w:proofErr w:type="gramEnd"/>
      <w:r w:rsidRPr="00C3799B">
        <w:rPr>
          <w:rStyle w:val="StyleUnderline"/>
          <w:b w:val="0"/>
          <w:sz w:val="16"/>
          <w:u w:val="none"/>
        </w:rPr>
        <w:t xml:space="preserve"> result of the play of language. It is important and necessary to preserve that construct, that effect, at least for a time, for without subjectivity there is little voice. </w:t>
      </w:r>
      <w:r w:rsidRPr="00C3799B">
        <w:rPr>
          <w:rStyle w:val="StyleUnderline"/>
          <w:b w:val="0"/>
        </w:rPr>
        <w:t xml:space="preserve">There must be a form </w:t>
      </w:r>
      <w:proofErr w:type="spellStart"/>
      <w:r w:rsidRPr="00C3799B">
        <w:rPr>
          <w:rStyle w:val="StyleUnderline"/>
          <w:b w:val="0"/>
        </w:rPr>
        <w:t>of"strategic</w:t>
      </w:r>
      <w:proofErr w:type="spellEnd"/>
      <w:r w:rsidRPr="00C3799B">
        <w:rPr>
          <w:rStyle w:val="StyleUnderline"/>
          <w:b w:val="0"/>
        </w:rPr>
        <w:t xml:space="preserve"> </w:t>
      </w:r>
      <w:proofErr w:type="spellStart"/>
      <w:r w:rsidRPr="00C3799B">
        <w:rPr>
          <w:rStyle w:val="StyleUnderline"/>
          <w:b w:val="0"/>
        </w:rPr>
        <w:t>essentializing</w:t>
      </w:r>
      <w:proofErr w:type="spellEnd"/>
      <w:r w:rsidRPr="00C3799B">
        <w:rPr>
          <w:rStyle w:val="StyleUnderline"/>
          <w:b w:val="0"/>
        </w:rPr>
        <w:t xml:space="preserve">." With no identity at all, Native Americans remain static narratives, cultural artifacts, </w:t>
      </w:r>
      <w:proofErr w:type="gramStart"/>
      <w:r w:rsidRPr="00C3799B">
        <w:rPr>
          <w:rStyle w:val="StyleUnderline"/>
          <w:b w:val="0"/>
        </w:rPr>
        <w:t>invisible</w:t>
      </w:r>
      <w:proofErr w:type="gramEnd"/>
      <w:r w:rsidRPr="00C3799B">
        <w:rPr>
          <w:rStyle w:val="StyleUnderline"/>
          <w:b w:val="0"/>
        </w:rPr>
        <w:t>, erased, forever in the margin. This does not deny that there is freedom in the margin, but that freedom is limited</w:t>
      </w:r>
      <w:r w:rsidRPr="00C3799B">
        <w:rPr>
          <w:rStyle w:val="StyleUnderline"/>
          <w:b w:val="0"/>
          <w:sz w:val="16"/>
          <w:u w:val="none"/>
        </w:rPr>
        <w:t>.</w:t>
      </w:r>
    </w:p>
    <w:p w14:paraId="4201E9F0" w14:textId="77777777" w:rsidR="00151FD2" w:rsidRPr="00EA54E7" w:rsidRDefault="00151FD2" w:rsidP="00151FD2">
      <w:pPr>
        <w:pStyle w:val="Heading4"/>
      </w:pPr>
      <w:r w:rsidRPr="00EA54E7">
        <w:t>The state must be used to deconstruct settler colonialism</w:t>
      </w:r>
    </w:p>
    <w:p w14:paraId="5E7863AB" w14:textId="3E79400F" w:rsidR="00151FD2" w:rsidRPr="00151FD2" w:rsidRDefault="00151FD2" w:rsidP="00151FD2">
      <w:pPr>
        <w:rPr>
          <w:rStyle w:val="StyleUnderline"/>
          <w:b w:val="0"/>
          <w:szCs w:val="22"/>
          <w:u w:val="none"/>
        </w:rPr>
      </w:pPr>
      <w:proofErr w:type="spellStart"/>
      <w:r w:rsidRPr="00EA54E7">
        <w:rPr>
          <w:rStyle w:val="Style13ptBold"/>
        </w:rPr>
        <w:t>Bhandar</w:t>
      </w:r>
      <w:proofErr w:type="spellEnd"/>
      <w:r w:rsidRPr="00EA54E7">
        <w:rPr>
          <w:rStyle w:val="Style13ptBold"/>
        </w:rPr>
        <w:t xml:space="preserve"> 12</w:t>
      </w:r>
      <w:r w:rsidRPr="009F5512">
        <w:rPr>
          <w:rStyle w:val="StyleUnderline"/>
          <w:szCs w:val="22"/>
          <w:u w:val="none"/>
        </w:rPr>
        <w:t xml:space="preserve"> </w:t>
      </w:r>
      <w:r>
        <w:rPr>
          <w:rStyle w:val="StyleUnderline"/>
          <w:szCs w:val="22"/>
          <w:u w:val="none"/>
        </w:rPr>
        <w:t>(</w:t>
      </w:r>
      <w:r w:rsidRPr="00151FD2">
        <w:rPr>
          <w:rStyle w:val="StyleUnderline"/>
          <w:b w:val="0"/>
          <w:szCs w:val="22"/>
          <w:u w:val="none"/>
        </w:rPr>
        <w:t xml:space="preserve">Brenna </w:t>
      </w:r>
      <w:proofErr w:type="spellStart"/>
      <w:r w:rsidRPr="00151FD2">
        <w:rPr>
          <w:rStyle w:val="StyleUnderline"/>
          <w:b w:val="0"/>
          <w:szCs w:val="22"/>
          <w:u w:val="none"/>
        </w:rPr>
        <w:t>Bhandar</w:t>
      </w:r>
      <w:proofErr w:type="spellEnd"/>
      <w:r w:rsidRPr="00151FD2">
        <w:rPr>
          <w:rStyle w:val="StyleUnderline"/>
          <w:b w:val="0"/>
          <w:szCs w:val="22"/>
          <w:u w:val="none"/>
        </w:rPr>
        <w:t xml:space="preserve">. "Strategies of Legal Rupture: The Politics of </w:t>
      </w:r>
      <w:proofErr w:type="spellStart"/>
      <w:r w:rsidRPr="00151FD2">
        <w:rPr>
          <w:rStyle w:val="StyleUnderline"/>
          <w:b w:val="0"/>
          <w:szCs w:val="22"/>
          <w:u w:val="none"/>
        </w:rPr>
        <w:t>Judgement</w:t>
      </w:r>
      <w:proofErr w:type="spellEnd"/>
      <w:r w:rsidRPr="00151FD2">
        <w:rPr>
          <w:rStyle w:val="StyleUnderline"/>
          <w:b w:val="0"/>
          <w:szCs w:val="22"/>
          <w:u w:val="none"/>
        </w:rPr>
        <w:t xml:space="preserve">." </w:t>
      </w:r>
      <w:proofErr w:type="gramStart"/>
      <w:r w:rsidRPr="00151FD2">
        <w:rPr>
          <w:rStyle w:val="StyleUnderline"/>
          <w:b w:val="0"/>
          <w:szCs w:val="22"/>
          <w:u w:val="none"/>
        </w:rPr>
        <w:t>Windsor YB Access Just.</w:t>
      </w:r>
      <w:proofErr w:type="gramEnd"/>
      <w:r w:rsidRPr="00151FD2">
        <w:rPr>
          <w:rStyle w:val="StyleUnderline"/>
          <w:b w:val="0"/>
          <w:szCs w:val="22"/>
          <w:u w:val="none"/>
        </w:rPr>
        <w:t xml:space="preserve"> 30 (2012): 59.</w:t>
      </w:r>
      <w:r>
        <w:rPr>
          <w:rStyle w:val="StyleUnderline"/>
          <w:b w:val="0"/>
          <w:szCs w:val="22"/>
          <w:u w:val="none"/>
        </w:rPr>
        <w:t>)</w:t>
      </w:r>
      <w:bookmarkStart w:id="0" w:name="_GoBack"/>
      <w:bookmarkEnd w:id="0"/>
    </w:p>
    <w:p w14:paraId="4B947BE6" w14:textId="77777777" w:rsidR="00151FD2" w:rsidRPr="00151FD2" w:rsidRDefault="00151FD2" w:rsidP="00151FD2">
      <w:pPr>
        <w:rPr>
          <w:rStyle w:val="StyleUnderline"/>
          <w:b w:val="0"/>
          <w:u w:val="none"/>
        </w:rPr>
      </w:pPr>
      <w:r w:rsidRPr="00151FD2">
        <w:rPr>
          <w:rStyle w:val="StyleUnderline"/>
          <w:b w:val="0"/>
          <w:u w:val="none"/>
        </w:rPr>
        <w:t xml:space="preserve">In this article, </w:t>
      </w:r>
      <w:r w:rsidRPr="00151FD2">
        <w:rPr>
          <w:rStyle w:val="StyleUnderline"/>
          <w:b w:val="0"/>
        </w:rPr>
        <w:t>my aim is to consider the use of law as a political strategy of rupture in colonial and post-colonial nation states. The question of whether and how to use law in order to transform and potentially shatter an existing political-legal order is one that continues to plague legal advocates</w:t>
      </w:r>
      <w:r w:rsidRPr="00151FD2">
        <w:rPr>
          <w:rStyle w:val="StyleUnderline"/>
          <w:b w:val="0"/>
          <w:u w:val="none"/>
        </w:rPr>
        <w:t xml:space="preserve"> in a variety of places, from Australia, to India, to Canada to Israel/Palestine. For example, </w:t>
      </w:r>
      <w:r w:rsidRPr="00151FD2">
        <w:rPr>
          <w:rStyle w:val="StyleUnderline"/>
          <w:b w:val="0"/>
        </w:rPr>
        <w:t>the struggle for the recognition of indigenous rights in the context of colonial settler regimes has often produced pyrrhic victories</w:t>
      </w:r>
      <w:r w:rsidRPr="00151FD2">
        <w:rPr>
          <w:rStyle w:val="StyleUnderline"/>
          <w:b w:val="0"/>
          <w:u w:val="none"/>
        </w:rPr>
        <w:t xml:space="preserve">.21 The question of indigenous sovereignty is ultimately quashed, and aboriginal rights are paradoxically </w:t>
      </w:r>
      <w:proofErr w:type="spellStart"/>
      <w:r w:rsidRPr="00151FD2">
        <w:rPr>
          <w:rStyle w:val="StyleUnderline"/>
          <w:b w:val="0"/>
          <w:u w:val="none"/>
        </w:rPr>
        <w:t>recognised</w:t>
      </w:r>
      <w:proofErr w:type="spellEnd"/>
      <w:r w:rsidRPr="00151FD2">
        <w:rPr>
          <w:rStyle w:val="StyleUnderline"/>
          <w:b w:val="0"/>
          <w:u w:val="none"/>
        </w:rPr>
        <w:t xml:space="preserve">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sidRPr="00151FD2">
        <w:rPr>
          <w:rStyle w:val="StyleUnderline"/>
          <w:b w:val="0"/>
        </w:rPr>
        <w:t xml:space="preserve">how does one </w:t>
      </w:r>
      <w:proofErr w:type="spellStart"/>
      <w:r w:rsidRPr="00151FD2">
        <w:rPr>
          <w:rStyle w:val="StyleUnderline"/>
          <w:b w:val="0"/>
        </w:rPr>
        <w:t>utilise</w:t>
      </w:r>
      <w:proofErr w:type="spellEnd"/>
      <w:r w:rsidRPr="00151FD2">
        <w:rPr>
          <w:rStyle w:val="StyleUnderline"/>
          <w:b w:val="0"/>
        </w:rPr>
        <w:t xml:space="preserve"> the law without re-inscribing the very colonial legal order that one is attempting to break down</w:t>
      </w:r>
      <w:r w:rsidRPr="00151FD2">
        <w:rPr>
          <w:rStyle w:val="StyleUnderline"/>
          <w:b w:val="0"/>
          <w:u w:val="none"/>
        </w:rPr>
        <w:t xml:space="preserve">?23 I argue that this is an inescapable dilemma; as critical race theorists and indigenous scholars have shown, </w:t>
      </w:r>
      <w:r w:rsidRPr="00151FD2">
        <w:rPr>
          <w:rStyle w:val="StyleUnderline"/>
          <w:b w:val="0"/>
        </w:rPr>
        <w:t>to not avail ourselves of the law in an effort to ameliorate social ills, and to promote and protect the rights of oppressed minorities is to essentially abrogate one’s political responsibilities</w:t>
      </w:r>
      <w:r w:rsidRPr="00151FD2">
        <w:rPr>
          <w:rStyle w:val="StyleUnderline"/>
          <w:b w:val="0"/>
          <w:u w:val="none"/>
        </w:rPr>
        <w:t xml:space="preserve">. Moreover, </w:t>
      </w:r>
      <w:r w:rsidRPr="00151FD2">
        <w:rPr>
          <w:rStyle w:val="StyleUnderline"/>
          <w:b w:val="0"/>
        </w:rPr>
        <w:t>the reality of political struggle (particularly of the anti-colonial variety) is that it is of a diffuse and varied nature, engaging multiple different tactics in order to achieve its ends</w:t>
      </w:r>
      <w:r w:rsidRPr="00151FD2">
        <w:rPr>
          <w:rStyle w:val="StyleUnderline"/>
          <w:b w:val="0"/>
          <w:u w:val="none"/>
        </w:rPr>
        <w:t xml:space="preserve">. The notion of the </w:t>
      </w:r>
      <w:proofErr w:type="spellStart"/>
      <w:r w:rsidRPr="00151FD2">
        <w:rPr>
          <w:rStyle w:val="StyleUnderline"/>
          <w:b w:val="0"/>
          <w:u w:val="none"/>
        </w:rPr>
        <w:t>ruptural</w:t>
      </w:r>
      <w:proofErr w:type="spellEnd"/>
      <w:r w:rsidRPr="00151FD2">
        <w:rPr>
          <w:rStyle w:val="StyleUnderline"/>
          <w:b w:val="0"/>
          <w:u w:val="none"/>
        </w:rPr>
        <w:t xml:space="preserve"> </w:t>
      </w:r>
      <w:proofErr w:type="spellStart"/>
      <w:r w:rsidRPr="00151FD2">
        <w:rPr>
          <w:rStyle w:val="StyleUnderline"/>
          <w:b w:val="0"/>
          <w:u w:val="none"/>
        </w:rPr>
        <w:t>defence</w:t>
      </w:r>
      <w:proofErr w:type="spellEnd"/>
      <w:r w:rsidRPr="00151FD2">
        <w:rPr>
          <w:rStyle w:val="StyleUnderline"/>
          <w:b w:val="0"/>
          <w:u w:val="none"/>
        </w:rPr>
        <w:t xml:space="preserve"> emerges from the work of Jacques </w:t>
      </w:r>
      <w:proofErr w:type="spellStart"/>
      <w:r w:rsidRPr="00151FD2">
        <w:rPr>
          <w:rStyle w:val="StyleUnderline"/>
          <w:b w:val="0"/>
          <w:u w:val="none"/>
        </w:rPr>
        <w:t>Vergès</w:t>
      </w:r>
      <w:proofErr w:type="spellEnd"/>
      <w:r w:rsidRPr="00151FD2">
        <w:rPr>
          <w:rStyle w:val="StyleUnderline"/>
          <w:b w:val="0"/>
          <w:u w:val="none"/>
        </w:rPr>
        <w:t xml:space="preserve">, a French advocate and subject of a film by Barbet Schroder entitled Terror’s Advocate. The film is as much a portrait of </w:t>
      </w:r>
      <w:proofErr w:type="spellStart"/>
      <w:r w:rsidRPr="00151FD2">
        <w:rPr>
          <w:rStyle w:val="StyleUnderline"/>
          <w:b w:val="0"/>
          <w:u w:val="none"/>
        </w:rPr>
        <w:t>Vergès</w:t>
      </w:r>
      <w:proofErr w:type="spellEnd"/>
      <w:r w:rsidRPr="00151FD2">
        <w:rPr>
          <w:rStyle w:val="StyleUnderline"/>
          <w:b w:val="0"/>
          <w:u w:val="none"/>
        </w:rPr>
        <w:t xml:space="preserve">’ life as it is a series of vignettes of armed anti-colonial and anti-imperial struggle during the decades between the late 1940s and the 1980s. I should say at the beginning that I do not perceive </w:t>
      </w:r>
      <w:proofErr w:type="spellStart"/>
      <w:r w:rsidRPr="00151FD2">
        <w:rPr>
          <w:rStyle w:val="StyleUnderline"/>
          <w:b w:val="0"/>
          <w:u w:val="none"/>
        </w:rPr>
        <w:t>Vergès</w:t>
      </w:r>
      <w:proofErr w:type="spellEnd"/>
      <w:r w:rsidRPr="00151FD2">
        <w:rPr>
          <w:rStyle w:val="StyleUnderline"/>
          <w:b w:val="0"/>
          <w:u w:val="none"/>
        </w:rPr>
        <w:t xml:space="preserve"> as a heroic figure or defender of the oppressed; we can see from his later decisions to defend Klaus Barbie, for instance, that his desire to reveal the violence wrought by European imperial powers was pursued at any cost. But in tracing the development of what </w:t>
      </w:r>
      <w:proofErr w:type="spellStart"/>
      <w:r w:rsidRPr="00151FD2">
        <w:rPr>
          <w:rStyle w:val="StyleUnderline"/>
          <w:b w:val="0"/>
          <w:u w:val="none"/>
        </w:rPr>
        <w:t>Vergès</w:t>
      </w:r>
      <w:proofErr w:type="spellEnd"/>
      <w:r w:rsidRPr="00151FD2">
        <w:rPr>
          <w:rStyle w:val="StyleUnderline"/>
          <w:b w:val="0"/>
          <w:u w:val="none"/>
        </w:rPr>
        <w:t xml:space="preserve"> called the </w:t>
      </w:r>
      <w:proofErr w:type="spellStart"/>
      <w:r w:rsidRPr="00151FD2">
        <w:rPr>
          <w:rStyle w:val="StyleUnderline"/>
          <w:b w:val="0"/>
          <w:u w:val="none"/>
        </w:rPr>
        <w:t>ruptural</w:t>
      </w:r>
      <w:proofErr w:type="spellEnd"/>
      <w:r w:rsidRPr="00151FD2">
        <w:rPr>
          <w:rStyle w:val="StyleUnderline"/>
          <w:b w:val="0"/>
          <w:u w:val="none"/>
        </w:rPr>
        <w:t xml:space="preserve"> </w:t>
      </w:r>
      <w:proofErr w:type="spellStart"/>
      <w:r w:rsidRPr="00151FD2">
        <w:rPr>
          <w:rStyle w:val="StyleUnderline"/>
          <w:b w:val="0"/>
          <w:u w:val="none"/>
        </w:rPr>
        <w:t>defence</w:t>
      </w:r>
      <w:proofErr w:type="spellEnd"/>
      <w:r w:rsidRPr="00151FD2">
        <w:rPr>
          <w:rStyle w:val="StyleUnderline"/>
          <w:b w:val="0"/>
          <w:u w:val="none"/>
        </w:rPr>
        <w:t xml:space="preserve">, the film takes us to the heart of the inescapable paradoxes and contradictions involved in using law as a means of political resistance in colonial and postcolonial contexts. I want to explore the strategy of rupture as developed by </w:t>
      </w:r>
      <w:proofErr w:type="spellStart"/>
      <w:r w:rsidRPr="00151FD2">
        <w:rPr>
          <w:rStyle w:val="StyleUnderline"/>
          <w:b w:val="0"/>
          <w:u w:val="none"/>
        </w:rPr>
        <w:t>Vergès</w:t>
      </w:r>
      <w:proofErr w:type="spellEnd"/>
      <w:r w:rsidRPr="00151FD2">
        <w:rPr>
          <w:rStyle w:val="StyleUnderline"/>
          <w:b w:val="0"/>
          <w:u w:val="none"/>
        </w:rPr>
        <w:t xml:space="preserve"> but also in a broader sense, to consider whether there is in this </w:t>
      </w:r>
      <w:proofErr w:type="spellStart"/>
      <w:r w:rsidRPr="00151FD2">
        <w:rPr>
          <w:rStyle w:val="StyleUnderline"/>
          <w:b w:val="0"/>
          <w:u w:val="none"/>
        </w:rPr>
        <w:t>defence</w:t>
      </w:r>
      <w:proofErr w:type="spellEnd"/>
      <w:r w:rsidRPr="00151FD2">
        <w:rPr>
          <w:rStyle w:val="StyleUnderline"/>
          <w:b w:val="0"/>
          <w:u w:val="none"/>
        </w:rPr>
        <w:t xml:space="preserve"> strategy that arose in colonial, criminal law contexts, something that is </w:t>
      </w:r>
      <w:proofErr w:type="spellStart"/>
      <w:r w:rsidRPr="00151FD2">
        <w:rPr>
          <w:rStyle w:val="StyleUnderline"/>
          <w:b w:val="0"/>
          <w:u w:val="none"/>
        </w:rPr>
        <w:t>generalisable</w:t>
      </w:r>
      <w:proofErr w:type="spellEnd"/>
      <w:r w:rsidRPr="00151FD2">
        <w:rPr>
          <w:rStyle w:val="StyleUnderline"/>
          <w:b w:val="0"/>
          <w:u w:val="none"/>
        </w:rPr>
        <w:t>, something that can be drawn out to form a notion of legal rupture more generally.</w:t>
      </w:r>
    </w:p>
    <w:p w14:paraId="12443BA6" w14:textId="77777777" w:rsidR="00D9733A" w:rsidRPr="00D9733A" w:rsidRDefault="00D9733A" w:rsidP="00D9733A"/>
    <w:p w14:paraId="7C7B07CE" w14:textId="77777777" w:rsidR="00D9733A" w:rsidRPr="00D9733A" w:rsidRDefault="00D9733A" w:rsidP="00D9733A"/>
    <w:sectPr w:rsidR="00D9733A" w:rsidRPr="00D9733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42F1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0C8F"/>
    <w:rsid w:val="00151FD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1A59"/>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7C34"/>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4280"/>
    <w:rsid w:val="006E6D0B"/>
    <w:rsid w:val="006F126E"/>
    <w:rsid w:val="006F32C9"/>
    <w:rsid w:val="006F3834"/>
    <w:rsid w:val="006F5693"/>
    <w:rsid w:val="006F5D4C"/>
    <w:rsid w:val="00717B01"/>
    <w:rsid w:val="007227D9"/>
    <w:rsid w:val="0072491F"/>
    <w:rsid w:val="00725598"/>
    <w:rsid w:val="007374A1"/>
    <w:rsid w:val="00742F18"/>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24"/>
    <w:rsid w:val="008C0FA2"/>
    <w:rsid w:val="008C2342"/>
    <w:rsid w:val="008C77B6"/>
    <w:rsid w:val="008D1B91"/>
    <w:rsid w:val="008D6192"/>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2A21"/>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C1D"/>
    <w:rsid w:val="00B3569C"/>
    <w:rsid w:val="00B43676"/>
    <w:rsid w:val="00B5602D"/>
    <w:rsid w:val="00B60125"/>
    <w:rsid w:val="00B6656B"/>
    <w:rsid w:val="00B71625"/>
    <w:rsid w:val="00B75C54"/>
    <w:rsid w:val="00B8710E"/>
    <w:rsid w:val="00B92A93"/>
    <w:rsid w:val="00BA17A8"/>
    <w:rsid w:val="00BA3C33"/>
    <w:rsid w:val="00BA7BED"/>
    <w:rsid w:val="00BB0878"/>
    <w:rsid w:val="00BB1879"/>
    <w:rsid w:val="00BC0ABE"/>
    <w:rsid w:val="00BC25DA"/>
    <w:rsid w:val="00BC30DB"/>
    <w:rsid w:val="00BC6380"/>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99B"/>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868"/>
    <w:rsid w:val="00D53072"/>
    <w:rsid w:val="00D61A4E"/>
    <w:rsid w:val="00D634EA"/>
    <w:rsid w:val="00D713A1"/>
    <w:rsid w:val="00D77956"/>
    <w:rsid w:val="00D80F0C"/>
    <w:rsid w:val="00D92077"/>
    <w:rsid w:val="00D951E2"/>
    <w:rsid w:val="00D9565A"/>
    <w:rsid w:val="00D9733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260D"/>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FEC715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E428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E42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E428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E428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E428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E428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E428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E428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E4280"/>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E4280"/>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6E4280"/>
    <w:rPr>
      <w:b/>
      <w:sz w:val="22"/>
      <w:u w:val="single"/>
    </w:rPr>
  </w:style>
  <w:style w:type="character" w:styleId="Emphasis">
    <w:name w:val="Emphasis"/>
    <w:basedOn w:val="DefaultParagraphFont"/>
    <w:uiPriority w:val="20"/>
    <w:qFormat/>
    <w:rsid w:val="006E4280"/>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6E4280"/>
    <w:rPr>
      <w:color w:val="auto"/>
      <w:u w:val="none"/>
    </w:rPr>
  </w:style>
  <w:style w:type="character" w:styleId="Hyperlink">
    <w:name w:val="Hyperlink"/>
    <w:basedOn w:val="DefaultParagraphFont"/>
    <w:uiPriority w:val="99"/>
    <w:semiHidden/>
    <w:unhideWhenUsed/>
    <w:rsid w:val="006E4280"/>
    <w:rPr>
      <w:color w:val="auto"/>
      <w:u w:val="none"/>
    </w:rPr>
  </w:style>
  <w:style w:type="paragraph" w:styleId="DocumentMap">
    <w:name w:val="Document Map"/>
    <w:basedOn w:val="Normal"/>
    <w:link w:val="DocumentMapChar"/>
    <w:uiPriority w:val="99"/>
    <w:semiHidden/>
    <w:unhideWhenUsed/>
    <w:rsid w:val="006E42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E4280"/>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E428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E42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E428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E428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E428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E428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E428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E428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E4280"/>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E4280"/>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6E4280"/>
    <w:rPr>
      <w:b/>
      <w:sz w:val="22"/>
      <w:u w:val="single"/>
    </w:rPr>
  </w:style>
  <w:style w:type="character" w:styleId="Emphasis">
    <w:name w:val="Emphasis"/>
    <w:basedOn w:val="DefaultParagraphFont"/>
    <w:uiPriority w:val="20"/>
    <w:qFormat/>
    <w:rsid w:val="006E4280"/>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6E4280"/>
    <w:rPr>
      <w:color w:val="auto"/>
      <w:u w:val="none"/>
    </w:rPr>
  </w:style>
  <w:style w:type="character" w:styleId="Hyperlink">
    <w:name w:val="Hyperlink"/>
    <w:basedOn w:val="DefaultParagraphFont"/>
    <w:uiPriority w:val="99"/>
    <w:semiHidden/>
    <w:unhideWhenUsed/>
    <w:rsid w:val="006E4280"/>
    <w:rPr>
      <w:color w:val="auto"/>
      <w:u w:val="none"/>
    </w:rPr>
  </w:style>
  <w:style w:type="paragraph" w:styleId="DocumentMap">
    <w:name w:val="Document Map"/>
    <w:basedOn w:val="Normal"/>
    <w:link w:val="DocumentMapChar"/>
    <w:uiPriority w:val="99"/>
    <w:semiHidden/>
    <w:unhideWhenUsed/>
    <w:rsid w:val="006E42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E428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huyn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1588D8B-103B-314D-91F4-72052F37F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Pages>
  <Words>3647</Words>
  <Characters>20788</Characters>
  <Application>Microsoft Macintosh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24387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Annie</cp:lastModifiedBy>
  <cp:revision>10</cp:revision>
  <dcterms:created xsi:type="dcterms:W3CDTF">2017-07-15T23:26:00Z</dcterms:created>
  <dcterms:modified xsi:type="dcterms:W3CDTF">2017-07-26T00:30:00Z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