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D1B69" w:rsidRDefault="008D1B69" w:rsidP="008D1B69">
      <w:pPr>
        <w:pStyle w:val="Heading1"/>
      </w:pPr>
      <w:bookmarkStart w:id="0" w:name="_Toc489138898"/>
      <w:r>
        <w:t>UTNIF 17 – Queer Delinquents</w:t>
      </w:r>
      <w:r w:rsidR="008A75C1">
        <w:t xml:space="preserve"> K</w:t>
      </w:r>
      <w:bookmarkEnd w:id="0"/>
      <w:r>
        <w:t xml:space="preserve"> </w:t>
      </w:r>
    </w:p>
    <w:p w:rsidR="005A160F" w:rsidRDefault="005A160F" w:rsidP="00A02F27">
      <w:r>
        <w:t>Brought to you by:</w:t>
      </w:r>
    </w:p>
    <w:p w:rsidR="00A02F27" w:rsidRDefault="005A160F" w:rsidP="00A02F27">
      <w:r>
        <w:t>Caroline, Abby, Jason, Ethan, Mark, Gabby, Dain, Carl, Caleb, Sarah, Rachael, John Henry, Journey, Blake, Jordan, Alex</w:t>
      </w:r>
    </w:p>
    <w:p w:rsidR="005A160F" w:rsidRDefault="005A160F" w:rsidP="00A02F27">
      <w:r>
        <w:t>Feat: Nic, Cristal, Shaneal &amp; Amrut</w:t>
      </w:r>
    </w:p>
    <w:p w:rsidR="009E3486" w:rsidRDefault="009E3486" w:rsidP="00A02F27"/>
    <w:p w:rsidR="009E3486" w:rsidRDefault="009E3486">
      <w:pPr>
        <w:pStyle w:val="TOC1"/>
        <w:tabs>
          <w:tab w:val="right" w:leader="dot" w:pos="9350"/>
        </w:tabs>
        <w:rPr>
          <w:noProof/>
        </w:rPr>
      </w:pPr>
      <w:r>
        <w:fldChar w:fldCharType="begin"/>
      </w:r>
      <w:r>
        <w:instrText xml:space="preserve"> TOC \o "1-3" \h \z \u </w:instrText>
      </w:r>
      <w:r>
        <w:fldChar w:fldCharType="separate"/>
      </w:r>
      <w:hyperlink w:anchor="_Toc489138898" w:history="1">
        <w:r w:rsidRPr="00B825DB">
          <w:rPr>
            <w:rStyle w:val="Hyperlink"/>
            <w:noProof/>
          </w:rPr>
          <w:t>UTNIF 17 – Queer Delinquents K</w:t>
        </w:r>
        <w:r>
          <w:rPr>
            <w:noProof/>
            <w:webHidden/>
          </w:rPr>
          <w:tab/>
        </w:r>
        <w:r>
          <w:rPr>
            <w:noProof/>
            <w:webHidden/>
          </w:rPr>
          <w:fldChar w:fldCharType="begin"/>
        </w:r>
        <w:r>
          <w:rPr>
            <w:noProof/>
            <w:webHidden/>
          </w:rPr>
          <w:instrText xml:space="preserve"> PAGEREF _Toc489138898 \h </w:instrText>
        </w:r>
        <w:r>
          <w:rPr>
            <w:noProof/>
            <w:webHidden/>
          </w:rPr>
        </w:r>
        <w:r>
          <w:rPr>
            <w:noProof/>
            <w:webHidden/>
          </w:rPr>
          <w:fldChar w:fldCharType="separate"/>
        </w:r>
        <w:r>
          <w:rPr>
            <w:noProof/>
            <w:webHidden/>
          </w:rPr>
          <w:t>1</w:t>
        </w:r>
        <w:r>
          <w:rPr>
            <w:noProof/>
            <w:webHidden/>
          </w:rPr>
          <w:fldChar w:fldCharType="end"/>
        </w:r>
      </w:hyperlink>
    </w:p>
    <w:p w:rsidR="009E3486" w:rsidRDefault="009E3486">
      <w:pPr>
        <w:pStyle w:val="TOC1"/>
        <w:tabs>
          <w:tab w:val="right" w:leader="dot" w:pos="9350"/>
        </w:tabs>
        <w:rPr>
          <w:noProof/>
        </w:rPr>
      </w:pPr>
      <w:hyperlink w:anchor="_Toc489138899" w:history="1">
        <w:r w:rsidRPr="00B825DB">
          <w:rPr>
            <w:rStyle w:val="Hyperlink"/>
            <w:noProof/>
          </w:rPr>
          <w:t>Reproductive Futurism</w:t>
        </w:r>
        <w:r>
          <w:rPr>
            <w:noProof/>
            <w:webHidden/>
          </w:rPr>
          <w:tab/>
        </w:r>
        <w:r>
          <w:rPr>
            <w:noProof/>
            <w:webHidden/>
          </w:rPr>
          <w:fldChar w:fldCharType="begin"/>
        </w:r>
        <w:r>
          <w:rPr>
            <w:noProof/>
            <w:webHidden/>
          </w:rPr>
          <w:instrText xml:space="preserve"> PAGEREF _Toc489138899 \h </w:instrText>
        </w:r>
        <w:r>
          <w:rPr>
            <w:noProof/>
            <w:webHidden/>
          </w:rPr>
        </w:r>
        <w:r>
          <w:rPr>
            <w:noProof/>
            <w:webHidden/>
          </w:rPr>
          <w:fldChar w:fldCharType="separate"/>
        </w:r>
        <w:r>
          <w:rPr>
            <w:noProof/>
            <w:webHidden/>
          </w:rPr>
          <w:t>5</w:t>
        </w:r>
        <w:r>
          <w:rPr>
            <w:noProof/>
            <w:webHidden/>
          </w:rPr>
          <w:fldChar w:fldCharType="end"/>
        </w:r>
      </w:hyperlink>
    </w:p>
    <w:p w:rsidR="009E3486" w:rsidRDefault="009E3486">
      <w:pPr>
        <w:pStyle w:val="TOC2"/>
        <w:tabs>
          <w:tab w:val="right" w:leader="dot" w:pos="9350"/>
        </w:tabs>
        <w:rPr>
          <w:noProof/>
        </w:rPr>
      </w:pPr>
      <w:hyperlink w:anchor="_Toc489138900" w:history="1">
        <w:r w:rsidRPr="00B825DB">
          <w:rPr>
            <w:rStyle w:val="Hyperlink"/>
            <w:noProof/>
          </w:rPr>
          <w:t>1NCs</w:t>
        </w:r>
        <w:r>
          <w:rPr>
            <w:noProof/>
            <w:webHidden/>
          </w:rPr>
          <w:tab/>
        </w:r>
        <w:r>
          <w:rPr>
            <w:noProof/>
            <w:webHidden/>
          </w:rPr>
          <w:fldChar w:fldCharType="begin"/>
        </w:r>
        <w:r>
          <w:rPr>
            <w:noProof/>
            <w:webHidden/>
          </w:rPr>
          <w:instrText xml:space="preserve"> PAGEREF _Toc489138900 \h </w:instrText>
        </w:r>
        <w:r>
          <w:rPr>
            <w:noProof/>
            <w:webHidden/>
          </w:rPr>
        </w:r>
        <w:r>
          <w:rPr>
            <w:noProof/>
            <w:webHidden/>
          </w:rPr>
          <w:fldChar w:fldCharType="separate"/>
        </w:r>
        <w:r>
          <w:rPr>
            <w:noProof/>
            <w:webHidden/>
          </w:rPr>
          <w:t>6</w:t>
        </w:r>
        <w:r>
          <w:rPr>
            <w:noProof/>
            <w:webHidden/>
          </w:rPr>
          <w:fldChar w:fldCharType="end"/>
        </w:r>
      </w:hyperlink>
    </w:p>
    <w:p w:rsidR="009E3486" w:rsidRDefault="009E3486">
      <w:pPr>
        <w:pStyle w:val="TOC3"/>
        <w:tabs>
          <w:tab w:val="right" w:leader="dot" w:pos="9350"/>
        </w:tabs>
        <w:rPr>
          <w:noProof/>
        </w:rPr>
      </w:pPr>
      <w:hyperlink w:anchor="_Toc489138901" w:history="1">
        <w:r w:rsidRPr="00B825DB">
          <w:rPr>
            <w:rStyle w:val="Hyperlink"/>
            <w:noProof/>
          </w:rPr>
          <w:t>***Reproductive Futurism 1NCs***</w:t>
        </w:r>
        <w:r>
          <w:rPr>
            <w:noProof/>
            <w:webHidden/>
          </w:rPr>
          <w:tab/>
        </w:r>
        <w:r>
          <w:rPr>
            <w:noProof/>
            <w:webHidden/>
          </w:rPr>
          <w:fldChar w:fldCharType="begin"/>
        </w:r>
        <w:r>
          <w:rPr>
            <w:noProof/>
            <w:webHidden/>
          </w:rPr>
          <w:instrText xml:space="preserve"> PAGEREF _Toc489138901 \h </w:instrText>
        </w:r>
        <w:r>
          <w:rPr>
            <w:noProof/>
            <w:webHidden/>
          </w:rPr>
        </w:r>
        <w:r>
          <w:rPr>
            <w:noProof/>
            <w:webHidden/>
          </w:rPr>
          <w:fldChar w:fldCharType="separate"/>
        </w:r>
        <w:r>
          <w:rPr>
            <w:noProof/>
            <w:webHidden/>
          </w:rPr>
          <w:t>7</w:t>
        </w:r>
        <w:r>
          <w:rPr>
            <w:noProof/>
            <w:webHidden/>
          </w:rPr>
          <w:fldChar w:fldCharType="end"/>
        </w:r>
      </w:hyperlink>
    </w:p>
    <w:p w:rsidR="009E3486" w:rsidRDefault="009E3486">
      <w:pPr>
        <w:pStyle w:val="TOC3"/>
        <w:tabs>
          <w:tab w:val="right" w:leader="dot" w:pos="9350"/>
        </w:tabs>
        <w:rPr>
          <w:noProof/>
        </w:rPr>
      </w:pPr>
      <w:hyperlink w:anchor="_Toc489138902" w:history="1">
        <w:r w:rsidRPr="00B825DB">
          <w:rPr>
            <w:rStyle w:val="Hyperlink"/>
            <w:noProof/>
          </w:rPr>
          <w:t>1NC: Generic</w:t>
        </w:r>
        <w:r>
          <w:rPr>
            <w:noProof/>
            <w:webHidden/>
          </w:rPr>
          <w:tab/>
        </w:r>
        <w:r>
          <w:rPr>
            <w:noProof/>
            <w:webHidden/>
          </w:rPr>
          <w:fldChar w:fldCharType="begin"/>
        </w:r>
        <w:r>
          <w:rPr>
            <w:noProof/>
            <w:webHidden/>
          </w:rPr>
          <w:instrText xml:space="preserve"> PAGEREF _Toc489138902 \h </w:instrText>
        </w:r>
        <w:r>
          <w:rPr>
            <w:noProof/>
            <w:webHidden/>
          </w:rPr>
        </w:r>
        <w:r>
          <w:rPr>
            <w:noProof/>
            <w:webHidden/>
          </w:rPr>
          <w:fldChar w:fldCharType="separate"/>
        </w:r>
        <w:r>
          <w:rPr>
            <w:noProof/>
            <w:webHidden/>
          </w:rPr>
          <w:t>8</w:t>
        </w:r>
        <w:r>
          <w:rPr>
            <w:noProof/>
            <w:webHidden/>
          </w:rPr>
          <w:fldChar w:fldCharType="end"/>
        </w:r>
      </w:hyperlink>
    </w:p>
    <w:p w:rsidR="009E3486" w:rsidRDefault="009E3486">
      <w:pPr>
        <w:pStyle w:val="TOC3"/>
        <w:tabs>
          <w:tab w:val="right" w:leader="dot" w:pos="9350"/>
        </w:tabs>
        <w:rPr>
          <w:noProof/>
        </w:rPr>
      </w:pPr>
      <w:hyperlink w:anchor="_Toc489138903" w:history="1">
        <w:r w:rsidRPr="00B825DB">
          <w:rPr>
            <w:rStyle w:val="Hyperlink"/>
            <w:noProof/>
          </w:rPr>
          <w:t>1NC: Computer Science</w:t>
        </w:r>
        <w:r>
          <w:rPr>
            <w:noProof/>
            <w:webHidden/>
          </w:rPr>
          <w:tab/>
        </w:r>
        <w:r>
          <w:rPr>
            <w:noProof/>
            <w:webHidden/>
          </w:rPr>
          <w:fldChar w:fldCharType="begin"/>
        </w:r>
        <w:r>
          <w:rPr>
            <w:noProof/>
            <w:webHidden/>
          </w:rPr>
          <w:instrText xml:space="preserve"> PAGEREF _Toc489138903 \h </w:instrText>
        </w:r>
        <w:r>
          <w:rPr>
            <w:noProof/>
            <w:webHidden/>
          </w:rPr>
        </w:r>
        <w:r>
          <w:rPr>
            <w:noProof/>
            <w:webHidden/>
          </w:rPr>
          <w:fldChar w:fldCharType="separate"/>
        </w:r>
        <w:r>
          <w:rPr>
            <w:noProof/>
            <w:webHidden/>
          </w:rPr>
          <w:t>17</w:t>
        </w:r>
        <w:r>
          <w:rPr>
            <w:noProof/>
            <w:webHidden/>
          </w:rPr>
          <w:fldChar w:fldCharType="end"/>
        </w:r>
      </w:hyperlink>
    </w:p>
    <w:p w:rsidR="009E3486" w:rsidRDefault="009E3486">
      <w:pPr>
        <w:pStyle w:val="TOC3"/>
        <w:tabs>
          <w:tab w:val="right" w:leader="dot" w:pos="9350"/>
        </w:tabs>
        <w:rPr>
          <w:noProof/>
        </w:rPr>
      </w:pPr>
      <w:hyperlink w:anchor="_Toc489138904" w:history="1">
        <w:r w:rsidRPr="00B825DB">
          <w:rPr>
            <w:rStyle w:val="Hyperlink"/>
            <w:noProof/>
          </w:rPr>
          <w:t>1NC: Sex Ed.</w:t>
        </w:r>
        <w:r>
          <w:rPr>
            <w:noProof/>
            <w:webHidden/>
          </w:rPr>
          <w:tab/>
        </w:r>
        <w:r>
          <w:rPr>
            <w:noProof/>
            <w:webHidden/>
          </w:rPr>
          <w:fldChar w:fldCharType="begin"/>
        </w:r>
        <w:r>
          <w:rPr>
            <w:noProof/>
            <w:webHidden/>
          </w:rPr>
          <w:instrText xml:space="preserve"> PAGEREF _Toc489138904 \h </w:instrText>
        </w:r>
        <w:r>
          <w:rPr>
            <w:noProof/>
            <w:webHidden/>
          </w:rPr>
        </w:r>
        <w:r>
          <w:rPr>
            <w:noProof/>
            <w:webHidden/>
          </w:rPr>
          <w:fldChar w:fldCharType="separate"/>
        </w:r>
        <w:r>
          <w:rPr>
            <w:noProof/>
            <w:webHidden/>
          </w:rPr>
          <w:t>29</w:t>
        </w:r>
        <w:r>
          <w:rPr>
            <w:noProof/>
            <w:webHidden/>
          </w:rPr>
          <w:fldChar w:fldCharType="end"/>
        </w:r>
      </w:hyperlink>
    </w:p>
    <w:p w:rsidR="009E3486" w:rsidRDefault="009E3486">
      <w:pPr>
        <w:pStyle w:val="TOC3"/>
        <w:tabs>
          <w:tab w:val="right" w:leader="dot" w:pos="9350"/>
        </w:tabs>
        <w:rPr>
          <w:noProof/>
        </w:rPr>
      </w:pPr>
      <w:hyperlink w:anchor="_Toc489138905" w:history="1">
        <w:r w:rsidRPr="00B825DB">
          <w:rPr>
            <w:rStyle w:val="Hyperlink"/>
            <w:noProof/>
          </w:rPr>
          <w:t>1NC: Studious Play</w:t>
        </w:r>
        <w:r>
          <w:rPr>
            <w:noProof/>
            <w:webHidden/>
          </w:rPr>
          <w:tab/>
        </w:r>
        <w:r>
          <w:rPr>
            <w:noProof/>
            <w:webHidden/>
          </w:rPr>
          <w:fldChar w:fldCharType="begin"/>
        </w:r>
        <w:r>
          <w:rPr>
            <w:noProof/>
            <w:webHidden/>
          </w:rPr>
          <w:instrText xml:space="preserve"> PAGEREF _Toc489138905 \h </w:instrText>
        </w:r>
        <w:r>
          <w:rPr>
            <w:noProof/>
            <w:webHidden/>
          </w:rPr>
        </w:r>
        <w:r>
          <w:rPr>
            <w:noProof/>
            <w:webHidden/>
          </w:rPr>
          <w:fldChar w:fldCharType="separate"/>
        </w:r>
        <w:r>
          <w:rPr>
            <w:noProof/>
            <w:webHidden/>
          </w:rPr>
          <w:t>44</w:t>
        </w:r>
        <w:r>
          <w:rPr>
            <w:noProof/>
            <w:webHidden/>
          </w:rPr>
          <w:fldChar w:fldCharType="end"/>
        </w:r>
      </w:hyperlink>
    </w:p>
    <w:p w:rsidR="009E3486" w:rsidRDefault="009E3486">
      <w:pPr>
        <w:pStyle w:val="TOC3"/>
        <w:tabs>
          <w:tab w:val="right" w:leader="dot" w:pos="9350"/>
        </w:tabs>
        <w:rPr>
          <w:noProof/>
        </w:rPr>
      </w:pPr>
      <w:hyperlink w:anchor="_Toc489138906" w:history="1">
        <w:r w:rsidRPr="00B825DB">
          <w:rPr>
            <w:rStyle w:val="Hyperlink"/>
            <w:noProof/>
          </w:rPr>
          <w:t>1NC: DeSchooling</w:t>
        </w:r>
        <w:r>
          <w:rPr>
            <w:noProof/>
            <w:webHidden/>
          </w:rPr>
          <w:tab/>
        </w:r>
        <w:r>
          <w:rPr>
            <w:noProof/>
            <w:webHidden/>
          </w:rPr>
          <w:fldChar w:fldCharType="begin"/>
        </w:r>
        <w:r>
          <w:rPr>
            <w:noProof/>
            <w:webHidden/>
          </w:rPr>
          <w:instrText xml:space="preserve"> PAGEREF _Toc489138906 \h </w:instrText>
        </w:r>
        <w:r>
          <w:rPr>
            <w:noProof/>
            <w:webHidden/>
          </w:rPr>
        </w:r>
        <w:r>
          <w:rPr>
            <w:noProof/>
            <w:webHidden/>
          </w:rPr>
          <w:fldChar w:fldCharType="separate"/>
        </w:r>
        <w:r>
          <w:rPr>
            <w:noProof/>
            <w:webHidden/>
          </w:rPr>
          <w:t>54</w:t>
        </w:r>
        <w:r>
          <w:rPr>
            <w:noProof/>
            <w:webHidden/>
          </w:rPr>
          <w:fldChar w:fldCharType="end"/>
        </w:r>
      </w:hyperlink>
    </w:p>
    <w:p w:rsidR="009E3486" w:rsidRDefault="009E3486">
      <w:pPr>
        <w:pStyle w:val="TOC3"/>
        <w:tabs>
          <w:tab w:val="right" w:leader="dot" w:pos="9350"/>
        </w:tabs>
        <w:rPr>
          <w:noProof/>
        </w:rPr>
      </w:pPr>
      <w:hyperlink w:anchor="_Toc489138907" w:history="1">
        <w:r w:rsidRPr="00B825DB">
          <w:rPr>
            <w:rStyle w:val="Hyperlink"/>
            <w:noProof/>
          </w:rPr>
          <w:t>1NC: Economies of Pedagogy</w:t>
        </w:r>
        <w:r>
          <w:rPr>
            <w:noProof/>
            <w:webHidden/>
          </w:rPr>
          <w:tab/>
        </w:r>
        <w:r>
          <w:rPr>
            <w:noProof/>
            <w:webHidden/>
          </w:rPr>
          <w:fldChar w:fldCharType="begin"/>
        </w:r>
        <w:r>
          <w:rPr>
            <w:noProof/>
            <w:webHidden/>
          </w:rPr>
          <w:instrText xml:space="preserve"> PAGEREF _Toc489138907 \h </w:instrText>
        </w:r>
        <w:r>
          <w:rPr>
            <w:noProof/>
            <w:webHidden/>
          </w:rPr>
        </w:r>
        <w:r>
          <w:rPr>
            <w:noProof/>
            <w:webHidden/>
          </w:rPr>
          <w:fldChar w:fldCharType="separate"/>
        </w:r>
        <w:r>
          <w:rPr>
            <w:noProof/>
            <w:webHidden/>
          </w:rPr>
          <w:t>63</w:t>
        </w:r>
        <w:r>
          <w:rPr>
            <w:noProof/>
            <w:webHidden/>
          </w:rPr>
          <w:fldChar w:fldCharType="end"/>
        </w:r>
      </w:hyperlink>
    </w:p>
    <w:p w:rsidR="009E3486" w:rsidRDefault="009E3486">
      <w:pPr>
        <w:pStyle w:val="TOC3"/>
        <w:tabs>
          <w:tab w:val="right" w:leader="dot" w:pos="9350"/>
        </w:tabs>
        <w:rPr>
          <w:noProof/>
        </w:rPr>
      </w:pPr>
      <w:hyperlink w:anchor="_Toc489138908" w:history="1">
        <w:r w:rsidRPr="00B825DB">
          <w:rPr>
            <w:rStyle w:val="Hyperlink"/>
            <w:noProof/>
          </w:rPr>
          <w:t>***Other 1NC Modules***</w:t>
        </w:r>
        <w:r>
          <w:rPr>
            <w:noProof/>
            <w:webHidden/>
          </w:rPr>
          <w:tab/>
        </w:r>
        <w:r>
          <w:rPr>
            <w:noProof/>
            <w:webHidden/>
          </w:rPr>
          <w:fldChar w:fldCharType="begin"/>
        </w:r>
        <w:r>
          <w:rPr>
            <w:noProof/>
            <w:webHidden/>
          </w:rPr>
          <w:instrText xml:space="preserve"> PAGEREF _Toc489138908 \h </w:instrText>
        </w:r>
        <w:r>
          <w:rPr>
            <w:noProof/>
            <w:webHidden/>
          </w:rPr>
        </w:r>
        <w:r>
          <w:rPr>
            <w:noProof/>
            <w:webHidden/>
          </w:rPr>
          <w:fldChar w:fldCharType="separate"/>
        </w:r>
        <w:r>
          <w:rPr>
            <w:noProof/>
            <w:webHidden/>
          </w:rPr>
          <w:t>73</w:t>
        </w:r>
        <w:r>
          <w:rPr>
            <w:noProof/>
            <w:webHidden/>
          </w:rPr>
          <w:fldChar w:fldCharType="end"/>
        </w:r>
      </w:hyperlink>
    </w:p>
    <w:p w:rsidR="009E3486" w:rsidRDefault="009E3486">
      <w:pPr>
        <w:pStyle w:val="TOC3"/>
        <w:tabs>
          <w:tab w:val="right" w:leader="dot" w:pos="9350"/>
        </w:tabs>
        <w:rPr>
          <w:noProof/>
        </w:rPr>
      </w:pPr>
      <w:hyperlink w:anchor="_Toc489138909" w:history="1">
        <w:r w:rsidRPr="00B825DB">
          <w:rPr>
            <w:rStyle w:val="Hyperlink"/>
            <w:noProof/>
          </w:rPr>
          <w:t>1NC: Biocapitalist Futurism</w:t>
        </w:r>
        <w:r>
          <w:rPr>
            <w:noProof/>
            <w:webHidden/>
          </w:rPr>
          <w:tab/>
        </w:r>
        <w:r>
          <w:rPr>
            <w:noProof/>
            <w:webHidden/>
          </w:rPr>
          <w:fldChar w:fldCharType="begin"/>
        </w:r>
        <w:r>
          <w:rPr>
            <w:noProof/>
            <w:webHidden/>
          </w:rPr>
          <w:instrText xml:space="preserve"> PAGEREF _Toc489138909 \h </w:instrText>
        </w:r>
        <w:r>
          <w:rPr>
            <w:noProof/>
            <w:webHidden/>
          </w:rPr>
        </w:r>
        <w:r>
          <w:rPr>
            <w:noProof/>
            <w:webHidden/>
          </w:rPr>
          <w:fldChar w:fldCharType="separate"/>
        </w:r>
        <w:r>
          <w:rPr>
            <w:noProof/>
            <w:webHidden/>
          </w:rPr>
          <w:t>74</w:t>
        </w:r>
        <w:r>
          <w:rPr>
            <w:noProof/>
            <w:webHidden/>
          </w:rPr>
          <w:fldChar w:fldCharType="end"/>
        </w:r>
      </w:hyperlink>
    </w:p>
    <w:p w:rsidR="009E3486" w:rsidRDefault="009E3486">
      <w:pPr>
        <w:pStyle w:val="TOC3"/>
        <w:tabs>
          <w:tab w:val="right" w:leader="dot" w:pos="9350"/>
        </w:tabs>
        <w:rPr>
          <w:noProof/>
        </w:rPr>
      </w:pPr>
      <w:hyperlink w:anchor="_Toc489138910" w:history="1">
        <w:r w:rsidRPr="00B825DB">
          <w:rPr>
            <w:rStyle w:val="Hyperlink"/>
            <w:noProof/>
          </w:rPr>
          <w:t>1NC: Queer Wipeout</w:t>
        </w:r>
        <w:r>
          <w:rPr>
            <w:noProof/>
            <w:webHidden/>
          </w:rPr>
          <w:tab/>
        </w:r>
        <w:r>
          <w:rPr>
            <w:noProof/>
            <w:webHidden/>
          </w:rPr>
          <w:fldChar w:fldCharType="begin"/>
        </w:r>
        <w:r>
          <w:rPr>
            <w:noProof/>
            <w:webHidden/>
          </w:rPr>
          <w:instrText xml:space="preserve"> PAGEREF _Toc489138910 \h </w:instrText>
        </w:r>
        <w:r>
          <w:rPr>
            <w:noProof/>
            <w:webHidden/>
          </w:rPr>
        </w:r>
        <w:r>
          <w:rPr>
            <w:noProof/>
            <w:webHidden/>
          </w:rPr>
          <w:fldChar w:fldCharType="separate"/>
        </w:r>
        <w:r>
          <w:rPr>
            <w:noProof/>
            <w:webHidden/>
          </w:rPr>
          <w:t>81</w:t>
        </w:r>
        <w:r>
          <w:rPr>
            <w:noProof/>
            <w:webHidden/>
          </w:rPr>
          <w:fldChar w:fldCharType="end"/>
        </w:r>
      </w:hyperlink>
    </w:p>
    <w:p w:rsidR="009E3486" w:rsidRDefault="009E3486">
      <w:pPr>
        <w:pStyle w:val="TOC2"/>
        <w:tabs>
          <w:tab w:val="right" w:leader="dot" w:pos="9350"/>
        </w:tabs>
        <w:rPr>
          <w:noProof/>
        </w:rPr>
      </w:pPr>
      <w:hyperlink w:anchor="_Toc489138911" w:history="1">
        <w:r w:rsidRPr="00B825DB">
          <w:rPr>
            <w:rStyle w:val="Hyperlink"/>
            <w:noProof/>
          </w:rPr>
          <w:t>2NCs</w:t>
        </w:r>
        <w:r>
          <w:rPr>
            <w:noProof/>
            <w:webHidden/>
          </w:rPr>
          <w:tab/>
        </w:r>
        <w:r>
          <w:rPr>
            <w:noProof/>
            <w:webHidden/>
          </w:rPr>
          <w:fldChar w:fldCharType="begin"/>
        </w:r>
        <w:r>
          <w:rPr>
            <w:noProof/>
            <w:webHidden/>
          </w:rPr>
          <w:instrText xml:space="preserve"> PAGEREF _Toc489138911 \h </w:instrText>
        </w:r>
        <w:r>
          <w:rPr>
            <w:noProof/>
            <w:webHidden/>
          </w:rPr>
        </w:r>
        <w:r>
          <w:rPr>
            <w:noProof/>
            <w:webHidden/>
          </w:rPr>
          <w:fldChar w:fldCharType="separate"/>
        </w:r>
        <w:r>
          <w:rPr>
            <w:noProof/>
            <w:webHidden/>
          </w:rPr>
          <w:t>87</w:t>
        </w:r>
        <w:r>
          <w:rPr>
            <w:noProof/>
            <w:webHidden/>
          </w:rPr>
          <w:fldChar w:fldCharType="end"/>
        </w:r>
      </w:hyperlink>
    </w:p>
    <w:p w:rsidR="009E3486" w:rsidRDefault="009E3486">
      <w:pPr>
        <w:pStyle w:val="TOC2"/>
        <w:tabs>
          <w:tab w:val="right" w:leader="dot" w:pos="9350"/>
        </w:tabs>
        <w:rPr>
          <w:noProof/>
        </w:rPr>
      </w:pPr>
      <w:hyperlink w:anchor="_Toc489138912" w:history="1">
        <w:r w:rsidRPr="00B825DB">
          <w:rPr>
            <w:rStyle w:val="Hyperlink"/>
            <w:noProof/>
          </w:rPr>
          <w:t>***Block Answers***</w:t>
        </w:r>
        <w:r>
          <w:rPr>
            <w:noProof/>
            <w:webHidden/>
          </w:rPr>
          <w:tab/>
        </w:r>
        <w:r>
          <w:rPr>
            <w:noProof/>
            <w:webHidden/>
          </w:rPr>
          <w:fldChar w:fldCharType="begin"/>
        </w:r>
        <w:r>
          <w:rPr>
            <w:noProof/>
            <w:webHidden/>
          </w:rPr>
          <w:instrText xml:space="preserve"> PAGEREF _Toc489138912 \h </w:instrText>
        </w:r>
        <w:r>
          <w:rPr>
            <w:noProof/>
            <w:webHidden/>
          </w:rPr>
        </w:r>
        <w:r>
          <w:rPr>
            <w:noProof/>
            <w:webHidden/>
          </w:rPr>
          <w:fldChar w:fldCharType="separate"/>
        </w:r>
        <w:r>
          <w:rPr>
            <w:noProof/>
            <w:webHidden/>
          </w:rPr>
          <w:t>88</w:t>
        </w:r>
        <w:r>
          <w:rPr>
            <w:noProof/>
            <w:webHidden/>
          </w:rPr>
          <w:fldChar w:fldCharType="end"/>
        </w:r>
      </w:hyperlink>
    </w:p>
    <w:p w:rsidR="009E3486" w:rsidRDefault="009E3486">
      <w:pPr>
        <w:pStyle w:val="TOC3"/>
        <w:tabs>
          <w:tab w:val="right" w:leader="dot" w:pos="9350"/>
        </w:tabs>
        <w:rPr>
          <w:noProof/>
        </w:rPr>
      </w:pPr>
      <w:hyperlink w:anchor="_Toc489138913" w:history="1">
        <w:r w:rsidRPr="00B825DB">
          <w:rPr>
            <w:rStyle w:val="Hyperlink"/>
            <w:noProof/>
          </w:rPr>
          <w:t>A2: Framework</w:t>
        </w:r>
        <w:r>
          <w:rPr>
            <w:noProof/>
            <w:webHidden/>
          </w:rPr>
          <w:tab/>
        </w:r>
        <w:r>
          <w:rPr>
            <w:noProof/>
            <w:webHidden/>
          </w:rPr>
          <w:fldChar w:fldCharType="begin"/>
        </w:r>
        <w:r>
          <w:rPr>
            <w:noProof/>
            <w:webHidden/>
          </w:rPr>
          <w:instrText xml:space="preserve"> PAGEREF _Toc489138913 \h </w:instrText>
        </w:r>
        <w:r>
          <w:rPr>
            <w:noProof/>
            <w:webHidden/>
          </w:rPr>
        </w:r>
        <w:r>
          <w:rPr>
            <w:noProof/>
            <w:webHidden/>
          </w:rPr>
          <w:fldChar w:fldCharType="separate"/>
        </w:r>
        <w:r>
          <w:rPr>
            <w:noProof/>
            <w:webHidden/>
          </w:rPr>
          <w:t>89</w:t>
        </w:r>
        <w:r>
          <w:rPr>
            <w:noProof/>
            <w:webHidden/>
          </w:rPr>
          <w:fldChar w:fldCharType="end"/>
        </w:r>
      </w:hyperlink>
    </w:p>
    <w:p w:rsidR="009E3486" w:rsidRDefault="009E3486">
      <w:pPr>
        <w:pStyle w:val="TOC3"/>
        <w:tabs>
          <w:tab w:val="right" w:leader="dot" w:pos="9350"/>
        </w:tabs>
        <w:rPr>
          <w:noProof/>
        </w:rPr>
      </w:pPr>
      <w:hyperlink w:anchor="_Toc489138914" w:history="1">
        <w:r w:rsidRPr="00B825DB">
          <w:rPr>
            <w:rStyle w:val="Hyperlink"/>
            <w:noProof/>
          </w:rPr>
          <w:t>A2: Perm</w:t>
        </w:r>
        <w:r>
          <w:rPr>
            <w:noProof/>
            <w:webHidden/>
          </w:rPr>
          <w:tab/>
        </w:r>
        <w:r>
          <w:rPr>
            <w:noProof/>
            <w:webHidden/>
          </w:rPr>
          <w:fldChar w:fldCharType="begin"/>
        </w:r>
        <w:r>
          <w:rPr>
            <w:noProof/>
            <w:webHidden/>
          </w:rPr>
          <w:instrText xml:space="preserve"> PAGEREF _Toc489138914 \h </w:instrText>
        </w:r>
        <w:r>
          <w:rPr>
            <w:noProof/>
            <w:webHidden/>
          </w:rPr>
        </w:r>
        <w:r>
          <w:rPr>
            <w:noProof/>
            <w:webHidden/>
          </w:rPr>
          <w:fldChar w:fldCharType="separate"/>
        </w:r>
        <w:r>
          <w:rPr>
            <w:noProof/>
            <w:webHidden/>
          </w:rPr>
          <w:t>91</w:t>
        </w:r>
        <w:r>
          <w:rPr>
            <w:noProof/>
            <w:webHidden/>
          </w:rPr>
          <w:fldChar w:fldCharType="end"/>
        </w:r>
      </w:hyperlink>
    </w:p>
    <w:p w:rsidR="009E3486" w:rsidRDefault="009E3486">
      <w:pPr>
        <w:pStyle w:val="TOC3"/>
        <w:tabs>
          <w:tab w:val="right" w:leader="dot" w:pos="9350"/>
        </w:tabs>
        <w:rPr>
          <w:noProof/>
        </w:rPr>
      </w:pPr>
      <w:hyperlink w:anchor="_Toc489138915" w:history="1">
        <w:r w:rsidRPr="00B825DB">
          <w:rPr>
            <w:rStyle w:val="Hyperlink"/>
            <w:noProof/>
          </w:rPr>
          <w:t>A2: Perm—Bareback Pedagogy</w:t>
        </w:r>
        <w:r>
          <w:rPr>
            <w:noProof/>
            <w:webHidden/>
          </w:rPr>
          <w:tab/>
        </w:r>
        <w:r>
          <w:rPr>
            <w:noProof/>
            <w:webHidden/>
          </w:rPr>
          <w:fldChar w:fldCharType="begin"/>
        </w:r>
        <w:r>
          <w:rPr>
            <w:noProof/>
            <w:webHidden/>
          </w:rPr>
          <w:instrText xml:space="preserve"> PAGEREF _Toc489138915 \h </w:instrText>
        </w:r>
        <w:r>
          <w:rPr>
            <w:noProof/>
            <w:webHidden/>
          </w:rPr>
        </w:r>
        <w:r>
          <w:rPr>
            <w:noProof/>
            <w:webHidden/>
          </w:rPr>
          <w:fldChar w:fldCharType="separate"/>
        </w:r>
        <w:r>
          <w:rPr>
            <w:noProof/>
            <w:webHidden/>
          </w:rPr>
          <w:t>93</w:t>
        </w:r>
        <w:r>
          <w:rPr>
            <w:noProof/>
            <w:webHidden/>
          </w:rPr>
          <w:fldChar w:fldCharType="end"/>
        </w:r>
      </w:hyperlink>
    </w:p>
    <w:p w:rsidR="009E3486" w:rsidRDefault="009E3486">
      <w:pPr>
        <w:pStyle w:val="TOC3"/>
        <w:tabs>
          <w:tab w:val="right" w:leader="dot" w:pos="9350"/>
        </w:tabs>
        <w:rPr>
          <w:noProof/>
        </w:rPr>
      </w:pPr>
      <w:hyperlink w:anchor="_Toc489138916" w:history="1">
        <w:r w:rsidRPr="00B825DB">
          <w:rPr>
            <w:rStyle w:val="Hyperlink"/>
            <w:noProof/>
          </w:rPr>
          <w:t>A2: Materialism / Post-Fordism / Gill-Peterson</w:t>
        </w:r>
        <w:r>
          <w:rPr>
            <w:noProof/>
            <w:webHidden/>
          </w:rPr>
          <w:tab/>
        </w:r>
        <w:r>
          <w:rPr>
            <w:noProof/>
            <w:webHidden/>
          </w:rPr>
          <w:fldChar w:fldCharType="begin"/>
        </w:r>
        <w:r>
          <w:rPr>
            <w:noProof/>
            <w:webHidden/>
          </w:rPr>
          <w:instrText xml:space="preserve"> PAGEREF _Toc489138916 \h </w:instrText>
        </w:r>
        <w:r>
          <w:rPr>
            <w:noProof/>
            <w:webHidden/>
          </w:rPr>
        </w:r>
        <w:r>
          <w:rPr>
            <w:noProof/>
            <w:webHidden/>
          </w:rPr>
          <w:fldChar w:fldCharType="separate"/>
        </w:r>
        <w:r>
          <w:rPr>
            <w:noProof/>
            <w:webHidden/>
          </w:rPr>
          <w:t>94</w:t>
        </w:r>
        <w:r>
          <w:rPr>
            <w:noProof/>
            <w:webHidden/>
          </w:rPr>
          <w:fldChar w:fldCharType="end"/>
        </w:r>
      </w:hyperlink>
    </w:p>
    <w:p w:rsidR="009E3486" w:rsidRDefault="009E3486">
      <w:pPr>
        <w:pStyle w:val="TOC3"/>
        <w:tabs>
          <w:tab w:val="right" w:leader="dot" w:pos="9350"/>
        </w:tabs>
        <w:rPr>
          <w:noProof/>
        </w:rPr>
      </w:pPr>
      <w:hyperlink w:anchor="_Toc489138917" w:history="1">
        <w:r w:rsidRPr="00B825DB">
          <w:rPr>
            <w:rStyle w:val="Hyperlink"/>
            <w:noProof/>
          </w:rPr>
          <w:t>A2: Falsifiability</w:t>
        </w:r>
        <w:r>
          <w:rPr>
            <w:noProof/>
            <w:webHidden/>
          </w:rPr>
          <w:tab/>
        </w:r>
        <w:r>
          <w:rPr>
            <w:noProof/>
            <w:webHidden/>
          </w:rPr>
          <w:fldChar w:fldCharType="begin"/>
        </w:r>
        <w:r>
          <w:rPr>
            <w:noProof/>
            <w:webHidden/>
          </w:rPr>
          <w:instrText xml:space="preserve"> PAGEREF _Toc489138917 \h </w:instrText>
        </w:r>
        <w:r>
          <w:rPr>
            <w:noProof/>
            <w:webHidden/>
          </w:rPr>
        </w:r>
        <w:r>
          <w:rPr>
            <w:noProof/>
            <w:webHidden/>
          </w:rPr>
          <w:fldChar w:fldCharType="separate"/>
        </w:r>
        <w:r>
          <w:rPr>
            <w:noProof/>
            <w:webHidden/>
          </w:rPr>
          <w:t>95</w:t>
        </w:r>
        <w:r>
          <w:rPr>
            <w:noProof/>
            <w:webHidden/>
          </w:rPr>
          <w:fldChar w:fldCharType="end"/>
        </w:r>
      </w:hyperlink>
    </w:p>
    <w:p w:rsidR="009E3486" w:rsidRDefault="009E3486">
      <w:pPr>
        <w:pStyle w:val="TOC2"/>
        <w:tabs>
          <w:tab w:val="right" w:leader="dot" w:pos="9350"/>
        </w:tabs>
        <w:rPr>
          <w:noProof/>
        </w:rPr>
      </w:pPr>
      <w:hyperlink w:anchor="_Toc489138918" w:history="1">
        <w:r w:rsidRPr="00B825DB">
          <w:rPr>
            <w:rStyle w:val="Hyperlink"/>
            <w:noProof/>
          </w:rPr>
          <w:t>***Mechanism Links***</w:t>
        </w:r>
        <w:r>
          <w:rPr>
            <w:noProof/>
            <w:webHidden/>
          </w:rPr>
          <w:tab/>
        </w:r>
        <w:r>
          <w:rPr>
            <w:noProof/>
            <w:webHidden/>
          </w:rPr>
          <w:fldChar w:fldCharType="begin"/>
        </w:r>
        <w:r>
          <w:rPr>
            <w:noProof/>
            <w:webHidden/>
          </w:rPr>
          <w:instrText xml:space="preserve"> PAGEREF _Toc489138918 \h </w:instrText>
        </w:r>
        <w:r>
          <w:rPr>
            <w:noProof/>
            <w:webHidden/>
          </w:rPr>
        </w:r>
        <w:r>
          <w:rPr>
            <w:noProof/>
            <w:webHidden/>
          </w:rPr>
          <w:fldChar w:fldCharType="separate"/>
        </w:r>
        <w:r>
          <w:rPr>
            <w:noProof/>
            <w:webHidden/>
          </w:rPr>
          <w:t>99</w:t>
        </w:r>
        <w:r>
          <w:rPr>
            <w:noProof/>
            <w:webHidden/>
          </w:rPr>
          <w:fldChar w:fldCharType="end"/>
        </w:r>
      </w:hyperlink>
    </w:p>
    <w:p w:rsidR="009E3486" w:rsidRDefault="009E3486">
      <w:pPr>
        <w:pStyle w:val="TOC3"/>
        <w:tabs>
          <w:tab w:val="right" w:leader="dot" w:pos="9350"/>
        </w:tabs>
        <w:rPr>
          <w:noProof/>
        </w:rPr>
      </w:pPr>
      <w:hyperlink w:anchor="_Toc489138919" w:history="1">
        <w:r w:rsidRPr="00B825DB">
          <w:rPr>
            <w:rStyle w:val="Hyperlink"/>
            <w:noProof/>
          </w:rPr>
          <w:t>Link: Equal Access / Desegregation</w:t>
        </w:r>
        <w:r>
          <w:rPr>
            <w:noProof/>
            <w:webHidden/>
          </w:rPr>
          <w:tab/>
        </w:r>
        <w:r>
          <w:rPr>
            <w:noProof/>
            <w:webHidden/>
          </w:rPr>
          <w:fldChar w:fldCharType="begin"/>
        </w:r>
        <w:r>
          <w:rPr>
            <w:noProof/>
            <w:webHidden/>
          </w:rPr>
          <w:instrText xml:space="preserve"> PAGEREF _Toc489138919 \h </w:instrText>
        </w:r>
        <w:r>
          <w:rPr>
            <w:noProof/>
            <w:webHidden/>
          </w:rPr>
        </w:r>
        <w:r>
          <w:rPr>
            <w:noProof/>
            <w:webHidden/>
          </w:rPr>
          <w:fldChar w:fldCharType="separate"/>
        </w:r>
        <w:r>
          <w:rPr>
            <w:noProof/>
            <w:webHidden/>
          </w:rPr>
          <w:t>100</w:t>
        </w:r>
        <w:r>
          <w:rPr>
            <w:noProof/>
            <w:webHidden/>
          </w:rPr>
          <w:fldChar w:fldCharType="end"/>
        </w:r>
      </w:hyperlink>
    </w:p>
    <w:p w:rsidR="009E3486" w:rsidRDefault="009E3486">
      <w:pPr>
        <w:pStyle w:val="TOC3"/>
        <w:tabs>
          <w:tab w:val="right" w:leader="dot" w:pos="9350"/>
        </w:tabs>
        <w:rPr>
          <w:noProof/>
        </w:rPr>
      </w:pPr>
      <w:hyperlink w:anchor="_Toc489138920" w:history="1">
        <w:r w:rsidRPr="00B825DB">
          <w:rPr>
            <w:rStyle w:val="Hyperlink"/>
            <w:noProof/>
          </w:rPr>
          <w:t>Link: Civic Education—Curricula</w:t>
        </w:r>
        <w:r>
          <w:rPr>
            <w:noProof/>
            <w:webHidden/>
          </w:rPr>
          <w:tab/>
        </w:r>
        <w:r>
          <w:rPr>
            <w:noProof/>
            <w:webHidden/>
          </w:rPr>
          <w:fldChar w:fldCharType="begin"/>
        </w:r>
        <w:r>
          <w:rPr>
            <w:noProof/>
            <w:webHidden/>
          </w:rPr>
          <w:instrText xml:space="preserve"> PAGEREF _Toc489138920 \h </w:instrText>
        </w:r>
        <w:r>
          <w:rPr>
            <w:noProof/>
            <w:webHidden/>
          </w:rPr>
        </w:r>
        <w:r>
          <w:rPr>
            <w:noProof/>
            <w:webHidden/>
          </w:rPr>
          <w:fldChar w:fldCharType="separate"/>
        </w:r>
        <w:r>
          <w:rPr>
            <w:noProof/>
            <w:webHidden/>
          </w:rPr>
          <w:t>102</w:t>
        </w:r>
        <w:r>
          <w:rPr>
            <w:noProof/>
            <w:webHidden/>
          </w:rPr>
          <w:fldChar w:fldCharType="end"/>
        </w:r>
      </w:hyperlink>
    </w:p>
    <w:p w:rsidR="009E3486" w:rsidRDefault="009E3486">
      <w:pPr>
        <w:pStyle w:val="TOC3"/>
        <w:tabs>
          <w:tab w:val="right" w:leader="dot" w:pos="9350"/>
        </w:tabs>
        <w:rPr>
          <w:noProof/>
        </w:rPr>
      </w:pPr>
      <w:hyperlink w:anchor="_Toc489138921" w:history="1">
        <w:r w:rsidRPr="00B825DB">
          <w:rPr>
            <w:rStyle w:val="Hyperlink"/>
            <w:noProof/>
          </w:rPr>
          <w:t>Link: Courts—Legal equality</w:t>
        </w:r>
        <w:r>
          <w:rPr>
            <w:noProof/>
            <w:webHidden/>
          </w:rPr>
          <w:tab/>
        </w:r>
        <w:r>
          <w:rPr>
            <w:noProof/>
            <w:webHidden/>
          </w:rPr>
          <w:fldChar w:fldCharType="begin"/>
        </w:r>
        <w:r>
          <w:rPr>
            <w:noProof/>
            <w:webHidden/>
          </w:rPr>
          <w:instrText xml:space="preserve"> PAGEREF _Toc489138921 \h </w:instrText>
        </w:r>
        <w:r>
          <w:rPr>
            <w:noProof/>
            <w:webHidden/>
          </w:rPr>
        </w:r>
        <w:r>
          <w:rPr>
            <w:noProof/>
            <w:webHidden/>
          </w:rPr>
          <w:fldChar w:fldCharType="separate"/>
        </w:r>
        <w:r>
          <w:rPr>
            <w:noProof/>
            <w:webHidden/>
          </w:rPr>
          <w:t>105</w:t>
        </w:r>
        <w:r>
          <w:rPr>
            <w:noProof/>
            <w:webHidden/>
          </w:rPr>
          <w:fldChar w:fldCharType="end"/>
        </w:r>
      </w:hyperlink>
    </w:p>
    <w:p w:rsidR="009E3486" w:rsidRDefault="009E3486">
      <w:pPr>
        <w:pStyle w:val="TOC3"/>
        <w:tabs>
          <w:tab w:val="right" w:leader="dot" w:pos="9350"/>
        </w:tabs>
        <w:rPr>
          <w:noProof/>
        </w:rPr>
      </w:pPr>
      <w:hyperlink w:anchor="_Toc489138922" w:history="1">
        <w:r w:rsidRPr="00B825DB">
          <w:rPr>
            <w:rStyle w:val="Hyperlink"/>
            <w:noProof/>
          </w:rPr>
          <w:t>Link: Courts—Precedent</w:t>
        </w:r>
        <w:r>
          <w:rPr>
            <w:noProof/>
            <w:webHidden/>
          </w:rPr>
          <w:tab/>
        </w:r>
        <w:r>
          <w:rPr>
            <w:noProof/>
            <w:webHidden/>
          </w:rPr>
          <w:fldChar w:fldCharType="begin"/>
        </w:r>
        <w:r>
          <w:rPr>
            <w:noProof/>
            <w:webHidden/>
          </w:rPr>
          <w:instrText xml:space="preserve"> PAGEREF _Toc489138922 \h </w:instrText>
        </w:r>
        <w:r>
          <w:rPr>
            <w:noProof/>
            <w:webHidden/>
          </w:rPr>
        </w:r>
        <w:r>
          <w:rPr>
            <w:noProof/>
            <w:webHidden/>
          </w:rPr>
          <w:fldChar w:fldCharType="separate"/>
        </w:r>
        <w:r>
          <w:rPr>
            <w:noProof/>
            <w:webHidden/>
          </w:rPr>
          <w:t>107</w:t>
        </w:r>
        <w:r>
          <w:rPr>
            <w:noProof/>
            <w:webHidden/>
          </w:rPr>
          <w:fldChar w:fldCharType="end"/>
        </w:r>
      </w:hyperlink>
    </w:p>
    <w:p w:rsidR="009E3486" w:rsidRDefault="009E3486">
      <w:pPr>
        <w:pStyle w:val="TOC3"/>
        <w:tabs>
          <w:tab w:val="right" w:leader="dot" w:pos="9350"/>
        </w:tabs>
        <w:rPr>
          <w:noProof/>
        </w:rPr>
      </w:pPr>
      <w:hyperlink w:anchor="_Toc489138923" w:history="1">
        <w:r w:rsidRPr="00B825DB">
          <w:rPr>
            <w:rStyle w:val="Hyperlink"/>
            <w:noProof/>
          </w:rPr>
          <w:t>Link: CTE—Educational Competitiveness</w:t>
        </w:r>
        <w:r>
          <w:rPr>
            <w:noProof/>
            <w:webHidden/>
          </w:rPr>
          <w:tab/>
        </w:r>
        <w:r>
          <w:rPr>
            <w:noProof/>
            <w:webHidden/>
          </w:rPr>
          <w:fldChar w:fldCharType="begin"/>
        </w:r>
        <w:r>
          <w:rPr>
            <w:noProof/>
            <w:webHidden/>
          </w:rPr>
          <w:instrText xml:space="preserve"> PAGEREF _Toc489138923 \h </w:instrText>
        </w:r>
        <w:r>
          <w:rPr>
            <w:noProof/>
            <w:webHidden/>
          </w:rPr>
        </w:r>
        <w:r>
          <w:rPr>
            <w:noProof/>
            <w:webHidden/>
          </w:rPr>
          <w:fldChar w:fldCharType="separate"/>
        </w:r>
        <w:r>
          <w:rPr>
            <w:noProof/>
            <w:webHidden/>
          </w:rPr>
          <w:t>109</w:t>
        </w:r>
        <w:r>
          <w:rPr>
            <w:noProof/>
            <w:webHidden/>
          </w:rPr>
          <w:fldChar w:fldCharType="end"/>
        </w:r>
      </w:hyperlink>
    </w:p>
    <w:p w:rsidR="009E3486" w:rsidRDefault="009E3486">
      <w:pPr>
        <w:pStyle w:val="TOC3"/>
        <w:tabs>
          <w:tab w:val="right" w:leader="dot" w:pos="9350"/>
        </w:tabs>
        <w:rPr>
          <w:noProof/>
        </w:rPr>
      </w:pPr>
      <w:hyperlink w:anchor="_Toc489138924" w:history="1">
        <w:r w:rsidRPr="00B825DB">
          <w:rPr>
            <w:rStyle w:val="Hyperlink"/>
            <w:noProof/>
          </w:rPr>
          <w:t>Link: CTE—Job Training &amp; Skilled Workforce</w:t>
        </w:r>
        <w:r>
          <w:rPr>
            <w:noProof/>
            <w:webHidden/>
          </w:rPr>
          <w:tab/>
        </w:r>
        <w:r>
          <w:rPr>
            <w:noProof/>
            <w:webHidden/>
          </w:rPr>
          <w:fldChar w:fldCharType="begin"/>
        </w:r>
        <w:r>
          <w:rPr>
            <w:noProof/>
            <w:webHidden/>
          </w:rPr>
          <w:instrText xml:space="preserve"> PAGEREF _Toc489138924 \h </w:instrText>
        </w:r>
        <w:r>
          <w:rPr>
            <w:noProof/>
            <w:webHidden/>
          </w:rPr>
        </w:r>
        <w:r>
          <w:rPr>
            <w:noProof/>
            <w:webHidden/>
          </w:rPr>
          <w:fldChar w:fldCharType="separate"/>
        </w:r>
        <w:r>
          <w:rPr>
            <w:noProof/>
            <w:webHidden/>
          </w:rPr>
          <w:t>113</w:t>
        </w:r>
        <w:r>
          <w:rPr>
            <w:noProof/>
            <w:webHidden/>
          </w:rPr>
          <w:fldChar w:fldCharType="end"/>
        </w:r>
      </w:hyperlink>
    </w:p>
    <w:p w:rsidR="009E3486" w:rsidRDefault="009E3486">
      <w:pPr>
        <w:pStyle w:val="TOC3"/>
        <w:tabs>
          <w:tab w:val="right" w:leader="dot" w:pos="9350"/>
        </w:tabs>
        <w:rPr>
          <w:noProof/>
        </w:rPr>
      </w:pPr>
      <w:hyperlink w:anchor="_Toc489138925" w:history="1">
        <w:r w:rsidRPr="00B825DB">
          <w:rPr>
            <w:rStyle w:val="Hyperlink"/>
            <w:noProof/>
          </w:rPr>
          <w:t>Link: ELA Standards</w:t>
        </w:r>
        <w:r>
          <w:rPr>
            <w:noProof/>
            <w:webHidden/>
          </w:rPr>
          <w:tab/>
        </w:r>
        <w:r>
          <w:rPr>
            <w:noProof/>
            <w:webHidden/>
          </w:rPr>
          <w:fldChar w:fldCharType="begin"/>
        </w:r>
        <w:r>
          <w:rPr>
            <w:noProof/>
            <w:webHidden/>
          </w:rPr>
          <w:instrText xml:space="preserve"> PAGEREF _Toc489138925 \h </w:instrText>
        </w:r>
        <w:r>
          <w:rPr>
            <w:noProof/>
            <w:webHidden/>
          </w:rPr>
        </w:r>
        <w:r>
          <w:rPr>
            <w:noProof/>
            <w:webHidden/>
          </w:rPr>
          <w:fldChar w:fldCharType="separate"/>
        </w:r>
        <w:r>
          <w:rPr>
            <w:noProof/>
            <w:webHidden/>
          </w:rPr>
          <w:t>115</w:t>
        </w:r>
        <w:r>
          <w:rPr>
            <w:noProof/>
            <w:webHidden/>
          </w:rPr>
          <w:fldChar w:fldCharType="end"/>
        </w:r>
      </w:hyperlink>
    </w:p>
    <w:p w:rsidR="009E3486" w:rsidRDefault="009E3486">
      <w:pPr>
        <w:pStyle w:val="TOC3"/>
        <w:tabs>
          <w:tab w:val="right" w:leader="dot" w:pos="9350"/>
        </w:tabs>
        <w:rPr>
          <w:noProof/>
        </w:rPr>
      </w:pPr>
      <w:hyperlink w:anchor="_Toc489138926" w:history="1">
        <w:r w:rsidRPr="00B825DB">
          <w:rPr>
            <w:rStyle w:val="Hyperlink"/>
            <w:noProof/>
          </w:rPr>
          <w:t>Link: Human Capital</w:t>
        </w:r>
        <w:r>
          <w:rPr>
            <w:noProof/>
            <w:webHidden/>
          </w:rPr>
          <w:tab/>
        </w:r>
        <w:r>
          <w:rPr>
            <w:noProof/>
            <w:webHidden/>
          </w:rPr>
          <w:fldChar w:fldCharType="begin"/>
        </w:r>
        <w:r>
          <w:rPr>
            <w:noProof/>
            <w:webHidden/>
          </w:rPr>
          <w:instrText xml:space="preserve"> PAGEREF _Toc489138926 \h </w:instrText>
        </w:r>
        <w:r>
          <w:rPr>
            <w:noProof/>
            <w:webHidden/>
          </w:rPr>
        </w:r>
        <w:r>
          <w:rPr>
            <w:noProof/>
            <w:webHidden/>
          </w:rPr>
          <w:fldChar w:fldCharType="separate"/>
        </w:r>
        <w:r>
          <w:rPr>
            <w:noProof/>
            <w:webHidden/>
          </w:rPr>
          <w:t>117</w:t>
        </w:r>
        <w:r>
          <w:rPr>
            <w:noProof/>
            <w:webHidden/>
          </w:rPr>
          <w:fldChar w:fldCharType="end"/>
        </w:r>
      </w:hyperlink>
    </w:p>
    <w:p w:rsidR="009E3486" w:rsidRDefault="009E3486">
      <w:pPr>
        <w:pStyle w:val="TOC3"/>
        <w:tabs>
          <w:tab w:val="right" w:leader="dot" w:pos="9350"/>
        </w:tabs>
        <w:rPr>
          <w:noProof/>
        </w:rPr>
      </w:pPr>
      <w:hyperlink w:anchor="_Toc489138927" w:history="1">
        <w:r w:rsidRPr="00B825DB">
          <w:rPr>
            <w:rStyle w:val="Hyperlink"/>
            <w:noProof/>
          </w:rPr>
          <w:t>Link: Teacher Certificaiton/Teacher Training</w:t>
        </w:r>
        <w:r>
          <w:rPr>
            <w:noProof/>
            <w:webHidden/>
          </w:rPr>
          <w:tab/>
        </w:r>
        <w:r>
          <w:rPr>
            <w:noProof/>
            <w:webHidden/>
          </w:rPr>
          <w:fldChar w:fldCharType="begin"/>
        </w:r>
        <w:r>
          <w:rPr>
            <w:noProof/>
            <w:webHidden/>
          </w:rPr>
          <w:instrText xml:space="preserve"> PAGEREF _Toc489138927 \h </w:instrText>
        </w:r>
        <w:r>
          <w:rPr>
            <w:noProof/>
            <w:webHidden/>
          </w:rPr>
        </w:r>
        <w:r>
          <w:rPr>
            <w:noProof/>
            <w:webHidden/>
          </w:rPr>
          <w:fldChar w:fldCharType="separate"/>
        </w:r>
        <w:r>
          <w:rPr>
            <w:noProof/>
            <w:webHidden/>
          </w:rPr>
          <w:t>120</w:t>
        </w:r>
        <w:r>
          <w:rPr>
            <w:noProof/>
            <w:webHidden/>
          </w:rPr>
          <w:fldChar w:fldCharType="end"/>
        </w:r>
      </w:hyperlink>
    </w:p>
    <w:p w:rsidR="009E3486" w:rsidRDefault="009E3486">
      <w:pPr>
        <w:pStyle w:val="TOC3"/>
        <w:tabs>
          <w:tab w:val="right" w:leader="dot" w:pos="9350"/>
        </w:tabs>
        <w:rPr>
          <w:noProof/>
        </w:rPr>
      </w:pPr>
      <w:hyperlink w:anchor="_Toc489138928" w:history="1">
        <w:r w:rsidRPr="00B825DB">
          <w:rPr>
            <w:rStyle w:val="Hyperlink"/>
            <w:noProof/>
          </w:rPr>
          <w:t>Link: Tribal Sovereignty (Education)</w:t>
        </w:r>
        <w:r>
          <w:rPr>
            <w:noProof/>
            <w:webHidden/>
          </w:rPr>
          <w:tab/>
        </w:r>
        <w:r>
          <w:rPr>
            <w:noProof/>
            <w:webHidden/>
          </w:rPr>
          <w:fldChar w:fldCharType="begin"/>
        </w:r>
        <w:r>
          <w:rPr>
            <w:noProof/>
            <w:webHidden/>
          </w:rPr>
          <w:instrText xml:space="preserve"> PAGEREF _Toc489138928 \h </w:instrText>
        </w:r>
        <w:r>
          <w:rPr>
            <w:noProof/>
            <w:webHidden/>
          </w:rPr>
        </w:r>
        <w:r>
          <w:rPr>
            <w:noProof/>
            <w:webHidden/>
          </w:rPr>
          <w:fldChar w:fldCharType="separate"/>
        </w:r>
        <w:r>
          <w:rPr>
            <w:noProof/>
            <w:webHidden/>
          </w:rPr>
          <w:t>124</w:t>
        </w:r>
        <w:r>
          <w:rPr>
            <w:noProof/>
            <w:webHidden/>
          </w:rPr>
          <w:fldChar w:fldCharType="end"/>
        </w:r>
      </w:hyperlink>
    </w:p>
    <w:p w:rsidR="009E3486" w:rsidRDefault="009E3486">
      <w:pPr>
        <w:pStyle w:val="TOC3"/>
        <w:tabs>
          <w:tab w:val="right" w:leader="dot" w:pos="9350"/>
        </w:tabs>
        <w:rPr>
          <w:noProof/>
        </w:rPr>
      </w:pPr>
      <w:hyperlink w:anchor="_Toc489138929" w:history="1">
        <w:r w:rsidRPr="00B825DB">
          <w:rPr>
            <w:rStyle w:val="Hyperlink"/>
            <w:noProof/>
          </w:rPr>
          <w:t>Link: Tribal Devolution—Lawfare</w:t>
        </w:r>
        <w:r>
          <w:rPr>
            <w:noProof/>
            <w:webHidden/>
          </w:rPr>
          <w:tab/>
        </w:r>
        <w:r>
          <w:rPr>
            <w:noProof/>
            <w:webHidden/>
          </w:rPr>
          <w:fldChar w:fldCharType="begin"/>
        </w:r>
        <w:r>
          <w:rPr>
            <w:noProof/>
            <w:webHidden/>
          </w:rPr>
          <w:instrText xml:space="preserve"> PAGEREF _Toc489138929 \h </w:instrText>
        </w:r>
        <w:r>
          <w:rPr>
            <w:noProof/>
            <w:webHidden/>
          </w:rPr>
        </w:r>
        <w:r>
          <w:rPr>
            <w:noProof/>
            <w:webHidden/>
          </w:rPr>
          <w:fldChar w:fldCharType="separate"/>
        </w:r>
        <w:r>
          <w:rPr>
            <w:noProof/>
            <w:webHidden/>
          </w:rPr>
          <w:t>126</w:t>
        </w:r>
        <w:r>
          <w:rPr>
            <w:noProof/>
            <w:webHidden/>
          </w:rPr>
          <w:fldChar w:fldCharType="end"/>
        </w:r>
      </w:hyperlink>
    </w:p>
    <w:p w:rsidR="009E3486" w:rsidRDefault="009E3486">
      <w:pPr>
        <w:pStyle w:val="TOC3"/>
        <w:tabs>
          <w:tab w:val="right" w:leader="dot" w:pos="9350"/>
        </w:tabs>
        <w:rPr>
          <w:noProof/>
        </w:rPr>
      </w:pPr>
      <w:hyperlink w:anchor="_Toc489138930" w:history="1">
        <w:r w:rsidRPr="00B825DB">
          <w:rPr>
            <w:rStyle w:val="Hyperlink"/>
            <w:noProof/>
          </w:rPr>
          <w:t>Link: Sex Ed.—National Body</w:t>
        </w:r>
        <w:r>
          <w:rPr>
            <w:noProof/>
            <w:webHidden/>
          </w:rPr>
          <w:tab/>
        </w:r>
        <w:r>
          <w:rPr>
            <w:noProof/>
            <w:webHidden/>
          </w:rPr>
          <w:fldChar w:fldCharType="begin"/>
        </w:r>
        <w:r>
          <w:rPr>
            <w:noProof/>
            <w:webHidden/>
          </w:rPr>
          <w:instrText xml:space="preserve"> PAGEREF _Toc489138930 \h </w:instrText>
        </w:r>
        <w:r>
          <w:rPr>
            <w:noProof/>
            <w:webHidden/>
          </w:rPr>
        </w:r>
        <w:r>
          <w:rPr>
            <w:noProof/>
            <w:webHidden/>
          </w:rPr>
          <w:fldChar w:fldCharType="separate"/>
        </w:r>
        <w:r>
          <w:rPr>
            <w:noProof/>
            <w:webHidden/>
          </w:rPr>
          <w:t>128</w:t>
        </w:r>
        <w:r>
          <w:rPr>
            <w:noProof/>
            <w:webHidden/>
          </w:rPr>
          <w:fldChar w:fldCharType="end"/>
        </w:r>
      </w:hyperlink>
    </w:p>
    <w:p w:rsidR="009E3486" w:rsidRDefault="009E3486">
      <w:pPr>
        <w:pStyle w:val="TOC3"/>
        <w:tabs>
          <w:tab w:val="right" w:leader="dot" w:pos="9350"/>
        </w:tabs>
        <w:rPr>
          <w:noProof/>
        </w:rPr>
      </w:pPr>
      <w:hyperlink w:anchor="_Toc489138931" w:history="1">
        <w:r w:rsidRPr="00B825DB">
          <w:rPr>
            <w:rStyle w:val="Hyperlink"/>
            <w:noProof/>
          </w:rPr>
          <w:t>Link: Sex Ed.—Pleasure Focus</w:t>
        </w:r>
        <w:r>
          <w:rPr>
            <w:noProof/>
            <w:webHidden/>
          </w:rPr>
          <w:tab/>
        </w:r>
        <w:r>
          <w:rPr>
            <w:noProof/>
            <w:webHidden/>
          </w:rPr>
          <w:fldChar w:fldCharType="begin"/>
        </w:r>
        <w:r>
          <w:rPr>
            <w:noProof/>
            <w:webHidden/>
          </w:rPr>
          <w:instrText xml:space="preserve"> PAGEREF _Toc489138931 \h </w:instrText>
        </w:r>
        <w:r>
          <w:rPr>
            <w:noProof/>
            <w:webHidden/>
          </w:rPr>
        </w:r>
        <w:r>
          <w:rPr>
            <w:noProof/>
            <w:webHidden/>
          </w:rPr>
          <w:fldChar w:fldCharType="separate"/>
        </w:r>
        <w:r>
          <w:rPr>
            <w:noProof/>
            <w:webHidden/>
          </w:rPr>
          <w:t>130</w:t>
        </w:r>
        <w:r>
          <w:rPr>
            <w:noProof/>
            <w:webHidden/>
          </w:rPr>
          <w:fldChar w:fldCharType="end"/>
        </w:r>
      </w:hyperlink>
    </w:p>
    <w:p w:rsidR="009E3486" w:rsidRDefault="009E3486">
      <w:pPr>
        <w:pStyle w:val="TOC3"/>
        <w:tabs>
          <w:tab w:val="right" w:leader="dot" w:pos="9350"/>
        </w:tabs>
        <w:rPr>
          <w:noProof/>
        </w:rPr>
      </w:pPr>
      <w:hyperlink w:anchor="_Toc489138932" w:history="1">
        <w:r w:rsidRPr="00B825DB">
          <w:rPr>
            <w:rStyle w:val="Hyperlink"/>
            <w:noProof/>
          </w:rPr>
          <w:t>Link: State Demands</w:t>
        </w:r>
        <w:r>
          <w:rPr>
            <w:noProof/>
            <w:webHidden/>
          </w:rPr>
          <w:tab/>
        </w:r>
        <w:r>
          <w:rPr>
            <w:noProof/>
            <w:webHidden/>
          </w:rPr>
          <w:fldChar w:fldCharType="begin"/>
        </w:r>
        <w:r>
          <w:rPr>
            <w:noProof/>
            <w:webHidden/>
          </w:rPr>
          <w:instrText xml:space="preserve"> PAGEREF _Toc489138932 \h </w:instrText>
        </w:r>
        <w:r>
          <w:rPr>
            <w:noProof/>
            <w:webHidden/>
          </w:rPr>
        </w:r>
        <w:r>
          <w:rPr>
            <w:noProof/>
            <w:webHidden/>
          </w:rPr>
          <w:fldChar w:fldCharType="separate"/>
        </w:r>
        <w:r>
          <w:rPr>
            <w:noProof/>
            <w:webHidden/>
          </w:rPr>
          <w:t>133</w:t>
        </w:r>
        <w:r>
          <w:rPr>
            <w:noProof/>
            <w:webHidden/>
          </w:rPr>
          <w:fldChar w:fldCharType="end"/>
        </w:r>
      </w:hyperlink>
    </w:p>
    <w:p w:rsidR="009E3486" w:rsidRDefault="009E3486">
      <w:pPr>
        <w:pStyle w:val="TOC3"/>
        <w:tabs>
          <w:tab w:val="right" w:leader="dot" w:pos="9350"/>
        </w:tabs>
        <w:rPr>
          <w:noProof/>
        </w:rPr>
      </w:pPr>
      <w:hyperlink w:anchor="_Toc489138933" w:history="1">
        <w:r w:rsidRPr="00B825DB">
          <w:rPr>
            <w:rStyle w:val="Hyperlink"/>
            <w:noProof/>
          </w:rPr>
          <w:t>Link: STEM Pipeline / Diversity</w:t>
        </w:r>
        <w:r>
          <w:rPr>
            <w:noProof/>
            <w:webHidden/>
          </w:rPr>
          <w:tab/>
        </w:r>
        <w:r>
          <w:rPr>
            <w:noProof/>
            <w:webHidden/>
          </w:rPr>
          <w:fldChar w:fldCharType="begin"/>
        </w:r>
        <w:r>
          <w:rPr>
            <w:noProof/>
            <w:webHidden/>
          </w:rPr>
          <w:instrText xml:space="preserve"> PAGEREF _Toc489138933 \h </w:instrText>
        </w:r>
        <w:r>
          <w:rPr>
            <w:noProof/>
            <w:webHidden/>
          </w:rPr>
        </w:r>
        <w:r>
          <w:rPr>
            <w:noProof/>
            <w:webHidden/>
          </w:rPr>
          <w:fldChar w:fldCharType="separate"/>
        </w:r>
        <w:r>
          <w:rPr>
            <w:noProof/>
            <w:webHidden/>
          </w:rPr>
          <w:t>135</w:t>
        </w:r>
        <w:r>
          <w:rPr>
            <w:noProof/>
            <w:webHidden/>
          </w:rPr>
          <w:fldChar w:fldCharType="end"/>
        </w:r>
      </w:hyperlink>
    </w:p>
    <w:p w:rsidR="009E3486" w:rsidRDefault="009E3486">
      <w:pPr>
        <w:pStyle w:val="TOC3"/>
        <w:tabs>
          <w:tab w:val="right" w:leader="dot" w:pos="9350"/>
        </w:tabs>
        <w:rPr>
          <w:noProof/>
        </w:rPr>
      </w:pPr>
      <w:hyperlink w:anchor="_Toc489138934" w:history="1">
        <w:r w:rsidRPr="00B825DB">
          <w:rPr>
            <w:rStyle w:val="Hyperlink"/>
            <w:noProof/>
          </w:rPr>
          <w:t>Link: Vaccines</w:t>
        </w:r>
        <w:r>
          <w:rPr>
            <w:noProof/>
            <w:webHidden/>
          </w:rPr>
          <w:tab/>
        </w:r>
        <w:r>
          <w:rPr>
            <w:noProof/>
            <w:webHidden/>
          </w:rPr>
          <w:fldChar w:fldCharType="begin"/>
        </w:r>
        <w:r>
          <w:rPr>
            <w:noProof/>
            <w:webHidden/>
          </w:rPr>
          <w:instrText xml:space="preserve"> PAGEREF _Toc489138934 \h </w:instrText>
        </w:r>
        <w:r>
          <w:rPr>
            <w:noProof/>
            <w:webHidden/>
          </w:rPr>
        </w:r>
        <w:r>
          <w:rPr>
            <w:noProof/>
            <w:webHidden/>
          </w:rPr>
          <w:fldChar w:fldCharType="separate"/>
        </w:r>
        <w:r>
          <w:rPr>
            <w:noProof/>
            <w:webHidden/>
          </w:rPr>
          <w:t>139</w:t>
        </w:r>
        <w:r>
          <w:rPr>
            <w:noProof/>
            <w:webHidden/>
          </w:rPr>
          <w:fldChar w:fldCharType="end"/>
        </w:r>
      </w:hyperlink>
    </w:p>
    <w:p w:rsidR="009E3486" w:rsidRDefault="009E3486">
      <w:pPr>
        <w:pStyle w:val="TOC3"/>
        <w:tabs>
          <w:tab w:val="right" w:leader="dot" w:pos="9350"/>
        </w:tabs>
        <w:rPr>
          <w:noProof/>
        </w:rPr>
      </w:pPr>
      <w:hyperlink w:anchor="_Toc489138935" w:history="1">
        <w:r w:rsidRPr="00B825DB">
          <w:rPr>
            <w:rStyle w:val="Hyperlink"/>
            <w:noProof/>
          </w:rPr>
          <w:t>***Advantage Links***</w:t>
        </w:r>
        <w:r>
          <w:rPr>
            <w:noProof/>
            <w:webHidden/>
          </w:rPr>
          <w:tab/>
        </w:r>
        <w:r>
          <w:rPr>
            <w:noProof/>
            <w:webHidden/>
          </w:rPr>
          <w:fldChar w:fldCharType="begin"/>
        </w:r>
        <w:r>
          <w:rPr>
            <w:noProof/>
            <w:webHidden/>
          </w:rPr>
          <w:instrText xml:space="preserve"> PAGEREF _Toc489138935 \h </w:instrText>
        </w:r>
        <w:r>
          <w:rPr>
            <w:noProof/>
            <w:webHidden/>
          </w:rPr>
        </w:r>
        <w:r>
          <w:rPr>
            <w:noProof/>
            <w:webHidden/>
          </w:rPr>
          <w:fldChar w:fldCharType="separate"/>
        </w:r>
        <w:r>
          <w:rPr>
            <w:noProof/>
            <w:webHidden/>
          </w:rPr>
          <w:t>152</w:t>
        </w:r>
        <w:r>
          <w:rPr>
            <w:noProof/>
            <w:webHidden/>
          </w:rPr>
          <w:fldChar w:fldCharType="end"/>
        </w:r>
      </w:hyperlink>
    </w:p>
    <w:p w:rsidR="009E3486" w:rsidRDefault="009E3486">
      <w:pPr>
        <w:pStyle w:val="TOC3"/>
        <w:tabs>
          <w:tab w:val="right" w:leader="dot" w:pos="9350"/>
        </w:tabs>
        <w:rPr>
          <w:noProof/>
        </w:rPr>
      </w:pPr>
      <w:hyperlink w:anchor="_Toc489138936" w:history="1">
        <w:r w:rsidRPr="00B825DB">
          <w:rPr>
            <w:rStyle w:val="Hyperlink"/>
            <w:noProof/>
          </w:rPr>
          <w:t>Link: Apocalyptic Reps</w:t>
        </w:r>
        <w:r>
          <w:rPr>
            <w:noProof/>
            <w:webHidden/>
          </w:rPr>
          <w:tab/>
        </w:r>
        <w:r>
          <w:rPr>
            <w:noProof/>
            <w:webHidden/>
          </w:rPr>
          <w:fldChar w:fldCharType="begin"/>
        </w:r>
        <w:r>
          <w:rPr>
            <w:noProof/>
            <w:webHidden/>
          </w:rPr>
          <w:instrText xml:space="preserve"> PAGEREF _Toc489138936 \h </w:instrText>
        </w:r>
        <w:r>
          <w:rPr>
            <w:noProof/>
            <w:webHidden/>
          </w:rPr>
        </w:r>
        <w:r>
          <w:rPr>
            <w:noProof/>
            <w:webHidden/>
          </w:rPr>
          <w:fldChar w:fldCharType="separate"/>
        </w:r>
        <w:r>
          <w:rPr>
            <w:noProof/>
            <w:webHidden/>
          </w:rPr>
          <w:t>153</w:t>
        </w:r>
        <w:r>
          <w:rPr>
            <w:noProof/>
            <w:webHidden/>
          </w:rPr>
          <w:fldChar w:fldCharType="end"/>
        </w:r>
      </w:hyperlink>
    </w:p>
    <w:p w:rsidR="009E3486" w:rsidRDefault="009E3486">
      <w:pPr>
        <w:pStyle w:val="TOC3"/>
        <w:tabs>
          <w:tab w:val="right" w:leader="dot" w:pos="9350"/>
        </w:tabs>
        <w:rPr>
          <w:noProof/>
        </w:rPr>
      </w:pPr>
      <w:hyperlink w:anchor="_Toc489138937" w:history="1">
        <w:r w:rsidRPr="00B825DB">
          <w:rPr>
            <w:rStyle w:val="Hyperlink"/>
            <w:noProof/>
          </w:rPr>
          <w:t>Link: Climate</w:t>
        </w:r>
        <w:r>
          <w:rPr>
            <w:noProof/>
            <w:webHidden/>
          </w:rPr>
          <w:tab/>
        </w:r>
        <w:r>
          <w:rPr>
            <w:noProof/>
            <w:webHidden/>
          </w:rPr>
          <w:fldChar w:fldCharType="begin"/>
        </w:r>
        <w:r>
          <w:rPr>
            <w:noProof/>
            <w:webHidden/>
          </w:rPr>
          <w:instrText xml:space="preserve"> PAGEREF _Toc489138937 \h </w:instrText>
        </w:r>
        <w:r>
          <w:rPr>
            <w:noProof/>
            <w:webHidden/>
          </w:rPr>
        </w:r>
        <w:r>
          <w:rPr>
            <w:noProof/>
            <w:webHidden/>
          </w:rPr>
          <w:fldChar w:fldCharType="separate"/>
        </w:r>
        <w:r>
          <w:rPr>
            <w:noProof/>
            <w:webHidden/>
          </w:rPr>
          <w:t>154</w:t>
        </w:r>
        <w:r>
          <w:rPr>
            <w:noProof/>
            <w:webHidden/>
          </w:rPr>
          <w:fldChar w:fldCharType="end"/>
        </w:r>
      </w:hyperlink>
    </w:p>
    <w:p w:rsidR="009E3486" w:rsidRDefault="009E3486">
      <w:pPr>
        <w:pStyle w:val="TOC3"/>
        <w:tabs>
          <w:tab w:val="right" w:leader="dot" w:pos="9350"/>
        </w:tabs>
        <w:rPr>
          <w:noProof/>
        </w:rPr>
      </w:pPr>
      <w:hyperlink w:anchor="_Toc489138938" w:history="1">
        <w:r w:rsidRPr="00B825DB">
          <w:rPr>
            <w:rStyle w:val="Hyperlink"/>
            <w:noProof/>
          </w:rPr>
          <w:t>Link: Economy</w:t>
        </w:r>
        <w:r>
          <w:rPr>
            <w:noProof/>
            <w:webHidden/>
          </w:rPr>
          <w:tab/>
        </w:r>
        <w:r>
          <w:rPr>
            <w:noProof/>
            <w:webHidden/>
          </w:rPr>
          <w:fldChar w:fldCharType="begin"/>
        </w:r>
        <w:r>
          <w:rPr>
            <w:noProof/>
            <w:webHidden/>
          </w:rPr>
          <w:instrText xml:space="preserve"> PAGEREF _Toc489138938 \h </w:instrText>
        </w:r>
        <w:r>
          <w:rPr>
            <w:noProof/>
            <w:webHidden/>
          </w:rPr>
        </w:r>
        <w:r>
          <w:rPr>
            <w:noProof/>
            <w:webHidden/>
          </w:rPr>
          <w:fldChar w:fldCharType="separate"/>
        </w:r>
        <w:r>
          <w:rPr>
            <w:noProof/>
            <w:webHidden/>
          </w:rPr>
          <w:t>158</w:t>
        </w:r>
        <w:r>
          <w:rPr>
            <w:noProof/>
            <w:webHidden/>
          </w:rPr>
          <w:fldChar w:fldCharType="end"/>
        </w:r>
      </w:hyperlink>
    </w:p>
    <w:p w:rsidR="009E3486" w:rsidRDefault="009E3486">
      <w:pPr>
        <w:pStyle w:val="TOC3"/>
        <w:tabs>
          <w:tab w:val="right" w:leader="dot" w:pos="9350"/>
        </w:tabs>
        <w:rPr>
          <w:noProof/>
        </w:rPr>
      </w:pPr>
      <w:hyperlink w:anchor="_Toc489138939" w:history="1">
        <w:r w:rsidRPr="00B825DB">
          <w:rPr>
            <w:rStyle w:val="Hyperlink"/>
            <w:noProof/>
          </w:rPr>
          <w:t>Link: Hegemony</w:t>
        </w:r>
        <w:r>
          <w:rPr>
            <w:noProof/>
            <w:webHidden/>
          </w:rPr>
          <w:tab/>
        </w:r>
        <w:r>
          <w:rPr>
            <w:noProof/>
            <w:webHidden/>
          </w:rPr>
          <w:fldChar w:fldCharType="begin"/>
        </w:r>
        <w:r>
          <w:rPr>
            <w:noProof/>
            <w:webHidden/>
          </w:rPr>
          <w:instrText xml:space="preserve"> PAGEREF _Toc489138939 \h </w:instrText>
        </w:r>
        <w:r>
          <w:rPr>
            <w:noProof/>
            <w:webHidden/>
          </w:rPr>
        </w:r>
        <w:r>
          <w:rPr>
            <w:noProof/>
            <w:webHidden/>
          </w:rPr>
          <w:fldChar w:fldCharType="separate"/>
        </w:r>
        <w:r>
          <w:rPr>
            <w:noProof/>
            <w:webHidden/>
          </w:rPr>
          <w:t>161</w:t>
        </w:r>
        <w:r>
          <w:rPr>
            <w:noProof/>
            <w:webHidden/>
          </w:rPr>
          <w:fldChar w:fldCharType="end"/>
        </w:r>
      </w:hyperlink>
    </w:p>
    <w:p w:rsidR="009E3486" w:rsidRDefault="009E3486">
      <w:pPr>
        <w:pStyle w:val="TOC3"/>
        <w:tabs>
          <w:tab w:val="right" w:leader="dot" w:pos="9350"/>
        </w:tabs>
        <w:rPr>
          <w:noProof/>
        </w:rPr>
      </w:pPr>
      <w:hyperlink w:anchor="_Toc489138940" w:history="1">
        <w:r w:rsidRPr="00B825DB">
          <w:rPr>
            <w:rStyle w:val="Hyperlink"/>
            <w:noProof/>
          </w:rPr>
          <w:t>***Method Links***</w:t>
        </w:r>
        <w:r>
          <w:rPr>
            <w:noProof/>
            <w:webHidden/>
          </w:rPr>
          <w:tab/>
        </w:r>
        <w:r>
          <w:rPr>
            <w:noProof/>
            <w:webHidden/>
          </w:rPr>
          <w:fldChar w:fldCharType="begin"/>
        </w:r>
        <w:r>
          <w:rPr>
            <w:noProof/>
            <w:webHidden/>
          </w:rPr>
          <w:instrText xml:space="preserve"> PAGEREF _Toc489138940 \h </w:instrText>
        </w:r>
        <w:r>
          <w:rPr>
            <w:noProof/>
            <w:webHidden/>
          </w:rPr>
        </w:r>
        <w:r>
          <w:rPr>
            <w:noProof/>
            <w:webHidden/>
          </w:rPr>
          <w:fldChar w:fldCharType="separate"/>
        </w:r>
        <w:r>
          <w:rPr>
            <w:noProof/>
            <w:webHidden/>
          </w:rPr>
          <w:t>163</w:t>
        </w:r>
        <w:r>
          <w:rPr>
            <w:noProof/>
            <w:webHidden/>
          </w:rPr>
          <w:fldChar w:fldCharType="end"/>
        </w:r>
      </w:hyperlink>
    </w:p>
    <w:p w:rsidR="009E3486" w:rsidRDefault="009E3486">
      <w:pPr>
        <w:pStyle w:val="TOC3"/>
        <w:tabs>
          <w:tab w:val="right" w:leader="dot" w:pos="9350"/>
        </w:tabs>
        <w:rPr>
          <w:noProof/>
        </w:rPr>
      </w:pPr>
      <w:hyperlink w:anchor="_Toc489138941" w:history="1">
        <w:r w:rsidRPr="00B825DB">
          <w:rPr>
            <w:rStyle w:val="Hyperlink"/>
            <w:noProof/>
          </w:rPr>
          <w:t>Link: Anti-capitalism</w:t>
        </w:r>
        <w:r>
          <w:rPr>
            <w:noProof/>
            <w:webHidden/>
          </w:rPr>
          <w:tab/>
        </w:r>
        <w:r>
          <w:rPr>
            <w:noProof/>
            <w:webHidden/>
          </w:rPr>
          <w:fldChar w:fldCharType="begin"/>
        </w:r>
        <w:r>
          <w:rPr>
            <w:noProof/>
            <w:webHidden/>
          </w:rPr>
          <w:instrText xml:space="preserve"> PAGEREF _Toc489138941 \h </w:instrText>
        </w:r>
        <w:r>
          <w:rPr>
            <w:noProof/>
            <w:webHidden/>
          </w:rPr>
        </w:r>
        <w:r>
          <w:rPr>
            <w:noProof/>
            <w:webHidden/>
          </w:rPr>
          <w:fldChar w:fldCharType="separate"/>
        </w:r>
        <w:r>
          <w:rPr>
            <w:noProof/>
            <w:webHidden/>
          </w:rPr>
          <w:t>164</w:t>
        </w:r>
        <w:r>
          <w:rPr>
            <w:noProof/>
            <w:webHidden/>
          </w:rPr>
          <w:fldChar w:fldCharType="end"/>
        </w:r>
      </w:hyperlink>
    </w:p>
    <w:p w:rsidR="009E3486" w:rsidRDefault="009E3486">
      <w:pPr>
        <w:pStyle w:val="TOC3"/>
        <w:tabs>
          <w:tab w:val="right" w:leader="dot" w:pos="9350"/>
        </w:tabs>
        <w:rPr>
          <w:noProof/>
        </w:rPr>
      </w:pPr>
      <w:hyperlink w:anchor="_Toc489138942" w:history="1">
        <w:r w:rsidRPr="00B825DB">
          <w:rPr>
            <w:rStyle w:val="Hyperlink"/>
            <w:noProof/>
          </w:rPr>
          <w:t>Link: Horizontal Spaces / Emergent Communities</w:t>
        </w:r>
        <w:r>
          <w:rPr>
            <w:noProof/>
            <w:webHidden/>
          </w:rPr>
          <w:tab/>
        </w:r>
        <w:r>
          <w:rPr>
            <w:noProof/>
            <w:webHidden/>
          </w:rPr>
          <w:fldChar w:fldCharType="begin"/>
        </w:r>
        <w:r>
          <w:rPr>
            <w:noProof/>
            <w:webHidden/>
          </w:rPr>
          <w:instrText xml:space="preserve"> PAGEREF _Toc489138942 \h </w:instrText>
        </w:r>
        <w:r>
          <w:rPr>
            <w:noProof/>
            <w:webHidden/>
          </w:rPr>
        </w:r>
        <w:r>
          <w:rPr>
            <w:noProof/>
            <w:webHidden/>
          </w:rPr>
          <w:fldChar w:fldCharType="separate"/>
        </w:r>
        <w:r>
          <w:rPr>
            <w:noProof/>
            <w:webHidden/>
          </w:rPr>
          <w:t>166</w:t>
        </w:r>
        <w:r>
          <w:rPr>
            <w:noProof/>
            <w:webHidden/>
          </w:rPr>
          <w:fldChar w:fldCharType="end"/>
        </w:r>
      </w:hyperlink>
    </w:p>
    <w:p w:rsidR="009E3486" w:rsidRDefault="009E3486">
      <w:pPr>
        <w:pStyle w:val="TOC3"/>
        <w:tabs>
          <w:tab w:val="right" w:leader="dot" w:pos="9350"/>
        </w:tabs>
        <w:rPr>
          <w:noProof/>
        </w:rPr>
      </w:pPr>
      <w:hyperlink w:anchor="_Toc489138943" w:history="1">
        <w:r w:rsidRPr="00B825DB">
          <w:rPr>
            <w:rStyle w:val="Hyperlink"/>
            <w:noProof/>
          </w:rPr>
          <w:t>Link: Identity</w:t>
        </w:r>
        <w:r>
          <w:rPr>
            <w:noProof/>
            <w:webHidden/>
          </w:rPr>
          <w:tab/>
        </w:r>
        <w:r>
          <w:rPr>
            <w:noProof/>
            <w:webHidden/>
          </w:rPr>
          <w:fldChar w:fldCharType="begin"/>
        </w:r>
        <w:r>
          <w:rPr>
            <w:noProof/>
            <w:webHidden/>
          </w:rPr>
          <w:instrText xml:space="preserve"> PAGEREF _Toc489138943 \h </w:instrText>
        </w:r>
        <w:r>
          <w:rPr>
            <w:noProof/>
            <w:webHidden/>
          </w:rPr>
        </w:r>
        <w:r>
          <w:rPr>
            <w:noProof/>
            <w:webHidden/>
          </w:rPr>
          <w:fldChar w:fldCharType="separate"/>
        </w:r>
        <w:r>
          <w:rPr>
            <w:noProof/>
            <w:webHidden/>
          </w:rPr>
          <w:t>170</w:t>
        </w:r>
        <w:r>
          <w:rPr>
            <w:noProof/>
            <w:webHidden/>
          </w:rPr>
          <w:fldChar w:fldCharType="end"/>
        </w:r>
      </w:hyperlink>
    </w:p>
    <w:p w:rsidR="009E3486" w:rsidRDefault="009E3486">
      <w:pPr>
        <w:pStyle w:val="TOC3"/>
        <w:tabs>
          <w:tab w:val="right" w:leader="dot" w:pos="9350"/>
        </w:tabs>
        <w:rPr>
          <w:noProof/>
        </w:rPr>
      </w:pPr>
      <w:hyperlink w:anchor="_Toc489138944" w:history="1">
        <w:r w:rsidRPr="00B825DB">
          <w:rPr>
            <w:rStyle w:val="Hyperlink"/>
            <w:noProof/>
          </w:rPr>
          <w:t>Link: Occupy politics</w:t>
        </w:r>
        <w:r>
          <w:rPr>
            <w:noProof/>
            <w:webHidden/>
          </w:rPr>
          <w:tab/>
        </w:r>
        <w:r>
          <w:rPr>
            <w:noProof/>
            <w:webHidden/>
          </w:rPr>
          <w:fldChar w:fldCharType="begin"/>
        </w:r>
        <w:r>
          <w:rPr>
            <w:noProof/>
            <w:webHidden/>
          </w:rPr>
          <w:instrText xml:space="preserve"> PAGEREF _Toc489138944 \h </w:instrText>
        </w:r>
        <w:r>
          <w:rPr>
            <w:noProof/>
            <w:webHidden/>
          </w:rPr>
        </w:r>
        <w:r>
          <w:rPr>
            <w:noProof/>
            <w:webHidden/>
          </w:rPr>
          <w:fldChar w:fldCharType="separate"/>
        </w:r>
        <w:r>
          <w:rPr>
            <w:noProof/>
            <w:webHidden/>
          </w:rPr>
          <w:t>173</w:t>
        </w:r>
        <w:r>
          <w:rPr>
            <w:noProof/>
            <w:webHidden/>
          </w:rPr>
          <w:fldChar w:fldCharType="end"/>
        </w:r>
      </w:hyperlink>
    </w:p>
    <w:p w:rsidR="009E3486" w:rsidRDefault="009E3486">
      <w:pPr>
        <w:pStyle w:val="TOC3"/>
        <w:tabs>
          <w:tab w:val="right" w:leader="dot" w:pos="9350"/>
        </w:tabs>
        <w:rPr>
          <w:noProof/>
        </w:rPr>
      </w:pPr>
      <w:hyperlink w:anchor="_Toc489138945" w:history="1">
        <w:r w:rsidRPr="00B825DB">
          <w:rPr>
            <w:rStyle w:val="Hyperlink"/>
            <w:noProof/>
          </w:rPr>
          <w:t>Link: Studious Play/Bartebly’s refusal</w:t>
        </w:r>
        <w:r>
          <w:rPr>
            <w:noProof/>
            <w:webHidden/>
          </w:rPr>
          <w:tab/>
        </w:r>
        <w:r>
          <w:rPr>
            <w:noProof/>
            <w:webHidden/>
          </w:rPr>
          <w:fldChar w:fldCharType="begin"/>
        </w:r>
        <w:r>
          <w:rPr>
            <w:noProof/>
            <w:webHidden/>
          </w:rPr>
          <w:instrText xml:space="preserve"> PAGEREF _Toc489138945 \h </w:instrText>
        </w:r>
        <w:r>
          <w:rPr>
            <w:noProof/>
            <w:webHidden/>
          </w:rPr>
        </w:r>
        <w:r>
          <w:rPr>
            <w:noProof/>
            <w:webHidden/>
          </w:rPr>
          <w:fldChar w:fldCharType="separate"/>
        </w:r>
        <w:r>
          <w:rPr>
            <w:noProof/>
            <w:webHidden/>
          </w:rPr>
          <w:t>177</w:t>
        </w:r>
        <w:r>
          <w:rPr>
            <w:noProof/>
            <w:webHidden/>
          </w:rPr>
          <w:fldChar w:fldCharType="end"/>
        </w:r>
      </w:hyperlink>
    </w:p>
    <w:p w:rsidR="009E3486" w:rsidRDefault="009E3486">
      <w:pPr>
        <w:pStyle w:val="TOC3"/>
        <w:tabs>
          <w:tab w:val="right" w:leader="dot" w:pos="9350"/>
        </w:tabs>
        <w:rPr>
          <w:noProof/>
        </w:rPr>
      </w:pPr>
      <w:hyperlink w:anchor="_Toc489138946" w:history="1">
        <w:r w:rsidRPr="00B825DB">
          <w:rPr>
            <w:rStyle w:val="Hyperlink"/>
            <w:noProof/>
          </w:rPr>
          <w:t>Link: Utopianism</w:t>
        </w:r>
        <w:r>
          <w:rPr>
            <w:noProof/>
            <w:webHidden/>
          </w:rPr>
          <w:tab/>
        </w:r>
        <w:r>
          <w:rPr>
            <w:noProof/>
            <w:webHidden/>
          </w:rPr>
          <w:fldChar w:fldCharType="begin"/>
        </w:r>
        <w:r>
          <w:rPr>
            <w:noProof/>
            <w:webHidden/>
          </w:rPr>
          <w:instrText xml:space="preserve"> PAGEREF _Toc489138946 \h </w:instrText>
        </w:r>
        <w:r>
          <w:rPr>
            <w:noProof/>
            <w:webHidden/>
          </w:rPr>
        </w:r>
        <w:r>
          <w:rPr>
            <w:noProof/>
            <w:webHidden/>
          </w:rPr>
          <w:fldChar w:fldCharType="separate"/>
        </w:r>
        <w:r>
          <w:rPr>
            <w:noProof/>
            <w:webHidden/>
          </w:rPr>
          <w:t>182</w:t>
        </w:r>
        <w:r>
          <w:rPr>
            <w:noProof/>
            <w:webHidden/>
          </w:rPr>
          <w:fldChar w:fldCharType="end"/>
        </w:r>
      </w:hyperlink>
    </w:p>
    <w:p w:rsidR="009E3486" w:rsidRDefault="009E3486">
      <w:pPr>
        <w:pStyle w:val="TOC3"/>
        <w:tabs>
          <w:tab w:val="right" w:leader="dot" w:pos="9350"/>
        </w:tabs>
        <w:rPr>
          <w:noProof/>
        </w:rPr>
      </w:pPr>
      <w:hyperlink w:anchor="_Toc489138947" w:history="1">
        <w:r w:rsidRPr="00B825DB">
          <w:rPr>
            <w:rStyle w:val="Hyperlink"/>
            <w:noProof/>
          </w:rPr>
          <w:t>***Impacts***</w:t>
        </w:r>
        <w:r>
          <w:rPr>
            <w:noProof/>
            <w:webHidden/>
          </w:rPr>
          <w:tab/>
        </w:r>
        <w:r>
          <w:rPr>
            <w:noProof/>
            <w:webHidden/>
          </w:rPr>
          <w:fldChar w:fldCharType="begin"/>
        </w:r>
        <w:r>
          <w:rPr>
            <w:noProof/>
            <w:webHidden/>
          </w:rPr>
          <w:instrText xml:space="preserve"> PAGEREF _Toc489138947 \h </w:instrText>
        </w:r>
        <w:r>
          <w:rPr>
            <w:noProof/>
            <w:webHidden/>
          </w:rPr>
        </w:r>
        <w:r>
          <w:rPr>
            <w:noProof/>
            <w:webHidden/>
          </w:rPr>
          <w:fldChar w:fldCharType="separate"/>
        </w:r>
        <w:r>
          <w:rPr>
            <w:noProof/>
            <w:webHidden/>
          </w:rPr>
          <w:t>184</w:t>
        </w:r>
        <w:r>
          <w:rPr>
            <w:noProof/>
            <w:webHidden/>
          </w:rPr>
          <w:fldChar w:fldCharType="end"/>
        </w:r>
      </w:hyperlink>
    </w:p>
    <w:p w:rsidR="009E3486" w:rsidRDefault="009E3486">
      <w:pPr>
        <w:pStyle w:val="TOC3"/>
        <w:tabs>
          <w:tab w:val="right" w:leader="dot" w:pos="9350"/>
        </w:tabs>
        <w:rPr>
          <w:noProof/>
        </w:rPr>
      </w:pPr>
      <w:hyperlink w:anchor="_Toc489138948" w:history="1">
        <w:r w:rsidRPr="00B825DB">
          <w:rPr>
            <w:rStyle w:val="Hyperlink"/>
            <w:noProof/>
          </w:rPr>
          <w:t>Impact: Biocapitalist Withering</w:t>
        </w:r>
        <w:r>
          <w:rPr>
            <w:noProof/>
            <w:webHidden/>
          </w:rPr>
          <w:tab/>
        </w:r>
        <w:r>
          <w:rPr>
            <w:noProof/>
            <w:webHidden/>
          </w:rPr>
          <w:fldChar w:fldCharType="begin"/>
        </w:r>
        <w:r>
          <w:rPr>
            <w:noProof/>
            <w:webHidden/>
          </w:rPr>
          <w:instrText xml:space="preserve"> PAGEREF _Toc489138948 \h </w:instrText>
        </w:r>
        <w:r>
          <w:rPr>
            <w:noProof/>
            <w:webHidden/>
          </w:rPr>
        </w:r>
        <w:r>
          <w:rPr>
            <w:noProof/>
            <w:webHidden/>
          </w:rPr>
          <w:fldChar w:fldCharType="separate"/>
        </w:r>
        <w:r>
          <w:rPr>
            <w:noProof/>
            <w:webHidden/>
          </w:rPr>
          <w:t>185</w:t>
        </w:r>
        <w:r>
          <w:rPr>
            <w:noProof/>
            <w:webHidden/>
          </w:rPr>
          <w:fldChar w:fldCharType="end"/>
        </w:r>
      </w:hyperlink>
    </w:p>
    <w:p w:rsidR="009E3486" w:rsidRDefault="009E3486">
      <w:pPr>
        <w:pStyle w:val="TOC3"/>
        <w:tabs>
          <w:tab w:val="right" w:leader="dot" w:pos="9350"/>
        </w:tabs>
        <w:rPr>
          <w:noProof/>
        </w:rPr>
      </w:pPr>
      <w:hyperlink w:anchor="_Toc489138949" w:history="1">
        <w:r w:rsidRPr="00B825DB">
          <w:rPr>
            <w:rStyle w:val="Hyperlink"/>
            <w:noProof/>
          </w:rPr>
          <w:t>Impact: Capitalism</w:t>
        </w:r>
        <w:r>
          <w:rPr>
            <w:noProof/>
            <w:webHidden/>
          </w:rPr>
          <w:tab/>
        </w:r>
        <w:r>
          <w:rPr>
            <w:noProof/>
            <w:webHidden/>
          </w:rPr>
          <w:fldChar w:fldCharType="begin"/>
        </w:r>
        <w:r>
          <w:rPr>
            <w:noProof/>
            <w:webHidden/>
          </w:rPr>
          <w:instrText xml:space="preserve"> PAGEREF _Toc489138949 \h </w:instrText>
        </w:r>
        <w:r>
          <w:rPr>
            <w:noProof/>
            <w:webHidden/>
          </w:rPr>
        </w:r>
        <w:r>
          <w:rPr>
            <w:noProof/>
            <w:webHidden/>
          </w:rPr>
          <w:fldChar w:fldCharType="separate"/>
        </w:r>
        <w:r>
          <w:rPr>
            <w:noProof/>
            <w:webHidden/>
          </w:rPr>
          <w:t>187</w:t>
        </w:r>
        <w:r>
          <w:rPr>
            <w:noProof/>
            <w:webHidden/>
          </w:rPr>
          <w:fldChar w:fldCharType="end"/>
        </w:r>
      </w:hyperlink>
    </w:p>
    <w:p w:rsidR="009E3486" w:rsidRDefault="009E3486">
      <w:pPr>
        <w:pStyle w:val="TOC3"/>
        <w:tabs>
          <w:tab w:val="right" w:leader="dot" w:pos="9350"/>
        </w:tabs>
        <w:rPr>
          <w:noProof/>
        </w:rPr>
      </w:pPr>
      <w:hyperlink w:anchor="_Toc489138950" w:history="1">
        <w:r w:rsidRPr="00B825DB">
          <w:rPr>
            <w:rStyle w:val="Hyperlink"/>
            <w:noProof/>
          </w:rPr>
          <w:t>Impact: Homonationalism</w:t>
        </w:r>
        <w:r>
          <w:rPr>
            <w:noProof/>
            <w:webHidden/>
          </w:rPr>
          <w:tab/>
        </w:r>
        <w:r>
          <w:rPr>
            <w:noProof/>
            <w:webHidden/>
          </w:rPr>
          <w:fldChar w:fldCharType="begin"/>
        </w:r>
        <w:r>
          <w:rPr>
            <w:noProof/>
            <w:webHidden/>
          </w:rPr>
          <w:instrText xml:space="preserve"> PAGEREF _Toc489138950 \h </w:instrText>
        </w:r>
        <w:r>
          <w:rPr>
            <w:noProof/>
            <w:webHidden/>
          </w:rPr>
        </w:r>
        <w:r>
          <w:rPr>
            <w:noProof/>
            <w:webHidden/>
          </w:rPr>
          <w:fldChar w:fldCharType="separate"/>
        </w:r>
        <w:r>
          <w:rPr>
            <w:noProof/>
            <w:webHidden/>
          </w:rPr>
          <w:t>189</w:t>
        </w:r>
        <w:r>
          <w:rPr>
            <w:noProof/>
            <w:webHidden/>
          </w:rPr>
          <w:fldChar w:fldCharType="end"/>
        </w:r>
      </w:hyperlink>
    </w:p>
    <w:p w:rsidR="009E3486" w:rsidRDefault="009E3486">
      <w:pPr>
        <w:pStyle w:val="TOC3"/>
        <w:tabs>
          <w:tab w:val="right" w:leader="dot" w:pos="9350"/>
        </w:tabs>
        <w:rPr>
          <w:noProof/>
        </w:rPr>
      </w:pPr>
      <w:hyperlink w:anchor="_Toc489138951" w:history="1">
        <w:r w:rsidRPr="00B825DB">
          <w:rPr>
            <w:rStyle w:val="Hyperlink"/>
            <w:noProof/>
          </w:rPr>
          <w:t>Impact: Overkill</w:t>
        </w:r>
        <w:r>
          <w:rPr>
            <w:noProof/>
            <w:webHidden/>
          </w:rPr>
          <w:tab/>
        </w:r>
        <w:r>
          <w:rPr>
            <w:noProof/>
            <w:webHidden/>
          </w:rPr>
          <w:fldChar w:fldCharType="begin"/>
        </w:r>
        <w:r>
          <w:rPr>
            <w:noProof/>
            <w:webHidden/>
          </w:rPr>
          <w:instrText xml:space="preserve"> PAGEREF _Toc489138951 \h </w:instrText>
        </w:r>
        <w:r>
          <w:rPr>
            <w:noProof/>
            <w:webHidden/>
          </w:rPr>
        </w:r>
        <w:r>
          <w:rPr>
            <w:noProof/>
            <w:webHidden/>
          </w:rPr>
          <w:fldChar w:fldCharType="separate"/>
        </w:r>
        <w:r>
          <w:rPr>
            <w:noProof/>
            <w:webHidden/>
          </w:rPr>
          <w:t>193</w:t>
        </w:r>
        <w:r>
          <w:rPr>
            <w:noProof/>
            <w:webHidden/>
          </w:rPr>
          <w:fldChar w:fldCharType="end"/>
        </w:r>
      </w:hyperlink>
    </w:p>
    <w:p w:rsidR="009E3486" w:rsidRDefault="009E3486">
      <w:pPr>
        <w:pStyle w:val="TOC3"/>
        <w:tabs>
          <w:tab w:val="right" w:leader="dot" w:pos="9350"/>
        </w:tabs>
        <w:rPr>
          <w:noProof/>
        </w:rPr>
      </w:pPr>
      <w:hyperlink w:anchor="_Toc489138952" w:history="1">
        <w:r w:rsidRPr="00B825DB">
          <w:rPr>
            <w:rStyle w:val="Hyperlink"/>
            <w:noProof/>
          </w:rPr>
          <w:t>Turns: CS Diversity</w:t>
        </w:r>
        <w:r>
          <w:rPr>
            <w:noProof/>
            <w:webHidden/>
          </w:rPr>
          <w:tab/>
        </w:r>
        <w:r>
          <w:rPr>
            <w:noProof/>
            <w:webHidden/>
          </w:rPr>
          <w:fldChar w:fldCharType="begin"/>
        </w:r>
        <w:r>
          <w:rPr>
            <w:noProof/>
            <w:webHidden/>
          </w:rPr>
          <w:instrText xml:space="preserve"> PAGEREF _Toc489138952 \h </w:instrText>
        </w:r>
        <w:r>
          <w:rPr>
            <w:noProof/>
            <w:webHidden/>
          </w:rPr>
        </w:r>
        <w:r>
          <w:rPr>
            <w:noProof/>
            <w:webHidden/>
          </w:rPr>
          <w:fldChar w:fldCharType="separate"/>
        </w:r>
        <w:r>
          <w:rPr>
            <w:noProof/>
            <w:webHidden/>
          </w:rPr>
          <w:t>195</w:t>
        </w:r>
        <w:r>
          <w:rPr>
            <w:noProof/>
            <w:webHidden/>
          </w:rPr>
          <w:fldChar w:fldCharType="end"/>
        </w:r>
      </w:hyperlink>
    </w:p>
    <w:p w:rsidR="009E3486" w:rsidRDefault="009E3486">
      <w:pPr>
        <w:pStyle w:val="TOC3"/>
        <w:tabs>
          <w:tab w:val="right" w:leader="dot" w:pos="9350"/>
        </w:tabs>
        <w:rPr>
          <w:noProof/>
        </w:rPr>
      </w:pPr>
      <w:hyperlink w:anchor="_Toc489138953" w:history="1">
        <w:r w:rsidRPr="00B825DB">
          <w:rPr>
            <w:rStyle w:val="Hyperlink"/>
            <w:noProof/>
          </w:rPr>
          <w:t>Turns: Achievment Gaps</w:t>
        </w:r>
        <w:r>
          <w:rPr>
            <w:noProof/>
            <w:webHidden/>
          </w:rPr>
          <w:tab/>
        </w:r>
        <w:r>
          <w:rPr>
            <w:noProof/>
            <w:webHidden/>
          </w:rPr>
          <w:fldChar w:fldCharType="begin"/>
        </w:r>
        <w:r>
          <w:rPr>
            <w:noProof/>
            <w:webHidden/>
          </w:rPr>
          <w:instrText xml:space="preserve"> PAGEREF _Toc489138953 \h </w:instrText>
        </w:r>
        <w:r>
          <w:rPr>
            <w:noProof/>
            <w:webHidden/>
          </w:rPr>
        </w:r>
        <w:r>
          <w:rPr>
            <w:noProof/>
            <w:webHidden/>
          </w:rPr>
          <w:fldChar w:fldCharType="separate"/>
        </w:r>
        <w:r>
          <w:rPr>
            <w:noProof/>
            <w:webHidden/>
          </w:rPr>
          <w:t>197</w:t>
        </w:r>
        <w:r>
          <w:rPr>
            <w:noProof/>
            <w:webHidden/>
          </w:rPr>
          <w:fldChar w:fldCharType="end"/>
        </w:r>
      </w:hyperlink>
    </w:p>
    <w:p w:rsidR="009E3486" w:rsidRDefault="009E3486">
      <w:pPr>
        <w:pStyle w:val="TOC3"/>
        <w:tabs>
          <w:tab w:val="right" w:leader="dot" w:pos="9350"/>
        </w:tabs>
        <w:rPr>
          <w:noProof/>
        </w:rPr>
      </w:pPr>
      <w:hyperlink w:anchor="_Toc489138954" w:history="1">
        <w:r w:rsidRPr="00B825DB">
          <w:rPr>
            <w:rStyle w:val="Hyperlink"/>
            <w:noProof/>
          </w:rPr>
          <w:t>***Alts***</w:t>
        </w:r>
        <w:r>
          <w:rPr>
            <w:noProof/>
            <w:webHidden/>
          </w:rPr>
          <w:tab/>
        </w:r>
        <w:r>
          <w:rPr>
            <w:noProof/>
            <w:webHidden/>
          </w:rPr>
          <w:fldChar w:fldCharType="begin"/>
        </w:r>
        <w:r>
          <w:rPr>
            <w:noProof/>
            <w:webHidden/>
          </w:rPr>
          <w:instrText xml:space="preserve"> PAGEREF _Toc489138954 \h </w:instrText>
        </w:r>
        <w:r>
          <w:rPr>
            <w:noProof/>
            <w:webHidden/>
          </w:rPr>
        </w:r>
        <w:r>
          <w:rPr>
            <w:noProof/>
            <w:webHidden/>
          </w:rPr>
          <w:fldChar w:fldCharType="separate"/>
        </w:r>
        <w:r>
          <w:rPr>
            <w:noProof/>
            <w:webHidden/>
          </w:rPr>
          <w:t>198</w:t>
        </w:r>
        <w:r>
          <w:rPr>
            <w:noProof/>
            <w:webHidden/>
          </w:rPr>
          <w:fldChar w:fldCharType="end"/>
        </w:r>
      </w:hyperlink>
    </w:p>
    <w:p w:rsidR="009E3486" w:rsidRDefault="009E3486">
      <w:pPr>
        <w:pStyle w:val="TOC3"/>
        <w:tabs>
          <w:tab w:val="right" w:leader="dot" w:pos="9350"/>
        </w:tabs>
        <w:rPr>
          <w:noProof/>
        </w:rPr>
      </w:pPr>
      <w:hyperlink w:anchor="_Toc489138955" w:history="1">
        <w:r w:rsidRPr="00B825DB">
          <w:rPr>
            <w:rStyle w:val="Hyperlink"/>
            <w:noProof/>
          </w:rPr>
          <w:t>Alt: Queer Negativity</w:t>
        </w:r>
        <w:r>
          <w:rPr>
            <w:noProof/>
            <w:webHidden/>
          </w:rPr>
          <w:tab/>
        </w:r>
        <w:r>
          <w:rPr>
            <w:noProof/>
            <w:webHidden/>
          </w:rPr>
          <w:fldChar w:fldCharType="begin"/>
        </w:r>
        <w:r>
          <w:rPr>
            <w:noProof/>
            <w:webHidden/>
          </w:rPr>
          <w:instrText xml:space="preserve"> PAGEREF _Toc489138955 \h </w:instrText>
        </w:r>
        <w:r>
          <w:rPr>
            <w:noProof/>
            <w:webHidden/>
          </w:rPr>
        </w:r>
        <w:r>
          <w:rPr>
            <w:noProof/>
            <w:webHidden/>
          </w:rPr>
          <w:fldChar w:fldCharType="separate"/>
        </w:r>
        <w:r>
          <w:rPr>
            <w:noProof/>
            <w:webHidden/>
          </w:rPr>
          <w:t>199</w:t>
        </w:r>
        <w:r>
          <w:rPr>
            <w:noProof/>
            <w:webHidden/>
          </w:rPr>
          <w:fldChar w:fldCharType="end"/>
        </w:r>
      </w:hyperlink>
    </w:p>
    <w:p w:rsidR="009E3486" w:rsidRDefault="009E3486">
      <w:pPr>
        <w:pStyle w:val="TOC3"/>
        <w:tabs>
          <w:tab w:val="right" w:leader="dot" w:pos="9350"/>
        </w:tabs>
        <w:rPr>
          <w:noProof/>
        </w:rPr>
      </w:pPr>
      <w:hyperlink w:anchor="_Toc489138956" w:history="1">
        <w:r w:rsidRPr="00B825DB">
          <w:rPr>
            <w:rStyle w:val="Hyperlink"/>
            <w:noProof/>
          </w:rPr>
          <w:t>Alt: Bareback Pedagogy</w:t>
        </w:r>
        <w:r>
          <w:rPr>
            <w:noProof/>
            <w:webHidden/>
          </w:rPr>
          <w:tab/>
        </w:r>
        <w:r>
          <w:rPr>
            <w:noProof/>
            <w:webHidden/>
          </w:rPr>
          <w:fldChar w:fldCharType="begin"/>
        </w:r>
        <w:r>
          <w:rPr>
            <w:noProof/>
            <w:webHidden/>
          </w:rPr>
          <w:instrText xml:space="preserve"> PAGEREF _Toc489138956 \h </w:instrText>
        </w:r>
        <w:r>
          <w:rPr>
            <w:noProof/>
            <w:webHidden/>
          </w:rPr>
        </w:r>
        <w:r>
          <w:rPr>
            <w:noProof/>
            <w:webHidden/>
          </w:rPr>
          <w:fldChar w:fldCharType="separate"/>
        </w:r>
        <w:r>
          <w:rPr>
            <w:noProof/>
            <w:webHidden/>
          </w:rPr>
          <w:t>207</w:t>
        </w:r>
        <w:r>
          <w:rPr>
            <w:noProof/>
            <w:webHidden/>
          </w:rPr>
          <w:fldChar w:fldCharType="end"/>
        </w:r>
      </w:hyperlink>
    </w:p>
    <w:p w:rsidR="009E3486" w:rsidRDefault="009E3486">
      <w:pPr>
        <w:pStyle w:val="TOC3"/>
        <w:tabs>
          <w:tab w:val="right" w:leader="dot" w:pos="9350"/>
        </w:tabs>
        <w:rPr>
          <w:noProof/>
        </w:rPr>
      </w:pPr>
      <w:hyperlink w:anchor="_Toc489138957" w:history="1">
        <w:r w:rsidRPr="00B825DB">
          <w:rPr>
            <w:rStyle w:val="Hyperlink"/>
            <w:noProof/>
          </w:rPr>
          <w:t>Alt: Bareback Pedagogy—Queer Thrival</w:t>
        </w:r>
        <w:r>
          <w:rPr>
            <w:noProof/>
            <w:webHidden/>
          </w:rPr>
          <w:tab/>
        </w:r>
        <w:r>
          <w:rPr>
            <w:noProof/>
            <w:webHidden/>
          </w:rPr>
          <w:fldChar w:fldCharType="begin"/>
        </w:r>
        <w:r>
          <w:rPr>
            <w:noProof/>
            <w:webHidden/>
          </w:rPr>
          <w:instrText xml:space="preserve"> PAGEREF _Toc489138957 \h </w:instrText>
        </w:r>
        <w:r>
          <w:rPr>
            <w:noProof/>
            <w:webHidden/>
          </w:rPr>
        </w:r>
        <w:r>
          <w:rPr>
            <w:noProof/>
            <w:webHidden/>
          </w:rPr>
          <w:fldChar w:fldCharType="separate"/>
        </w:r>
        <w:r>
          <w:rPr>
            <w:noProof/>
            <w:webHidden/>
          </w:rPr>
          <w:t>211</w:t>
        </w:r>
        <w:r>
          <w:rPr>
            <w:noProof/>
            <w:webHidden/>
          </w:rPr>
          <w:fldChar w:fldCharType="end"/>
        </w:r>
      </w:hyperlink>
    </w:p>
    <w:p w:rsidR="009E3486" w:rsidRDefault="009E3486">
      <w:pPr>
        <w:pStyle w:val="TOC1"/>
        <w:tabs>
          <w:tab w:val="right" w:leader="dot" w:pos="9350"/>
        </w:tabs>
        <w:rPr>
          <w:noProof/>
        </w:rPr>
      </w:pPr>
      <w:hyperlink w:anchor="_Toc489138958" w:history="1">
        <w:r w:rsidRPr="00B825DB">
          <w:rPr>
            <w:rStyle w:val="Hyperlink"/>
            <w:noProof/>
          </w:rPr>
          <w:t>Queer Failure</w:t>
        </w:r>
        <w:r>
          <w:rPr>
            <w:noProof/>
            <w:webHidden/>
          </w:rPr>
          <w:tab/>
        </w:r>
        <w:r>
          <w:rPr>
            <w:noProof/>
            <w:webHidden/>
          </w:rPr>
          <w:fldChar w:fldCharType="begin"/>
        </w:r>
        <w:r>
          <w:rPr>
            <w:noProof/>
            <w:webHidden/>
          </w:rPr>
          <w:instrText xml:space="preserve"> PAGEREF _Toc489138958 \h </w:instrText>
        </w:r>
        <w:r>
          <w:rPr>
            <w:noProof/>
            <w:webHidden/>
          </w:rPr>
        </w:r>
        <w:r>
          <w:rPr>
            <w:noProof/>
            <w:webHidden/>
          </w:rPr>
          <w:fldChar w:fldCharType="separate"/>
        </w:r>
        <w:r>
          <w:rPr>
            <w:noProof/>
            <w:webHidden/>
          </w:rPr>
          <w:t>213</w:t>
        </w:r>
        <w:r>
          <w:rPr>
            <w:noProof/>
            <w:webHidden/>
          </w:rPr>
          <w:fldChar w:fldCharType="end"/>
        </w:r>
      </w:hyperlink>
    </w:p>
    <w:p w:rsidR="009E3486" w:rsidRDefault="009E3486">
      <w:pPr>
        <w:pStyle w:val="TOC3"/>
        <w:tabs>
          <w:tab w:val="right" w:leader="dot" w:pos="9350"/>
        </w:tabs>
        <w:rPr>
          <w:noProof/>
        </w:rPr>
      </w:pPr>
      <w:hyperlink w:anchor="_Toc489138959" w:history="1">
        <w:r w:rsidRPr="00B825DB">
          <w:rPr>
            <w:rStyle w:val="Hyperlink"/>
            <w:noProof/>
          </w:rPr>
          <w:t>Notes for deployment/organization:</w:t>
        </w:r>
        <w:r>
          <w:rPr>
            <w:noProof/>
            <w:webHidden/>
          </w:rPr>
          <w:tab/>
        </w:r>
        <w:r>
          <w:rPr>
            <w:noProof/>
            <w:webHidden/>
          </w:rPr>
          <w:fldChar w:fldCharType="begin"/>
        </w:r>
        <w:r>
          <w:rPr>
            <w:noProof/>
            <w:webHidden/>
          </w:rPr>
          <w:instrText xml:space="preserve"> PAGEREF _Toc489138959 \h </w:instrText>
        </w:r>
        <w:r>
          <w:rPr>
            <w:noProof/>
            <w:webHidden/>
          </w:rPr>
        </w:r>
        <w:r>
          <w:rPr>
            <w:noProof/>
            <w:webHidden/>
          </w:rPr>
          <w:fldChar w:fldCharType="separate"/>
        </w:r>
        <w:r>
          <w:rPr>
            <w:noProof/>
            <w:webHidden/>
          </w:rPr>
          <w:t>214</w:t>
        </w:r>
        <w:r>
          <w:rPr>
            <w:noProof/>
            <w:webHidden/>
          </w:rPr>
          <w:fldChar w:fldCharType="end"/>
        </w:r>
      </w:hyperlink>
    </w:p>
    <w:p w:rsidR="009E3486" w:rsidRDefault="009E3486">
      <w:pPr>
        <w:pStyle w:val="TOC3"/>
        <w:tabs>
          <w:tab w:val="right" w:leader="dot" w:pos="9350"/>
        </w:tabs>
        <w:rPr>
          <w:noProof/>
        </w:rPr>
      </w:pPr>
      <w:hyperlink w:anchor="_Toc489138960" w:history="1">
        <w:r w:rsidRPr="00B825DB">
          <w:rPr>
            <w:rStyle w:val="Hyperlink"/>
            <w:noProof/>
          </w:rPr>
          <w:t>Link: Education—Failure</w:t>
        </w:r>
        <w:r>
          <w:rPr>
            <w:noProof/>
            <w:webHidden/>
          </w:rPr>
          <w:tab/>
        </w:r>
        <w:r>
          <w:rPr>
            <w:noProof/>
            <w:webHidden/>
          </w:rPr>
          <w:fldChar w:fldCharType="begin"/>
        </w:r>
        <w:r>
          <w:rPr>
            <w:noProof/>
            <w:webHidden/>
          </w:rPr>
          <w:instrText xml:space="preserve"> PAGEREF _Toc489138960 \h </w:instrText>
        </w:r>
        <w:r>
          <w:rPr>
            <w:noProof/>
            <w:webHidden/>
          </w:rPr>
        </w:r>
        <w:r>
          <w:rPr>
            <w:noProof/>
            <w:webHidden/>
          </w:rPr>
          <w:fldChar w:fldCharType="separate"/>
        </w:r>
        <w:r>
          <w:rPr>
            <w:noProof/>
            <w:webHidden/>
          </w:rPr>
          <w:t>215</w:t>
        </w:r>
        <w:r>
          <w:rPr>
            <w:noProof/>
            <w:webHidden/>
          </w:rPr>
          <w:fldChar w:fldCharType="end"/>
        </w:r>
      </w:hyperlink>
    </w:p>
    <w:p w:rsidR="009E3486" w:rsidRDefault="009E3486">
      <w:pPr>
        <w:pStyle w:val="TOC3"/>
        <w:tabs>
          <w:tab w:val="right" w:leader="dot" w:pos="9350"/>
        </w:tabs>
        <w:rPr>
          <w:noProof/>
        </w:rPr>
      </w:pPr>
      <w:hyperlink w:anchor="_Toc489138961" w:history="1">
        <w:r w:rsidRPr="00B825DB">
          <w:rPr>
            <w:rStyle w:val="Hyperlink"/>
            <w:noProof/>
          </w:rPr>
          <w:t>Link: Crisis Management</w:t>
        </w:r>
        <w:r>
          <w:rPr>
            <w:noProof/>
            <w:webHidden/>
          </w:rPr>
          <w:tab/>
        </w:r>
        <w:r>
          <w:rPr>
            <w:noProof/>
            <w:webHidden/>
          </w:rPr>
          <w:fldChar w:fldCharType="begin"/>
        </w:r>
        <w:r>
          <w:rPr>
            <w:noProof/>
            <w:webHidden/>
          </w:rPr>
          <w:instrText xml:space="preserve"> PAGEREF _Toc489138961 \h </w:instrText>
        </w:r>
        <w:r>
          <w:rPr>
            <w:noProof/>
            <w:webHidden/>
          </w:rPr>
        </w:r>
        <w:r>
          <w:rPr>
            <w:noProof/>
            <w:webHidden/>
          </w:rPr>
          <w:fldChar w:fldCharType="separate"/>
        </w:r>
        <w:r>
          <w:rPr>
            <w:noProof/>
            <w:webHidden/>
          </w:rPr>
          <w:t>216</w:t>
        </w:r>
        <w:r>
          <w:rPr>
            <w:noProof/>
            <w:webHidden/>
          </w:rPr>
          <w:fldChar w:fldCharType="end"/>
        </w:r>
      </w:hyperlink>
    </w:p>
    <w:p w:rsidR="009E3486" w:rsidRDefault="009E3486">
      <w:pPr>
        <w:pStyle w:val="TOC3"/>
        <w:tabs>
          <w:tab w:val="right" w:leader="dot" w:pos="9350"/>
        </w:tabs>
        <w:rPr>
          <w:noProof/>
        </w:rPr>
      </w:pPr>
      <w:hyperlink w:anchor="_Toc489138962" w:history="1">
        <w:r w:rsidRPr="00B825DB">
          <w:rPr>
            <w:rStyle w:val="Hyperlink"/>
            <w:noProof/>
          </w:rPr>
          <w:t>Link: Boring Politics</w:t>
        </w:r>
        <w:r>
          <w:rPr>
            <w:noProof/>
            <w:webHidden/>
          </w:rPr>
          <w:tab/>
        </w:r>
        <w:r>
          <w:rPr>
            <w:noProof/>
            <w:webHidden/>
          </w:rPr>
          <w:fldChar w:fldCharType="begin"/>
        </w:r>
        <w:r>
          <w:rPr>
            <w:noProof/>
            <w:webHidden/>
          </w:rPr>
          <w:instrText xml:space="preserve"> PAGEREF _Toc489138962 \h </w:instrText>
        </w:r>
        <w:r>
          <w:rPr>
            <w:noProof/>
            <w:webHidden/>
          </w:rPr>
        </w:r>
        <w:r>
          <w:rPr>
            <w:noProof/>
            <w:webHidden/>
          </w:rPr>
          <w:fldChar w:fldCharType="separate"/>
        </w:r>
        <w:r>
          <w:rPr>
            <w:noProof/>
            <w:webHidden/>
          </w:rPr>
          <w:t>218</w:t>
        </w:r>
        <w:r>
          <w:rPr>
            <w:noProof/>
            <w:webHidden/>
          </w:rPr>
          <w:fldChar w:fldCharType="end"/>
        </w:r>
      </w:hyperlink>
    </w:p>
    <w:p w:rsidR="009E3486" w:rsidRDefault="009E3486">
      <w:pPr>
        <w:pStyle w:val="TOC3"/>
        <w:tabs>
          <w:tab w:val="right" w:leader="dot" w:pos="9350"/>
        </w:tabs>
        <w:rPr>
          <w:noProof/>
        </w:rPr>
      </w:pPr>
      <w:hyperlink w:anchor="_Toc489138963" w:history="1">
        <w:r w:rsidRPr="00B825DB">
          <w:rPr>
            <w:rStyle w:val="Hyperlink"/>
            <w:noProof/>
          </w:rPr>
          <w:t>Link: activism</w:t>
        </w:r>
        <w:r>
          <w:rPr>
            <w:noProof/>
            <w:webHidden/>
          </w:rPr>
          <w:tab/>
        </w:r>
        <w:r>
          <w:rPr>
            <w:noProof/>
            <w:webHidden/>
          </w:rPr>
          <w:fldChar w:fldCharType="begin"/>
        </w:r>
        <w:r>
          <w:rPr>
            <w:noProof/>
            <w:webHidden/>
          </w:rPr>
          <w:instrText xml:space="preserve"> PAGEREF _Toc489138963 \h </w:instrText>
        </w:r>
        <w:r>
          <w:rPr>
            <w:noProof/>
            <w:webHidden/>
          </w:rPr>
        </w:r>
        <w:r>
          <w:rPr>
            <w:noProof/>
            <w:webHidden/>
          </w:rPr>
          <w:fldChar w:fldCharType="separate"/>
        </w:r>
        <w:r>
          <w:rPr>
            <w:noProof/>
            <w:webHidden/>
          </w:rPr>
          <w:t>220</w:t>
        </w:r>
        <w:r>
          <w:rPr>
            <w:noProof/>
            <w:webHidden/>
          </w:rPr>
          <w:fldChar w:fldCharType="end"/>
        </w:r>
      </w:hyperlink>
    </w:p>
    <w:p w:rsidR="009E3486" w:rsidRDefault="009E3486">
      <w:pPr>
        <w:pStyle w:val="TOC3"/>
        <w:tabs>
          <w:tab w:val="right" w:leader="dot" w:pos="9350"/>
        </w:tabs>
        <w:rPr>
          <w:noProof/>
        </w:rPr>
      </w:pPr>
      <w:hyperlink w:anchor="_Toc489138964" w:history="1">
        <w:r w:rsidRPr="00B825DB">
          <w:rPr>
            <w:rStyle w:val="Hyperlink"/>
            <w:noProof/>
          </w:rPr>
          <w:t>Link: Study</w:t>
        </w:r>
        <w:r>
          <w:rPr>
            <w:noProof/>
            <w:webHidden/>
          </w:rPr>
          <w:tab/>
        </w:r>
        <w:r>
          <w:rPr>
            <w:noProof/>
            <w:webHidden/>
          </w:rPr>
          <w:fldChar w:fldCharType="begin"/>
        </w:r>
        <w:r>
          <w:rPr>
            <w:noProof/>
            <w:webHidden/>
          </w:rPr>
          <w:instrText xml:space="preserve"> PAGEREF _Toc489138964 \h </w:instrText>
        </w:r>
        <w:r>
          <w:rPr>
            <w:noProof/>
            <w:webHidden/>
          </w:rPr>
        </w:r>
        <w:r>
          <w:rPr>
            <w:noProof/>
            <w:webHidden/>
          </w:rPr>
          <w:fldChar w:fldCharType="separate"/>
        </w:r>
        <w:r>
          <w:rPr>
            <w:noProof/>
            <w:webHidden/>
          </w:rPr>
          <w:t>222</w:t>
        </w:r>
        <w:r>
          <w:rPr>
            <w:noProof/>
            <w:webHidden/>
          </w:rPr>
          <w:fldChar w:fldCharType="end"/>
        </w:r>
      </w:hyperlink>
    </w:p>
    <w:p w:rsidR="009E3486" w:rsidRDefault="009E3486">
      <w:pPr>
        <w:pStyle w:val="TOC3"/>
        <w:tabs>
          <w:tab w:val="right" w:leader="dot" w:pos="9350"/>
        </w:tabs>
        <w:rPr>
          <w:noProof/>
        </w:rPr>
      </w:pPr>
      <w:hyperlink w:anchor="_Toc489138965" w:history="1">
        <w:r w:rsidRPr="00B825DB">
          <w:rPr>
            <w:rStyle w:val="Hyperlink"/>
            <w:noProof/>
          </w:rPr>
          <w:t>Link: Subversion—Shadow Feminism</w:t>
        </w:r>
        <w:r>
          <w:rPr>
            <w:noProof/>
            <w:webHidden/>
          </w:rPr>
          <w:tab/>
        </w:r>
        <w:r>
          <w:rPr>
            <w:noProof/>
            <w:webHidden/>
          </w:rPr>
          <w:fldChar w:fldCharType="begin"/>
        </w:r>
        <w:r>
          <w:rPr>
            <w:noProof/>
            <w:webHidden/>
          </w:rPr>
          <w:instrText xml:space="preserve"> PAGEREF _Toc489138965 \h </w:instrText>
        </w:r>
        <w:r>
          <w:rPr>
            <w:noProof/>
            <w:webHidden/>
          </w:rPr>
        </w:r>
        <w:r>
          <w:rPr>
            <w:noProof/>
            <w:webHidden/>
          </w:rPr>
          <w:fldChar w:fldCharType="separate"/>
        </w:r>
        <w:r>
          <w:rPr>
            <w:noProof/>
            <w:webHidden/>
          </w:rPr>
          <w:t>223</w:t>
        </w:r>
        <w:r>
          <w:rPr>
            <w:noProof/>
            <w:webHidden/>
          </w:rPr>
          <w:fldChar w:fldCharType="end"/>
        </w:r>
      </w:hyperlink>
    </w:p>
    <w:p w:rsidR="009E3486" w:rsidRDefault="009E3486">
      <w:pPr>
        <w:pStyle w:val="TOC3"/>
        <w:tabs>
          <w:tab w:val="right" w:leader="dot" w:pos="9350"/>
        </w:tabs>
        <w:rPr>
          <w:noProof/>
        </w:rPr>
      </w:pPr>
      <w:hyperlink w:anchor="_Toc489138966" w:history="1">
        <w:r w:rsidRPr="00B825DB">
          <w:rPr>
            <w:rStyle w:val="Hyperlink"/>
            <w:noProof/>
          </w:rPr>
          <w:t>Link—Fun</w:t>
        </w:r>
        <w:r>
          <w:rPr>
            <w:noProof/>
            <w:webHidden/>
          </w:rPr>
          <w:tab/>
        </w:r>
        <w:r>
          <w:rPr>
            <w:noProof/>
            <w:webHidden/>
          </w:rPr>
          <w:fldChar w:fldCharType="begin"/>
        </w:r>
        <w:r>
          <w:rPr>
            <w:noProof/>
            <w:webHidden/>
          </w:rPr>
          <w:instrText xml:space="preserve"> PAGEREF _Toc489138966 \h </w:instrText>
        </w:r>
        <w:r>
          <w:rPr>
            <w:noProof/>
            <w:webHidden/>
          </w:rPr>
        </w:r>
        <w:r>
          <w:rPr>
            <w:noProof/>
            <w:webHidden/>
          </w:rPr>
          <w:fldChar w:fldCharType="separate"/>
        </w:r>
        <w:r>
          <w:rPr>
            <w:noProof/>
            <w:webHidden/>
          </w:rPr>
          <w:t>225</w:t>
        </w:r>
        <w:r>
          <w:rPr>
            <w:noProof/>
            <w:webHidden/>
          </w:rPr>
          <w:fldChar w:fldCharType="end"/>
        </w:r>
      </w:hyperlink>
    </w:p>
    <w:p w:rsidR="009E3486" w:rsidRDefault="009E3486">
      <w:pPr>
        <w:pStyle w:val="TOC3"/>
        <w:tabs>
          <w:tab w:val="right" w:leader="dot" w:pos="9350"/>
        </w:tabs>
        <w:rPr>
          <w:noProof/>
        </w:rPr>
      </w:pPr>
      <w:hyperlink w:anchor="_Toc489138967" w:history="1">
        <w:r w:rsidRPr="00B825DB">
          <w:rPr>
            <w:rStyle w:val="Hyperlink"/>
            <w:noProof/>
          </w:rPr>
          <w:t>Impact/Alt—Long</w:t>
        </w:r>
        <w:r>
          <w:rPr>
            <w:noProof/>
            <w:webHidden/>
          </w:rPr>
          <w:tab/>
        </w:r>
        <w:r>
          <w:rPr>
            <w:noProof/>
            <w:webHidden/>
          </w:rPr>
          <w:fldChar w:fldCharType="begin"/>
        </w:r>
        <w:r>
          <w:rPr>
            <w:noProof/>
            <w:webHidden/>
          </w:rPr>
          <w:instrText xml:space="preserve"> PAGEREF _Toc489138967 \h </w:instrText>
        </w:r>
        <w:r>
          <w:rPr>
            <w:noProof/>
            <w:webHidden/>
          </w:rPr>
        </w:r>
        <w:r>
          <w:rPr>
            <w:noProof/>
            <w:webHidden/>
          </w:rPr>
          <w:fldChar w:fldCharType="separate"/>
        </w:r>
        <w:r>
          <w:rPr>
            <w:noProof/>
            <w:webHidden/>
          </w:rPr>
          <w:t>226</w:t>
        </w:r>
        <w:r>
          <w:rPr>
            <w:noProof/>
            <w:webHidden/>
          </w:rPr>
          <w:fldChar w:fldCharType="end"/>
        </w:r>
      </w:hyperlink>
    </w:p>
    <w:p w:rsidR="009E3486" w:rsidRDefault="009E3486">
      <w:pPr>
        <w:pStyle w:val="TOC3"/>
        <w:tabs>
          <w:tab w:val="right" w:leader="dot" w:pos="9350"/>
        </w:tabs>
        <w:rPr>
          <w:noProof/>
        </w:rPr>
      </w:pPr>
      <w:hyperlink w:anchor="_Toc489138968" w:history="1">
        <w:r w:rsidRPr="00B825DB">
          <w:rPr>
            <w:rStyle w:val="Hyperlink"/>
            <w:noProof/>
          </w:rPr>
          <w:t>Silly Theory—Link and Alt—long</w:t>
        </w:r>
        <w:r>
          <w:rPr>
            <w:noProof/>
            <w:webHidden/>
          </w:rPr>
          <w:tab/>
        </w:r>
        <w:r>
          <w:rPr>
            <w:noProof/>
            <w:webHidden/>
          </w:rPr>
          <w:fldChar w:fldCharType="begin"/>
        </w:r>
        <w:r>
          <w:rPr>
            <w:noProof/>
            <w:webHidden/>
          </w:rPr>
          <w:instrText xml:space="preserve"> PAGEREF _Toc489138968 \h </w:instrText>
        </w:r>
        <w:r>
          <w:rPr>
            <w:noProof/>
            <w:webHidden/>
          </w:rPr>
        </w:r>
        <w:r>
          <w:rPr>
            <w:noProof/>
            <w:webHidden/>
          </w:rPr>
          <w:fldChar w:fldCharType="separate"/>
        </w:r>
        <w:r>
          <w:rPr>
            <w:noProof/>
            <w:webHidden/>
          </w:rPr>
          <w:t>230</w:t>
        </w:r>
        <w:r>
          <w:rPr>
            <w:noProof/>
            <w:webHidden/>
          </w:rPr>
          <w:fldChar w:fldCharType="end"/>
        </w:r>
      </w:hyperlink>
    </w:p>
    <w:p w:rsidR="009E3486" w:rsidRDefault="009E3486">
      <w:pPr>
        <w:pStyle w:val="TOC3"/>
        <w:tabs>
          <w:tab w:val="right" w:leader="dot" w:pos="9350"/>
        </w:tabs>
        <w:rPr>
          <w:noProof/>
        </w:rPr>
      </w:pPr>
      <w:hyperlink w:anchor="_Toc489138969" w:history="1">
        <w:r w:rsidRPr="00B825DB">
          <w:rPr>
            <w:rStyle w:val="Hyperlink"/>
            <w:noProof/>
          </w:rPr>
          <w:t>Alt: Performative Failure</w:t>
        </w:r>
        <w:r>
          <w:rPr>
            <w:noProof/>
            <w:webHidden/>
          </w:rPr>
          <w:tab/>
        </w:r>
        <w:r>
          <w:rPr>
            <w:noProof/>
            <w:webHidden/>
          </w:rPr>
          <w:fldChar w:fldCharType="begin"/>
        </w:r>
        <w:r>
          <w:rPr>
            <w:noProof/>
            <w:webHidden/>
          </w:rPr>
          <w:instrText xml:space="preserve"> PAGEREF _Toc489138969 \h </w:instrText>
        </w:r>
        <w:r>
          <w:rPr>
            <w:noProof/>
            <w:webHidden/>
          </w:rPr>
        </w:r>
        <w:r>
          <w:rPr>
            <w:noProof/>
            <w:webHidden/>
          </w:rPr>
          <w:fldChar w:fldCharType="separate"/>
        </w:r>
        <w:r>
          <w:rPr>
            <w:noProof/>
            <w:webHidden/>
          </w:rPr>
          <w:t>233</w:t>
        </w:r>
        <w:r>
          <w:rPr>
            <w:noProof/>
            <w:webHidden/>
          </w:rPr>
          <w:fldChar w:fldCharType="end"/>
        </w:r>
      </w:hyperlink>
    </w:p>
    <w:p w:rsidR="009E3486" w:rsidRDefault="009E3486">
      <w:pPr>
        <w:pStyle w:val="TOC3"/>
        <w:tabs>
          <w:tab w:val="right" w:leader="dot" w:pos="9350"/>
        </w:tabs>
        <w:rPr>
          <w:noProof/>
        </w:rPr>
      </w:pPr>
      <w:hyperlink w:anchor="_Toc489138970" w:history="1">
        <w:r w:rsidRPr="00B825DB">
          <w:rPr>
            <w:rStyle w:val="Hyperlink"/>
            <w:noProof/>
          </w:rPr>
          <w:t>Alt: Shadow Feminism</w:t>
        </w:r>
        <w:r>
          <w:rPr>
            <w:noProof/>
            <w:webHidden/>
          </w:rPr>
          <w:tab/>
        </w:r>
        <w:r>
          <w:rPr>
            <w:noProof/>
            <w:webHidden/>
          </w:rPr>
          <w:fldChar w:fldCharType="begin"/>
        </w:r>
        <w:r>
          <w:rPr>
            <w:noProof/>
            <w:webHidden/>
          </w:rPr>
          <w:instrText xml:space="preserve"> PAGEREF _Toc489138970 \h </w:instrText>
        </w:r>
        <w:r>
          <w:rPr>
            <w:noProof/>
            <w:webHidden/>
          </w:rPr>
        </w:r>
        <w:r>
          <w:rPr>
            <w:noProof/>
            <w:webHidden/>
          </w:rPr>
          <w:fldChar w:fldCharType="separate"/>
        </w:r>
        <w:r>
          <w:rPr>
            <w:noProof/>
            <w:webHidden/>
          </w:rPr>
          <w:t>235</w:t>
        </w:r>
        <w:r>
          <w:rPr>
            <w:noProof/>
            <w:webHidden/>
          </w:rPr>
          <w:fldChar w:fldCharType="end"/>
        </w:r>
      </w:hyperlink>
    </w:p>
    <w:p w:rsidR="009E3486" w:rsidRDefault="009E3486">
      <w:pPr>
        <w:pStyle w:val="TOC3"/>
        <w:tabs>
          <w:tab w:val="right" w:leader="dot" w:pos="9350"/>
        </w:tabs>
        <w:rPr>
          <w:noProof/>
        </w:rPr>
      </w:pPr>
      <w:hyperlink w:anchor="_Toc489138971" w:history="1">
        <w:r w:rsidRPr="00B825DB">
          <w:rPr>
            <w:rStyle w:val="Hyperlink"/>
            <w:noProof/>
          </w:rPr>
          <w:t>Alt: Forgetting</w:t>
        </w:r>
        <w:r>
          <w:rPr>
            <w:noProof/>
            <w:webHidden/>
          </w:rPr>
          <w:tab/>
        </w:r>
        <w:r>
          <w:rPr>
            <w:noProof/>
            <w:webHidden/>
          </w:rPr>
          <w:fldChar w:fldCharType="begin"/>
        </w:r>
        <w:r>
          <w:rPr>
            <w:noProof/>
            <w:webHidden/>
          </w:rPr>
          <w:instrText xml:space="preserve"> PAGEREF _Toc489138971 \h </w:instrText>
        </w:r>
        <w:r>
          <w:rPr>
            <w:noProof/>
            <w:webHidden/>
          </w:rPr>
        </w:r>
        <w:r>
          <w:rPr>
            <w:noProof/>
            <w:webHidden/>
          </w:rPr>
          <w:fldChar w:fldCharType="separate"/>
        </w:r>
        <w:r>
          <w:rPr>
            <w:noProof/>
            <w:webHidden/>
          </w:rPr>
          <w:t>237</w:t>
        </w:r>
        <w:r>
          <w:rPr>
            <w:noProof/>
            <w:webHidden/>
          </w:rPr>
          <w:fldChar w:fldCharType="end"/>
        </w:r>
      </w:hyperlink>
    </w:p>
    <w:p w:rsidR="009E3486" w:rsidRDefault="009E3486">
      <w:pPr>
        <w:pStyle w:val="TOC3"/>
        <w:tabs>
          <w:tab w:val="right" w:leader="dot" w:pos="9350"/>
        </w:tabs>
        <w:rPr>
          <w:noProof/>
        </w:rPr>
      </w:pPr>
      <w:hyperlink w:anchor="_Toc489138972" w:history="1">
        <w:r w:rsidRPr="00B825DB">
          <w:rPr>
            <w:rStyle w:val="Hyperlink"/>
            <w:noProof/>
          </w:rPr>
          <w:t>Alt: Queer Darkness</w:t>
        </w:r>
        <w:r>
          <w:rPr>
            <w:noProof/>
            <w:webHidden/>
          </w:rPr>
          <w:tab/>
        </w:r>
        <w:r>
          <w:rPr>
            <w:noProof/>
            <w:webHidden/>
          </w:rPr>
          <w:fldChar w:fldCharType="begin"/>
        </w:r>
        <w:r>
          <w:rPr>
            <w:noProof/>
            <w:webHidden/>
          </w:rPr>
          <w:instrText xml:space="preserve"> PAGEREF _Toc489138972 \h </w:instrText>
        </w:r>
        <w:r>
          <w:rPr>
            <w:noProof/>
            <w:webHidden/>
          </w:rPr>
        </w:r>
        <w:r>
          <w:rPr>
            <w:noProof/>
            <w:webHidden/>
          </w:rPr>
          <w:fldChar w:fldCharType="separate"/>
        </w:r>
        <w:r>
          <w:rPr>
            <w:noProof/>
            <w:webHidden/>
          </w:rPr>
          <w:t>239</w:t>
        </w:r>
        <w:r>
          <w:rPr>
            <w:noProof/>
            <w:webHidden/>
          </w:rPr>
          <w:fldChar w:fldCharType="end"/>
        </w:r>
      </w:hyperlink>
    </w:p>
    <w:p w:rsidR="009E3486" w:rsidRDefault="009E3486">
      <w:pPr>
        <w:pStyle w:val="TOC3"/>
        <w:tabs>
          <w:tab w:val="right" w:leader="dot" w:pos="9350"/>
        </w:tabs>
        <w:rPr>
          <w:noProof/>
        </w:rPr>
      </w:pPr>
      <w:hyperlink w:anchor="_Toc489138973" w:history="1">
        <w:r w:rsidRPr="00B825DB">
          <w:rPr>
            <w:rStyle w:val="Hyperlink"/>
            <w:noProof/>
          </w:rPr>
          <w:t>Alt: No Fun</w:t>
        </w:r>
        <w:r>
          <w:rPr>
            <w:noProof/>
            <w:webHidden/>
          </w:rPr>
          <w:tab/>
        </w:r>
        <w:r>
          <w:rPr>
            <w:noProof/>
            <w:webHidden/>
          </w:rPr>
          <w:fldChar w:fldCharType="begin"/>
        </w:r>
        <w:r>
          <w:rPr>
            <w:noProof/>
            <w:webHidden/>
          </w:rPr>
          <w:instrText xml:space="preserve"> PAGEREF _Toc489138973 \h </w:instrText>
        </w:r>
        <w:r>
          <w:rPr>
            <w:noProof/>
            <w:webHidden/>
          </w:rPr>
        </w:r>
        <w:r>
          <w:rPr>
            <w:noProof/>
            <w:webHidden/>
          </w:rPr>
          <w:fldChar w:fldCharType="separate"/>
        </w:r>
        <w:r>
          <w:rPr>
            <w:noProof/>
            <w:webHidden/>
          </w:rPr>
          <w:t>241</w:t>
        </w:r>
        <w:r>
          <w:rPr>
            <w:noProof/>
            <w:webHidden/>
          </w:rPr>
          <w:fldChar w:fldCharType="end"/>
        </w:r>
      </w:hyperlink>
    </w:p>
    <w:p w:rsidR="009E3486" w:rsidRDefault="009E3486">
      <w:pPr>
        <w:pStyle w:val="TOC3"/>
        <w:tabs>
          <w:tab w:val="right" w:leader="dot" w:pos="9350"/>
        </w:tabs>
        <w:rPr>
          <w:noProof/>
        </w:rPr>
      </w:pPr>
      <w:hyperlink w:anchor="_Toc489138974" w:history="1">
        <w:r w:rsidRPr="00B825DB">
          <w:rPr>
            <w:rStyle w:val="Hyperlink"/>
            <w:noProof/>
          </w:rPr>
          <w:t>Alt: Undisciplined Education</w:t>
        </w:r>
        <w:r>
          <w:rPr>
            <w:noProof/>
            <w:webHidden/>
          </w:rPr>
          <w:tab/>
        </w:r>
        <w:r>
          <w:rPr>
            <w:noProof/>
            <w:webHidden/>
          </w:rPr>
          <w:fldChar w:fldCharType="begin"/>
        </w:r>
        <w:r>
          <w:rPr>
            <w:noProof/>
            <w:webHidden/>
          </w:rPr>
          <w:instrText xml:space="preserve"> PAGEREF _Toc489138974 \h </w:instrText>
        </w:r>
        <w:r>
          <w:rPr>
            <w:noProof/>
            <w:webHidden/>
          </w:rPr>
        </w:r>
        <w:r>
          <w:rPr>
            <w:noProof/>
            <w:webHidden/>
          </w:rPr>
          <w:fldChar w:fldCharType="separate"/>
        </w:r>
        <w:r>
          <w:rPr>
            <w:noProof/>
            <w:webHidden/>
          </w:rPr>
          <w:t>243</w:t>
        </w:r>
        <w:r>
          <w:rPr>
            <w:noProof/>
            <w:webHidden/>
          </w:rPr>
          <w:fldChar w:fldCharType="end"/>
        </w:r>
      </w:hyperlink>
    </w:p>
    <w:p w:rsidR="009E3486" w:rsidRDefault="009E3486">
      <w:pPr>
        <w:pStyle w:val="TOC3"/>
        <w:tabs>
          <w:tab w:val="right" w:leader="dot" w:pos="9350"/>
        </w:tabs>
        <w:rPr>
          <w:noProof/>
        </w:rPr>
      </w:pPr>
      <w:hyperlink w:anchor="_Toc489138975" w:history="1">
        <w:r w:rsidRPr="00B825DB">
          <w:rPr>
            <w:rStyle w:val="Hyperlink"/>
            <w:noProof/>
          </w:rPr>
          <w:t>Alt: Framework for Failure</w:t>
        </w:r>
        <w:r>
          <w:rPr>
            <w:noProof/>
            <w:webHidden/>
          </w:rPr>
          <w:tab/>
        </w:r>
        <w:r>
          <w:rPr>
            <w:noProof/>
            <w:webHidden/>
          </w:rPr>
          <w:fldChar w:fldCharType="begin"/>
        </w:r>
        <w:r>
          <w:rPr>
            <w:noProof/>
            <w:webHidden/>
          </w:rPr>
          <w:instrText xml:space="preserve"> PAGEREF _Toc489138975 \h </w:instrText>
        </w:r>
        <w:r>
          <w:rPr>
            <w:noProof/>
            <w:webHidden/>
          </w:rPr>
        </w:r>
        <w:r>
          <w:rPr>
            <w:noProof/>
            <w:webHidden/>
          </w:rPr>
          <w:fldChar w:fldCharType="separate"/>
        </w:r>
        <w:r>
          <w:rPr>
            <w:noProof/>
            <w:webHidden/>
          </w:rPr>
          <w:t>245</w:t>
        </w:r>
        <w:r>
          <w:rPr>
            <w:noProof/>
            <w:webHidden/>
          </w:rPr>
          <w:fldChar w:fldCharType="end"/>
        </w:r>
      </w:hyperlink>
    </w:p>
    <w:p w:rsidR="009E3486" w:rsidRDefault="009E3486">
      <w:pPr>
        <w:pStyle w:val="TOC3"/>
        <w:tabs>
          <w:tab w:val="right" w:leader="dot" w:pos="9350"/>
        </w:tabs>
        <w:rPr>
          <w:noProof/>
        </w:rPr>
      </w:pPr>
      <w:hyperlink w:anchor="_Toc489138976" w:history="1">
        <w:r w:rsidRPr="00B825DB">
          <w:rPr>
            <w:rStyle w:val="Hyperlink"/>
            <w:noProof/>
          </w:rPr>
          <w:t>Alt: Clowning / Humor Good</w:t>
        </w:r>
        <w:r>
          <w:rPr>
            <w:noProof/>
            <w:webHidden/>
          </w:rPr>
          <w:tab/>
        </w:r>
        <w:r>
          <w:rPr>
            <w:noProof/>
            <w:webHidden/>
          </w:rPr>
          <w:fldChar w:fldCharType="begin"/>
        </w:r>
        <w:r>
          <w:rPr>
            <w:noProof/>
            <w:webHidden/>
          </w:rPr>
          <w:instrText xml:space="preserve"> PAGEREF _Toc489138976 \h </w:instrText>
        </w:r>
        <w:r>
          <w:rPr>
            <w:noProof/>
            <w:webHidden/>
          </w:rPr>
        </w:r>
        <w:r>
          <w:rPr>
            <w:noProof/>
            <w:webHidden/>
          </w:rPr>
          <w:fldChar w:fldCharType="separate"/>
        </w:r>
        <w:r>
          <w:rPr>
            <w:noProof/>
            <w:webHidden/>
          </w:rPr>
          <w:t>250</w:t>
        </w:r>
        <w:r>
          <w:rPr>
            <w:noProof/>
            <w:webHidden/>
          </w:rPr>
          <w:fldChar w:fldCharType="end"/>
        </w:r>
      </w:hyperlink>
    </w:p>
    <w:p w:rsidR="009E3486" w:rsidRDefault="009E3486">
      <w:pPr>
        <w:pStyle w:val="TOC3"/>
        <w:tabs>
          <w:tab w:val="right" w:leader="dot" w:pos="9350"/>
        </w:tabs>
        <w:rPr>
          <w:noProof/>
        </w:rPr>
      </w:pPr>
      <w:hyperlink w:anchor="_Toc489138977" w:history="1">
        <w:r w:rsidRPr="00B825DB">
          <w:rPr>
            <w:rStyle w:val="Hyperlink"/>
            <w:noProof/>
          </w:rPr>
          <w:t>A2: Failure Bad for Activism</w:t>
        </w:r>
        <w:r>
          <w:rPr>
            <w:noProof/>
            <w:webHidden/>
          </w:rPr>
          <w:tab/>
        </w:r>
        <w:r>
          <w:rPr>
            <w:noProof/>
            <w:webHidden/>
          </w:rPr>
          <w:fldChar w:fldCharType="begin"/>
        </w:r>
        <w:r>
          <w:rPr>
            <w:noProof/>
            <w:webHidden/>
          </w:rPr>
          <w:instrText xml:space="preserve"> PAGEREF _Toc489138977 \h </w:instrText>
        </w:r>
        <w:r>
          <w:rPr>
            <w:noProof/>
            <w:webHidden/>
          </w:rPr>
        </w:r>
        <w:r>
          <w:rPr>
            <w:noProof/>
            <w:webHidden/>
          </w:rPr>
          <w:fldChar w:fldCharType="separate"/>
        </w:r>
        <w:r>
          <w:rPr>
            <w:noProof/>
            <w:webHidden/>
          </w:rPr>
          <w:t>252</w:t>
        </w:r>
        <w:r>
          <w:rPr>
            <w:noProof/>
            <w:webHidden/>
          </w:rPr>
          <w:fldChar w:fldCharType="end"/>
        </w:r>
      </w:hyperlink>
    </w:p>
    <w:p w:rsidR="009E3486" w:rsidRDefault="009E3486">
      <w:pPr>
        <w:pStyle w:val="TOC3"/>
        <w:tabs>
          <w:tab w:val="right" w:leader="dot" w:pos="9350"/>
        </w:tabs>
        <w:rPr>
          <w:noProof/>
        </w:rPr>
      </w:pPr>
      <w:hyperlink w:anchor="_Toc489138978" w:history="1">
        <w:r w:rsidRPr="00B825DB">
          <w:rPr>
            <w:rStyle w:val="Hyperlink"/>
            <w:noProof/>
          </w:rPr>
          <w:t>Alt Solves: Technology</w:t>
        </w:r>
        <w:r>
          <w:rPr>
            <w:noProof/>
            <w:webHidden/>
          </w:rPr>
          <w:tab/>
        </w:r>
        <w:r>
          <w:rPr>
            <w:noProof/>
            <w:webHidden/>
          </w:rPr>
          <w:fldChar w:fldCharType="begin"/>
        </w:r>
        <w:r>
          <w:rPr>
            <w:noProof/>
            <w:webHidden/>
          </w:rPr>
          <w:instrText xml:space="preserve"> PAGEREF _Toc489138978 \h </w:instrText>
        </w:r>
        <w:r>
          <w:rPr>
            <w:noProof/>
            <w:webHidden/>
          </w:rPr>
        </w:r>
        <w:r>
          <w:rPr>
            <w:noProof/>
            <w:webHidden/>
          </w:rPr>
          <w:fldChar w:fldCharType="separate"/>
        </w:r>
        <w:r>
          <w:rPr>
            <w:noProof/>
            <w:webHidden/>
          </w:rPr>
          <w:t>253</w:t>
        </w:r>
        <w:r>
          <w:rPr>
            <w:noProof/>
            <w:webHidden/>
          </w:rPr>
          <w:fldChar w:fldCharType="end"/>
        </w:r>
      </w:hyperlink>
    </w:p>
    <w:p w:rsidR="009E3486" w:rsidRDefault="009E3486">
      <w:pPr>
        <w:pStyle w:val="TOC3"/>
        <w:tabs>
          <w:tab w:val="right" w:leader="dot" w:pos="9350"/>
        </w:tabs>
        <w:rPr>
          <w:noProof/>
        </w:rPr>
      </w:pPr>
      <w:hyperlink w:anchor="_Toc489138979" w:history="1">
        <w:r w:rsidRPr="00B825DB">
          <w:rPr>
            <w:rStyle w:val="Hyperlink"/>
            <w:noProof/>
          </w:rPr>
          <w:t>Alt Solves: Nuclear Family (SP2)</w:t>
        </w:r>
        <w:r>
          <w:rPr>
            <w:noProof/>
            <w:webHidden/>
          </w:rPr>
          <w:tab/>
        </w:r>
        <w:r>
          <w:rPr>
            <w:noProof/>
            <w:webHidden/>
          </w:rPr>
          <w:fldChar w:fldCharType="begin"/>
        </w:r>
        <w:r>
          <w:rPr>
            <w:noProof/>
            <w:webHidden/>
          </w:rPr>
          <w:instrText xml:space="preserve"> PAGEREF _Toc489138979 \h </w:instrText>
        </w:r>
        <w:r>
          <w:rPr>
            <w:noProof/>
            <w:webHidden/>
          </w:rPr>
        </w:r>
        <w:r>
          <w:rPr>
            <w:noProof/>
            <w:webHidden/>
          </w:rPr>
          <w:fldChar w:fldCharType="separate"/>
        </w:r>
        <w:r>
          <w:rPr>
            <w:noProof/>
            <w:webHidden/>
          </w:rPr>
          <w:t>255</w:t>
        </w:r>
        <w:r>
          <w:rPr>
            <w:noProof/>
            <w:webHidden/>
          </w:rPr>
          <w:fldChar w:fldCharType="end"/>
        </w:r>
      </w:hyperlink>
    </w:p>
    <w:p w:rsidR="009E3486" w:rsidRDefault="009E3486">
      <w:pPr>
        <w:pStyle w:val="TOC1"/>
        <w:tabs>
          <w:tab w:val="right" w:leader="dot" w:pos="9350"/>
        </w:tabs>
        <w:rPr>
          <w:noProof/>
        </w:rPr>
      </w:pPr>
      <w:hyperlink w:anchor="_Toc489138980" w:history="1">
        <w:r w:rsidRPr="00B825DB">
          <w:rPr>
            <w:rStyle w:val="Hyperlink"/>
            <w:noProof/>
          </w:rPr>
          <w:t>Misc. &amp; Butler Module</w:t>
        </w:r>
        <w:r>
          <w:rPr>
            <w:noProof/>
            <w:webHidden/>
          </w:rPr>
          <w:tab/>
        </w:r>
        <w:r>
          <w:rPr>
            <w:noProof/>
            <w:webHidden/>
          </w:rPr>
          <w:fldChar w:fldCharType="begin"/>
        </w:r>
        <w:r>
          <w:rPr>
            <w:noProof/>
            <w:webHidden/>
          </w:rPr>
          <w:instrText xml:space="preserve"> PAGEREF _Toc489138980 \h </w:instrText>
        </w:r>
        <w:r>
          <w:rPr>
            <w:noProof/>
            <w:webHidden/>
          </w:rPr>
        </w:r>
        <w:r>
          <w:rPr>
            <w:noProof/>
            <w:webHidden/>
          </w:rPr>
          <w:fldChar w:fldCharType="separate"/>
        </w:r>
        <w:r>
          <w:rPr>
            <w:noProof/>
            <w:webHidden/>
          </w:rPr>
          <w:t>256</w:t>
        </w:r>
        <w:r>
          <w:rPr>
            <w:noProof/>
            <w:webHidden/>
          </w:rPr>
          <w:fldChar w:fldCharType="end"/>
        </w:r>
      </w:hyperlink>
    </w:p>
    <w:p w:rsidR="009E3486" w:rsidRDefault="009E3486">
      <w:pPr>
        <w:pStyle w:val="TOC3"/>
        <w:tabs>
          <w:tab w:val="right" w:leader="dot" w:pos="9350"/>
        </w:tabs>
        <w:rPr>
          <w:noProof/>
        </w:rPr>
      </w:pPr>
      <w:hyperlink w:anchor="_Toc489138981" w:history="1">
        <w:r w:rsidRPr="00B825DB">
          <w:rPr>
            <w:rStyle w:val="Hyperlink"/>
            <w:noProof/>
          </w:rPr>
          <w:t>Link – CSE</w:t>
        </w:r>
        <w:r>
          <w:rPr>
            <w:noProof/>
            <w:webHidden/>
          </w:rPr>
          <w:tab/>
        </w:r>
        <w:r>
          <w:rPr>
            <w:noProof/>
            <w:webHidden/>
          </w:rPr>
          <w:fldChar w:fldCharType="begin"/>
        </w:r>
        <w:r>
          <w:rPr>
            <w:noProof/>
            <w:webHidden/>
          </w:rPr>
          <w:instrText xml:space="preserve"> PAGEREF _Toc489138981 \h </w:instrText>
        </w:r>
        <w:r>
          <w:rPr>
            <w:noProof/>
            <w:webHidden/>
          </w:rPr>
        </w:r>
        <w:r>
          <w:rPr>
            <w:noProof/>
            <w:webHidden/>
          </w:rPr>
          <w:fldChar w:fldCharType="separate"/>
        </w:r>
        <w:r>
          <w:rPr>
            <w:noProof/>
            <w:webHidden/>
          </w:rPr>
          <w:t>257</w:t>
        </w:r>
        <w:r>
          <w:rPr>
            <w:noProof/>
            <w:webHidden/>
          </w:rPr>
          <w:fldChar w:fldCharType="end"/>
        </w:r>
      </w:hyperlink>
    </w:p>
    <w:p w:rsidR="009E3486" w:rsidRDefault="009E3486">
      <w:pPr>
        <w:pStyle w:val="TOC3"/>
        <w:tabs>
          <w:tab w:val="right" w:leader="dot" w:pos="9350"/>
        </w:tabs>
        <w:rPr>
          <w:noProof/>
        </w:rPr>
      </w:pPr>
      <w:hyperlink w:anchor="_Toc489138982" w:history="1">
        <w:r w:rsidRPr="00B825DB">
          <w:rPr>
            <w:rStyle w:val="Hyperlink"/>
            <w:noProof/>
          </w:rPr>
          <w:t>Link – Intelligibility</w:t>
        </w:r>
        <w:r>
          <w:rPr>
            <w:noProof/>
            <w:webHidden/>
          </w:rPr>
          <w:tab/>
        </w:r>
        <w:r>
          <w:rPr>
            <w:noProof/>
            <w:webHidden/>
          </w:rPr>
          <w:fldChar w:fldCharType="begin"/>
        </w:r>
        <w:r>
          <w:rPr>
            <w:noProof/>
            <w:webHidden/>
          </w:rPr>
          <w:instrText xml:space="preserve"> PAGEREF _Toc489138982 \h </w:instrText>
        </w:r>
        <w:r>
          <w:rPr>
            <w:noProof/>
            <w:webHidden/>
          </w:rPr>
        </w:r>
        <w:r>
          <w:rPr>
            <w:noProof/>
            <w:webHidden/>
          </w:rPr>
          <w:fldChar w:fldCharType="separate"/>
        </w:r>
        <w:r>
          <w:rPr>
            <w:noProof/>
            <w:webHidden/>
          </w:rPr>
          <w:t>258</w:t>
        </w:r>
        <w:r>
          <w:rPr>
            <w:noProof/>
            <w:webHidden/>
          </w:rPr>
          <w:fldChar w:fldCharType="end"/>
        </w:r>
      </w:hyperlink>
    </w:p>
    <w:p w:rsidR="009E3486" w:rsidRDefault="009E3486">
      <w:pPr>
        <w:pStyle w:val="TOC3"/>
        <w:tabs>
          <w:tab w:val="right" w:leader="dot" w:pos="9350"/>
        </w:tabs>
        <w:rPr>
          <w:noProof/>
        </w:rPr>
      </w:pPr>
      <w:hyperlink w:anchor="_Toc489138983" w:history="1">
        <w:r w:rsidRPr="00B825DB">
          <w:rPr>
            <w:rStyle w:val="Hyperlink"/>
            <w:noProof/>
          </w:rPr>
          <w:t>Gendered Language Link</w:t>
        </w:r>
        <w:r>
          <w:rPr>
            <w:noProof/>
            <w:webHidden/>
          </w:rPr>
          <w:tab/>
        </w:r>
        <w:r>
          <w:rPr>
            <w:noProof/>
            <w:webHidden/>
          </w:rPr>
          <w:fldChar w:fldCharType="begin"/>
        </w:r>
        <w:r>
          <w:rPr>
            <w:noProof/>
            <w:webHidden/>
          </w:rPr>
          <w:instrText xml:space="preserve"> PAGEREF _Toc489138983 \h </w:instrText>
        </w:r>
        <w:r>
          <w:rPr>
            <w:noProof/>
            <w:webHidden/>
          </w:rPr>
        </w:r>
        <w:r>
          <w:rPr>
            <w:noProof/>
            <w:webHidden/>
          </w:rPr>
          <w:fldChar w:fldCharType="separate"/>
        </w:r>
        <w:r>
          <w:rPr>
            <w:noProof/>
            <w:webHidden/>
          </w:rPr>
          <w:t>260</w:t>
        </w:r>
        <w:r>
          <w:rPr>
            <w:noProof/>
            <w:webHidden/>
          </w:rPr>
          <w:fldChar w:fldCharType="end"/>
        </w:r>
      </w:hyperlink>
    </w:p>
    <w:p w:rsidR="009E3486" w:rsidRDefault="009E3486">
      <w:pPr>
        <w:pStyle w:val="TOC3"/>
        <w:tabs>
          <w:tab w:val="right" w:leader="dot" w:pos="9350"/>
        </w:tabs>
        <w:rPr>
          <w:noProof/>
        </w:rPr>
      </w:pPr>
      <w:hyperlink w:anchor="_Toc489138984" w:history="1">
        <w:r w:rsidRPr="00B825DB">
          <w:rPr>
            <w:rStyle w:val="Hyperlink"/>
            <w:noProof/>
          </w:rPr>
          <w:t>Alt – Feminist Genealogy</w:t>
        </w:r>
        <w:r>
          <w:rPr>
            <w:noProof/>
            <w:webHidden/>
          </w:rPr>
          <w:tab/>
        </w:r>
        <w:r>
          <w:rPr>
            <w:noProof/>
            <w:webHidden/>
          </w:rPr>
          <w:fldChar w:fldCharType="begin"/>
        </w:r>
        <w:r>
          <w:rPr>
            <w:noProof/>
            <w:webHidden/>
          </w:rPr>
          <w:instrText xml:space="preserve"> PAGEREF _Toc489138984 \h </w:instrText>
        </w:r>
        <w:r>
          <w:rPr>
            <w:noProof/>
            <w:webHidden/>
          </w:rPr>
        </w:r>
        <w:r>
          <w:rPr>
            <w:noProof/>
            <w:webHidden/>
          </w:rPr>
          <w:fldChar w:fldCharType="separate"/>
        </w:r>
        <w:r>
          <w:rPr>
            <w:noProof/>
            <w:webHidden/>
          </w:rPr>
          <w:t>261</w:t>
        </w:r>
        <w:r>
          <w:rPr>
            <w:noProof/>
            <w:webHidden/>
          </w:rPr>
          <w:fldChar w:fldCharType="end"/>
        </w:r>
      </w:hyperlink>
    </w:p>
    <w:p w:rsidR="009E3486" w:rsidRDefault="009E3486">
      <w:pPr>
        <w:pStyle w:val="TOC3"/>
        <w:tabs>
          <w:tab w:val="right" w:leader="dot" w:pos="9350"/>
        </w:tabs>
        <w:rPr>
          <w:noProof/>
        </w:rPr>
      </w:pPr>
      <w:hyperlink w:anchor="_Toc489138985" w:history="1">
        <w:r w:rsidRPr="00B825DB">
          <w:rPr>
            <w:rStyle w:val="Hyperlink"/>
            <w:noProof/>
          </w:rPr>
          <w:t>Thesis Card: Affect/Assemblage Theory</w:t>
        </w:r>
        <w:r>
          <w:rPr>
            <w:noProof/>
            <w:webHidden/>
          </w:rPr>
          <w:tab/>
        </w:r>
        <w:r>
          <w:rPr>
            <w:noProof/>
            <w:webHidden/>
          </w:rPr>
          <w:fldChar w:fldCharType="begin"/>
        </w:r>
        <w:r>
          <w:rPr>
            <w:noProof/>
            <w:webHidden/>
          </w:rPr>
          <w:instrText xml:space="preserve"> PAGEREF _Toc489138985 \h </w:instrText>
        </w:r>
        <w:r>
          <w:rPr>
            <w:noProof/>
            <w:webHidden/>
          </w:rPr>
        </w:r>
        <w:r>
          <w:rPr>
            <w:noProof/>
            <w:webHidden/>
          </w:rPr>
          <w:fldChar w:fldCharType="separate"/>
        </w:r>
        <w:r>
          <w:rPr>
            <w:noProof/>
            <w:webHidden/>
          </w:rPr>
          <w:t>264</w:t>
        </w:r>
        <w:r>
          <w:rPr>
            <w:noProof/>
            <w:webHidden/>
          </w:rPr>
          <w:fldChar w:fldCharType="end"/>
        </w:r>
      </w:hyperlink>
    </w:p>
    <w:p w:rsidR="009E3486" w:rsidRDefault="009E3486">
      <w:pPr>
        <w:pStyle w:val="TOC3"/>
        <w:tabs>
          <w:tab w:val="right" w:leader="dot" w:pos="9350"/>
        </w:tabs>
        <w:rPr>
          <w:noProof/>
        </w:rPr>
      </w:pPr>
      <w:hyperlink w:anchor="_Toc489138986" w:history="1">
        <w:r w:rsidRPr="00B825DB">
          <w:rPr>
            <w:rStyle w:val="Hyperlink"/>
            <w:noProof/>
          </w:rPr>
          <w:t>Thesis Card: Educational Futurism</w:t>
        </w:r>
        <w:r>
          <w:rPr>
            <w:noProof/>
            <w:webHidden/>
          </w:rPr>
          <w:tab/>
        </w:r>
        <w:r>
          <w:rPr>
            <w:noProof/>
            <w:webHidden/>
          </w:rPr>
          <w:fldChar w:fldCharType="begin"/>
        </w:r>
        <w:r>
          <w:rPr>
            <w:noProof/>
            <w:webHidden/>
          </w:rPr>
          <w:instrText xml:space="preserve"> PAGEREF _Toc489138986 \h </w:instrText>
        </w:r>
        <w:r>
          <w:rPr>
            <w:noProof/>
            <w:webHidden/>
          </w:rPr>
        </w:r>
        <w:r>
          <w:rPr>
            <w:noProof/>
            <w:webHidden/>
          </w:rPr>
          <w:fldChar w:fldCharType="separate"/>
        </w:r>
        <w:r>
          <w:rPr>
            <w:noProof/>
            <w:webHidden/>
          </w:rPr>
          <w:t>267</w:t>
        </w:r>
        <w:r>
          <w:rPr>
            <w:noProof/>
            <w:webHidden/>
          </w:rPr>
          <w:fldChar w:fldCharType="end"/>
        </w:r>
      </w:hyperlink>
    </w:p>
    <w:p w:rsidR="009E3486" w:rsidRDefault="009E3486">
      <w:pPr>
        <w:pStyle w:val="TOC1"/>
        <w:tabs>
          <w:tab w:val="right" w:leader="dot" w:pos="9350"/>
        </w:tabs>
        <w:rPr>
          <w:noProof/>
        </w:rPr>
      </w:pPr>
      <w:hyperlink w:anchor="_Toc489138987" w:history="1">
        <w:r w:rsidRPr="00B825DB">
          <w:rPr>
            <w:rStyle w:val="Hyperlink"/>
            <w:noProof/>
          </w:rPr>
          <w:t>Aff Answers</w:t>
        </w:r>
        <w:r>
          <w:rPr>
            <w:noProof/>
            <w:webHidden/>
          </w:rPr>
          <w:tab/>
        </w:r>
        <w:r>
          <w:rPr>
            <w:noProof/>
            <w:webHidden/>
          </w:rPr>
          <w:fldChar w:fldCharType="begin"/>
        </w:r>
        <w:r>
          <w:rPr>
            <w:noProof/>
            <w:webHidden/>
          </w:rPr>
          <w:instrText xml:space="preserve"> PAGEREF _Toc489138987 \h </w:instrText>
        </w:r>
        <w:r>
          <w:rPr>
            <w:noProof/>
            <w:webHidden/>
          </w:rPr>
        </w:r>
        <w:r>
          <w:rPr>
            <w:noProof/>
            <w:webHidden/>
          </w:rPr>
          <w:fldChar w:fldCharType="separate"/>
        </w:r>
        <w:r>
          <w:rPr>
            <w:noProof/>
            <w:webHidden/>
          </w:rPr>
          <w:t>271</w:t>
        </w:r>
        <w:r>
          <w:rPr>
            <w:noProof/>
            <w:webHidden/>
          </w:rPr>
          <w:fldChar w:fldCharType="end"/>
        </w:r>
      </w:hyperlink>
    </w:p>
    <w:p w:rsidR="009E3486" w:rsidRDefault="009E3486">
      <w:pPr>
        <w:pStyle w:val="TOC2"/>
        <w:tabs>
          <w:tab w:val="right" w:leader="dot" w:pos="9350"/>
        </w:tabs>
        <w:rPr>
          <w:noProof/>
        </w:rPr>
      </w:pPr>
      <w:hyperlink w:anchor="_Toc489138988" w:history="1">
        <w:r w:rsidRPr="00B825DB">
          <w:rPr>
            <w:rStyle w:val="Hyperlink"/>
            <w:noProof/>
          </w:rPr>
          <w:t>General</w:t>
        </w:r>
        <w:r>
          <w:rPr>
            <w:noProof/>
            <w:webHidden/>
          </w:rPr>
          <w:tab/>
        </w:r>
        <w:r>
          <w:rPr>
            <w:noProof/>
            <w:webHidden/>
          </w:rPr>
          <w:fldChar w:fldCharType="begin"/>
        </w:r>
        <w:r>
          <w:rPr>
            <w:noProof/>
            <w:webHidden/>
          </w:rPr>
          <w:instrText xml:space="preserve"> PAGEREF _Toc489138988 \h </w:instrText>
        </w:r>
        <w:r>
          <w:rPr>
            <w:noProof/>
            <w:webHidden/>
          </w:rPr>
        </w:r>
        <w:r>
          <w:rPr>
            <w:noProof/>
            <w:webHidden/>
          </w:rPr>
          <w:fldChar w:fldCharType="separate"/>
        </w:r>
        <w:r>
          <w:rPr>
            <w:noProof/>
            <w:webHidden/>
          </w:rPr>
          <w:t>272</w:t>
        </w:r>
        <w:r>
          <w:rPr>
            <w:noProof/>
            <w:webHidden/>
          </w:rPr>
          <w:fldChar w:fldCharType="end"/>
        </w:r>
      </w:hyperlink>
    </w:p>
    <w:p w:rsidR="009E3486" w:rsidRDefault="009E3486">
      <w:pPr>
        <w:pStyle w:val="TOC3"/>
        <w:tabs>
          <w:tab w:val="right" w:leader="dot" w:pos="9350"/>
        </w:tabs>
        <w:rPr>
          <w:noProof/>
        </w:rPr>
      </w:pPr>
      <w:hyperlink w:anchor="_Toc489138989" w:history="1">
        <w:r w:rsidRPr="00B825DB">
          <w:rPr>
            <w:rStyle w:val="Hyperlink"/>
            <w:noProof/>
          </w:rPr>
          <w:t>Perm: Research Practices / Reflexive Pragmatism</w:t>
        </w:r>
        <w:r>
          <w:rPr>
            <w:noProof/>
            <w:webHidden/>
          </w:rPr>
          <w:tab/>
        </w:r>
        <w:r>
          <w:rPr>
            <w:noProof/>
            <w:webHidden/>
          </w:rPr>
          <w:fldChar w:fldCharType="begin"/>
        </w:r>
        <w:r>
          <w:rPr>
            <w:noProof/>
            <w:webHidden/>
          </w:rPr>
          <w:instrText xml:space="preserve"> PAGEREF _Toc489138989 \h </w:instrText>
        </w:r>
        <w:r>
          <w:rPr>
            <w:noProof/>
            <w:webHidden/>
          </w:rPr>
        </w:r>
        <w:r>
          <w:rPr>
            <w:noProof/>
            <w:webHidden/>
          </w:rPr>
          <w:fldChar w:fldCharType="separate"/>
        </w:r>
        <w:r>
          <w:rPr>
            <w:noProof/>
            <w:webHidden/>
          </w:rPr>
          <w:t>273</w:t>
        </w:r>
        <w:r>
          <w:rPr>
            <w:noProof/>
            <w:webHidden/>
          </w:rPr>
          <w:fldChar w:fldCharType="end"/>
        </w:r>
      </w:hyperlink>
    </w:p>
    <w:p w:rsidR="009E3486" w:rsidRDefault="009E3486">
      <w:pPr>
        <w:pStyle w:val="TOC3"/>
        <w:tabs>
          <w:tab w:val="right" w:leader="dot" w:pos="9350"/>
        </w:tabs>
        <w:rPr>
          <w:noProof/>
        </w:rPr>
      </w:pPr>
      <w:hyperlink w:anchor="_Toc489138990" w:history="1">
        <w:r w:rsidRPr="00B825DB">
          <w:rPr>
            <w:rStyle w:val="Hyperlink"/>
            <w:noProof/>
          </w:rPr>
          <w:t>Perm: Reform / Policy Interventions</w:t>
        </w:r>
        <w:r>
          <w:rPr>
            <w:noProof/>
            <w:webHidden/>
          </w:rPr>
          <w:tab/>
        </w:r>
        <w:r>
          <w:rPr>
            <w:noProof/>
            <w:webHidden/>
          </w:rPr>
          <w:fldChar w:fldCharType="begin"/>
        </w:r>
        <w:r>
          <w:rPr>
            <w:noProof/>
            <w:webHidden/>
          </w:rPr>
          <w:instrText xml:space="preserve"> PAGEREF _Toc489138990 \h </w:instrText>
        </w:r>
        <w:r>
          <w:rPr>
            <w:noProof/>
            <w:webHidden/>
          </w:rPr>
        </w:r>
        <w:r>
          <w:rPr>
            <w:noProof/>
            <w:webHidden/>
          </w:rPr>
          <w:fldChar w:fldCharType="separate"/>
        </w:r>
        <w:r>
          <w:rPr>
            <w:noProof/>
            <w:webHidden/>
          </w:rPr>
          <w:t>276</w:t>
        </w:r>
        <w:r>
          <w:rPr>
            <w:noProof/>
            <w:webHidden/>
          </w:rPr>
          <w:fldChar w:fldCharType="end"/>
        </w:r>
      </w:hyperlink>
    </w:p>
    <w:p w:rsidR="009E3486" w:rsidRDefault="009E3486">
      <w:pPr>
        <w:pStyle w:val="TOC3"/>
        <w:tabs>
          <w:tab w:val="right" w:leader="dot" w:pos="9350"/>
        </w:tabs>
        <w:rPr>
          <w:noProof/>
        </w:rPr>
      </w:pPr>
      <w:hyperlink w:anchor="_Toc489138991" w:history="1">
        <w:r w:rsidRPr="00B825DB">
          <w:rPr>
            <w:rStyle w:val="Hyperlink"/>
            <w:noProof/>
          </w:rPr>
          <w:t>Perm: Reform—solves homonationalism</w:t>
        </w:r>
        <w:r>
          <w:rPr>
            <w:noProof/>
            <w:webHidden/>
          </w:rPr>
          <w:tab/>
        </w:r>
        <w:r>
          <w:rPr>
            <w:noProof/>
            <w:webHidden/>
          </w:rPr>
          <w:fldChar w:fldCharType="begin"/>
        </w:r>
        <w:r>
          <w:rPr>
            <w:noProof/>
            <w:webHidden/>
          </w:rPr>
          <w:instrText xml:space="preserve"> PAGEREF _Toc489138991 \h </w:instrText>
        </w:r>
        <w:r>
          <w:rPr>
            <w:noProof/>
            <w:webHidden/>
          </w:rPr>
        </w:r>
        <w:r>
          <w:rPr>
            <w:noProof/>
            <w:webHidden/>
          </w:rPr>
          <w:fldChar w:fldCharType="separate"/>
        </w:r>
        <w:r>
          <w:rPr>
            <w:noProof/>
            <w:webHidden/>
          </w:rPr>
          <w:t>279</w:t>
        </w:r>
        <w:r>
          <w:rPr>
            <w:noProof/>
            <w:webHidden/>
          </w:rPr>
          <w:fldChar w:fldCharType="end"/>
        </w:r>
      </w:hyperlink>
    </w:p>
    <w:p w:rsidR="009E3486" w:rsidRDefault="009E3486">
      <w:pPr>
        <w:pStyle w:val="TOC3"/>
        <w:tabs>
          <w:tab w:val="right" w:leader="dot" w:pos="9350"/>
        </w:tabs>
        <w:rPr>
          <w:noProof/>
        </w:rPr>
      </w:pPr>
      <w:hyperlink w:anchor="_Toc489138992" w:history="1">
        <w:r w:rsidRPr="00B825DB">
          <w:rPr>
            <w:rStyle w:val="Hyperlink"/>
            <w:noProof/>
          </w:rPr>
          <w:t>Link Turn: Anti-capitalism</w:t>
        </w:r>
        <w:r>
          <w:rPr>
            <w:noProof/>
            <w:webHidden/>
          </w:rPr>
          <w:tab/>
        </w:r>
        <w:r>
          <w:rPr>
            <w:noProof/>
            <w:webHidden/>
          </w:rPr>
          <w:fldChar w:fldCharType="begin"/>
        </w:r>
        <w:r>
          <w:rPr>
            <w:noProof/>
            <w:webHidden/>
          </w:rPr>
          <w:instrText xml:space="preserve"> PAGEREF _Toc489138992 \h </w:instrText>
        </w:r>
        <w:r>
          <w:rPr>
            <w:noProof/>
            <w:webHidden/>
          </w:rPr>
        </w:r>
        <w:r>
          <w:rPr>
            <w:noProof/>
            <w:webHidden/>
          </w:rPr>
          <w:fldChar w:fldCharType="separate"/>
        </w:r>
        <w:r>
          <w:rPr>
            <w:noProof/>
            <w:webHidden/>
          </w:rPr>
          <w:t>282</w:t>
        </w:r>
        <w:r>
          <w:rPr>
            <w:noProof/>
            <w:webHidden/>
          </w:rPr>
          <w:fldChar w:fldCharType="end"/>
        </w:r>
      </w:hyperlink>
    </w:p>
    <w:p w:rsidR="009E3486" w:rsidRDefault="009E3486">
      <w:pPr>
        <w:pStyle w:val="TOC3"/>
        <w:tabs>
          <w:tab w:val="right" w:leader="dot" w:pos="9350"/>
        </w:tabs>
        <w:rPr>
          <w:noProof/>
        </w:rPr>
      </w:pPr>
      <w:hyperlink w:anchor="_Toc489138993" w:history="1">
        <w:r w:rsidRPr="00B825DB">
          <w:rPr>
            <w:rStyle w:val="Hyperlink"/>
            <w:noProof/>
          </w:rPr>
          <w:t>Link Turn: Computer Science</w:t>
        </w:r>
        <w:r>
          <w:rPr>
            <w:noProof/>
            <w:webHidden/>
          </w:rPr>
          <w:tab/>
        </w:r>
        <w:r>
          <w:rPr>
            <w:noProof/>
            <w:webHidden/>
          </w:rPr>
          <w:fldChar w:fldCharType="begin"/>
        </w:r>
        <w:r>
          <w:rPr>
            <w:noProof/>
            <w:webHidden/>
          </w:rPr>
          <w:instrText xml:space="preserve"> PAGEREF _Toc489138993 \h </w:instrText>
        </w:r>
        <w:r>
          <w:rPr>
            <w:noProof/>
            <w:webHidden/>
          </w:rPr>
        </w:r>
        <w:r>
          <w:rPr>
            <w:noProof/>
            <w:webHidden/>
          </w:rPr>
          <w:fldChar w:fldCharType="separate"/>
        </w:r>
        <w:r>
          <w:rPr>
            <w:noProof/>
            <w:webHidden/>
          </w:rPr>
          <w:t>283</w:t>
        </w:r>
        <w:r>
          <w:rPr>
            <w:noProof/>
            <w:webHidden/>
          </w:rPr>
          <w:fldChar w:fldCharType="end"/>
        </w:r>
      </w:hyperlink>
    </w:p>
    <w:p w:rsidR="009E3486" w:rsidRDefault="009E3486">
      <w:pPr>
        <w:pStyle w:val="TOC3"/>
        <w:tabs>
          <w:tab w:val="right" w:leader="dot" w:pos="9350"/>
        </w:tabs>
        <w:rPr>
          <w:noProof/>
        </w:rPr>
      </w:pPr>
      <w:hyperlink w:anchor="_Toc489138994" w:history="1">
        <w:r w:rsidRPr="00B825DB">
          <w:rPr>
            <w:rStyle w:val="Hyperlink"/>
            <w:noProof/>
          </w:rPr>
          <w:t>Link Turn: Sex Ed / Visibility</w:t>
        </w:r>
        <w:r>
          <w:rPr>
            <w:noProof/>
            <w:webHidden/>
          </w:rPr>
          <w:tab/>
        </w:r>
        <w:r>
          <w:rPr>
            <w:noProof/>
            <w:webHidden/>
          </w:rPr>
          <w:fldChar w:fldCharType="begin"/>
        </w:r>
        <w:r>
          <w:rPr>
            <w:noProof/>
            <w:webHidden/>
          </w:rPr>
          <w:instrText xml:space="preserve"> PAGEREF _Toc489138994 \h </w:instrText>
        </w:r>
        <w:r>
          <w:rPr>
            <w:noProof/>
            <w:webHidden/>
          </w:rPr>
        </w:r>
        <w:r>
          <w:rPr>
            <w:noProof/>
            <w:webHidden/>
          </w:rPr>
          <w:fldChar w:fldCharType="separate"/>
        </w:r>
        <w:r>
          <w:rPr>
            <w:noProof/>
            <w:webHidden/>
          </w:rPr>
          <w:t>284</w:t>
        </w:r>
        <w:r>
          <w:rPr>
            <w:noProof/>
            <w:webHidden/>
          </w:rPr>
          <w:fldChar w:fldCharType="end"/>
        </w:r>
      </w:hyperlink>
    </w:p>
    <w:p w:rsidR="009E3486" w:rsidRDefault="009E3486">
      <w:pPr>
        <w:pStyle w:val="TOC3"/>
        <w:tabs>
          <w:tab w:val="right" w:leader="dot" w:pos="9350"/>
        </w:tabs>
        <w:rPr>
          <w:noProof/>
        </w:rPr>
      </w:pPr>
      <w:hyperlink w:anchor="_Toc489138995" w:history="1">
        <w:r w:rsidRPr="00B825DB">
          <w:rPr>
            <w:rStyle w:val="Hyperlink"/>
            <w:noProof/>
          </w:rPr>
          <w:t>Link Turn: Studious Play</w:t>
        </w:r>
        <w:r>
          <w:rPr>
            <w:noProof/>
            <w:webHidden/>
          </w:rPr>
          <w:tab/>
        </w:r>
        <w:r>
          <w:rPr>
            <w:noProof/>
            <w:webHidden/>
          </w:rPr>
          <w:fldChar w:fldCharType="begin"/>
        </w:r>
        <w:r>
          <w:rPr>
            <w:noProof/>
            <w:webHidden/>
          </w:rPr>
          <w:instrText xml:space="preserve"> PAGEREF _Toc489138995 \h </w:instrText>
        </w:r>
        <w:r>
          <w:rPr>
            <w:noProof/>
            <w:webHidden/>
          </w:rPr>
        </w:r>
        <w:r>
          <w:rPr>
            <w:noProof/>
            <w:webHidden/>
          </w:rPr>
          <w:fldChar w:fldCharType="separate"/>
        </w:r>
        <w:r>
          <w:rPr>
            <w:noProof/>
            <w:webHidden/>
          </w:rPr>
          <w:t>289</w:t>
        </w:r>
        <w:r>
          <w:rPr>
            <w:noProof/>
            <w:webHidden/>
          </w:rPr>
          <w:fldChar w:fldCharType="end"/>
        </w:r>
      </w:hyperlink>
    </w:p>
    <w:p w:rsidR="009E3486" w:rsidRDefault="009E3486">
      <w:pPr>
        <w:pStyle w:val="TOC3"/>
        <w:tabs>
          <w:tab w:val="right" w:leader="dot" w:pos="9350"/>
        </w:tabs>
        <w:rPr>
          <w:noProof/>
        </w:rPr>
      </w:pPr>
      <w:hyperlink w:anchor="_Toc489138996" w:history="1">
        <w:r w:rsidRPr="00B825DB">
          <w:rPr>
            <w:rStyle w:val="Hyperlink"/>
            <w:noProof/>
          </w:rPr>
          <w:t>Link Turn: De-schooling</w:t>
        </w:r>
        <w:r>
          <w:rPr>
            <w:noProof/>
            <w:webHidden/>
          </w:rPr>
          <w:tab/>
        </w:r>
        <w:r>
          <w:rPr>
            <w:noProof/>
            <w:webHidden/>
          </w:rPr>
          <w:fldChar w:fldCharType="begin"/>
        </w:r>
        <w:r>
          <w:rPr>
            <w:noProof/>
            <w:webHidden/>
          </w:rPr>
          <w:instrText xml:space="preserve"> PAGEREF _Toc489138996 \h </w:instrText>
        </w:r>
        <w:r>
          <w:rPr>
            <w:noProof/>
            <w:webHidden/>
          </w:rPr>
        </w:r>
        <w:r>
          <w:rPr>
            <w:noProof/>
            <w:webHidden/>
          </w:rPr>
          <w:fldChar w:fldCharType="separate"/>
        </w:r>
        <w:r>
          <w:rPr>
            <w:noProof/>
            <w:webHidden/>
          </w:rPr>
          <w:t>291</w:t>
        </w:r>
        <w:r>
          <w:rPr>
            <w:noProof/>
            <w:webHidden/>
          </w:rPr>
          <w:fldChar w:fldCharType="end"/>
        </w:r>
      </w:hyperlink>
    </w:p>
    <w:p w:rsidR="009E3486" w:rsidRDefault="009E3486">
      <w:pPr>
        <w:pStyle w:val="TOC3"/>
        <w:tabs>
          <w:tab w:val="right" w:leader="dot" w:pos="9350"/>
        </w:tabs>
        <w:rPr>
          <w:noProof/>
        </w:rPr>
      </w:pPr>
      <w:hyperlink w:anchor="_Toc489138997" w:history="1">
        <w:r w:rsidRPr="00B825DB">
          <w:rPr>
            <w:rStyle w:val="Hyperlink"/>
            <w:noProof/>
          </w:rPr>
          <w:t>Link Turn: Research Practices</w:t>
        </w:r>
        <w:r>
          <w:rPr>
            <w:noProof/>
            <w:webHidden/>
          </w:rPr>
          <w:tab/>
        </w:r>
        <w:r>
          <w:rPr>
            <w:noProof/>
            <w:webHidden/>
          </w:rPr>
          <w:fldChar w:fldCharType="begin"/>
        </w:r>
        <w:r>
          <w:rPr>
            <w:noProof/>
            <w:webHidden/>
          </w:rPr>
          <w:instrText xml:space="preserve"> PAGEREF _Toc489138997 \h </w:instrText>
        </w:r>
        <w:r>
          <w:rPr>
            <w:noProof/>
            <w:webHidden/>
          </w:rPr>
        </w:r>
        <w:r>
          <w:rPr>
            <w:noProof/>
            <w:webHidden/>
          </w:rPr>
          <w:fldChar w:fldCharType="separate"/>
        </w:r>
        <w:r>
          <w:rPr>
            <w:noProof/>
            <w:webHidden/>
          </w:rPr>
          <w:t>293</w:t>
        </w:r>
        <w:r>
          <w:rPr>
            <w:noProof/>
            <w:webHidden/>
          </w:rPr>
          <w:fldChar w:fldCharType="end"/>
        </w:r>
      </w:hyperlink>
    </w:p>
    <w:p w:rsidR="009E3486" w:rsidRDefault="009E3486">
      <w:pPr>
        <w:pStyle w:val="TOC3"/>
        <w:tabs>
          <w:tab w:val="right" w:leader="dot" w:pos="9350"/>
        </w:tabs>
        <w:rPr>
          <w:noProof/>
        </w:rPr>
      </w:pPr>
      <w:hyperlink w:anchor="_Toc489138998" w:history="1">
        <w:r w:rsidRPr="00B825DB">
          <w:rPr>
            <w:rStyle w:val="Hyperlink"/>
            <w:noProof/>
          </w:rPr>
          <w:t>Turn: Antinormativity &amp; Essentialism</w:t>
        </w:r>
        <w:r>
          <w:rPr>
            <w:noProof/>
            <w:webHidden/>
          </w:rPr>
          <w:tab/>
        </w:r>
        <w:r>
          <w:rPr>
            <w:noProof/>
            <w:webHidden/>
          </w:rPr>
          <w:fldChar w:fldCharType="begin"/>
        </w:r>
        <w:r>
          <w:rPr>
            <w:noProof/>
            <w:webHidden/>
          </w:rPr>
          <w:instrText xml:space="preserve"> PAGEREF _Toc489138998 \h </w:instrText>
        </w:r>
        <w:r>
          <w:rPr>
            <w:noProof/>
            <w:webHidden/>
          </w:rPr>
        </w:r>
        <w:r>
          <w:rPr>
            <w:noProof/>
            <w:webHidden/>
          </w:rPr>
          <w:fldChar w:fldCharType="separate"/>
        </w:r>
        <w:r>
          <w:rPr>
            <w:noProof/>
            <w:webHidden/>
          </w:rPr>
          <w:t>295</w:t>
        </w:r>
        <w:r>
          <w:rPr>
            <w:noProof/>
            <w:webHidden/>
          </w:rPr>
          <w:fldChar w:fldCharType="end"/>
        </w:r>
      </w:hyperlink>
    </w:p>
    <w:p w:rsidR="009E3486" w:rsidRDefault="009E3486">
      <w:pPr>
        <w:pStyle w:val="TOC3"/>
        <w:tabs>
          <w:tab w:val="right" w:leader="dot" w:pos="9350"/>
        </w:tabs>
        <w:rPr>
          <w:noProof/>
        </w:rPr>
      </w:pPr>
      <w:hyperlink w:anchor="_Toc489138999" w:history="1">
        <w:r w:rsidRPr="00B825DB">
          <w:rPr>
            <w:rStyle w:val="Hyperlink"/>
            <w:noProof/>
          </w:rPr>
          <w:t>Turn: Pragmatism Good</w:t>
        </w:r>
        <w:r>
          <w:rPr>
            <w:noProof/>
            <w:webHidden/>
          </w:rPr>
          <w:tab/>
        </w:r>
        <w:r>
          <w:rPr>
            <w:noProof/>
            <w:webHidden/>
          </w:rPr>
          <w:fldChar w:fldCharType="begin"/>
        </w:r>
        <w:r>
          <w:rPr>
            <w:noProof/>
            <w:webHidden/>
          </w:rPr>
          <w:instrText xml:space="preserve"> PAGEREF _Toc489138999 \h </w:instrText>
        </w:r>
        <w:r>
          <w:rPr>
            <w:noProof/>
            <w:webHidden/>
          </w:rPr>
        </w:r>
        <w:r>
          <w:rPr>
            <w:noProof/>
            <w:webHidden/>
          </w:rPr>
          <w:fldChar w:fldCharType="separate"/>
        </w:r>
        <w:r>
          <w:rPr>
            <w:noProof/>
            <w:webHidden/>
          </w:rPr>
          <w:t>298</w:t>
        </w:r>
        <w:r>
          <w:rPr>
            <w:noProof/>
            <w:webHidden/>
          </w:rPr>
          <w:fldChar w:fldCharType="end"/>
        </w:r>
      </w:hyperlink>
    </w:p>
    <w:p w:rsidR="009E3486" w:rsidRDefault="009E3486">
      <w:pPr>
        <w:pStyle w:val="TOC3"/>
        <w:tabs>
          <w:tab w:val="right" w:leader="dot" w:pos="9350"/>
        </w:tabs>
        <w:rPr>
          <w:noProof/>
        </w:rPr>
      </w:pPr>
      <w:hyperlink w:anchor="_Toc489139000" w:history="1">
        <w:r w:rsidRPr="00B825DB">
          <w:rPr>
            <w:rStyle w:val="Hyperlink"/>
            <w:noProof/>
          </w:rPr>
          <w:t>Turn: Reform/Queer Liberalism</w:t>
        </w:r>
        <w:r>
          <w:rPr>
            <w:noProof/>
            <w:webHidden/>
          </w:rPr>
          <w:tab/>
        </w:r>
        <w:r>
          <w:rPr>
            <w:noProof/>
            <w:webHidden/>
          </w:rPr>
          <w:fldChar w:fldCharType="begin"/>
        </w:r>
        <w:r>
          <w:rPr>
            <w:noProof/>
            <w:webHidden/>
          </w:rPr>
          <w:instrText xml:space="preserve"> PAGEREF _Toc489139000 \h </w:instrText>
        </w:r>
        <w:r>
          <w:rPr>
            <w:noProof/>
            <w:webHidden/>
          </w:rPr>
        </w:r>
        <w:r>
          <w:rPr>
            <w:noProof/>
            <w:webHidden/>
          </w:rPr>
          <w:fldChar w:fldCharType="separate"/>
        </w:r>
        <w:r>
          <w:rPr>
            <w:noProof/>
            <w:webHidden/>
          </w:rPr>
          <w:t>302</w:t>
        </w:r>
        <w:r>
          <w:rPr>
            <w:noProof/>
            <w:webHidden/>
          </w:rPr>
          <w:fldChar w:fldCharType="end"/>
        </w:r>
      </w:hyperlink>
    </w:p>
    <w:p w:rsidR="009E3486" w:rsidRDefault="009E3486">
      <w:pPr>
        <w:pStyle w:val="TOC2"/>
        <w:tabs>
          <w:tab w:val="right" w:leader="dot" w:pos="9350"/>
        </w:tabs>
        <w:rPr>
          <w:noProof/>
        </w:rPr>
      </w:pPr>
      <w:hyperlink w:anchor="_Toc489139001" w:history="1">
        <w:r w:rsidRPr="00B825DB">
          <w:rPr>
            <w:rStyle w:val="Hyperlink"/>
            <w:noProof/>
          </w:rPr>
          <w:t>Queer Negativity</w:t>
        </w:r>
        <w:r>
          <w:rPr>
            <w:noProof/>
            <w:webHidden/>
          </w:rPr>
          <w:tab/>
        </w:r>
        <w:r>
          <w:rPr>
            <w:noProof/>
            <w:webHidden/>
          </w:rPr>
          <w:fldChar w:fldCharType="begin"/>
        </w:r>
        <w:r>
          <w:rPr>
            <w:noProof/>
            <w:webHidden/>
          </w:rPr>
          <w:instrText xml:space="preserve"> PAGEREF _Toc489139001 \h </w:instrText>
        </w:r>
        <w:r>
          <w:rPr>
            <w:noProof/>
            <w:webHidden/>
          </w:rPr>
        </w:r>
        <w:r>
          <w:rPr>
            <w:noProof/>
            <w:webHidden/>
          </w:rPr>
          <w:fldChar w:fldCharType="separate"/>
        </w:r>
        <w:r>
          <w:rPr>
            <w:noProof/>
            <w:webHidden/>
          </w:rPr>
          <w:t>304</w:t>
        </w:r>
        <w:r>
          <w:rPr>
            <w:noProof/>
            <w:webHidden/>
          </w:rPr>
          <w:fldChar w:fldCharType="end"/>
        </w:r>
      </w:hyperlink>
    </w:p>
    <w:p w:rsidR="009E3486" w:rsidRDefault="009E3486">
      <w:pPr>
        <w:pStyle w:val="TOC3"/>
        <w:tabs>
          <w:tab w:val="right" w:leader="dot" w:pos="9350"/>
        </w:tabs>
        <w:rPr>
          <w:noProof/>
        </w:rPr>
      </w:pPr>
      <w:hyperlink w:anchor="_Toc489139002" w:history="1">
        <w:r w:rsidRPr="00B825DB">
          <w:rPr>
            <w:rStyle w:val="Hyperlink"/>
            <w:noProof/>
          </w:rPr>
          <w:t>Perm: Negativity</w:t>
        </w:r>
        <w:r>
          <w:rPr>
            <w:noProof/>
            <w:webHidden/>
          </w:rPr>
          <w:tab/>
        </w:r>
        <w:r>
          <w:rPr>
            <w:noProof/>
            <w:webHidden/>
          </w:rPr>
          <w:fldChar w:fldCharType="begin"/>
        </w:r>
        <w:r>
          <w:rPr>
            <w:noProof/>
            <w:webHidden/>
          </w:rPr>
          <w:instrText xml:space="preserve"> PAGEREF _Toc489139002 \h </w:instrText>
        </w:r>
        <w:r>
          <w:rPr>
            <w:noProof/>
            <w:webHidden/>
          </w:rPr>
        </w:r>
        <w:r>
          <w:rPr>
            <w:noProof/>
            <w:webHidden/>
          </w:rPr>
          <w:fldChar w:fldCharType="separate"/>
        </w:r>
        <w:r>
          <w:rPr>
            <w:noProof/>
            <w:webHidden/>
          </w:rPr>
          <w:t>305</w:t>
        </w:r>
        <w:r>
          <w:rPr>
            <w:noProof/>
            <w:webHidden/>
          </w:rPr>
          <w:fldChar w:fldCharType="end"/>
        </w:r>
      </w:hyperlink>
    </w:p>
    <w:p w:rsidR="009E3486" w:rsidRDefault="009E3486">
      <w:pPr>
        <w:pStyle w:val="TOC3"/>
        <w:tabs>
          <w:tab w:val="right" w:leader="dot" w:pos="9350"/>
        </w:tabs>
        <w:rPr>
          <w:noProof/>
        </w:rPr>
      </w:pPr>
      <w:hyperlink w:anchor="_Toc489139003" w:history="1">
        <w:r w:rsidRPr="00B825DB">
          <w:rPr>
            <w:rStyle w:val="Hyperlink"/>
            <w:noProof/>
          </w:rPr>
          <w:t>Link turn: Survivors Aff</w:t>
        </w:r>
        <w:r>
          <w:rPr>
            <w:noProof/>
            <w:webHidden/>
          </w:rPr>
          <w:tab/>
        </w:r>
        <w:r>
          <w:rPr>
            <w:noProof/>
            <w:webHidden/>
          </w:rPr>
          <w:fldChar w:fldCharType="begin"/>
        </w:r>
        <w:r>
          <w:rPr>
            <w:noProof/>
            <w:webHidden/>
          </w:rPr>
          <w:instrText xml:space="preserve"> PAGEREF _Toc489139003 \h </w:instrText>
        </w:r>
        <w:r>
          <w:rPr>
            <w:noProof/>
            <w:webHidden/>
          </w:rPr>
        </w:r>
        <w:r>
          <w:rPr>
            <w:noProof/>
            <w:webHidden/>
          </w:rPr>
          <w:fldChar w:fldCharType="separate"/>
        </w:r>
        <w:r>
          <w:rPr>
            <w:noProof/>
            <w:webHidden/>
          </w:rPr>
          <w:t>307</w:t>
        </w:r>
        <w:r>
          <w:rPr>
            <w:noProof/>
            <w:webHidden/>
          </w:rPr>
          <w:fldChar w:fldCharType="end"/>
        </w:r>
      </w:hyperlink>
    </w:p>
    <w:p w:rsidR="009E3486" w:rsidRDefault="009E3486">
      <w:pPr>
        <w:pStyle w:val="TOC3"/>
        <w:tabs>
          <w:tab w:val="right" w:leader="dot" w:pos="9350"/>
        </w:tabs>
        <w:rPr>
          <w:noProof/>
        </w:rPr>
      </w:pPr>
      <w:hyperlink w:anchor="_Toc489139004" w:history="1">
        <w:r w:rsidRPr="00B825DB">
          <w:rPr>
            <w:rStyle w:val="Hyperlink"/>
            <w:noProof/>
          </w:rPr>
          <w:t>Turn: ahistorical Child / Materialism key</w:t>
        </w:r>
        <w:r>
          <w:rPr>
            <w:noProof/>
            <w:webHidden/>
          </w:rPr>
          <w:tab/>
        </w:r>
        <w:r>
          <w:rPr>
            <w:noProof/>
            <w:webHidden/>
          </w:rPr>
          <w:fldChar w:fldCharType="begin"/>
        </w:r>
        <w:r>
          <w:rPr>
            <w:noProof/>
            <w:webHidden/>
          </w:rPr>
          <w:instrText xml:space="preserve"> PAGEREF _Toc489139004 \h </w:instrText>
        </w:r>
        <w:r>
          <w:rPr>
            <w:noProof/>
            <w:webHidden/>
          </w:rPr>
        </w:r>
        <w:r>
          <w:rPr>
            <w:noProof/>
            <w:webHidden/>
          </w:rPr>
          <w:fldChar w:fldCharType="separate"/>
        </w:r>
        <w:r>
          <w:rPr>
            <w:noProof/>
            <w:webHidden/>
          </w:rPr>
          <w:t>309</w:t>
        </w:r>
        <w:r>
          <w:rPr>
            <w:noProof/>
            <w:webHidden/>
          </w:rPr>
          <w:fldChar w:fldCharType="end"/>
        </w:r>
      </w:hyperlink>
    </w:p>
    <w:p w:rsidR="009E3486" w:rsidRDefault="009E3486">
      <w:pPr>
        <w:pStyle w:val="TOC3"/>
        <w:tabs>
          <w:tab w:val="right" w:leader="dot" w:pos="9350"/>
        </w:tabs>
        <w:rPr>
          <w:noProof/>
        </w:rPr>
      </w:pPr>
      <w:hyperlink w:anchor="_Toc489139005" w:history="1">
        <w:r w:rsidRPr="00B825DB">
          <w:rPr>
            <w:rStyle w:val="Hyperlink"/>
            <w:noProof/>
          </w:rPr>
          <w:t>Turn: Melancholic Attachments</w:t>
        </w:r>
        <w:r>
          <w:rPr>
            <w:noProof/>
            <w:webHidden/>
          </w:rPr>
          <w:tab/>
        </w:r>
        <w:r>
          <w:rPr>
            <w:noProof/>
            <w:webHidden/>
          </w:rPr>
          <w:fldChar w:fldCharType="begin"/>
        </w:r>
        <w:r>
          <w:rPr>
            <w:noProof/>
            <w:webHidden/>
          </w:rPr>
          <w:instrText xml:space="preserve"> PAGEREF _Toc489139005 \h </w:instrText>
        </w:r>
        <w:r>
          <w:rPr>
            <w:noProof/>
            <w:webHidden/>
          </w:rPr>
        </w:r>
        <w:r>
          <w:rPr>
            <w:noProof/>
            <w:webHidden/>
          </w:rPr>
          <w:fldChar w:fldCharType="separate"/>
        </w:r>
        <w:r>
          <w:rPr>
            <w:noProof/>
            <w:webHidden/>
          </w:rPr>
          <w:t>311</w:t>
        </w:r>
        <w:r>
          <w:rPr>
            <w:noProof/>
            <w:webHidden/>
          </w:rPr>
          <w:fldChar w:fldCharType="end"/>
        </w:r>
      </w:hyperlink>
    </w:p>
    <w:p w:rsidR="009E3486" w:rsidRDefault="009E3486">
      <w:pPr>
        <w:pStyle w:val="TOC3"/>
        <w:tabs>
          <w:tab w:val="right" w:leader="dot" w:pos="9350"/>
        </w:tabs>
        <w:rPr>
          <w:noProof/>
        </w:rPr>
      </w:pPr>
      <w:hyperlink w:anchor="_Toc489139006" w:history="1">
        <w:r w:rsidRPr="00B825DB">
          <w:rPr>
            <w:rStyle w:val="Hyperlink"/>
            <w:noProof/>
          </w:rPr>
          <w:t>A2: Death Drive</w:t>
        </w:r>
        <w:r>
          <w:rPr>
            <w:noProof/>
            <w:webHidden/>
          </w:rPr>
          <w:tab/>
        </w:r>
        <w:r>
          <w:rPr>
            <w:noProof/>
            <w:webHidden/>
          </w:rPr>
          <w:fldChar w:fldCharType="begin"/>
        </w:r>
        <w:r>
          <w:rPr>
            <w:noProof/>
            <w:webHidden/>
          </w:rPr>
          <w:instrText xml:space="preserve"> PAGEREF _Toc489139006 \h </w:instrText>
        </w:r>
        <w:r>
          <w:rPr>
            <w:noProof/>
            <w:webHidden/>
          </w:rPr>
        </w:r>
        <w:r>
          <w:rPr>
            <w:noProof/>
            <w:webHidden/>
          </w:rPr>
          <w:fldChar w:fldCharType="separate"/>
        </w:r>
        <w:r>
          <w:rPr>
            <w:noProof/>
            <w:webHidden/>
          </w:rPr>
          <w:t>314</w:t>
        </w:r>
        <w:r>
          <w:rPr>
            <w:noProof/>
            <w:webHidden/>
          </w:rPr>
          <w:fldChar w:fldCharType="end"/>
        </w:r>
      </w:hyperlink>
    </w:p>
    <w:p w:rsidR="009E3486" w:rsidRDefault="009E3486">
      <w:pPr>
        <w:pStyle w:val="TOC2"/>
        <w:tabs>
          <w:tab w:val="right" w:leader="dot" w:pos="9350"/>
        </w:tabs>
        <w:rPr>
          <w:noProof/>
        </w:rPr>
      </w:pPr>
      <w:hyperlink w:anchor="_Toc489139007" w:history="1">
        <w:r w:rsidRPr="00B825DB">
          <w:rPr>
            <w:rStyle w:val="Hyperlink"/>
            <w:noProof/>
          </w:rPr>
          <w:t>Failure</w:t>
        </w:r>
        <w:r>
          <w:rPr>
            <w:noProof/>
            <w:webHidden/>
          </w:rPr>
          <w:tab/>
        </w:r>
        <w:r>
          <w:rPr>
            <w:noProof/>
            <w:webHidden/>
          </w:rPr>
          <w:fldChar w:fldCharType="begin"/>
        </w:r>
        <w:r>
          <w:rPr>
            <w:noProof/>
            <w:webHidden/>
          </w:rPr>
          <w:instrText xml:space="preserve"> PAGEREF _Toc489139007 \h </w:instrText>
        </w:r>
        <w:r>
          <w:rPr>
            <w:noProof/>
            <w:webHidden/>
          </w:rPr>
        </w:r>
        <w:r>
          <w:rPr>
            <w:noProof/>
            <w:webHidden/>
          </w:rPr>
          <w:fldChar w:fldCharType="separate"/>
        </w:r>
        <w:r>
          <w:rPr>
            <w:noProof/>
            <w:webHidden/>
          </w:rPr>
          <w:t>316</w:t>
        </w:r>
        <w:r>
          <w:rPr>
            <w:noProof/>
            <w:webHidden/>
          </w:rPr>
          <w:fldChar w:fldCharType="end"/>
        </w:r>
      </w:hyperlink>
    </w:p>
    <w:p w:rsidR="009E3486" w:rsidRDefault="009E3486">
      <w:pPr>
        <w:pStyle w:val="TOC3"/>
        <w:tabs>
          <w:tab w:val="right" w:leader="dot" w:pos="9350"/>
        </w:tabs>
        <w:rPr>
          <w:noProof/>
        </w:rPr>
      </w:pPr>
      <w:hyperlink w:anchor="_Toc489139008" w:history="1">
        <w:r w:rsidRPr="00B825DB">
          <w:rPr>
            <w:rStyle w:val="Hyperlink"/>
            <w:noProof/>
          </w:rPr>
          <w:t>Perm: Positive Affect</w:t>
        </w:r>
        <w:r>
          <w:rPr>
            <w:noProof/>
            <w:webHidden/>
          </w:rPr>
          <w:tab/>
        </w:r>
        <w:r>
          <w:rPr>
            <w:noProof/>
            <w:webHidden/>
          </w:rPr>
          <w:fldChar w:fldCharType="begin"/>
        </w:r>
        <w:r>
          <w:rPr>
            <w:noProof/>
            <w:webHidden/>
          </w:rPr>
          <w:instrText xml:space="preserve"> PAGEREF _Toc489139008 \h </w:instrText>
        </w:r>
        <w:r>
          <w:rPr>
            <w:noProof/>
            <w:webHidden/>
          </w:rPr>
        </w:r>
        <w:r>
          <w:rPr>
            <w:noProof/>
            <w:webHidden/>
          </w:rPr>
          <w:fldChar w:fldCharType="separate"/>
        </w:r>
        <w:r>
          <w:rPr>
            <w:noProof/>
            <w:webHidden/>
          </w:rPr>
          <w:t>317</w:t>
        </w:r>
        <w:r>
          <w:rPr>
            <w:noProof/>
            <w:webHidden/>
          </w:rPr>
          <w:fldChar w:fldCharType="end"/>
        </w:r>
      </w:hyperlink>
    </w:p>
    <w:p w:rsidR="009E3486" w:rsidRDefault="009E3486">
      <w:pPr>
        <w:pStyle w:val="TOC3"/>
        <w:tabs>
          <w:tab w:val="right" w:leader="dot" w:pos="9350"/>
        </w:tabs>
        <w:rPr>
          <w:noProof/>
        </w:rPr>
      </w:pPr>
      <w:hyperlink w:anchor="_Toc489139009" w:history="1">
        <w:r w:rsidRPr="00B825DB">
          <w:rPr>
            <w:rStyle w:val="Hyperlink"/>
            <w:noProof/>
          </w:rPr>
          <w:t>Link Turn: Survivors Aff—Failure</w:t>
        </w:r>
        <w:r>
          <w:rPr>
            <w:noProof/>
            <w:webHidden/>
          </w:rPr>
          <w:tab/>
        </w:r>
        <w:r>
          <w:rPr>
            <w:noProof/>
            <w:webHidden/>
          </w:rPr>
          <w:fldChar w:fldCharType="begin"/>
        </w:r>
        <w:r>
          <w:rPr>
            <w:noProof/>
            <w:webHidden/>
          </w:rPr>
          <w:instrText xml:space="preserve"> PAGEREF _Toc489139009 \h </w:instrText>
        </w:r>
        <w:r>
          <w:rPr>
            <w:noProof/>
            <w:webHidden/>
          </w:rPr>
        </w:r>
        <w:r>
          <w:rPr>
            <w:noProof/>
            <w:webHidden/>
          </w:rPr>
          <w:fldChar w:fldCharType="separate"/>
        </w:r>
        <w:r>
          <w:rPr>
            <w:noProof/>
            <w:webHidden/>
          </w:rPr>
          <w:t>318</w:t>
        </w:r>
        <w:r>
          <w:rPr>
            <w:noProof/>
            <w:webHidden/>
          </w:rPr>
          <w:fldChar w:fldCharType="end"/>
        </w:r>
      </w:hyperlink>
    </w:p>
    <w:p w:rsidR="009E3486" w:rsidRDefault="009E3486">
      <w:pPr>
        <w:pStyle w:val="TOC3"/>
        <w:tabs>
          <w:tab w:val="right" w:leader="dot" w:pos="9350"/>
        </w:tabs>
        <w:rPr>
          <w:noProof/>
        </w:rPr>
      </w:pPr>
      <w:hyperlink w:anchor="_Toc489139010" w:history="1">
        <w:r w:rsidRPr="00B825DB">
          <w:rPr>
            <w:rStyle w:val="Hyperlink"/>
            <w:noProof/>
          </w:rPr>
          <w:t>Turn: Degenerational Unremembering</w:t>
        </w:r>
        <w:r>
          <w:rPr>
            <w:noProof/>
            <w:webHidden/>
          </w:rPr>
          <w:tab/>
        </w:r>
        <w:r>
          <w:rPr>
            <w:noProof/>
            <w:webHidden/>
          </w:rPr>
          <w:fldChar w:fldCharType="begin"/>
        </w:r>
        <w:r>
          <w:rPr>
            <w:noProof/>
            <w:webHidden/>
          </w:rPr>
          <w:instrText xml:space="preserve"> PAGEREF _Toc489139010 \h </w:instrText>
        </w:r>
        <w:r>
          <w:rPr>
            <w:noProof/>
            <w:webHidden/>
          </w:rPr>
        </w:r>
        <w:r>
          <w:rPr>
            <w:noProof/>
            <w:webHidden/>
          </w:rPr>
          <w:fldChar w:fldCharType="separate"/>
        </w:r>
        <w:r>
          <w:rPr>
            <w:noProof/>
            <w:webHidden/>
          </w:rPr>
          <w:t>319</w:t>
        </w:r>
        <w:r>
          <w:rPr>
            <w:noProof/>
            <w:webHidden/>
          </w:rPr>
          <w:fldChar w:fldCharType="end"/>
        </w:r>
      </w:hyperlink>
    </w:p>
    <w:p w:rsidR="009E3486" w:rsidRDefault="009E3486">
      <w:pPr>
        <w:pStyle w:val="TOC3"/>
        <w:tabs>
          <w:tab w:val="right" w:leader="dot" w:pos="9350"/>
        </w:tabs>
        <w:rPr>
          <w:noProof/>
        </w:rPr>
      </w:pPr>
      <w:hyperlink w:anchor="_Toc489139011" w:history="1">
        <w:r w:rsidRPr="00B825DB">
          <w:rPr>
            <w:rStyle w:val="Hyperlink"/>
            <w:noProof/>
          </w:rPr>
          <w:t>Turn: Conservatism</w:t>
        </w:r>
        <w:r>
          <w:rPr>
            <w:noProof/>
            <w:webHidden/>
          </w:rPr>
          <w:tab/>
        </w:r>
        <w:r>
          <w:rPr>
            <w:noProof/>
            <w:webHidden/>
          </w:rPr>
          <w:fldChar w:fldCharType="begin"/>
        </w:r>
        <w:r>
          <w:rPr>
            <w:noProof/>
            <w:webHidden/>
          </w:rPr>
          <w:instrText xml:space="preserve"> PAGEREF _Toc489139011 \h </w:instrText>
        </w:r>
        <w:r>
          <w:rPr>
            <w:noProof/>
            <w:webHidden/>
          </w:rPr>
        </w:r>
        <w:r>
          <w:rPr>
            <w:noProof/>
            <w:webHidden/>
          </w:rPr>
          <w:fldChar w:fldCharType="separate"/>
        </w:r>
        <w:r>
          <w:rPr>
            <w:noProof/>
            <w:webHidden/>
          </w:rPr>
          <w:t>321</w:t>
        </w:r>
        <w:r>
          <w:rPr>
            <w:noProof/>
            <w:webHidden/>
          </w:rPr>
          <w:fldChar w:fldCharType="end"/>
        </w:r>
      </w:hyperlink>
    </w:p>
    <w:p w:rsidR="009E3486" w:rsidRDefault="009E3486" w:rsidP="00A02F27">
      <w:r>
        <w:fldChar w:fldCharType="end"/>
      </w:r>
      <w:bookmarkStart w:id="1" w:name="_GoBack"/>
      <w:bookmarkEnd w:id="1"/>
    </w:p>
    <w:p w:rsidR="00F567B5" w:rsidRPr="00A02F27" w:rsidRDefault="00F567B5" w:rsidP="00A02F27"/>
    <w:p w:rsidR="00DE5E47" w:rsidRDefault="0090145D" w:rsidP="00DE5E47">
      <w:pPr>
        <w:pStyle w:val="Heading1"/>
      </w:pPr>
      <w:bookmarkStart w:id="2" w:name="_Toc489138899"/>
      <w:r>
        <w:lastRenderedPageBreak/>
        <w:t>Reproductive Futurism</w:t>
      </w:r>
      <w:bookmarkEnd w:id="2"/>
    </w:p>
    <w:p w:rsidR="00A71B72" w:rsidRDefault="00A71B72" w:rsidP="006554CE">
      <w:pPr>
        <w:pStyle w:val="Heading2"/>
      </w:pPr>
      <w:bookmarkStart w:id="3" w:name="_Toc489138900"/>
      <w:r>
        <w:lastRenderedPageBreak/>
        <w:t>1NCs</w:t>
      </w:r>
      <w:bookmarkEnd w:id="3"/>
    </w:p>
    <w:p w:rsidR="0090145D" w:rsidRDefault="0090145D" w:rsidP="0090145D"/>
    <w:p w:rsidR="000B7636" w:rsidRDefault="000B7636" w:rsidP="001967C0">
      <w:pPr>
        <w:pStyle w:val="Heading3"/>
      </w:pPr>
      <w:bookmarkStart w:id="4" w:name="_Toc489138901"/>
      <w:r>
        <w:lastRenderedPageBreak/>
        <w:t>***Reproductive Futurism 1NCs***</w:t>
      </w:r>
      <w:bookmarkEnd w:id="4"/>
    </w:p>
    <w:p w:rsidR="0090145D" w:rsidRDefault="0090145D" w:rsidP="001967C0">
      <w:pPr>
        <w:pStyle w:val="Heading3"/>
      </w:pPr>
      <w:bookmarkStart w:id="5" w:name="_Toc489138902"/>
      <w:r>
        <w:lastRenderedPageBreak/>
        <w:t>1NC: Generic</w:t>
      </w:r>
      <w:bookmarkEnd w:id="5"/>
    </w:p>
    <w:p w:rsidR="0090145D" w:rsidRDefault="0090145D" w:rsidP="0090145D">
      <w:pPr>
        <w:pStyle w:val="Heading4"/>
      </w:pPr>
      <w:r>
        <w:t xml:space="preserve">The aff is indebted to an educational futurism where the figural Child tames the queer excess of childhood in favor of projecting a coherent subject that sustains the nation </w:t>
      </w:r>
    </w:p>
    <w:p w:rsidR="0090145D" w:rsidRDefault="0090145D" w:rsidP="0090145D">
      <w:r w:rsidRPr="00A71B72">
        <w:rPr>
          <w:rStyle w:val="Author-Date"/>
        </w:rPr>
        <w:t>Greteman &amp; Wojcikiewicz 2014</w:t>
      </w:r>
      <w:r>
        <w:t xml:space="preserve"> [ Adam J., Adjunct Assistant Professor of Art Education at the School of the Art Institute of Chicago; Steven K., Assistant Professor in the College of Education at Western Oregon University | “The Problems with the Future: Educational Futurism and the Figural Child” Journal of Philosophy of Education, Vol. 48, No. 4, 2014]</w:t>
      </w:r>
    </w:p>
    <w:p w:rsidR="0090145D" w:rsidRPr="00A71B72" w:rsidRDefault="0090145D" w:rsidP="0090145D">
      <w:pPr>
        <w:rPr>
          <w:sz w:val="16"/>
        </w:rPr>
      </w:pPr>
      <w:r w:rsidRPr="00A71B72">
        <w:rPr>
          <w:sz w:val="16"/>
        </w:rPr>
        <w:t xml:space="preserve"> ‘I touch the future’, Christa McAuliffe said, ‘I teach’. This resonates with </w:t>
      </w:r>
      <w:r w:rsidRPr="007577E4">
        <w:rPr>
          <w:rStyle w:val="StyleUnderline"/>
        </w:rPr>
        <w:t>educators. By passing on skills, knowledge, and ideas</w:t>
      </w:r>
      <w:r w:rsidRPr="00A71B72">
        <w:rPr>
          <w:sz w:val="16"/>
        </w:rPr>
        <w:t xml:space="preserve"> that will be </w:t>
      </w:r>
      <w:r w:rsidRPr="007577E4">
        <w:rPr>
          <w:rStyle w:val="StyleUnderline"/>
        </w:rPr>
        <w:t>used at later times</w:t>
      </w:r>
      <w:r w:rsidRPr="00A71B72">
        <w:rPr>
          <w:sz w:val="16"/>
        </w:rPr>
        <w:t xml:space="preserve">, they </w:t>
      </w:r>
      <w:r w:rsidRPr="007577E4">
        <w:rPr>
          <w:rStyle w:val="StyleUnderline"/>
        </w:rPr>
        <w:t>reach out to an unseen future and touch it.</w:t>
      </w:r>
      <w:r w:rsidRPr="00A71B72">
        <w:rPr>
          <w:sz w:val="16"/>
        </w:rPr>
        <w:t xml:space="preserve"> Teachers tell their students to study and work hard, for the things they are learning will be needed in the future. The lesson of the day may be applied to a test at the end of the week, or it may be the basis for work that will be carried out at the next grade level. It may even help prepare a student for college, or for a job, or for a fulfilling life. Whatever the specifics, the commonality here is that </w:t>
      </w:r>
      <w:r w:rsidRPr="007577E4">
        <w:rPr>
          <w:rStyle w:val="StyleUnderline"/>
        </w:rPr>
        <w:t>learning now prepares students for a yet unknown then. Teaching and schooling are suffused with concern about</w:t>
      </w:r>
      <w:r w:rsidRPr="00A71B72">
        <w:rPr>
          <w:sz w:val="16"/>
        </w:rPr>
        <w:t xml:space="preserve">, discussion of, and focus on </w:t>
      </w:r>
      <w:r w:rsidRPr="007577E4">
        <w:rPr>
          <w:rStyle w:val="StyleUnderline"/>
        </w:rPr>
        <w:t>the future.</w:t>
      </w:r>
      <w:r w:rsidRPr="00A71B72">
        <w:rPr>
          <w:sz w:val="16"/>
        </w:rPr>
        <w:t xml:space="preserve"> </w:t>
      </w:r>
      <w:r w:rsidRPr="007577E4">
        <w:rPr>
          <w:rStyle w:val="Emphasis"/>
        </w:rPr>
        <w:t>This theme of futurity carries on beyond school walls and enters political discourse on education.</w:t>
      </w:r>
      <w:r w:rsidRPr="00A71B72">
        <w:rPr>
          <w:sz w:val="16"/>
        </w:rPr>
        <w:t xml:space="preserve"> President John F. Kennedy noted, ‘Children are the world’s most valuable resource and its best hope for the future’, while Malcolm X claimed ‘education is the passport to the future, for tomorrow belongs to those who prepare for it today’. </w:t>
      </w:r>
      <w:r w:rsidRPr="006C2C1D">
        <w:rPr>
          <w:rStyle w:val="StyleUnderline"/>
        </w:rPr>
        <w:t>But,</w:t>
      </w:r>
      <w:r w:rsidRPr="00A71B72">
        <w:rPr>
          <w:sz w:val="16"/>
        </w:rPr>
        <w:t xml:space="preserve"> </w:t>
      </w:r>
      <w:r w:rsidRPr="007577E4">
        <w:rPr>
          <w:rStyle w:val="StyleUnderline"/>
        </w:rPr>
        <w:t xml:space="preserve">education is </w:t>
      </w:r>
      <w:r w:rsidRPr="006C2C1D">
        <w:rPr>
          <w:rStyle w:val="StyleUnderline"/>
        </w:rPr>
        <w:t>not merely directed</w:t>
      </w:r>
      <w:r w:rsidRPr="007577E4">
        <w:rPr>
          <w:rStyle w:val="StyleUnderline"/>
        </w:rPr>
        <w:t xml:space="preserve"> toward the future of the individual, but also toward the future of the nation.</w:t>
      </w:r>
      <w:r w:rsidRPr="00A71B72">
        <w:rPr>
          <w:sz w:val="16"/>
        </w:rPr>
        <w:t xml:space="preserve"> A Nation at Risk, the oft-quoted 1983 US Department of Education report on the state of American education, tells us that, People are steadfast in their belief that education is the major foundation for the future strength of this country. They even considered education more important than developing the best industrial system or the strongest military force, perhaps because they understood education as the cornerstone of both . . . Very clearly, the public understands the primary importance of education as the foundation for a satisfying life, an enlightened and civil society, a strong economy, and a secure Nation (National Commission on Excellence in Education, The Public’s Commitment section, 1983, para. 2). Close to 20 years after the publication of A Nation at Risk, the most sweeping educational reform effort of our time, </w:t>
      </w:r>
      <w:r w:rsidRPr="007577E4">
        <w:rPr>
          <w:rStyle w:val="StyleUnderline"/>
        </w:rPr>
        <w:t>No Child Left Behind, returned the focus back to the Child, continuing the focus on the future in education and the necessity of the Child to maintain the competitiveness of the nation</w:t>
      </w:r>
      <w:r w:rsidRPr="00A71B72">
        <w:rPr>
          <w:sz w:val="16"/>
        </w:rPr>
        <w:t xml:space="preserve">. As former president George W. Bush asserted in one of his last speeches in office, NCLB, . . . starts with this concept: Every child can learn. We believe that it is important to have a high quality education if one is going to succeed in the 21st century. It’s no longer acceptable to be cranking people out of the school system and saying, okay, just go—you know, you can make a living just through manual labor alone. That’s going to happen for some, but it’s not the future of America, if we want to be a competitive nation as we head into the 21st century (Bush, 2009, para. 22). And more recently, President Obama, in a speech when he was running for the office, asserted, ‘We are the nation that has always understood that our future is inextricably linked to the education of our children’ (Obama, 2008, para. 10). Along the same lines, the current Secretary of Education, Arne Duncan, has stated that, ‘Today, more than ever, better schooling provides a down payment on the nation’s future’ (Duncan, 2009, para. 15). </w:t>
      </w:r>
      <w:r w:rsidRPr="007577E4">
        <w:rPr>
          <w:rStyle w:val="StyleUnderline"/>
        </w:rPr>
        <w:t>Within these statements, the future cannot be separated from those it relies on—predominately ‘children’. These assumptions made in regards to children, their role in the future, and schools’ roles in creating that future are seemingly ingrained in our society and our politics.</w:t>
      </w:r>
      <w:r w:rsidRPr="00A71B72">
        <w:rPr>
          <w:sz w:val="16"/>
        </w:rPr>
        <w:t xml:space="preserve"> The presence of this future focus may seem uncontroversial, its influence benign. Such assumptions may appear to be natural and beyond question, particularly since this futurist-focus originated, in part, with the spread of education during the Enlightenment, with its progress-oriented philosophical perspectives. Yet, we wish to question these assumptions, to explore how they can set narrow boundaries around children in schools. In carrying out this task, we employ the work of Lee Edelman and John Dewey to examine the educational ramifications of the focus on the future, which we call ‘educational futurism’ after Edelman’s (2004) ‘reproductive futurism’. Our argument seeks specifically to explore how </w:t>
      </w:r>
      <w:r w:rsidRPr="007577E4">
        <w:rPr>
          <w:rStyle w:val="Emphasis"/>
        </w:rPr>
        <w:t>educational futurism imposes limits on educational discourse and privileges a certain future, thus making it unthinkable to imagine ways outside of such a privileged future.</w:t>
      </w:r>
      <w:r>
        <w:rPr>
          <w:rStyle w:val="Emphasis"/>
        </w:rPr>
        <w:t xml:space="preserve"> </w:t>
      </w:r>
      <w:r w:rsidRPr="00A71B72">
        <w:rPr>
          <w:sz w:val="16"/>
        </w:rPr>
        <w:t xml:space="preserve">We turn to Edelman for his ‘reproductive futurism’, which is embodied in the regulatory figure of ‘the Child’, because it is seems particularly apt to the educational settings, practices and discourses which are our concern. </w:t>
      </w:r>
      <w:r w:rsidRPr="007577E4">
        <w:rPr>
          <w:rStyle w:val="StyleUnderline"/>
        </w:rPr>
        <w:t>This ‘figural Child’</w:t>
      </w:r>
      <w:r w:rsidRPr="00A71B72">
        <w:rPr>
          <w:sz w:val="16"/>
        </w:rPr>
        <w:t xml:space="preserve"> for Edelman </w:t>
      </w:r>
      <w:r w:rsidRPr="007577E4">
        <w:rPr>
          <w:rStyle w:val="StyleUnderline"/>
        </w:rPr>
        <w:t>‘alone embodies the citizen as an ideal, entitled to claim full rights to its future share in the nation’s good, though always at the cost of limiting the rights “real” citizens are allowed’</w:t>
      </w:r>
      <w:r w:rsidRPr="00A71B72">
        <w:rPr>
          <w:sz w:val="16"/>
        </w:rPr>
        <w:t xml:space="preserve"> (2004, p. 11). The Child exists in discourse and it limits discourse from engaging the unruly lives of children</w:t>
      </w:r>
      <w:r w:rsidRPr="007577E4">
        <w:rPr>
          <w:rStyle w:val="StyleUnderline"/>
        </w:rPr>
        <w:t>. The Child,</w:t>
      </w:r>
      <w:r w:rsidRPr="00A71B72">
        <w:rPr>
          <w:sz w:val="16"/>
        </w:rPr>
        <w:t xml:space="preserve"> for Edelman, </w:t>
      </w:r>
      <w:r w:rsidRPr="007577E4">
        <w:rPr>
          <w:rStyle w:val="StyleUnderline"/>
        </w:rPr>
        <w:t>is not representative of children. It is all there is.</w:t>
      </w:r>
      <w:r w:rsidRPr="00A71B72">
        <w:rPr>
          <w:sz w:val="16"/>
        </w:rPr>
        <w:t xml:space="preserve"> And </w:t>
      </w:r>
      <w:r w:rsidRPr="007577E4">
        <w:rPr>
          <w:rStyle w:val="StyleUnderline"/>
        </w:rPr>
        <w:t>actions taken in the name of the Child</w:t>
      </w:r>
      <w:r w:rsidRPr="00A71B72">
        <w:rPr>
          <w:sz w:val="16"/>
        </w:rPr>
        <w:t xml:space="preserve"> ignore, even </w:t>
      </w:r>
      <w:r w:rsidRPr="007577E4">
        <w:rPr>
          <w:rStyle w:val="StyleUnderline"/>
        </w:rPr>
        <w:t>exclude, the particularities and contexts that make children who they are</w:t>
      </w:r>
      <w:r w:rsidRPr="00A71B72">
        <w:rPr>
          <w:sz w:val="16"/>
        </w:rPr>
        <w:t xml:space="preserve">—alive </w:t>
      </w:r>
      <w:r w:rsidRPr="00A71B72">
        <w:rPr>
          <w:sz w:val="16"/>
        </w:rPr>
        <w:lastRenderedPageBreak/>
        <w:t xml:space="preserve">and unique. </w:t>
      </w:r>
      <w:r w:rsidRPr="007577E4">
        <w:rPr>
          <w:rStyle w:val="StyleUnderline"/>
        </w:rPr>
        <w:t>Edelman’s</w:t>
      </w:r>
      <w:r w:rsidRPr="00A71B72">
        <w:rPr>
          <w:sz w:val="16"/>
        </w:rPr>
        <w:t xml:space="preserve"> challenge then offers up a threat to education’s identification with the Child, a challenge that is not simply nihilistic, but which rather aims to see what is denied consideration and action. His </w:t>
      </w:r>
      <w:r w:rsidRPr="007577E4">
        <w:rPr>
          <w:rStyle w:val="StyleUnderline"/>
        </w:rPr>
        <w:t>project</w:t>
      </w:r>
      <w:r w:rsidRPr="00A71B72">
        <w:rPr>
          <w:sz w:val="16"/>
        </w:rPr>
        <w:t xml:space="preserve">, heavily reliant on Lacan’s death drive, </w:t>
      </w:r>
      <w:r w:rsidRPr="007577E4">
        <w:rPr>
          <w:rStyle w:val="StyleUnderline"/>
        </w:rPr>
        <w:t>offers a challenge to ‘a future whose beat goes on’ to expose the way ‘the political regime of futurism, unable to escape what it abjects, negates it as the negation of meaning, of the Child, and of the future the Child portends’</w:t>
      </w:r>
      <w:r w:rsidRPr="00A71B72">
        <w:rPr>
          <w:sz w:val="16"/>
        </w:rPr>
        <w:t xml:space="preserve"> (pp. 153–154). He insists, as such, on a politics that does not seek accommodation within such logic but an embrace of the negation, the unintelligible place of queerness, for it is in such an embrace that queer ethics can engage the violence against non-normative bodies. Dewey makes an appearance here because, though he has been narrowly and inaccurately portrayed as the benign father of student-centred, activity-oriented, open, and laissez-faire classroom methods, his positions are far more nuanced, and far more radical, in relation to children and the future (Dewey, 1938; Petrovic, 1998; Popkewitz, 2005; Prawat, 1995; Schleffler, 1974; Wong and Pugh, 2001). He presents a critique of a future focus in education that shows how such a focus means a loss, not only of present opportunities, but also of the promised future for children. Dewey, read in relation to Edelman’s engagement with futurism, offers a place within educational discourse to explore the possibility to engage educational futurism in ways that challenge the discourse of the Child illustrated in our opening statements. To focus on Dewey’s radical insights then is to challenge the innocent position to which he is often relegated. After all, it is the innocent Dewey, like the innocent Child, that supports and carries forward the status quo. Our focus on the radical insights of Dewey position him against the status quo, and against the Child, bringing a different, though complementary, perspective to our engagement with Edelman. Before moving forward, we would like to note that our approach in this analysis is not entirely new. As a critique of futurism, it questions a general characteristic of modernism, namely, a foundational belief that we will get ‘there’ someday (Lagemann, 2000). This belief asserts that wherever there might be, and in whatever endeavour we are engaged in, the point is that progress is possible and that our actions can be justified in the name of the inevitable and promising, though distant, end. This belief, the heart of futurism, has, in this postmodern time, been challenged on many occasions. Our argument, however, seeks specifically to explore how futurism, expressed through the iterative construction of the Child, shapes the ways that we can think about children and education. We will begin our analysis by describing Edelman’s reproductive futurism and its relation to education specifically. In this we will address Edelman’s the notion of the Child, the Child’s relation to children, and the impact of these concepts on education. Following this we will introduce John Dewey’s views of growth, life, and education, and show how these views can be read to engage a similar critique of the role of the future and the workings of normative or regulatory subjects.With our two theorists in place, we will seek to draw out connections and disconnections between them, illustrating the ways in which educational futurism ignores or overlooks the lived experiences of children. We conclude by briefly noting the queerness of children and the impact of such queerness on broadening discussions of the future of children. EDELMAN’S REPRODUCTIVE FUTURISM AND THE CHILD Edelman, in his book </w:t>
      </w:r>
      <w:r w:rsidRPr="00E375FB">
        <w:rPr>
          <w:rStyle w:val="StyleUnderline"/>
        </w:rPr>
        <w:t>No Future</w:t>
      </w:r>
      <w:r w:rsidRPr="00A71B72">
        <w:rPr>
          <w:sz w:val="16"/>
        </w:rPr>
        <w:t xml:space="preserve"> (2004) </w:t>
      </w:r>
      <w:r w:rsidRPr="00E375FB">
        <w:rPr>
          <w:rStyle w:val="StyleUnderline"/>
        </w:rPr>
        <w:t>uses queerness as a stance to critique, and resist,</w:t>
      </w:r>
      <w:r w:rsidRPr="00A71B72">
        <w:rPr>
          <w:sz w:val="16"/>
        </w:rPr>
        <w:t xml:space="preserve"> what he calls </w:t>
      </w:r>
      <w:r w:rsidRPr="00E375FB">
        <w:rPr>
          <w:rStyle w:val="StyleUnderline"/>
        </w:rPr>
        <w:t>‘reproductive futurism’.</w:t>
      </w:r>
      <w:r w:rsidRPr="00A71B72">
        <w:rPr>
          <w:sz w:val="16"/>
        </w:rPr>
        <w:t xml:space="preserve"> He lays out the boundaries of reproductive futurism as, . . . </w:t>
      </w:r>
      <w:r w:rsidRPr="00E375FB">
        <w:rPr>
          <w:rStyle w:val="StyleUnderline"/>
        </w:rPr>
        <w:t xml:space="preserve">terms that impose an ideological limit on political discourse as </w:t>
      </w:r>
      <w:r w:rsidRPr="005C0687">
        <w:rPr>
          <w:rStyle w:val="StyleUnderline"/>
        </w:rPr>
        <w:t>such, preserving</w:t>
      </w:r>
      <w:r w:rsidRPr="00A71B72">
        <w:rPr>
          <w:sz w:val="16"/>
        </w:rPr>
        <w:t xml:space="preserve"> in the process </w:t>
      </w:r>
      <w:r w:rsidRPr="005C0687">
        <w:rPr>
          <w:rStyle w:val="StyleUnderline"/>
        </w:rPr>
        <w:t>the absolute privilege of heteronormativity by rendering unthinkable</w:t>
      </w:r>
      <w:r w:rsidRPr="00A71B72">
        <w:rPr>
          <w:sz w:val="16"/>
        </w:rPr>
        <w:t xml:space="preserve">, by casting outside the political domain, </w:t>
      </w:r>
      <w:r w:rsidRPr="005C0687">
        <w:rPr>
          <w:rStyle w:val="StyleUnderline"/>
        </w:rPr>
        <w:t>the possibility of a queer resistance to this organizing principle of communal relations</w:t>
      </w:r>
      <w:r w:rsidRPr="00A71B72">
        <w:rPr>
          <w:sz w:val="16"/>
        </w:rPr>
        <w:t xml:space="preserve"> (2004, p. 2). Edelman claims that </w:t>
      </w:r>
      <w:r w:rsidRPr="005C0687">
        <w:rPr>
          <w:rStyle w:val="StyleUnderline"/>
        </w:rPr>
        <w:t>reproductive futurism sets the notion of reproduction, along with</w:t>
      </w:r>
      <w:r w:rsidRPr="00A71B72">
        <w:rPr>
          <w:sz w:val="16"/>
        </w:rPr>
        <w:t xml:space="preserve"> its complementary and concurrent idea of looking to </w:t>
      </w:r>
      <w:r w:rsidRPr="005C0687">
        <w:rPr>
          <w:rStyle w:val="StyleUnderline"/>
        </w:rPr>
        <w:t>the future, as dominant</w:t>
      </w:r>
      <w:r w:rsidRPr="00A71B72">
        <w:rPr>
          <w:sz w:val="16"/>
        </w:rPr>
        <w:t xml:space="preserve">, even natural, </w:t>
      </w:r>
      <w:r w:rsidRPr="005C0687">
        <w:rPr>
          <w:rStyle w:val="StyleUnderline"/>
        </w:rPr>
        <w:t>guides for being and acting in the political realm</w:t>
      </w:r>
      <w:r w:rsidRPr="00A71B72">
        <w:rPr>
          <w:sz w:val="16"/>
        </w:rPr>
        <w:t xml:space="preserve">. Because of this dominance, </w:t>
      </w:r>
      <w:r w:rsidRPr="005C0687">
        <w:rPr>
          <w:rStyle w:val="StyleUnderline"/>
        </w:rPr>
        <w:t>anything which lies outside of this brand of futurism lies outside</w:t>
      </w:r>
      <w:r w:rsidRPr="00A71B72">
        <w:rPr>
          <w:sz w:val="16"/>
        </w:rPr>
        <w:t xml:space="preserve"> of the pale of </w:t>
      </w:r>
      <w:r w:rsidRPr="005C0687">
        <w:rPr>
          <w:rStyle w:val="StyleUnderline"/>
        </w:rPr>
        <w:t>political thought and action</w:t>
      </w:r>
      <w:r w:rsidRPr="00A71B72">
        <w:rPr>
          <w:sz w:val="16"/>
        </w:rPr>
        <w:t xml:space="preserve">. It is, in short, unintelligible. </w:t>
      </w:r>
      <w:r w:rsidRPr="005C0687">
        <w:rPr>
          <w:rStyle w:val="StyleUnderline"/>
        </w:rPr>
        <w:t>Reproductive futurism acts</w:t>
      </w:r>
      <w:r w:rsidRPr="00A71B72">
        <w:rPr>
          <w:sz w:val="16"/>
        </w:rPr>
        <w:t xml:space="preserve">, in Edelman, </w:t>
      </w:r>
      <w:r w:rsidRPr="005C0687">
        <w:rPr>
          <w:rStyle w:val="StyleUnderline"/>
        </w:rPr>
        <w:t>through ‘the Child’, an image</w:t>
      </w:r>
      <w:r w:rsidRPr="00A71B72">
        <w:rPr>
          <w:sz w:val="16"/>
        </w:rPr>
        <w:t xml:space="preserve">, an identity, </w:t>
      </w:r>
      <w:r w:rsidRPr="005C0687">
        <w:rPr>
          <w:rStyle w:val="StyleUnderline"/>
        </w:rPr>
        <w:t xml:space="preserve">and a political tool </w:t>
      </w:r>
      <w:r w:rsidRPr="00A71B72">
        <w:rPr>
          <w:sz w:val="16"/>
        </w:rPr>
        <w:t xml:space="preserve">that he refers to as the ‘privileged embodiment’ of the future (Edelman, 2007, p. 471). </w:t>
      </w:r>
      <w:r w:rsidRPr="00B51387">
        <w:rPr>
          <w:rStyle w:val="Emphasis"/>
        </w:rPr>
        <w:t>‘We are no more able to conceive of politics without a fantasy of the future than we are able to conceive of a future without the figure of the Child</w:t>
      </w:r>
      <w:r w:rsidRPr="00A71B72">
        <w:rPr>
          <w:sz w:val="16"/>
        </w:rPr>
        <w:t xml:space="preserve"> (2004, p. 11). The Child creates a logic by which the political, within contemporary American politics, ‘must be thought’ (p. 2), since: . . . however radical the means by which specific constituencies attempt to produce a more desirable social order, remains, at its core, conservative insofar as it works to affirm a structure, to authenticate social order, which it then intends to transmit to the future in the form of it inner Child (pp. 2–3, italics in original). </w:t>
      </w:r>
      <w:r w:rsidRPr="00B51387">
        <w:rPr>
          <w:rStyle w:val="StyleUnderline"/>
        </w:rPr>
        <w:t>It is the Child that shapes and inspires social and political action</w:t>
      </w:r>
      <w:r w:rsidRPr="00A71B72">
        <w:rPr>
          <w:sz w:val="16"/>
        </w:rPr>
        <w:t xml:space="preserve">, action which is aimed at a future for the Child, </w:t>
      </w:r>
      <w:r w:rsidRPr="00B51387">
        <w:rPr>
          <w:rStyle w:val="StyleUnderline"/>
        </w:rPr>
        <w:t>and this underpins any ideology in contemporary politics.</w:t>
      </w:r>
      <w:r w:rsidRPr="00A71B72">
        <w:rPr>
          <w:sz w:val="16"/>
        </w:rPr>
        <w:t xml:space="preserve"> Edelman’s critique seeks to challenge this to embrace the negativity of that which is negated by the Child to disrupt the narrative trajectory the Child maintains and engage the unruly. Edelman’s critique and exposure of the Child and the Child’s structuring logic illustrates that the Child is exclusionary, de-legitimising all that which is not future-focused, or which does not benefit the Child in all its innocent, sentimentalised, and decontextualised (non)identity. </w:t>
      </w:r>
      <w:r w:rsidRPr="00B51387">
        <w:rPr>
          <w:rStyle w:val="StyleUnderline"/>
        </w:rPr>
        <w:t>The Child takes up the whole frame, permitting nothing else to be seen, recognised, or thinkable.</w:t>
      </w:r>
      <w:r w:rsidRPr="00A71B72">
        <w:rPr>
          <w:sz w:val="16"/>
        </w:rPr>
        <w:t xml:space="preserve"> However, Edelman makes it clear that the Child he writes of is figural and therefore ‘not to be confused with the lived experiences of any historical children’ (p. 11). </w:t>
      </w:r>
      <w:r w:rsidRPr="00B51387">
        <w:rPr>
          <w:rStyle w:val="StyleUnderline"/>
        </w:rPr>
        <w:t>Rather the figural Child ‘serves to regulate political discourse</w:t>
      </w:r>
      <w:r w:rsidRPr="00A71B72">
        <w:rPr>
          <w:sz w:val="16"/>
        </w:rPr>
        <w:t xml:space="preserve">—to prescribe what we count as political discourse—by compelling such discourse to accede in advance to the reality of a collective future whose figurative status we are never permitted to acknowledge or address’ (p. 11). In order to reveal the Child, and the full range of the meanings of the Child for discourse and action, Edelman (2004) proposes the ‘unthinkable’: he threatens the Child by queering it, since ‘queerness names the side of those not “fighting for the children”, the side outside the consensus by which all politics confirms the absolute value of reproductive futurism’ (p. 3). In queering the Child, these hidden discourses and contexts are exposed, and the Child is portrayed, not as the widely and easily accepted stand-in for children, but as an oppressive figure that closes down possibility and denies particularity, all in the name of a future that ‘is mere repetition and just as lethal as the past’, a future that is normatively, narrowly defined but never to be reached. (p. 31). It is important to understand, in this analysis, that to queer </w:t>
      </w:r>
      <w:r w:rsidRPr="00A71B72">
        <w:rPr>
          <w:sz w:val="16"/>
        </w:rPr>
        <w:lastRenderedPageBreak/>
        <w:t xml:space="preserve">the Child in the name of children is, by extension, to put children in the position of the queer. This, in turn, opens up many possibilities. Yet, making the claim that children are queer may provoke anxiety, or outrage because of the reach of the figural Child. Such a statement on the queerness of children, especially in the realm of education, disrupts the innocence of the Child as imagined and portrayed. It challenges the frame that sets the Child up as in need of a proper curriculum, in need of protection. Edelman acknowledges as much noting that, ‘for the cult of the Child permits no shrines to the queerness of boys and girls, since queerness, for contemporary culture at large . . . is understood as bringing children and childhood to an end’ (p. 19). Such anxiety, or even outrage, is useful for our purposes, for it helps reveal the contextualised, complex, and perhaps troubling realities that lie beneath the bland image of the Child. </w:t>
      </w:r>
      <w:r w:rsidRPr="00B51387">
        <w:rPr>
          <w:rStyle w:val="StyleUnderline"/>
        </w:rPr>
        <w:t xml:space="preserve">The Child is not an innocent position. The Child is </w:t>
      </w:r>
      <w:r w:rsidRPr="00A71B72">
        <w:rPr>
          <w:sz w:val="16"/>
        </w:rPr>
        <w:t xml:space="preserve">indeed </w:t>
      </w:r>
      <w:r w:rsidRPr="00B51387">
        <w:rPr>
          <w:rStyle w:val="StyleUnderline"/>
        </w:rPr>
        <w:t>the representative of positions that have been utilised politically to assault and reject those who do not support the Child</w:t>
      </w:r>
      <w:r w:rsidRPr="00A71B72">
        <w:rPr>
          <w:sz w:val="16"/>
        </w:rPr>
        <w:t xml:space="preserve">. The stories that have been told about the Child have followed a narrow narrative trajectory and to take a stand against the Child is to offer different stories, different narrative trajectories, and challenges to the future. In offering a challenge to this dominant story line on the Child asks that we stand against the maintenance of innocence, for it is its maintenance that inhibits experience and learning (Archard, 2004; Bruhm and Hurley, 2004; Buckingham, 2000). </w:t>
      </w:r>
      <w:r w:rsidRPr="002534A8">
        <w:rPr>
          <w:rStyle w:val="StyleUnderline"/>
        </w:rPr>
        <w:t>This maintenance of innocence on the part of the Child is an important piece of what separates the Child from children, and what makes the political Child such a totalising force for the suppression of children.</w:t>
      </w:r>
      <w:r w:rsidRPr="00A71B72">
        <w:rPr>
          <w:sz w:val="16"/>
        </w:rPr>
        <w:t xml:space="preserve"> This Child is one who is always innocent, always protected, and, as the potential for anxiety and outrage already mentioned alludes to, always inexperienced. </w:t>
      </w:r>
      <w:r w:rsidRPr="002534A8">
        <w:rPr>
          <w:rStyle w:val="StyleUnderline"/>
        </w:rPr>
        <w:t>Experience taints, disrupts, and ends innocence. And yet, experience itself is a vital characteristic of learning. Thus children in schools,</w:t>
      </w:r>
      <w:r w:rsidRPr="00A71B72">
        <w:rPr>
          <w:sz w:val="16"/>
        </w:rPr>
        <w:t xml:space="preserve"> those who are learning, </w:t>
      </w:r>
      <w:r w:rsidRPr="002534A8">
        <w:rPr>
          <w:rStyle w:val="StyleUnderline"/>
        </w:rPr>
        <w:t>are always already in a queer position.</w:t>
      </w:r>
      <w:r w:rsidRPr="00A71B72">
        <w:rPr>
          <w:sz w:val="16"/>
        </w:rPr>
        <w:t xml:space="preserve"> The Child’s image of innocence is merely an exclusionary political position, ‘a central reference point in a wider mythology of childhood that helps uphold an unjust moral order in which both adults and children are subject to the oppressive politics of purity’ (Davis, 2011, p. 381). To argue against the Child and its innocence is to open up that which the Child closes off, the real experiences and desires of children. DEWEY’S FOCUS ON GROWTH AND THE PRESENT IN EDUCATION John Dewey did not write about Queer Theory, or about the Child, but he did write about experience, and about how the political and educational discourses and actions of his day acted to deny the realities and experiences of children in the name of a future that would never be realised. Dewey’s ideas on education are rooted in his overall concern with growth. He equated education with growth, and growth with life (Dewey, 1916, 1934/ 1980, 1938; Granger, 2000; Hansen, 2000). This would, at first glance, seem itself to be a future-focused position, but Dewey adds that both education and growth must proceed for their own sakes. ‘Since growth is the characteristic of life’, he claims, ‘education is all one with growing; it has no end beyond itself’ (Dewey, 1916, p. 53). However, </w:t>
      </w:r>
      <w:r w:rsidRPr="00651266">
        <w:rPr>
          <w:rStyle w:val="StyleUnderline"/>
        </w:rPr>
        <w:t>if growth is ‘regarded as having an end, instead of being an end’</w:t>
      </w:r>
      <w:r w:rsidRPr="00A71B72">
        <w:rPr>
          <w:sz w:val="16"/>
        </w:rPr>
        <w:t xml:space="preserve"> (1916, p. 50, italics in original), </w:t>
      </w:r>
      <w:r w:rsidRPr="00651266">
        <w:rPr>
          <w:rStyle w:val="StyleUnderline"/>
        </w:rPr>
        <w:t>problems arise</w:t>
      </w:r>
      <w:r w:rsidRPr="001B0DA5">
        <w:rPr>
          <w:rStyle w:val="StyleUnderline"/>
        </w:rPr>
        <w:t>. This conception of growth arises when childhood is treated as an imperfect state during which children are moving toward adulthood</w:t>
      </w:r>
      <w:r w:rsidRPr="00A71B72">
        <w:rPr>
          <w:sz w:val="16"/>
        </w:rPr>
        <w:t xml:space="preserve">, the end of growth in the future. </w:t>
      </w:r>
      <w:r w:rsidRPr="001B0DA5">
        <w:rPr>
          <w:rStyle w:val="StyleUnderline"/>
        </w:rPr>
        <w:t>Dewey pushed against the notion</w:t>
      </w:r>
      <w:r w:rsidRPr="00A71B72">
        <w:rPr>
          <w:sz w:val="16"/>
        </w:rPr>
        <w:t xml:space="preserve"> that children were incomplete adults, and that </w:t>
      </w:r>
      <w:r w:rsidRPr="001B0DA5">
        <w:rPr>
          <w:rStyle w:val="StyleUnderline"/>
        </w:rPr>
        <w:t>education was</w:t>
      </w:r>
      <w:r w:rsidRPr="00A71B72">
        <w:rPr>
          <w:sz w:val="16"/>
        </w:rPr>
        <w:t xml:space="preserve"> merely a matter of </w:t>
      </w:r>
      <w:r w:rsidRPr="001B0DA5">
        <w:rPr>
          <w:rStyle w:val="StyleUnderline"/>
        </w:rPr>
        <w:t>preparation for the future</w:t>
      </w:r>
      <w:r w:rsidRPr="00A71B72">
        <w:rPr>
          <w:sz w:val="16"/>
        </w:rPr>
        <w:t xml:space="preserve">. The idea that growth has an end violates Dewey’s ideas about growth, life, and education. Furthermore, it leads to a whole host of problems in schooling, all of which come down to the fallacious idea of viewing schooling as preparation for the fixed future of adulthood rather than as an end in itself. </w:t>
      </w:r>
      <w:r w:rsidRPr="001B0DA5">
        <w:rPr>
          <w:rStyle w:val="StyleUnderline"/>
        </w:rPr>
        <w:t>With a fixed end in mind</w:t>
      </w:r>
      <w:r w:rsidRPr="00A71B72">
        <w:rPr>
          <w:sz w:val="16"/>
        </w:rPr>
        <w:t xml:space="preserve"> as to the results of education, </w:t>
      </w:r>
      <w:r w:rsidRPr="001B0DA5">
        <w:rPr>
          <w:rStyle w:val="StyleUnderline"/>
        </w:rPr>
        <w:t>the goal of education becomes</w:t>
      </w:r>
      <w:r w:rsidRPr="00A71B72">
        <w:rPr>
          <w:sz w:val="16"/>
        </w:rPr>
        <w:t xml:space="preserve"> not openness and growth, but </w:t>
      </w:r>
      <w:r w:rsidRPr="001B0DA5">
        <w:rPr>
          <w:rStyle w:val="StyleUnderline"/>
        </w:rPr>
        <w:t>conformity</w:t>
      </w:r>
      <w:r w:rsidRPr="00A71B72">
        <w:rPr>
          <w:sz w:val="16"/>
        </w:rPr>
        <w:t xml:space="preserve">: Since conformity is the aim, what is distinctively individual in a young person is brushed aside, or regarded as a source of mischief or anarchy. Conformity is made equivalent to uniformity. Consequently, there are induced lack of interest in the novel, aversion to progress, and dread of the uncertain and the unknown. Since the end of growth is outside of and beyond the process of growing, external agents have to be resorted to, to induce movement toward it (Dewey, 1916, pp. 50–51). </w:t>
      </w:r>
      <w:r w:rsidRPr="001B0DA5">
        <w:rPr>
          <w:rStyle w:val="StyleUnderline"/>
        </w:rPr>
        <w:t>This conformity reins in the excess, the aspects of the individual that do not speak to a future already structured by the logic of conformity.</w:t>
      </w:r>
      <w:r w:rsidRPr="00A71B72">
        <w:rPr>
          <w:sz w:val="16"/>
        </w:rPr>
        <w:t xml:space="preserve"> In doing so, there occurs a refusal to engage that which is unknown or uncertain. </w:t>
      </w:r>
      <w:r w:rsidRPr="001B0DA5">
        <w:rPr>
          <w:rStyle w:val="StyleUnderline"/>
        </w:rPr>
        <w:t>Dewey’s engagement here asked to open the bounded-ness of the Child to the excesses, the unruliness of children’s experience. This, as Dewey noted, might be regarded as ‘mischief’ or ‘anarchy’ because such states challenge the futurism of an education that imagines a fixed end or telos.</w:t>
      </w:r>
      <w:r>
        <w:rPr>
          <w:rStyle w:val="StyleUnderline"/>
        </w:rPr>
        <w:t xml:space="preserve"> </w:t>
      </w:r>
      <w:r w:rsidRPr="00A71B72">
        <w:rPr>
          <w:sz w:val="16"/>
        </w:rPr>
        <w:t xml:space="preserve">As such, education for the future neglects the present, including the powers of present learning in terms of interest and motivation. </w:t>
      </w:r>
      <w:r w:rsidRPr="001B0DA5">
        <w:rPr>
          <w:rStyle w:val="StyleUnderline"/>
        </w:rPr>
        <w:t>Such external motivators to learn become ingrained in school systems, which then swing between harsh and open methods, without changing their essential nature as future-focused and structured by the logic of the Child.</w:t>
      </w:r>
      <w:r w:rsidRPr="00A71B72">
        <w:rPr>
          <w:sz w:val="16"/>
        </w:rPr>
        <w:t xml:space="preserve"> This swinging pendulum, rather than creating a challenge to the structures of education, leads to deadening systems of learning reiterating the centrality of the figural Child. Dewey notes this in regards to systems in punishment where, Everybody knows how largely systems of punishment have had to be resorted to by educational systems which neglect present possibilities in behalf of preparation for a future. Then, in disgust with the harshness and impotency of this method, the pendulum swings to the opposite extreme, and the dose of information required against some later day is sugar-coated, so that pupils may be fooled into taking something which they do not care for (Dewey, 1916, p. 55). For Dewey, then, the future is driven by the present. Educational experiences which lead to growth, valued for their own sakes and on their own terms, prepare students for a future which is undefined, but which will certainly consist of further experiences. To set a definite future is to eliminate the idea of growth for its own sake, and to set a course for conformity. And with a definite future acting as a static goal, with only conformity to look forward to, present experience becomes so devoid of creativity, liveliness and appeal that behaviour management techniques are the only recourse of the educator who hopes to keep students involved in their schoolwork. Dewey thus provides a telling challenge to the schools of his time and to the schools of today, and gives us a critique of educational futurism that </w:t>
      </w:r>
      <w:r w:rsidRPr="00A71B72">
        <w:rPr>
          <w:sz w:val="16"/>
        </w:rPr>
        <w:lastRenderedPageBreak/>
        <w:t xml:space="preserve">describes its classroom outcomes. Far from being a mere supporter of student-centred pedagogical activities, Dewey emerges as a radical critic of any educational practice that relies on bribery or compulsion to make up for a lack of the sort of compelling experiences that engage students in the immediate and, by promoting growth, prepare them for future experiences. For Dewey, the cost of educational futurism was a deadened classroom where carrots and sticks are the dominant features, and where the end is a static and ever-unreachable goal of ‘adulthood’, a modernist dream of perfect knowledge where all the pain and preparation of schooling experiences finally pays off, and a goal to which the present is blithely sacrificed. DEWEY AND EDELMAN IN CONVERSATION </w:t>
      </w:r>
      <w:r w:rsidRPr="00C36182">
        <w:rPr>
          <w:rStyle w:val="StyleUnderline"/>
        </w:rPr>
        <w:t>For both Dewey and Edelman, the drive toward the future begins with the positioning of children relative to some regulatory figural ideal.</w:t>
      </w:r>
      <w:r w:rsidRPr="00A71B72">
        <w:rPr>
          <w:sz w:val="16"/>
        </w:rPr>
        <w:t xml:space="preserve"> Edelman identifies this ideal as the figural Child, while Dewey identifies it as the state of adulthood, which may also be characterised as the figural Adult. This positioning creates notions of children that are merely incomplete, either because they are waiting to grow up, or because they are not supposed to grow up at all. Dewey’s idealised Adult never changes because adulthood is never reached. Edelman’s idealised Child, actually an idealised present projected forward into an ever-receding future, is unchanging, as it always stands for what is to come in the name of those who will, in later days, no longer be children. The Child must always remain a Child in order to retain its power as a driving symbol. Yet, as such it is frozen, an identity every bit as static as Dewey’s Adult. Because of the ways that these theories intersect, we can bring Dewey and Edelman together to focus on the figure of the Child in educational discourse and practice, taking reproductive futurism, the Child, Dewey’s Adult, and his call for an education valuable in the present to offer a different story for education and children. In many ways, these theories fit well together. Children, after all, go to school, and so it is to be expected that the figure of the Child might loom large in education. And, as we have already established, education can be seen as a largely future directed activity driven by the Child, whether that future is the future application of a lesson, the future life of a student, or the future success or failure of the nation. It is, we maintain, even as naturally future-directed as reproduction. And </w:t>
      </w:r>
      <w:r w:rsidRPr="009A6725">
        <w:rPr>
          <w:rStyle w:val="StyleUnderline"/>
        </w:rPr>
        <w:t>the Child, the representative of reproductive futurism, is as directly associated with schooling as with reproduction; both reproduce the next generation, one through birth, the other through instruction but both reproductions are reigned in, fearful of the excessive, the unique, the individual.</w:t>
      </w:r>
      <w:r>
        <w:rPr>
          <w:rStyle w:val="StyleUnderline"/>
        </w:rPr>
        <w:t xml:space="preserve"> </w:t>
      </w:r>
      <w:r w:rsidRPr="00A71B72">
        <w:rPr>
          <w:sz w:val="16"/>
        </w:rPr>
        <w:t xml:space="preserve">For all that, we do not wish to imply that Edelman and Dewey occupy interchangeable positions. The differences between the Child and the Adult may reflect cultural and temporal differences, a movement from a society which viewed childhood as incomplete adulthood to one which views adulthood as, at best, childhood carried forward. These differences may also come from the sources of these theories, their very different views and approaches to politics, or even from Edelman’s queer stance and focus on opposition to reproduction versus Dewey’s straight stance with its faith in progress, though a progress that lacks a set and static end. For all their differences, however, Edelman and Dewey still share much of an outlook. </w:t>
      </w:r>
      <w:r w:rsidRPr="009A6725">
        <w:rPr>
          <w:rStyle w:val="StyleUnderline"/>
        </w:rPr>
        <w:t>Both show the experience of the now, with all of its uncontrolled, excessive possibilities, unregulated desires and unknown ends, brought under control, and thus deadened, by references to a totalising image that controls political and educational discourse and action.</w:t>
      </w:r>
      <w:r w:rsidRPr="00A71B72">
        <w:rPr>
          <w:sz w:val="16"/>
        </w:rPr>
        <w:t xml:space="preserve"> Dewey puts forth the idea that the immediate experiences of childhood are being sacrificed to a fixed and unreachable Adult. For Dewey, children being educated were never meant to completely know themselves, and as such continually experience, struggle with and against the world. Edelman’s critique raises the possibility that the immediate experiences of childhood are structured by the logic of the Child while also present a possible threat to the perfect and innocent image of the Child. For Edelman, the Child regulates experiences for children and adults to maintain its logic, a logic that structures responses, as shown earlier, from ideological perspectives whether liberal or conservative.</w:t>
      </w:r>
    </w:p>
    <w:p w:rsidR="0090145D" w:rsidRDefault="0090145D" w:rsidP="0090145D">
      <w:pPr>
        <w:pStyle w:val="Heading4"/>
      </w:pPr>
      <w:r>
        <w:t>[INSERT SPECIFIC LINK]</w:t>
      </w:r>
    </w:p>
    <w:p w:rsidR="0090145D" w:rsidRPr="0090145D" w:rsidRDefault="0090145D" w:rsidP="0090145D"/>
    <w:p w:rsidR="0090145D" w:rsidRDefault="0090145D" w:rsidP="0090145D">
      <w:pPr>
        <w:pStyle w:val="Heading4"/>
      </w:pPr>
      <w:r>
        <w:t>Reproductive futurism culminates in a homonationalist consolidation of empire where imperial wars secure the future through the extermination of deviant communities of color</w:t>
      </w:r>
    </w:p>
    <w:p w:rsidR="0090145D" w:rsidRDefault="0090145D" w:rsidP="0090145D">
      <w:r w:rsidRPr="00085065">
        <w:rPr>
          <w:rStyle w:val="Heading4Char"/>
        </w:rPr>
        <w:t xml:space="preserve">Schotten 2015 </w:t>
      </w:r>
      <w:r>
        <w:t>[C. Heike, Associate Professor of Political Science and an affiliated faculty in Women's and Gender Studies at the University of Massachusetts Boston "Homonationalist Futurism:“Terrorism” and (Other) Queer Resistance to Empire." New Political Science 37.1 (2015): 71-90.]</w:t>
      </w:r>
    </w:p>
    <w:p w:rsidR="0090145D" w:rsidRDefault="0090145D" w:rsidP="0090145D">
      <w:r w:rsidRPr="00085065">
        <w:rPr>
          <w:sz w:val="16"/>
        </w:rPr>
        <w:t xml:space="preserve">In queer theory, No Future has largely been read as making an argument regarding the constitutive heteronormativity of the social order. Edelman names this heteronormativity “reproductive futurism” and argues that it inevitably dooms homosexuals—branded as non-reproductive sexual nihilists—to instantiating society’s death drive. I contend, however, that No Future can be understood more generically as a work of political theory, especially given that Edelman explicitly describes its subject matter—reproductive futurism—as “the logic within which the political itself must be thought.”14 Identifying this political theory, however, requires some appropriation, given that, ultimately, Edelman is more concerned with Lacan than politics. Reading with and into the text, then, I propose three modifications of the psychoanalytic politics Edelman advances in No Future in order to more fully appropriate it for political theorizing.15 The first is to insert a distinction between the “futurism” and “reproductive futurism” he discusses, the latter being understood as a specific version of the former. Put simply, </w:t>
      </w:r>
      <w:r w:rsidRPr="007E3C0D">
        <w:rPr>
          <w:rStyle w:val="StyleUnderline"/>
        </w:rPr>
        <w:t>futurism is synopsized by the “presupposition that the body politic must survive,”</w:t>
      </w:r>
      <w:r w:rsidRPr="00085065">
        <w:rPr>
          <w:sz w:val="16"/>
        </w:rPr>
        <w:t xml:space="preserve">16 </w:t>
      </w:r>
      <w:r w:rsidRPr="007E3C0D">
        <w:rPr>
          <w:rStyle w:val="StyleUnderline"/>
        </w:rPr>
        <w:t>the</w:t>
      </w:r>
      <w:r w:rsidRPr="00085065">
        <w:rPr>
          <w:sz w:val="16"/>
        </w:rPr>
        <w:t xml:space="preserve"> putatively apolitical article of </w:t>
      </w:r>
      <w:r w:rsidRPr="007E3C0D">
        <w:rPr>
          <w:rStyle w:val="StyleUnderline"/>
        </w:rPr>
        <w:t>faith in the</w:t>
      </w:r>
      <w:r w:rsidRPr="00085065">
        <w:rPr>
          <w:sz w:val="16"/>
        </w:rPr>
        <w:t xml:space="preserve"> necessary </w:t>
      </w:r>
      <w:r w:rsidRPr="007E3C0D">
        <w:rPr>
          <w:rStyle w:val="StyleUnderline"/>
        </w:rPr>
        <w:t>continuity of politics as such.</w:t>
      </w:r>
      <w:r w:rsidRPr="00085065">
        <w:rPr>
          <w:sz w:val="16"/>
        </w:rPr>
        <w:t xml:space="preserve"> “[E]very political vision,” Edelman claims, is “a vision of futurity.”17 More specifically, reproductive futurism is characterized by “a set of values widely thought of as extrapolitical: values that center on the family, to be sure, but that focus on the protection of children.”18 The iconographic signifier of reproductive futurism is the child; its mantra, “Whitney </w:t>
      </w:r>
      <w:r w:rsidRPr="00085065">
        <w:rPr>
          <w:sz w:val="16"/>
        </w:rPr>
        <w:lastRenderedPageBreak/>
        <w:t xml:space="preserve">Houston’s rendition of the secular hymn, ‘I believe that children are our future,’ a hymn we might as well simply declare our national anthem and be done with it.”19 Reproductive futurism is the apolitical imperative that the present be held in service to the children’s future adulthood: [W]e are no more able to conceive of a politics without a fantasy of a future than we are able to conceive of a future without the figure of the Child. That figural Child alone embodies the citizen as an ideal, entitled to claim full rights to its future share in the nation’s good, though always at the cost of limiting the rights “real” citizens are allowed. </w:t>
      </w:r>
      <w:r w:rsidRPr="00085065">
        <w:rPr>
          <w:rStyle w:val="StyleUnderline"/>
        </w:rPr>
        <w:t>For the</w:t>
      </w:r>
      <w:r w:rsidRPr="007E3C0D">
        <w:rPr>
          <w:rStyle w:val="StyleUnderline"/>
        </w:rPr>
        <w:t xml:space="preserve"> social order exists to preserve for this universalized subject, this fantasmatic Child, a notional freedom more highly valued than the actuality of freedom itself</w:t>
      </w:r>
      <w:r w:rsidRPr="00085065">
        <w:rPr>
          <w:sz w:val="16"/>
        </w:rPr>
        <w:t xml:space="preserve">, which might, after all, put at risk the Child to whom such a freedom falls due.20 Whether discussing the survival of the body politic (futurism) or the future as symbolized by the child (reproductive futurism), Edelman is clear that the presuppositions of both are deemed apolitical, although that is precisely what makes them “so oppressively political.”21 For the presuppositions of (reproductive) futurism are the very terms of politics as such. To participate in politics at all, even in protest or dissent, requires that one “submit to the framing of political debate—and, indeed, of the political field—as defined by the terms of ...reproductive futurism: terms that impose an ideological limit on political discourse as such.”22 This is how and why Edelman says that there is no future for queers: politics itself designates “queers” as futureless. </w:t>
      </w:r>
      <w:r w:rsidRPr="007E3C0D">
        <w:rPr>
          <w:rStyle w:val="StyleUnderline"/>
        </w:rPr>
        <w:t>By definition, politics seeks to install an order of sameness through the ideological (re)production of a future that promises a</w:t>
      </w:r>
      <w:r w:rsidRPr="00085065">
        <w:rPr>
          <w:sz w:val="16"/>
        </w:rPr>
        <w:t xml:space="preserve"> seamless </w:t>
      </w:r>
      <w:r w:rsidRPr="007E3C0D">
        <w:rPr>
          <w:rStyle w:val="StyleUnderline"/>
        </w:rPr>
        <w:t>plenitude of meaning</w:t>
      </w:r>
      <w:r w:rsidRPr="00085065">
        <w:rPr>
          <w:sz w:val="16"/>
        </w:rPr>
        <w:t xml:space="preserve">. Rather than acknowledge the impossibility of such an achievement, however, </w:t>
      </w:r>
      <w:r w:rsidRPr="007E3C0D">
        <w:rPr>
          <w:rStyle w:val="StyleUnderline"/>
        </w:rPr>
        <w:t>this failing is</w:t>
      </w:r>
      <w:r w:rsidRPr="00085065">
        <w:rPr>
          <w:sz w:val="16"/>
        </w:rPr>
        <w:t xml:space="preserve"> instead </w:t>
      </w:r>
      <w:r w:rsidRPr="007E3C0D">
        <w:rPr>
          <w:rStyle w:val="StyleUnderline"/>
        </w:rPr>
        <w:t>foisted onto a</w:t>
      </w:r>
      <w:r w:rsidRPr="00085065">
        <w:rPr>
          <w:sz w:val="16"/>
        </w:rPr>
        <w:t xml:space="preserve"> person, </w:t>
      </w:r>
      <w:r w:rsidRPr="007E3C0D">
        <w:rPr>
          <w:rStyle w:val="StyleUnderline"/>
        </w:rPr>
        <w:t>people</w:t>
      </w:r>
      <w:r w:rsidRPr="00085065">
        <w:rPr>
          <w:sz w:val="16"/>
        </w:rPr>
        <w:t>, or set of forces that instantiate that impossibility in their very existence. These unforgivable obstacles to futurism’s achievement are “queers”: “</w:t>
      </w:r>
      <w:r w:rsidRPr="007E3C0D">
        <w:rPr>
          <w:rStyle w:val="StyleUnderline"/>
        </w:rPr>
        <w:t>the queer dispossesses the social order of the ground on which it rests</w:t>
      </w:r>
      <w:r w:rsidRPr="002F3242">
        <w:rPr>
          <w:rStyle w:val="StyleUnderline"/>
        </w:rPr>
        <w:t>: a faith in the consistent reality of the social ... a faith that politics, whether of the left or of the right, implicitly affirms.”</w:t>
      </w:r>
      <w:r w:rsidRPr="00085065">
        <w:rPr>
          <w:sz w:val="16"/>
        </w:rPr>
        <w:t>23 Defined as non-reproductive sexual nihilists</w:t>
      </w:r>
      <w:r w:rsidRPr="002F3242">
        <w:rPr>
          <w:rStyle w:val="StyleUnderline"/>
        </w:rPr>
        <w:t>, the positioning of queers as culture’s self-indulgent, sex-obsessed death drive thus functions to secure the health, happiness, and adult normality of heterosexually reproducing humanity.</w:t>
      </w:r>
      <w:r w:rsidRPr="00085065">
        <w:rPr>
          <w:sz w:val="16"/>
        </w:rPr>
        <w:t xml:space="preserve"> While this persuasive reading of heteronormativity and homophobia has generated the most critical enthusiasm for No Future, I want to argue that reproductive futurism is neither exhaustive of the political nor futurism’s exclusive form. However hegemonic, reproductive futurism is only “one of the forms” this “calamity” might take.24 For clearly one can invest in the future as signified by any number of possible oppressive and unattainable ideals: not only the child, but also, for example, Christ, security (for example Hobbes), or the American way. </w:t>
      </w:r>
      <w:r w:rsidRPr="002F3242">
        <w:rPr>
          <w:rStyle w:val="StyleUnderline"/>
        </w:rPr>
        <w:t>As Edelman himself observes, “The Child, in the historical epoch of our current epistemological regime, is the figure for this compulsory investment in the misrecognition of figure.”</w:t>
      </w:r>
      <w:r w:rsidRPr="00085065">
        <w:rPr>
          <w:sz w:val="16"/>
        </w:rPr>
        <w:t>25 Futurism itself, however, he calls “the substrate of politics.”26 My second proposed modification follows from the first, its mandate being to situate Edelman’s political theory more distinctly within history.27 In this regard, suspicious reader John Brenkman helpfully provides the political theory references missing from No Future, noting that “modern critical social discourse, whether among the Enlightenment’s philosophes, French revolutionaries, Marxists, social democrats, or contemporary socialists and democrats” all engage in the kind of future-wagering Edelman describes as definitively political.28 Historically, Brenkman is correct—</w:t>
      </w:r>
      <w:r w:rsidRPr="006370BD">
        <w:rPr>
          <w:rStyle w:val="StyleUnderline"/>
        </w:rPr>
        <w:t>futurism is a distinctively modern phenomenon that must be tethered to, among other things, the advent of industrial capitalism, colonialism, and the rise of the nation-state.</w:t>
      </w:r>
      <w:r w:rsidRPr="00085065">
        <w:rPr>
          <w:sz w:val="16"/>
        </w:rPr>
        <w:t xml:space="preserve"> This second modification makes clear that, in naming futurism, Edelman has identified a fundamental baseline of modernity and the workings of modern politics. However, Brenkman’s concern is less with history than the fact that Edelman seems to foreclose the possibility of such critical discourse by consigning it to the same status as the discourse of the Catholic Church and the religious Right. While Brenkman’s point is well-taken, it is already Edelman’s. For, whether liberal or conservative, Left or Right, communist or fascist, every modern political theory is invested in the repetition and reproduction of the social order, cast as a future aspirational ideal, to which the present is held hostage. This is as true of conservative movements as of radical or revolutionary ones—modern politics as such is defined by its investment in reproducing an order of sameness at the expense of the difference of now.29 Tavia Nyong’o has argued that Edelman’s reading of homophobia operates as a kind of nostalgia for a political moment already past, a moment when homosexuality really did pose an ominous and spectral threat to the social order, but does so no longer.30 However—and this is the third modification I wish to assert—the “queer” of No Future is by no means a crudely identitarian homosexual subject, nor is the child solely emblematic of procreation and childrearing. Edelman would agree with at least part of this point. He insists there is “nothing intrinsic to the constitution of those identifying as lesbian, gay, bisexual, transgendered, transsexual, or queer” that “predisposes them to resist the appeal of futurity, to refuse the temptation to reproduce, or to place themselves outside or against the acculturating logic of the Symbolic.”31 And indeed, it is not difficult to find examples of gay reproductive futurism, the most obvious being the movement for “marriage equality.” As former Human Rights Campaign (HRC) President Joe Solmonese puts it: “The fight for marriage equality for samesex couples is quite possibly the most conventional, family-friendly equal rights struggle ever.” He continues, “History bends not only toward fairness and equality, but also toward common sense. Marriage strengthens couples and families, who in turn help strengthen their communities, one at a time—leading ultimately to a stronger, more robust nation.”32 Mixing nationalism into a gay progress narrative of ever-expanding equality and familial inclusion, Solmonese here writes the playbook for reproductive futurism’s political palatability. Tellingly, Andrew Sullivan’s earlier praise of gay marriage is even more explicit on this count, invoking the importance of the future’s promise not just in the name of the children, but more specifically for gay children, who must be saved from having otherwise been born into futurelessness: More important, perhaps ... its [marriage’s] influence would be felt quietly but deeply among gay children. For them, at last, there would be some kind of future; some older faces to apply to their unfolding lives, some language in which their identity could be properly discussed, some rubric by which it could be explained— not in terms of sex, or sexual practices, or bars, or subterranean activity, but in terms of their future life stories, their potential loves, their eventual chance at some kind of constructive happiness. They would be able to feel by the intimation of a myriad examples that in this respect their emotional orientation was not merely about pleasure, or sin, or shame, or otherness (although it might always be involved in many of those things), but about the ability to love and be loved as complete, imperfect human beings. Until gay marriage is legalized, this fundamental element of personal dignity will be denied a whole segment of humanity. No other change can achieve it.33 As we </w:t>
      </w:r>
      <w:r w:rsidRPr="00085065">
        <w:rPr>
          <w:sz w:val="16"/>
        </w:rPr>
        <w:lastRenderedPageBreak/>
        <w:t xml:space="preserve">can see, even when the Child is gay, its salvific promise is neither diverted nor diluted. It simply straightens out the queer threat potentially posed by bent children.34 Dangling the lure of “constructive happiness” before the eyes of youths for whom not sugarplums but sex parties dance in their heads, Sullivan here offers up the gay version of reproductive futurism, paternalistically reassuring us that a life of sex for sex’s sake is the meaningless, self-indulgent, anti-civilizational existence every good moralizer ever told us it was. Taken together, Sullivan and Solmonese helpfully illustrate the fact that Edelman’s argument is, in the end, not really about identity and not even about gay people (or, for that matter, straight people). </w:t>
      </w:r>
      <w:r w:rsidRPr="006370BD">
        <w:rPr>
          <w:rStyle w:val="StyleUnderline"/>
        </w:rPr>
        <w:t>Futurism is a logic that transcends the specifics of heterosexuality and homosexuality, and “queer” in Edelman’s vocabulary does not necessarily</w:t>
      </w:r>
      <w:r w:rsidRPr="00085065">
        <w:rPr>
          <w:sz w:val="16"/>
        </w:rPr>
        <w:t>—or, perhaps, even primarily, anymore, as Nyong’o suggests—</w:t>
      </w:r>
      <w:r w:rsidRPr="006370BD">
        <w:rPr>
          <w:rStyle w:val="StyleUnderline"/>
        </w:rPr>
        <w:t>stand in for gay and lesbian people.</w:t>
      </w:r>
      <w:r w:rsidRPr="00085065">
        <w:rPr>
          <w:sz w:val="16"/>
        </w:rPr>
        <w:t xml:space="preserve"> But, to return to my third modification, this also means that the child is not irrevocably tied to the existence, reproduction, or raising of “historical children.”35 In other words, even as the non- or anti-identity politics of Edelman’s figure of queerness is increasingly evident, he neglects to establish the similarly and necessarily nonidentitarian iconography of the future he inscribes (which also returns us to my first proposed modification, the distinction between futurism and reproductive futurism). The queer as homosexual and the Child as historical child may be concrete, daily exemplars of (certain ubiquitous if not exclusive versions of) heteronormativity. However, </w:t>
      </w:r>
      <w:r w:rsidRPr="006370BD">
        <w:rPr>
          <w:rStyle w:val="StyleUnderline"/>
        </w:rPr>
        <w:t>understood as a specific form of a more generalized futurist logic, it becomes clear that the child cannot simply be equated with reproduction, child-bearing, and child-rearing, just as the “queer” cannot simply mean “homosexual” in Edelman’s temporal sense.</w:t>
      </w:r>
      <w:r w:rsidRPr="00085065">
        <w:rPr>
          <w:sz w:val="16"/>
        </w:rPr>
        <w:t xml:space="preserve"> The child, along with the queer, is a crucial space for political and historical concretization of Edelman’s radical but otherwise unduly narrow political project. Puar: Terrorism, Homonationalism, and US Sexual Exceptionalism </w:t>
      </w:r>
      <w:r w:rsidRPr="006370BD">
        <w:rPr>
          <w:rStyle w:val="StyleUnderline"/>
        </w:rPr>
        <w:t>The</w:t>
      </w:r>
      <w:r w:rsidRPr="00085065">
        <w:rPr>
          <w:sz w:val="16"/>
        </w:rPr>
        <w:t xml:space="preserve"> HRC’s </w:t>
      </w:r>
      <w:r w:rsidRPr="006370BD">
        <w:rPr>
          <w:rStyle w:val="StyleUnderline"/>
        </w:rPr>
        <w:t xml:space="preserve">language of nationhood and the non-exclusivity of the child as futurist icon are the places to begin pushing Edelman’s queer theory toward an explicit engagement with the politics of race, nation, </w:t>
      </w:r>
      <w:r w:rsidRPr="00CB3C66">
        <w:rPr>
          <w:rStyle w:val="StyleUnderline"/>
        </w:rPr>
        <w:t>and US empire</w:t>
      </w:r>
      <w:r w:rsidRPr="00085065">
        <w:rPr>
          <w:sz w:val="16"/>
        </w:rPr>
        <w:t xml:space="preserve">. For Solmonese’s statement is not simply the rhetoric of reproductive futurism. It is also the language of homonationalism, a term Jasbir Puar has coined to document </w:t>
      </w:r>
      <w:r w:rsidRPr="00CB3C66">
        <w:rPr>
          <w:rStyle w:val="StyleUnderline"/>
        </w:rPr>
        <w:t>the “transition under way in how queer subjects are relating to nation-states</w:t>
      </w:r>
      <w:r w:rsidRPr="00085065">
        <w:rPr>
          <w:sz w:val="16"/>
        </w:rPr>
        <w:t xml:space="preserve">, particularly the United States, </w:t>
      </w:r>
      <w:r w:rsidRPr="00CB3C66">
        <w:rPr>
          <w:rStyle w:val="StyleUnderline"/>
        </w:rPr>
        <w:t>from being figures of death</w:t>
      </w:r>
      <w:r w:rsidRPr="00085065">
        <w:rPr>
          <w:sz w:val="16"/>
        </w:rPr>
        <w:t xml:space="preserve"> (in other words, the AIDS epidemic) </w:t>
      </w:r>
      <w:r w:rsidRPr="00CB3C66">
        <w:rPr>
          <w:rStyle w:val="StyleUnderline"/>
        </w:rPr>
        <w:t>to becoming tied to ideas of life and productivity</w:t>
      </w:r>
      <w:r w:rsidRPr="00085065">
        <w:rPr>
          <w:sz w:val="16"/>
        </w:rPr>
        <w:t xml:space="preserve"> (in other words, gay marriage and families).”36 Homonationalism is an abbreviated combination of the words “homonormative” and “nationalism,” the former term borrowed from Lisa Duggan, who describes “the new homonormativity” as a political realignment of the late 1990s/early 2000s in which gay rights became compatible with certain neoliberal, anti-statist, conservative, American nationalist viewpoints.37 Combining homonormativity with nationalism, then, Puar augments Nyong’o’s critique, arguing that </w:t>
      </w:r>
      <w:r w:rsidRPr="00CB3C66">
        <w:rPr>
          <w:rStyle w:val="StyleUnderline"/>
        </w:rPr>
        <w:t>the assimilation of certain gay and lesbian subjects into the mainstream of American</w:t>
      </w:r>
      <w:r w:rsidRPr="00085065">
        <w:rPr>
          <w:sz w:val="16"/>
        </w:rPr>
        <w:t xml:space="preserve"> normalcy, respectability, and </w:t>
      </w:r>
      <w:r w:rsidRPr="00CB3C66">
        <w:rPr>
          <w:rStyle w:val="StyleUnderline"/>
        </w:rPr>
        <w:t>citizenship has entailed the “fleeting sanctioning of a national homosexual subject”</w:t>
      </w:r>
      <w:r w:rsidRPr="00085065">
        <w:rPr>
          <w:sz w:val="16"/>
        </w:rPr>
        <w:t xml:space="preserve">38 who is </w:t>
      </w:r>
      <w:r w:rsidRPr="00CB3C66">
        <w:rPr>
          <w:rStyle w:val="StyleUnderline"/>
        </w:rPr>
        <w:t>“complicit with heterosexual nationalist formations rather than</w:t>
      </w:r>
      <w:r w:rsidRPr="00085065">
        <w:rPr>
          <w:sz w:val="16"/>
        </w:rPr>
        <w:t xml:space="preserve"> inherently or </w:t>
      </w:r>
      <w:r w:rsidRPr="00CB3C66">
        <w:rPr>
          <w:rStyle w:val="StyleUnderline"/>
        </w:rPr>
        <w:t>automatically excluded from</w:t>
      </w:r>
      <w:r w:rsidRPr="00085065">
        <w:rPr>
          <w:sz w:val="16"/>
        </w:rPr>
        <w:t xml:space="preserve"> or opposed to </w:t>
      </w:r>
      <w:r w:rsidRPr="00CB3C66">
        <w:rPr>
          <w:rStyle w:val="StyleUnderline"/>
        </w:rPr>
        <w:t>them</w:t>
      </w:r>
      <w:r w:rsidRPr="00085065">
        <w:rPr>
          <w:sz w:val="16"/>
        </w:rPr>
        <w:t xml:space="preserve">.”39 </w:t>
      </w:r>
      <w:r w:rsidRPr="00CB3C66">
        <w:rPr>
          <w:rStyle w:val="StyleUnderline"/>
        </w:rPr>
        <w:t>One effect of homonationalism</w:t>
      </w:r>
      <w:r w:rsidRPr="00085065">
        <w:rPr>
          <w:sz w:val="16"/>
        </w:rPr>
        <w:t xml:space="preserve"> in the post-9/11 context of the “War on Terror” </w:t>
      </w:r>
      <w:r w:rsidRPr="00CB3C66">
        <w:rPr>
          <w:rStyle w:val="StyleUnderline"/>
        </w:rPr>
        <w:t>is the perverse</w:t>
      </w:r>
      <w:r w:rsidRPr="00085065">
        <w:rPr>
          <w:sz w:val="16"/>
        </w:rPr>
        <w:t xml:space="preserve"> sexualization or </w:t>
      </w:r>
      <w:r w:rsidRPr="00CB3C66">
        <w:rPr>
          <w:rStyle w:val="StyleUnderline"/>
        </w:rPr>
        <w:t>“queering” of Arabs and Muslims</w:t>
      </w:r>
      <w:r w:rsidRPr="00085065">
        <w:rPr>
          <w:sz w:val="16"/>
        </w:rPr>
        <w:t xml:space="preserve"> (and all those held to be such) </w:t>
      </w:r>
      <w:r w:rsidRPr="00CB3C66">
        <w:rPr>
          <w:rStyle w:val="StyleUnderline"/>
        </w:rPr>
        <w:t>in the figure of the “terrorist,”</w:t>
      </w:r>
      <w:r w:rsidRPr="00085065">
        <w:rPr>
          <w:sz w:val="16"/>
        </w:rPr>
        <w:t xml:space="preserve"> a figure of </w:t>
      </w:r>
      <w:r w:rsidRPr="00CB3C66">
        <w:rPr>
          <w:rStyle w:val="StyleUnderline"/>
        </w:rPr>
        <w:t>monstrosity</w:t>
      </w:r>
      <w:r w:rsidRPr="00085065">
        <w:rPr>
          <w:sz w:val="16"/>
        </w:rPr>
        <w:t xml:space="preserve">, excess, savagery, and perversion. To be clear, Puar is not suggesting that the “terrorist” is the new queer. Rather, she is arguing that “queerness is always already installed in the project of naming the terrorist; the terrorist does not appear as such without the concurrent entrance of perversion, deviance.”40 Neither an identity nor a defining behavioral activity (for example, homosexuality), </w:t>
      </w:r>
      <w:r w:rsidRPr="00CB3C66">
        <w:rPr>
          <w:rStyle w:val="StyleUnderline"/>
        </w:rPr>
        <w:t>Puar elaborates queerness as a biopolitical tactic that functions to define and divide populations through processes of racialization, a “management of queer life at the expense of sexually and racially perverse death in relation to the contemporary politics of securitization, Orientalism, terrorism, torture, and the articulation of Muslim, Arab, Sikh, and South Asian sexualities</w:t>
      </w:r>
      <w:r w:rsidRPr="00085065">
        <w:rPr>
          <w:sz w:val="16"/>
        </w:rPr>
        <w:t xml:space="preserve">.”41 In this view, “the contemporary U.S. heteronormative nation actually relies on and benefits from the proliferation of queerness.”42 </w:t>
      </w:r>
      <w:r w:rsidRPr="00CB3C66">
        <w:rPr>
          <w:rStyle w:val="StyleUnderline"/>
        </w:rPr>
        <w:t>Homonationalism, as a biopolitics of queerness, functions to discipline and (re)produce homosexuality as white, American, patriotic, and upwardly mobile while designating people of color, immigrants, and Arabs and Muslims as both heterosexual and yet dangerously “queer”—</w:t>
      </w:r>
      <w:r w:rsidRPr="00085065">
        <w:rPr>
          <w:sz w:val="16"/>
        </w:rPr>
        <w:t xml:space="preserve">as “terrorists” or “failed and perverse” bodies that “always have femininity as their reference point of malfunction, and are metonymically tied to all sorts of pathologies of the mind and body—homosexuality, incest, pedophilia, madness, and disease.”43 As is evident, queerness in Puar’s account veers from any simple conflation with gay and lesbian subjectivity; as she says, </w:t>
      </w:r>
      <w:r w:rsidRPr="00CB3C66">
        <w:rPr>
          <w:rStyle w:val="StyleUnderline"/>
        </w:rPr>
        <w:t>“Race, ethnicity, nation, gender, class, and sexuality disaggregate gay, homosexual, and queer national subjects who align themselves with U.S. imperial interests from forms of illegitimate queerness that</w:t>
      </w:r>
      <w:r w:rsidRPr="00085065">
        <w:rPr>
          <w:sz w:val="16"/>
        </w:rPr>
        <w:t xml:space="preserve"> name and ultimately </w:t>
      </w:r>
      <w:r w:rsidRPr="00CB3C66">
        <w:rPr>
          <w:rStyle w:val="StyleUnderline"/>
        </w:rPr>
        <w:t>propel populations into extinction.</w:t>
      </w:r>
      <w:r w:rsidRPr="00085065">
        <w:rPr>
          <w:sz w:val="16"/>
        </w:rPr>
        <w:t xml:space="preserve">”44 The happily married couples that populate the HRC’s literature and website, then, would be the homonational, or properly queer; the “monster terrorist fag” abjected into existence through torture at Abu Ghraib or Guanta´namo, detained indefinitely in any of the US’s many illegal prisons, surveilled incessantly in mosques and cafes, and stigmatized as suffering from arrested development by the psychologizing literature of security studies, would be the improperly queer.45 </w:t>
      </w:r>
      <w:r w:rsidRPr="00CB3C66">
        <w:rPr>
          <w:rStyle w:val="StyleUnderline"/>
        </w:rPr>
        <w:t>Puar’s point is that these queernesses go together and require one another, much as</w:t>
      </w:r>
      <w:r w:rsidRPr="00085065">
        <w:rPr>
          <w:sz w:val="16"/>
        </w:rPr>
        <w:t xml:space="preserve">, I think, </w:t>
      </w:r>
      <w:r w:rsidRPr="00CB3C66">
        <w:rPr>
          <w:rStyle w:val="StyleUnderline"/>
        </w:rPr>
        <w:t>Edelman can be seen to be arguing that the child and the queer go together and require one another.</w:t>
      </w:r>
      <w:r w:rsidRPr="00085065">
        <w:rPr>
          <w:sz w:val="16"/>
        </w:rPr>
        <w:t xml:space="preserve"> What Puar concretizes, however, </w:t>
      </w:r>
      <w:r w:rsidRPr="00085065">
        <w:rPr>
          <w:sz w:val="16"/>
        </w:rPr>
        <w:lastRenderedPageBreak/>
        <w:t xml:space="preserve">in theorizing queerness as a “process of racialization”46 is not simply the analytic point that “queer” and “homosexual” are distinct but, more importantly, the urgently political point that the abjected or improper queer who stands outside the social order and is in effect antagonistic to it is, in this contemporary moment, much more likely to be a Muslim or someone perceived as “looking like” a Muslim to the American gaze than, let us admit it, the newly engaged same-sex couples thronging state houses in Minnesota, Connecticut, and Colorado (much less the “homosexual” figure of queerness in No Future). </w:t>
      </w:r>
      <w:r w:rsidRPr="00F15161">
        <w:rPr>
          <w:rStyle w:val="Emphasis"/>
        </w:rPr>
        <w:t>Understanding queerness as a process of nationalization and racialization also concretizes and expands the understanding of heteronormativity or</w:t>
      </w:r>
      <w:r w:rsidRPr="00085065">
        <w:rPr>
          <w:sz w:val="16"/>
        </w:rPr>
        <w:t xml:space="preserve">, in Edelman’s words, </w:t>
      </w:r>
      <w:r w:rsidRPr="00F15161">
        <w:rPr>
          <w:rStyle w:val="Emphasis"/>
        </w:rPr>
        <w:t>the future</w:t>
      </w:r>
      <w:r w:rsidRPr="00085065">
        <w:rPr>
          <w:sz w:val="16"/>
        </w:rPr>
        <w:t xml:space="preserve">. For </w:t>
      </w:r>
      <w:r w:rsidRPr="00F15161">
        <w:rPr>
          <w:rStyle w:val="StyleUnderline"/>
        </w:rPr>
        <w:t>the terrorist in Puar’s analysis</w:t>
      </w:r>
      <w:r w:rsidRPr="00085065">
        <w:rPr>
          <w:sz w:val="16"/>
        </w:rPr>
        <w:t xml:space="preserve"> resists or </w:t>
      </w:r>
      <w:r w:rsidRPr="00F15161">
        <w:rPr>
          <w:rStyle w:val="StyleUnderline"/>
        </w:rPr>
        <w:t>denies a future that is symbolized and defined not only or simply by the child, but also by the American nation and secular Christianity</w:t>
      </w:r>
      <w:r w:rsidRPr="00085065">
        <w:rPr>
          <w:sz w:val="16"/>
        </w:rPr>
        <w:t xml:space="preserve">. As she says, “In the political imagination, the terrorist serves as the monstrous excess of the nation-state.”47 Post-9/11, Puar notes that this terrorist threat is undeniably linked with Islam, which often serves as its “explanation.”48 As she observes, Islam signifies, to the ostensibly secular and modern US, both “excess” and “savagery”: “Religious belief is thus cast, in relation to other factors fueling terrorism, as the overflow, the final excess that impels monstrosity—the ‘different attitude toward violence’ signaling these uncivilizable forces.”49 </w:t>
      </w:r>
      <w:r w:rsidRPr="00F15161">
        <w:rPr>
          <w:rStyle w:val="StyleUnderline"/>
        </w:rPr>
        <w:t>Puar’s reading suggests that Islam threatens the futurist temporality of American empire. Cast as retrograde, backward, and frozen in pre-modern religiosity, Islam threatens the progress narrative of US imperial wars which are alleged to bring ever-greater freedom, not only to women and homosexuals, but also to uncivilized, savage, and undemocratic people(s)</w:t>
      </w:r>
      <w:r w:rsidRPr="00085065">
        <w:rPr>
          <w:sz w:val="16"/>
        </w:rPr>
        <w:t xml:space="preserve"> and nations around the world.50 Finally, then, it is important to note that as Islam has been queered or come to signify queerness, it does so in two ways: first, through the phobic association of Islam with terrorism; and, second, through the racist and Orientalist conflation of Islam with homophobia, anti-feminism, and sexual backwardness more generally. Putting Puar’s analysis in an Edelman-esque frame, we might say that the figure of the “terrorist” who threatens national goals, progress, hope—indeed, the nation’s very existence—can be cast as the excessive, anti-social, future-denying figure of the “queer” in Edelman. Or, we might say that just as the domain of normativity has expanded to include some gay people, correspondingly, the domain of (inassimilable) queerness also has shifted. Puar’s analysis of the collusion “between homosexuality and U.S. nationalism”51 as producing two figures, the homonormative patriot and the queer terrorist, notes them as, on the one hand, the embodiment and normative achievement of the social order and, on the other hand, the dissolution and destruction of that social order.52 No longer designating “the homosexual” per se, “queer” names the monstrously raced and perversely sexualized Arab/Muslim/terrorist Other that threatens the American social and political order, an order that (some) properly gay and lesbian subjects can now, through their incorporation into normative American national life, inhabit and reproduce. In sum, we have a theorization of “queer” wherein the sexually backward Muslim is led by the irrationality and violence of her/his religion to annihilate those who serve and protect freedom for all. In this analysis of “the sexually exceptional homonational and its evil counterpart, the queer terrorist of elsewhere,”53 the “terrorist” is to the HRC what, in Edelman’s analysis, the queer is to the child.54 Edelman and Puar: Theorizing Resistance Puar’s theorization of </w:t>
      </w:r>
      <w:r w:rsidRPr="00F15161">
        <w:rPr>
          <w:rStyle w:val="StyleUnderline"/>
        </w:rPr>
        <w:t>homonationalism is</w:t>
      </w:r>
      <w:r w:rsidRPr="00085065">
        <w:rPr>
          <w:sz w:val="16"/>
        </w:rPr>
        <w:t xml:space="preserve"> a significant contribution to queer theory and an essential </w:t>
      </w:r>
      <w:r w:rsidRPr="00F15161">
        <w:rPr>
          <w:rStyle w:val="StyleUnderline"/>
        </w:rPr>
        <w:t>corrective to Edelman’s</w:t>
      </w:r>
      <w:r w:rsidRPr="00085065">
        <w:rPr>
          <w:sz w:val="16"/>
        </w:rPr>
        <w:t xml:space="preserve"> otherwise historically and racially unmarked </w:t>
      </w:r>
      <w:r w:rsidRPr="00F15161">
        <w:rPr>
          <w:rStyle w:val="StyleUnderline"/>
        </w:rPr>
        <w:t>analysis of (reproductive) futurism</w:t>
      </w:r>
      <w:r w:rsidRPr="00085065">
        <w:rPr>
          <w:sz w:val="16"/>
        </w:rPr>
        <w:t xml:space="preserve">. Her work allows us to critique futurism in ways that are responsive to the specificities of its racial and national workings, consequences gapingly unattended to by him. While Edelman deftly parses the logic of power in terms of futurism’s hegemony, he fails fully to unpack its coercive force by focusing solely on futurism’s relationship to an exceedingly narrow version of non-reproductive homosexuality. Although he claims that the theory of politics he explicates in No Future is indifferent to race, arguing that “the fascism of the baby’s face ... subjects us to its sovereign authority as the figure of politics itself ... whatever the face a particular politics gives that baby to wear— Aryan or multicultural, that of the thirty-thousand-year Reich or of an ever expanding horizon of democratic inclusivity,”55 what is clear is that the reproductive futurism he critiques is symptomatic of a very specific bourgeois class culture within the imperial US, a culture that garners his criticism only insofar as it is bound up with heteronormativity.56 By contrast, Puar’s demand that we focus our attention on the racial and nationalized logics of queerness(es) and the unexpected complicities between queers, nationalism, and empire remains only suggestive of futurism’s determinative role, never naming it specifically. Now, this is likely because Puar neither endorses nor conceptualizes futurism as a useful diagnosis of modern politics, just as Edelman may very much wish to privilege (white male homo) sexuality in his psychoanalysis of futurism. However, I suggest that authorial intentions—both Puar’s and Edelman’s—be respectfully disregarded, not only because we have become savvy to the multiple begged questions inherent in any invocation of authorial intention, but also because more than our scholarly work is at stake when it comes to forging critical resistance to US imperial power. Indeed, while the net effect of Edelman’s analysis is that only white gay men are considered the deathly threat portended by queerness in No Future, 57 if we return to his definition of “queer” and insist on distinguishing between futurism and reproductive futurism, we note that </w:t>
      </w:r>
      <w:r w:rsidRPr="00F15161">
        <w:rPr>
          <w:rStyle w:val="StyleUnderline"/>
        </w:rPr>
        <w:t>“queer” designates anyone who fails to abide by the rules of social temporality</w:t>
      </w:r>
      <w:r w:rsidRPr="00085065">
        <w:rPr>
          <w:sz w:val="16"/>
        </w:rPr>
        <w:t xml:space="preserve">—that is, </w:t>
      </w:r>
      <w:r w:rsidRPr="00F15161">
        <w:rPr>
          <w:rStyle w:val="StyleUnderline"/>
        </w:rPr>
        <w:t>anyone who sacrifices the future for the sake of the present</w:t>
      </w:r>
      <w:r w:rsidRPr="00F15161">
        <w:rPr>
          <w:rStyle w:val="Emphasis"/>
        </w:rPr>
        <w:t>. As such, futurism’s ruthless machinations stigmatize all sorts of populations as emblematic of the death and destruction of the social order.</w:t>
      </w:r>
      <w:r w:rsidRPr="00085065">
        <w:rPr>
          <w:sz w:val="16"/>
        </w:rPr>
        <w:t xml:space="preserve"> This broad array of misfits and perverts may include some gay, lesbian, and queer people. It necessarily also includes the “terrorist” and “Muslim” whom Puar argues are biopolitical targets of abjected queerness. This analysis also suggests that </w:t>
      </w:r>
      <w:r w:rsidRPr="00F15161">
        <w:rPr>
          <w:rStyle w:val="StyleUnderline"/>
        </w:rPr>
        <w:t>temporality is a crucial axis of determination regarding all “enemies” of the social order,</w:t>
      </w:r>
      <w:r w:rsidRPr="00085065">
        <w:rPr>
          <w:sz w:val="16"/>
        </w:rPr>
        <w:t xml:space="preserve"> a notion that links Edelman’s political theory to other important work in radical queer politics. For example, in her definitive essay, “Punks, Bulldaggers, and Welfare Queens: The Radical Potential of Queer Politics?,” Cathy Cohen argues for a re-thinking of marginal positionality in terms of one’s relation to power rather than in terms of a binary categorization of queer vs straight. She cites the examples of the prohibition of slave marriages and the long history of obsession with black women’s reproductive choices in the US as examples </w:t>
      </w:r>
      <w:r w:rsidRPr="00085065">
        <w:rPr>
          <w:sz w:val="16"/>
        </w:rPr>
        <w:lastRenderedPageBreak/>
        <w:t xml:space="preserve">of ostensibly heterosexual people inhabiting positions outside the bounds of normative sexuality because of race, class, and property status. In arguing for a more capacious, intersectional queer politics that is accountable not simply to the question of who is and is not heterosexual but, more broadly, to the question of what each of our relationships with and proximity to power may be, Cohen writes: As we stand on the verge of watching those in power dismantle the welfare system through a process of demonizing the poor and young—primarily poor and young women of color, many of whom have existed for their entire lives outside the white, middle-class heterosexual norm—we have to ask if these women do not fit into society’s categories of marginal, deviant, and “queer.” As we watch the explosion of prison construction and the disproportionate incarceration rates of young men and women of color, often as part of the economic development of poor white rural communities, we have to ask if these individuals do not fit society’s definition of “queer” and expendable. </w:t>
      </w:r>
      <w:r w:rsidRPr="00F15161">
        <w:rPr>
          <w:rStyle w:val="StyleUnderline"/>
        </w:rPr>
        <w:t>Cohen’s understanding of “queer” as a kind of non- or anti-normativity based on one’s proximity to power might also be understood in terms of futurism and its flouting by “deviants.”</w:t>
      </w:r>
      <w:r w:rsidRPr="00085065">
        <w:rPr>
          <w:sz w:val="16"/>
        </w:rPr>
        <w:t xml:space="preserve"> For, </w:t>
      </w:r>
      <w:r w:rsidRPr="00F15161">
        <w:rPr>
          <w:rStyle w:val="StyleUnderline"/>
        </w:rPr>
        <w:t>if the key characteristic of queerness is a temporal one, then having “too many” babies is just as much a threat to America’s future as not having any at all</w:t>
      </w:r>
      <w:r w:rsidRPr="00085065">
        <w:rPr>
          <w:sz w:val="16"/>
        </w:rPr>
        <w:t>—</w:t>
      </w:r>
      <w:r w:rsidRPr="00F15161">
        <w:rPr>
          <w:rStyle w:val="StyleUnderline"/>
        </w:rPr>
        <w:t>it just depends on which queers we are talking about</w:t>
      </w:r>
      <w:r w:rsidRPr="00085065">
        <w:rPr>
          <w:sz w:val="16"/>
        </w:rPr>
        <w:t xml:space="preserve"> (not only Reagan’s welfare queen, but also recall the manufactured election-year discourse about “anchor babies”).59 Naming these explicitly makes futurism a useful tool to diagnose the contemporary political moment from a radical queer perspective that does not fetishize sexuality as either the primary domain of subordination or the sole focus of political struggle and resistance.</w:t>
      </w:r>
    </w:p>
    <w:p w:rsidR="0090145D" w:rsidRDefault="0090145D" w:rsidP="0090145D">
      <w:pPr>
        <w:pStyle w:val="Heading4"/>
      </w:pPr>
      <w:r>
        <w:t xml:space="preserve">The alternative is to embrace the queer negativity of education—disconnecting learning from futurity inhabits the gaps within the social to explore queer possibilities </w:t>
      </w:r>
    </w:p>
    <w:p w:rsidR="0090145D" w:rsidRDefault="0090145D" w:rsidP="0090145D">
      <w:r w:rsidRPr="00A71B72">
        <w:rPr>
          <w:rStyle w:val="Author-Date"/>
        </w:rPr>
        <w:t>Greteman &amp; Wojcikiewicz 2014</w:t>
      </w:r>
      <w:r>
        <w:t xml:space="preserve"> [ Adam J., Adjunct Assistant Professor of Art Education at the School of the Art Institute of Chicago; Steven K., Assistant Professor in the College of Education at Western Oregon University | “The Problems with the Future: Educational Futurism and the Figural Child” Journal of Philosophy of Education, Vol. 48, No. 4, 2014]</w:t>
      </w:r>
    </w:p>
    <w:p w:rsidR="0090145D" w:rsidRDefault="0090145D" w:rsidP="0090145D">
      <w:pPr>
        <w:rPr>
          <w:rStyle w:val="StyleUnderline"/>
        </w:rPr>
      </w:pPr>
      <w:r w:rsidRPr="00A71B72">
        <w:rPr>
          <w:sz w:val="16"/>
        </w:rPr>
        <w:t xml:space="preserve">This may seem to lay out a solution for educational futurism in the name of what might be called educational present-ism, but it is not so. </w:t>
      </w:r>
      <w:r w:rsidRPr="009A6725">
        <w:rPr>
          <w:rStyle w:val="StyleUnderline"/>
        </w:rPr>
        <w:t xml:space="preserve">It would be a mistake, when viewing educational futurism and the Child in terms of their roles in creating poor educational practice, to respond merely by calling for an education for the present. Such a call would fall into dualistic thinking that sets the present against the future and demands allegiance to one side or the other. </w:t>
      </w:r>
      <w:r w:rsidRPr="00A71B72">
        <w:rPr>
          <w:sz w:val="16"/>
        </w:rPr>
        <w:t xml:space="preserve">Both Dewey and Edelman warn against such a step, Edelman by making a queer argument centred on the death drive, and Dewey by pointing out the dangers of boiling complex ideas down to either-or propositions. </w:t>
      </w:r>
      <w:r w:rsidRPr="009A6725">
        <w:rPr>
          <w:rStyle w:val="StyleUnderline"/>
        </w:rPr>
        <w:t>Seeing the disruptive potential of the embracing the ‘negativity’ of queerness, Edelman utilises Lacan’s theorisation of the death drive.</w:t>
      </w:r>
      <w:r w:rsidRPr="00A71B72">
        <w:rPr>
          <w:sz w:val="16"/>
        </w:rPr>
        <w:t xml:space="preserve"> He notes that ‘the death drive marks the excess embedded within the Symbolic through the loss, the Real loss, that the advent of the signifier effects’ (2004, p. 9). </w:t>
      </w:r>
      <w:r w:rsidRPr="009A6725">
        <w:rPr>
          <w:rStyle w:val="StyleUnderline"/>
        </w:rPr>
        <w:t>The death drive becomes the moment of undoing, of constantly seeking to disrupt and destroy the signifier for ‘the queer insists that politics is always a politics of the signifier’</w:t>
      </w:r>
      <w:r w:rsidRPr="00A71B72">
        <w:rPr>
          <w:sz w:val="16"/>
        </w:rPr>
        <w:t xml:space="preserve"> (p. 6). Queerness makes possible a constant disruption or ‘the violent undoing of meaning, the loss of identity and coherence’ (p. 132). </w:t>
      </w:r>
      <w:r w:rsidRPr="009A6725">
        <w:rPr>
          <w:rStyle w:val="StyleUnderline"/>
        </w:rPr>
        <w:t>Edelman’s embrace of the death drive thus challenges the story of the Child’s innocence. In this challenge however, he notes that,</w:t>
      </w:r>
      <w:r w:rsidRPr="00A71B72">
        <w:rPr>
          <w:sz w:val="16"/>
        </w:rPr>
        <w:t xml:space="preserve"> . . . </w:t>
      </w:r>
      <w:r w:rsidRPr="009A6725">
        <w:rPr>
          <w:rStyle w:val="StyleUnderline"/>
        </w:rPr>
        <w:t>to intervene in the reproduction of such a reality</w:t>
      </w:r>
      <w:r w:rsidRPr="00A71B72">
        <w:rPr>
          <w:sz w:val="16"/>
        </w:rPr>
        <w:t>—an intervention that may well take the form of figuring that reality’s abortion—</w:t>
      </w:r>
      <w:r w:rsidRPr="009A6725">
        <w:rPr>
          <w:rStyle w:val="StyleUnderline"/>
        </w:rPr>
        <w:t>queer theory must always insist on its connection to the vicissitudes of the sign</w:t>
      </w:r>
      <w:r w:rsidRPr="00A71B72">
        <w:rPr>
          <w:sz w:val="16"/>
        </w:rPr>
        <w:t xml:space="preserve">, to the tension between the signifier’s collapse into the letter’s cadaverous materiality and its participation in a system of reference wherein it generates meaning itself (p. 7). Edelman, as such, is following a broader theme in queer theory. Eve </w:t>
      </w:r>
      <w:r w:rsidRPr="009A6725">
        <w:rPr>
          <w:rStyle w:val="StyleUnderline"/>
        </w:rPr>
        <w:t>Sedgwick</w:t>
      </w:r>
      <w:r w:rsidRPr="00A71B72">
        <w:rPr>
          <w:sz w:val="16"/>
        </w:rPr>
        <w:t xml:space="preserve"> (1993) </w:t>
      </w:r>
      <w:r w:rsidRPr="009A6725">
        <w:rPr>
          <w:rStyle w:val="StyleUnderline"/>
        </w:rPr>
        <w:t>suggests queer ‘can refer to: the mesh of possibilities, of gaps, overlaps, dissonances, and resonances, lapses and excesses of meaning when the constituent elements of anyone’s gender, of anyone’s sexuality aren’t made (</w:t>
      </w:r>
      <w:r w:rsidRPr="00A71B72">
        <w:rPr>
          <w:sz w:val="16"/>
        </w:rPr>
        <w:t xml:space="preserve">or can’t be made) </w:t>
      </w:r>
      <w:r w:rsidRPr="009A6725">
        <w:rPr>
          <w:rStyle w:val="StyleUnderline"/>
        </w:rPr>
        <w:t>to signify monolithically’</w:t>
      </w:r>
      <w:r w:rsidRPr="00A71B72">
        <w:rPr>
          <w:sz w:val="16"/>
        </w:rPr>
        <w:t xml:space="preserve"> (p. 8). </w:t>
      </w:r>
      <w:r w:rsidRPr="009A6725">
        <w:rPr>
          <w:rStyle w:val="StyleUnderline"/>
        </w:rPr>
        <w:t>The social order, under modernity</w:t>
      </w:r>
      <w:r w:rsidRPr="00A71B72">
        <w:rPr>
          <w:sz w:val="16"/>
        </w:rPr>
        <w:t xml:space="preserve">, is fantasised to be coherent, to seek consistency, completeness, and unity. It </w:t>
      </w:r>
      <w:r w:rsidRPr="009A6725">
        <w:rPr>
          <w:rStyle w:val="StyleUnderline"/>
        </w:rPr>
        <w:t>seeks to tell a story that does not fail,</w:t>
      </w:r>
      <w:r w:rsidRPr="00A71B72">
        <w:rPr>
          <w:sz w:val="16"/>
        </w:rPr>
        <w:t xml:space="preserve"> even as it always must. </w:t>
      </w:r>
      <w:r w:rsidRPr="009A6725">
        <w:rPr>
          <w:rStyle w:val="StyleUnderline"/>
        </w:rPr>
        <w:t>It is this failure that queerness embraces.</w:t>
      </w:r>
      <w:r w:rsidRPr="00A71B72">
        <w:rPr>
          <w:sz w:val="16"/>
        </w:rPr>
        <w:t xml:space="preserve"> As Edelman notes ‘queer theory marks the “other” side of politics: the “side” where narrative realization and derealization overlap . . . the “side” outside of all political sides’ (p. 7). While some may seek to tame queer theory so as to imply troubling—eliminating the queers association with (homo)sexuality—such a move is problematic as it ‘dematerialize[s] any possibility of queerness itself’ because homosexuality is a piece of the queers ‘definitional center’ (Sedgwick, 1993, p. 8). Such a move ignores the role of sexual orientation in queerness. And as Ahmed notes </w:t>
      </w:r>
      <w:r w:rsidRPr="009A6725">
        <w:rPr>
          <w:rStyle w:val="StyleUnderline"/>
        </w:rPr>
        <w:t>‘being oriented in different ways does matter, precisely because of how spaces are already oriented</w:t>
      </w:r>
      <w:r w:rsidRPr="00A71B72">
        <w:rPr>
          <w:sz w:val="16"/>
        </w:rPr>
        <w:t xml:space="preserve"> . . </w:t>
      </w:r>
      <w:r w:rsidRPr="009A6725">
        <w:rPr>
          <w:rStyle w:val="StyleUnderline"/>
        </w:rPr>
        <w:t>. Orientations affect what bodies can do’</w:t>
      </w:r>
      <w:r w:rsidRPr="00A71B72">
        <w:rPr>
          <w:sz w:val="16"/>
        </w:rPr>
        <w:t xml:space="preserve"> (2006, p. 563). </w:t>
      </w:r>
      <w:r w:rsidRPr="009A6725">
        <w:rPr>
          <w:rStyle w:val="StyleUnderline"/>
        </w:rPr>
        <w:t xml:space="preserve">As such, orientation impacts the </w:t>
      </w:r>
      <w:r w:rsidRPr="009A6725">
        <w:rPr>
          <w:rStyle w:val="StyleUnderline"/>
        </w:rPr>
        <w:lastRenderedPageBreak/>
        <w:t>ability to think of the future and to what ends one is oriented toward.</w:t>
      </w:r>
      <w:r>
        <w:rPr>
          <w:rStyle w:val="StyleUnderline"/>
        </w:rPr>
        <w:t xml:space="preserve"> </w:t>
      </w:r>
      <w:r w:rsidRPr="009A6725">
        <w:rPr>
          <w:rStyle w:val="StyleUnderline"/>
        </w:rPr>
        <w:t>The task in part is the embrace of the negative in order to challenge the social reality and its fantasy of coherence to orient in new ways. The incompleteness of children</w:t>
      </w:r>
      <w:r w:rsidRPr="00A71B72">
        <w:rPr>
          <w:sz w:val="16"/>
        </w:rPr>
        <w:t xml:space="preserve">, much maligned, </w:t>
      </w:r>
      <w:r w:rsidRPr="009A6725">
        <w:rPr>
          <w:rStyle w:val="StyleUnderline"/>
        </w:rPr>
        <w:t>emerges then as a site for such a challenge whereby the incompleteness is embraced so that coherence is always in question.</w:t>
      </w:r>
      <w:r w:rsidRPr="00A71B72">
        <w:rPr>
          <w:sz w:val="16"/>
        </w:rPr>
        <w:t xml:space="preserve"> The social reality is constantly under threat of disintegration and as such seeks to regulate those bodies that cause such threats. </w:t>
      </w:r>
      <w:r w:rsidRPr="000C322C">
        <w:rPr>
          <w:rStyle w:val="StyleUnderline"/>
        </w:rPr>
        <w:t>The queerness of children produces different ways to do and be in the world, hidden by the regulatory subject in the form of the Child. To employ a queer perspective in the examination of educational futurism is not solely to carry out a simple act of negation</w:t>
      </w:r>
      <w:r w:rsidRPr="00A71B72">
        <w:rPr>
          <w:sz w:val="16"/>
        </w:rPr>
        <w:t xml:space="preserve"> (i.e. negating the Child), </w:t>
      </w:r>
      <w:r w:rsidRPr="000C322C">
        <w:rPr>
          <w:rStyle w:val="StyleUnderline"/>
        </w:rPr>
        <w:t>but to recognise how that negation is, in part, how the future is figured and how different futures might become thinkable.</w:t>
      </w:r>
      <w:r>
        <w:rPr>
          <w:rStyle w:val="StyleUnderline"/>
        </w:rPr>
        <w:t xml:space="preserve"> </w:t>
      </w:r>
      <w:r w:rsidRPr="00A71B72">
        <w:rPr>
          <w:sz w:val="16"/>
        </w:rPr>
        <w:t xml:space="preserve">For Edelman this embrace occurs through his theorisation around the death drive, which ‘names what the queer, in the order of the social, is called forth to figure: the negativity opposed to every form of social viability’ (2004, p. 9). </w:t>
      </w:r>
      <w:r w:rsidRPr="00E53BCC">
        <w:rPr>
          <w:rStyle w:val="StyleUnderline"/>
        </w:rPr>
        <w:t>Queerness challenges the world and opposes the norms that structure the logic of the social. It is not reproductive and within the realm of the social, unintelligible. It works against stability at all times, seeking its own death.</w:t>
      </w:r>
      <w:r w:rsidRPr="00A71B72">
        <w:rPr>
          <w:sz w:val="16"/>
        </w:rPr>
        <w:t xml:space="preserve"> In doing so, queerness challenges identity politics: [w]here the political interventions of identitarian minorities— including those who seek to substantialize the identities of lesbians, gay men, and bisexuals—may properly take shape as oppositional, affording the dominant order a reassuringly symmetrical, if inverted, depiction of its own ostensibly coherent identity, queer theory’s opposition is precisely to any such logic of opposition, its proper task the ceaseless disappropriation of every propriety. (p. 24) </w:t>
      </w:r>
      <w:r w:rsidRPr="00C50218">
        <w:rPr>
          <w:rStyle w:val="StyleUnderline"/>
        </w:rPr>
        <w:t>Yet, this death, this negation, is not to deny existence, but to push for alternative possibilities</w:t>
      </w:r>
      <w:r w:rsidRPr="00A71B72">
        <w:rPr>
          <w:sz w:val="16"/>
        </w:rPr>
        <w:t>—</w:t>
      </w:r>
      <w:r w:rsidRPr="00C50218">
        <w:rPr>
          <w:rStyle w:val="Emphasis"/>
        </w:rPr>
        <w:t>it is</w:t>
      </w:r>
      <w:r w:rsidRPr="00A71B72">
        <w:rPr>
          <w:sz w:val="16"/>
        </w:rPr>
        <w:t xml:space="preserve">, one might say, </w:t>
      </w:r>
      <w:r w:rsidRPr="00C50218">
        <w:rPr>
          <w:rStyle w:val="Emphasis"/>
        </w:rPr>
        <w:t>productive but never reproductive in producing new orientations to the world</w:t>
      </w:r>
      <w:r w:rsidRPr="00C50218">
        <w:rPr>
          <w:rStyle w:val="StyleUnderline"/>
        </w:rPr>
        <w:t>. It is creative in its destructive intentions, as it must never cease its negation within any given normative framework.</w:t>
      </w:r>
      <w:r>
        <w:rPr>
          <w:rStyle w:val="StyleUnderline"/>
        </w:rPr>
        <w:t xml:space="preserve"> </w:t>
      </w:r>
      <w:r w:rsidRPr="00A71B72">
        <w:rPr>
          <w:sz w:val="16"/>
        </w:rPr>
        <w:t xml:space="preserve">Dewey follows a parallel course here, in that he does not seek to create an essential, normative position. Rather, in his conception of both life and of education as growth for its own sake, he denies essential identities. Essentialising, in any form, would clearly disrupt Dewey’s insistence on the connection between life, growth, and education, and the self-justifying nature of the latter two. </w:t>
      </w:r>
      <w:r w:rsidRPr="00C50218">
        <w:rPr>
          <w:rStyle w:val="StyleUnderline"/>
        </w:rPr>
        <w:t>If the death drive appears here, as Edelman has used it, it appears as the constant disrupter of the static, the destroyer of identity, the social, which makes constant growth and learning possible.</w:t>
      </w:r>
      <w:r w:rsidRPr="00A71B72">
        <w:rPr>
          <w:sz w:val="16"/>
        </w:rPr>
        <w:t xml:space="preserve"> When Dewey warns about the danger of placing the adult above the child, he does not propose that the answer is the placement of the child above the adult. Rather, Dewey seeks to deny the duality itself. ‘The relation of the present and the future’, he writes, ‘is not an Either-Or affair’ (1938, p. 30). Arguably then, </w:t>
      </w:r>
      <w:r w:rsidRPr="00C50218">
        <w:rPr>
          <w:rStyle w:val="StyleUnderline"/>
        </w:rPr>
        <w:t>Dewey challenges the Child as Edelman does, writing against a politics that fantasises about coherence and recognisable forms proposing rather a subject that is contingent, particular and unable to be fully articulated.</w:t>
      </w:r>
    </w:p>
    <w:p w:rsidR="0090145D" w:rsidRPr="0090145D" w:rsidRDefault="0090145D" w:rsidP="0090145D"/>
    <w:p w:rsidR="00A71B72" w:rsidRDefault="001967C0" w:rsidP="001967C0">
      <w:pPr>
        <w:pStyle w:val="Heading3"/>
      </w:pPr>
      <w:bookmarkStart w:id="6" w:name="_Toc489138903"/>
      <w:r>
        <w:lastRenderedPageBreak/>
        <w:t>1NC: Computer Science</w:t>
      </w:r>
      <w:bookmarkEnd w:id="6"/>
    </w:p>
    <w:p w:rsidR="001967C0" w:rsidRPr="001967C0" w:rsidRDefault="001967C0" w:rsidP="001967C0"/>
    <w:p w:rsidR="001967C0" w:rsidRDefault="001967C0" w:rsidP="001967C0">
      <w:pPr>
        <w:pStyle w:val="Heading4"/>
      </w:pPr>
      <w:bookmarkStart w:id="7" w:name="_Hlk489013879"/>
      <w:r>
        <w:t xml:space="preserve">The aff is indebted to an educational futurism where the figural Child tames the queer excess of childhood in favor of projecting a coherent subject that sustains the nation </w:t>
      </w:r>
    </w:p>
    <w:p w:rsidR="001967C0" w:rsidRDefault="001967C0" w:rsidP="001967C0">
      <w:r w:rsidRPr="00A71B72">
        <w:rPr>
          <w:rStyle w:val="Author-Date"/>
        </w:rPr>
        <w:t>Greteman &amp; Wojcikiewicz 2014</w:t>
      </w:r>
      <w:r>
        <w:t xml:space="preserve"> [ Adam J., Adjunct Assistant Professor of Art Education at the School of the Art Institute of Chicago; Steven K., Assistant Professor in the College of Education at Western Oregon University | “The Problems with the Future: Educational Futurism and the Figural Child” Journal of Philosophy of Education, Vol. 48, No. 4, 2014]</w:t>
      </w:r>
    </w:p>
    <w:p w:rsidR="001967C0" w:rsidRPr="00A71B72" w:rsidRDefault="001967C0" w:rsidP="001967C0">
      <w:pPr>
        <w:rPr>
          <w:sz w:val="16"/>
        </w:rPr>
      </w:pPr>
      <w:r w:rsidRPr="00A71B72">
        <w:rPr>
          <w:sz w:val="16"/>
        </w:rPr>
        <w:t xml:space="preserve"> ‘I touch the future’, Christa McAuliffe said, ‘I teach’. This resonates with </w:t>
      </w:r>
      <w:r w:rsidRPr="007577E4">
        <w:rPr>
          <w:rStyle w:val="StyleUnderline"/>
        </w:rPr>
        <w:t>educators. By passing on skills, knowledge, and ideas</w:t>
      </w:r>
      <w:r w:rsidRPr="00A71B72">
        <w:rPr>
          <w:sz w:val="16"/>
        </w:rPr>
        <w:t xml:space="preserve"> that will be </w:t>
      </w:r>
      <w:r w:rsidRPr="007577E4">
        <w:rPr>
          <w:rStyle w:val="StyleUnderline"/>
        </w:rPr>
        <w:t>used at later times</w:t>
      </w:r>
      <w:r w:rsidRPr="00A71B72">
        <w:rPr>
          <w:sz w:val="16"/>
        </w:rPr>
        <w:t xml:space="preserve">, they </w:t>
      </w:r>
      <w:r w:rsidRPr="007577E4">
        <w:rPr>
          <w:rStyle w:val="StyleUnderline"/>
        </w:rPr>
        <w:t>reach out to an unseen future and touch it.</w:t>
      </w:r>
      <w:r w:rsidRPr="00A71B72">
        <w:rPr>
          <w:sz w:val="16"/>
        </w:rPr>
        <w:t xml:space="preserve"> Teachers tell their students to study and work hard, for the things they are learning will be needed in the future. The lesson of the day may be applied to a test at the end of the week, or it may be the basis for work that will be carried out at the next grade level. It may even help prepare a student for college, or for a job, or for a fulfilling life. Whatever the specifics, the commonality here is that </w:t>
      </w:r>
      <w:r w:rsidRPr="007577E4">
        <w:rPr>
          <w:rStyle w:val="StyleUnderline"/>
        </w:rPr>
        <w:t>learning now prepares students for a yet unknown then. Teaching and schooling are suffused with concern about</w:t>
      </w:r>
      <w:r w:rsidRPr="00A71B72">
        <w:rPr>
          <w:sz w:val="16"/>
        </w:rPr>
        <w:t xml:space="preserve">, discussion of, and focus on </w:t>
      </w:r>
      <w:r w:rsidRPr="007577E4">
        <w:rPr>
          <w:rStyle w:val="StyleUnderline"/>
        </w:rPr>
        <w:t>the future.</w:t>
      </w:r>
      <w:r w:rsidRPr="00A71B72">
        <w:rPr>
          <w:sz w:val="16"/>
        </w:rPr>
        <w:t xml:space="preserve"> </w:t>
      </w:r>
      <w:r w:rsidRPr="007577E4">
        <w:rPr>
          <w:rStyle w:val="Emphasis"/>
        </w:rPr>
        <w:t>This theme of futurity carries on beyond school walls and enters political discourse on education.</w:t>
      </w:r>
      <w:r w:rsidRPr="00A71B72">
        <w:rPr>
          <w:sz w:val="16"/>
        </w:rPr>
        <w:t xml:space="preserve"> President John F. Kennedy noted, ‘Children are the world’s most valuable resource and its best hope for the future’, while Malcolm X claimed ‘education is the passport to the future, for tomorrow belongs to those who prepare for it today’. </w:t>
      </w:r>
      <w:r w:rsidRPr="006C2C1D">
        <w:rPr>
          <w:rStyle w:val="StyleUnderline"/>
        </w:rPr>
        <w:t>But,</w:t>
      </w:r>
      <w:r w:rsidRPr="00A71B72">
        <w:rPr>
          <w:sz w:val="16"/>
        </w:rPr>
        <w:t xml:space="preserve"> </w:t>
      </w:r>
      <w:r w:rsidRPr="007577E4">
        <w:rPr>
          <w:rStyle w:val="StyleUnderline"/>
        </w:rPr>
        <w:t xml:space="preserve">education is </w:t>
      </w:r>
      <w:r w:rsidRPr="006C2C1D">
        <w:rPr>
          <w:rStyle w:val="StyleUnderline"/>
        </w:rPr>
        <w:t>not merely directed</w:t>
      </w:r>
      <w:r w:rsidRPr="007577E4">
        <w:rPr>
          <w:rStyle w:val="StyleUnderline"/>
        </w:rPr>
        <w:t xml:space="preserve"> toward the future of the individual, but also toward the future of the nation.</w:t>
      </w:r>
      <w:r w:rsidRPr="00A71B72">
        <w:rPr>
          <w:sz w:val="16"/>
        </w:rPr>
        <w:t xml:space="preserve"> A Nation at Risk, the oft-quoted 1983 US Department of Education report on the state of American education, tells us that, People are steadfast in their belief that education is the major foundation for the future strength of this country. They even considered education more important than developing the best industrial system or the strongest military force, perhaps because they understood education as the cornerstone of both . . . Very clearly, the public understands the primary importance of education as the foundation for a satisfying life, an enlightened and civil society, a strong economy, and a secure Nation (National Commission on Excellence in Education, The Public’s Commitment section, 1983, para. 2). Close to 20 years after the publication of A Nation at Risk, the most sweeping educational reform effort of our time, </w:t>
      </w:r>
      <w:r w:rsidRPr="007577E4">
        <w:rPr>
          <w:rStyle w:val="StyleUnderline"/>
        </w:rPr>
        <w:t>No Child Left Behind, returned the focus back to the Child, continuing the focus on the future in education and the necessity of the Child to maintain the competitiveness of the nation</w:t>
      </w:r>
      <w:r w:rsidRPr="00A71B72">
        <w:rPr>
          <w:sz w:val="16"/>
        </w:rPr>
        <w:t xml:space="preserve">. As former president George W. Bush asserted in one of his last speeches in office, NCLB, . . . starts with this concept: Every child can learn. We believe that it is important to have a high quality education if one is going to succeed in the 21st century. It’s no longer acceptable to be cranking people out of the school system and saying, okay, just go—you know, you can make a living just through manual labor alone. That’s going to happen for some, but it’s not the future of America, if we want to be a competitive nation as we head into the 21st century (Bush, 2009, para. 22). And more recently, President Obama, in a speech when he was running for the office, asserted, ‘We are the nation that has always understood that our future is inextricably linked to the education of our children’ (Obama, 2008, para. 10). Along the same lines, the current Secretary of Education, Arne Duncan, has stated that, ‘Today, more than ever, better schooling provides a down payment on the nation’s future’ (Duncan, 2009, para. 15). </w:t>
      </w:r>
      <w:r w:rsidRPr="007577E4">
        <w:rPr>
          <w:rStyle w:val="StyleUnderline"/>
        </w:rPr>
        <w:t>Within these statements, the future cannot be separated from those it relies on—predominately ‘children’. These assumptions made in regards to children, their role in the future, and schools’ roles in creating that future are seemingly ingrained in our society and our politics.</w:t>
      </w:r>
      <w:r w:rsidRPr="00A71B72">
        <w:rPr>
          <w:sz w:val="16"/>
        </w:rPr>
        <w:t xml:space="preserve"> The presence of this future focus may seem uncontroversial, its influence benign. Such assumptions may appear to be natural and beyond question, particularly since this futurist-focus originated, in part, with the spread of education during the Enlightenment, with its progress-oriented philosophical perspectives. Yet, we wish to question these assumptions, to explore how they can set narrow boundaries around children in schools. In carrying out this task, we employ the work of Lee Edelman and John Dewey to examine the educational ramifications of the focus on the future, which we call ‘educational futurism’ after Edelman’s (2004) ‘reproductive futurism’. Our argument seeks specifically to explore how </w:t>
      </w:r>
      <w:r w:rsidRPr="007577E4">
        <w:rPr>
          <w:rStyle w:val="Emphasis"/>
        </w:rPr>
        <w:t>educational futurism imposes limits on educational discourse and privileges a certain future, thus making it unthinkable to imagine ways outside of such a privileged future.</w:t>
      </w:r>
      <w:r>
        <w:rPr>
          <w:rStyle w:val="Emphasis"/>
        </w:rPr>
        <w:t xml:space="preserve"> </w:t>
      </w:r>
      <w:r w:rsidRPr="00A71B72">
        <w:rPr>
          <w:sz w:val="16"/>
        </w:rPr>
        <w:t xml:space="preserve">We turn to Edelman for his ‘reproductive futurism’, which is embodied in the regulatory figure of ‘the Child’, because it is seems particularly apt to the educational settings, practices and discourses which are our concern. </w:t>
      </w:r>
      <w:r w:rsidRPr="007577E4">
        <w:rPr>
          <w:rStyle w:val="StyleUnderline"/>
        </w:rPr>
        <w:t>This ‘figural Child’</w:t>
      </w:r>
      <w:r w:rsidRPr="00A71B72">
        <w:rPr>
          <w:sz w:val="16"/>
        </w:rPr>
        <w:t xml:space="preserve"> for Edelman </w:t>
      </w:r>
      <w:r w:rsidRPr="007577E4">
        <w:rPr>
          <w:rStyle w:val="StyleUnderline"/>
        </w:rPr>
        <w:t>‘alone embodies the citizen as an ideal, entitled to claim full rights to its future share in the nation’s good, though always at the cost of limiting the rights “real” citizens are allowed’</w:t>
      </w:r>
      <w:r w:rsidRPr="00A71B72">
        <w:rPr>
          <w:sz w:val="16"/>
        </w:rPr>
        <w:t xml:space="preserve"> (2004, p. 11). The Child exists in discourse and it limits discourse from engaging the unruly lives of children</w:t>
      </w:r>
      <w:r w:rsidRPr="007577E4">
        <w:rPr>
          <w:rStyle w:val="StyleUnderline"/>
        </w:rPr>
        <w:t xml:space="preserve">. </w:t>
      </w:r>
      <w:r w:rsidRPr="007577E4">
        <w:rPr>
          <w:rStyle w:val="StyleUnderline"/>
        </w:rPr>
        <w:lastRenderedPageBreak/>
        <w:t>The Child,</w:t>
      </w:r>
      <w:r w:rsidRPr="00A71B72">
        <w:rPr>
          <w:sz w:val="16"/>
        </w:rPr>
        <w:t xml:space="preserve"> for Edelman, </w:t>
      </w:r>
      <w:r w:rsidRPr="007577E4">
        <w:rPr>
          <w:rStyle w:val="StyleUnderline"/>
        </w:rPr>
        <w:t>is not representative of children. It is all there is.</w:t>
      </w:r>
      <w:r w:rsidRPr="00A71B72">
        <w:rPr>
          <w:sz w:val="16"/>
        </w:rPr>
        <w:t xml:space="preserve"> And </w:t>
      </w:r>
      <w:r w:rsidRPr="007577E4">
        <w:rPr>
          <w:rStyle w:val="StyleUnderline"/>
        </w:rPr>
        <w:t>actions taken in the name of the Child</w:t>
      </w:r>
      <w:r w:rsidRPr="00A71B72">
        <w:rPr>
          <w:sz w:val="16"/>
        </w:rPr>
        <w:t xml:space="preserve"> ignore, even </w:t>
      </w:r>
      <w:r w:rsidRPr="007577E4">
        <w:rPr>
          <w:rStyle w:val="StyleUnderline"/>
        </w:rPr>
        <w:t>exclude, the particularities and contexts that make children who they are</w:t>
      </w:r>
      <w:r w:rsidRPr="00A71B72">
        <w:rPr>
          <w:sz w:val="16"/>
        </w:rPr>
        <w:t xml:space="preserve">—alive and unique. </w:t>
      </w:r>
      <w:r w:rsidRPr="007577E4">
        <w:rPr>
          <w:rStyle w:val="StyleUnderline"/>
        </w:rPr>
        <w:t>Edelman’s</w:t>
      </w:r>
      <w:r w:rsidRPr="00A71B72">
        <w:rPr>
          <w:sz w:val="16"/>
        </w:rPr>
        <w:t xml:space="preserve"> challenge then offers up a threat to education’s identification with the Child, a challenge that is not simply nihilistic, but which rather aims to see what is denied consideration and action. His </w:t>
      </w:r>
      <w:r w:rsidRPr="007577E4">
        <w:rPr>
          <w:rStyle w:val="StyleUnderline"/>
        </w:rPr>
        <w:t>project</w:t>
      </w:r>
      <w:r w:rsidRPr="00A71B72">
        <w:rPr>
          <w:sz w:val="16"/>
        </w:rPr>
        <w:t xml:space="preserve">, heavily reliant on Lacan’s death drive, </w:t>
      </w:r>
      <w:r w:rsidRPr="007577E4">
        <w:rPr>
          <w:rStyle w:val="StyleUnderline"/>
        </w:rPr>
        <w:t>offers a challenge to ‘a future whose beat goes on’ to expose the way ‘the political regime of futurism, unable to escape what it abjects, negates it as the negation of meaning, of the Child, and of the future the Child portends’</w:t>
      </w:r>
      <w:r w:rsidRPr="00A71B72">
        <w:rPr>
          <w:sz w:val="16"/>
        </w:rPr>
        <w:t xml:space="preserve"> (pp. 153–154). He insists, as such, on a politics that does not seek accommodation within such logic but an embrace of the negation, the unintelligible place of queerness, for it is in such an embrace that queer ethics can engage the violence against non-normative bodies. Dewey makes an appearance here because, though he has been narrowly and inaccurately portrayed as the benign father of student-centred, activity-oriented, open, and laissez-faire classroom methods, his positions are far more nuanced, and far more radical, in relation to children and the future (Dewey, 1938; Petrovic, 1998; Popkewitz, 2005; Prawat, 1995; Schleffler, 1974; Wong and Pugh, 2001). He presents a critique of a future focus in education that shows how such a focus means a loss, not only of present opportunities, but also of the promised future for children. Dewey, read in relation to Edelman’s engagement with futurism, offers a place within educational discourse to explore the possibility to engage educational futurism in ways that challenge the discourse of the Child illustrated in our opening statements. To focus on Dewey’s radical insights then is to challenge the innocent position to which he is often relegated. After all, it is the innocent Dewey, like the innocent Child, that supports and carries forward the status quo. Our focus on the radical insights of Dewey position him against the status quo, and against the Child, bringing a different, though complementary, perspective to our engagement with Edelman. Before moving forward, we would like to note that our approach in this analysis is not entirely new. As a critique of futurism, it questions a general characteristic of modernism, namely, a foundational belief that we will get ‘there’ someday (Lagemann, 2000). This belief asserts that wherever there might be, and in whatever endeavour we are engaged in, the point is that progress is possible and that our actions can be justified in the name of the inevitable and promising, though distant, end. This belief, the heart of futurism, has, in this postmodern time, been challenged on many occasions. Our argument, however, seeks specifically to explore how futurism, expressed through the iterative construction of the Child, shapes the ways that we can think about children and education. We will begin our analysis by describing Edelman’s reproductive futurism and its relation to education specifically. In this we will address Edelman’s the notion of the Child, the Child’s relation to children, and the impact of these concepts on education. Following this we will introduce John Dewey’s views of growth, life, and education, and show how these views can be read to engage a similar critique of the role of the future and the workings of normative or regulatory subjects.With our two theorists in place, we will seek to draw out connections and disconnections between them, illustrating the ways in which educational futurism ignores or overlooks the lived experiences of children. We conclude by briefly noting the queerness of children and the impact of such queerness on broadening discussions of the future of children. EDELMAN’S REPRODUCTIVE FUTURISM AND THE CHILD Edelman, in his book </w:t>
      </w:r>
      <w:r w:rsidRPr="00E375FB">
        <w:rPr>
          <w:rStyle w:val="StyleUnderline"/>
        </w:rPr>
        <w:t>No Future</w:t>
      </w:r>
      <w:r w:rsidRPr="00A71B72">
        <w:rPr>
          <w:sz w:val="16"/>
        </w:rPr>
        <w:t xml:space="preserve"> (2004) </w:t>
      </w:r>
      <w:r w:rsidRPr="00E375FB">
        <w:rPr>
          <w:rStyle w:val="StyleUnderline"/>
        </w:rPr>
        <w:t>uses queerness as a stance to critique, and resist,</w:t>
      </w:r>
      <w:r w:rsidRPr="00A71B72">
        <w:rPr>
          <w:sz w:val="16"/>
        </w:rPr>
        <w:t xml:space="preserve"> what he calls </w:t>
      </w:r>
      <w:r w:rsidRPr="00E375FB">
        <w:rPr>
          <w:rStyle w:val="StyleUnderline"/>
        </w:rPr>
        <w:t>‘reproductive futurism’.</w:t>
      </w:r>
      <w:r w:rsidRPr="00A71B72">
        <w:rPr>
          <w:sz w:val="16"/>
        </w:rPr>
        <w:t xml:space="preserve"> He lays out the boundaries of reproductive futurism as, . . . </w:t>
      </w:r>
      <w:r w:rsidRPr="00E375FB">
        <w:rPr>
          <w:rStyle w:val="StyleUnderline"/>
        </w:rPr>
        <w:t xml:space="preserve">terms that impose an ideological limit on political discourse as </w:t>
      </w:r>
      <w:r w:rsidRPr="005C0687">
        <w:rPr>
          <w:rStyle w:val="StyleUnderline"/>
        </w:rPr>
        <w:t>such, preserving</w:t>
      </w:r>
      <w:r w:rsidRPr="00A71B72">
        <w:rPr>
          <w:sz w:val="16"/>
        </w:rPr>
        <w:t xml:space="preserve"> in the process </w:t>
      </w:r>
      <w:r w:rsidRPr="005C0687">
        <w:rPr>
          <w:rStyle w:val="StyleUnderline"/>
        </w:rPr>
        <w:t>the absolute privilege of heteronormativity by rendering unthinkable</w:t>
      </w:r>
      <w:r w:rsidRPr="00A71B72">
        <w:rPr>
          <w:sz w:val="16"/>
        </w:rPr>
        <w:t xml:space="preserve">, by casting outside the political domain, </w:t>
      </w:r>
      <w:r w:rsidRPr="005C0687">
        <w:rPr>
          <w:rStyle w:val="StyleUnderline"/>
        </w:rPr>
        <w:t>the possibility of a queer resistance to this organizing principle of communal relations</w:t>
      </w:r>
      <w:r w:rsidRPr="00A71B72">
        <w:rPr>
          <w:sz w:val="16"/>
        </w:rPr>
        <w:t xml:space="preserve"> (2004, p. 2). Edelman claims that </w:t>
      </w:r>
      <w:r w:rsidRPr="005C0687">
        <w:rPr>
          <w:rStyle w:val="StyleUnderline"/>
        </w:rPr>
        <w:t>reproductive futurism sets the notion of reproduction, along with</w:t>
      </w:r>
      <w:r w:rsidRPr="00A71B72">
        <w:rPr>
          <w:sz w:val="16"/>
        </w:rPr>
        <w:t xml:space="preserve"> its complementary and concurrent idea of looking to </w:t>
      </w:r>
      <w:r w:rsidRPr="005C0687">
        <w:rPr>
          <w:rStyle w:val="StyleUnderline"/>
        </w:rPr>
        <w:t>the future, as dominant</w:t>
      </w:r>
      <w:r w:rsidRPr="00A71B72">
        <w:rPr>
          <w:sz w:val="16"/>
        </w:rPr>
        <w:t xml:space="preserve">, even natural, </w:t>
      </w:r>
      <w:r w:rsidRPr="005C0687">
        <w:rPr>
          <w:rStyle w:val="StyleUnderline"/>
        </w:rPr>
        <w:t>guides for being and acting in the political realm</w:t>
      </w:r>
      <w:r w:rsidRPr="00A71B72">
        <w:rPr>
          <w:sz w:val="16"/>
        </w:rPr>
        <w:t xml:space="preserve">. Because of this dominance, </w:t>
      </w:r>
      <w:r w:rsidRPr="005C0687">
        <w:rPr>
          <w:rStyle w:val="StyleUnderline"/>
        </w:rPr>
        <w:t>anything which lies outside of this brand of futurism lies outside</w:t>
      </w:r>
      <w:r w:rsidRPr="00A71B72">
        <w:rPr>
          <w:sz w:val="16"/>
        </w:rPr>
        <w:t xml:space="preserve"> of the pale of </w:t>
      </w:r>
      <w:r w:rsidRPr="005C0687">
        <w:rPr>
          <w:rStyle w:val="StyleUnderline"/>
        </w:rPr>
        <w:t>political thought and action</w:t>
      </w:r>
      <w:r w:rsidRPr="00A71B72">
        <w:rPr>
          <w:sz w:val="16"/>
        </w:rPr>
        <w:t xml:space="preserve">. It is, in short, unintelligible. </w:t>
      </w:r>
      <w:r w:rsidRPr="005C0687">
        <w:rPr>
          <w:rStyle w:val="StyleUnderline"/>
        </w:rPr>
        <w:t>Reproductive futurism acts</w:t>
      </w:r>
      <w:r w:rsidRPr="00A71B72">
        <w:rPr>
          <w:sz w:val="16"/>
        </w:rPr>
        <w:t xml:space="preserve">, in Edelman, </w:t>
      </w:r>
      <w:r w:rsidRPr="005C0687">
        <w:rPr>
          <w:rStyle w:val="StyleUnderline"/>
        </w:rPr>
        <w:t>through ‘the Child’, an image</w:t>
      </w:r>
      <w:r w:rsidRPr="00A71B72">
        <w:rPr>
          <w:sz w:val="16"/>
        </w:rPr>
        <w:t xml:space="preserve">, an identity, </w:t>
      </w:r>
      <w:r w:rsidRPr="005C0687">
        <w:rPr>
          <w:rStyle w:val="StyleUnderline"/>
        </w:rPr>
        <w:t xml:space="preserve">and a political tool </w:t>
      </w:r>
      <w:r w:rsidRPr="00A71B72">
        <w:rPr>
          <w:sz w:val="16"/>
        </w:rPr>
        <w:t xml:space="preserve">that he refers to as the ‘privileged embodiment’ of the future (Edelman, 2007, p. 471). </w:t>
      </w:r>
      <w:r w:rsidRPr="00B51387">
        <w:rPr>
          <w:rStyle w:val="Emphasis"/>
        </w:rPr>
        <w:t>‘We are no more able to conceive of politics without a fantasy of the future than we are able to conceive of a future without the figure of the Child</w:t>
      </w:r>
      <w:r w:rsidRPr="00A71B72">
        <w:rPr>
          <w:sz w:val="16"/>
        </w:rPr>
        <w:t xml:space="preserve"> (2004, p. 11). The Child creates a logic by which the political, within contemporary American politics, ‘must be thought’ (p. 2), since: . . . however radical the means by which specific constituencies attempt to produce a more desirable social order, remains, at its core, conservative insofar as it works to affirm a structure, to authenticate social order, which it then intends to transmit to the future in the form of it inner Child (pp. 2–3, italics in original). </w:t>
      </w:r>
      <w:r w:rsidRPr="00B51387">
        <w:rPr>
          <w:rStyle w:val="StyleUnderline"/>
        </w:rPr>
        <w:t>It is the Child that shapes and inspires social and political action</w:t>
      </w:r>
      <w:r w:rsidRPr="00A71B72">
        <w:rPr>
          <w:sz w:val="16"/>
        </w:rPr>
        <w:t xml:space="preserve">, action which is aimed at a future for the Child, </w:t>
      </w:r>
      <w:r w:rsidRPr="00B51387">
        <w:rPr>
          <w:rStyle w:val="StyleUnderline"/>
        </w:rPr>
        <w:t>and this underpins any ideology in contemporary politics.</w:t>
      </w:r>
      <w:r w:rsidRPr="00A71B72">
        <w:rPr>
          <w:sz w:val="16"/>
        </w:rPr>
        <w:t xml:space="preserve"> Edelman’s critique seeks to challenge this to embrace the negativity of that which is negated by the Child to disrupt the narrative trajectory the Child maintains and engage the unruly. Edelman’s critique and exposure of the Child and the Child’s structuring logic illustrates that the Child is exclusionary, de-legitimising all that which is not future-focused, or which does not benefit the Child in all its innocent, sentimentalised, and decontextualised (non)identity. </w:t>
      </w:r>
      <w:r w:rsidRPr="00B51387">
        <w:rPr>
          <w:rStyle w:val="StyleUnderline"/>
        </w:rPr>
        <w:t>The Child takes up the whole frame, permitting nothing else to be seen, recognised, or thinkable.</w:t>
      </w:r>
      <w:r w:rsidRPr="00A71B72">
        <w:rPr>
          <w:sz w:val="16"/>
        </w:rPr>
        <w:t xml:space="preserve"> However, Edelman makes it clear that the Child he writes of is figural and therefore ‘not to be confused with the lived experiences of any historical children’ (p. 11). </w:t>
      </w:r>
      <w:r w:rsidRPr="00B51387">
        <w:rPr>
          <w:rStyle w:val="StyleUnderline"/>
        </w:rPr>
        <w:t>Rather the figural Child ‘serves to regulate political discourse</w:t>
      </w:r>
      <w:r w:rsidRPr="00A71B72">
        <w:rPr>
          <w:sz w:val="16"/>
        </w:rPr>
        <w:t xml:space="preserve">—to prescribe what we count as political discourse—by compelling such discourse to accede in advance to the reality of a collective future whose figurative status we are never permitted to acknowledge or address’ (p. 11). In order to reveal the Child, and the full range of the meanings of the Child for discourse and action, Edelman (2004) proposes the ‘unthinkable’: he threatens the Child by queering it, since ‘queerness names the side of those not “fighting for the children”, the side outside the consensus by which all politics confirms the absolute value of reproductive futurism’ (p. 3). In queering the Child, these </w:t>
      </w:r>
      <w:r w:rsidRPr="00A71B72">
        <w:rPr>
          <w:sz w:val="16"/>
        </w:rPr>
        <w:lastRenderedPageBreak/>
        <w:t xml:space="preserve">hidden discourses and contexts are exposed, and the Child is portrayed, not as the widely and easily accepted stand-in for children, but as an oppressive figure that closes down possibility and denies particularity, all in the name of a future that ‘is mere repetition and just as lethal as the past’, a future that is normatively, narrowly defined but never to be reached. (p. 31). It is important to understand, in this analysis, that to queer the Child in the name of children is, by extension, to put children in the position of the queer. This, in turn, opens up many possibilities. Yet, making the claim that children are queer may provoke anxiety, or outrage because of the reach of the figural Child. Such a statement on the queerness of children, especially in the realm of education, disrupts the innocence of the Child as imagined and portrayed. It challenges the frame that sets the Child up as in need of a proper curriculum, in need of protection. Edelman acknowledges as much noting that, ‘for the cult of the Child permits no shrines to the queerness of boys and girls, since queerness, for contemporary culture at large . . . is understood as bringing children and childhood to an end’ (p. 19). Such anxiety, or even outrage, is useful for our purposes, for it helps reveal the contextualised, complex, and perhaps troubling realities that lie beneath the bland image of the Child. </w:t>
      </w:r>
      <w:r w:rsidRPr="00B51387">
        <w:rPr>
          <w:rStyle w:val="StyleUnderline"/>
        </w:rPr>
        <w:t xml:space="preserve">The Child is not an innocent position. The Child is </w:t>
      </w:r>
      <w:r w:rsidRPr="00A71B72">
        <w:rPr>
          <w:sz w:val="16"/>
        </w:rPr>
        <w:t xml:space="preserve">indeed </w:t>
      </w:r>
      <w:r w:rsidRPr="00B51387">
        <w:rPr>
          <w:rStyle w:val="StyleUnderline"/>
        </w:rPr>
        <w:t>the representative of positions that have been utilised politically to assault and reject those who do not support the Child</w:t>
      </w:r>
      <w:r w:rsidRPr="00A71B72">
        <w:rPr>
          <w:sz w:val="16"/>
        </w:rPr>
        <w:t xml:space="preserve">. The stories that have been told about the Child have followed a narrow narrative trajectory and to take a stand against the Child is to offer different stories, different narrative trajectories, and challenges to the future. In offering a challenge to this dominant story line on the Child asks that we stand against the maintenance of innocence, for it is its maintenance that inhibits experience and learning (Archard, 2004; Bruhm and Hurley, 2004; Buckingham, 2000). </w:t>
      </w:r>
      <w:r w:rsidRPr="002534A8">
        <w:rPr>
          <w:rStyle w:val="StyleUnderline"/>
        </w:rPr>
        <w:t>This maintenance of innocence on the part of the Child is an important piece of what separates the Child from children, and what makes the political Child such a totalising force for the suppression of children.</w:t>
      </w:r>
      <w:r w:rsidRPr="00A71B72">
        <w:rPr>
          <w:sz w:val="16"/>
        </w:rPr>
        <w:t xml:space="preserve"> This Child is one who is always innocent, always protected, and, as the potential for anxiety and outrage already mentioned alludes to, always inexperienced. </w:t>
      </w:r>
      <w:r w:rsidRPr="002534A8">
        <w:rPr>
          <w:rStyle w:val="StyleUnderline"/>
        </w:rPr>
        <w:t>Experience taints, disrupts, and ends innocence. And yet, experience itself is a vital characteristic of learning. Thus children in schools,</w:t>
      </w:r>
      <w:r w:rsidRPr="00A71B72">
        <w:rPr>
          <w:sz w:val="16"/>
        </w:rPr>
        <w:t xml:space="preserve"> those who are learning, </w:t>
      </w:r>
      <w:r w:rsidRPr="002534A8">
        <w:rPr>
          <w:rStyle w:val="StyleUnderline"/>
        </w:rPr>
        <w:t>are always already in a queer position.</w:t>
      </w:r>
      <w:r w:rsidRPr="00A71B72">
        <w:rPr>
          <w:sz w:val="16"/>
        </w:rPr>
        <w:t xml:space="preserve"> The Child’s image of innocence is merely an exclusionary political position, ‘a central reference point in a wider mythology of childhood that helps uphold an unjust moral order in which both adults and children are subject to the oppressive politics of purity’ (Davis, 2011, p. 381). To argue against the Child and its innocence is to open up that which the Child closes off, the real experiences and desires of children. DEWEY’S FOCUS ON GROWTH AND THE PRESENT IN EDUCATION John Dewey did not write about Queer Theory, or about the Child, but he did write about experience, and about how the political and educational discourses and actions of his day acted to deny the realities and experiences of children in the name of a future that would never be realised. Dewey’s ideas on education are rooted in his overall concern with growth. He equated education with growth, and growth with life (Dewey, 1916, 1934/ 1980, 1938; Granger, 2000; Hansen, 2000). This would, at first glance, seem itself to be a future-focused position, but Dewey adds that both education and growth must proceed for their own sakes. ‘Since growth is the characteristic of life’, he claims, ‘education is all one with growing; it has no end beyond itself’ (Dewey, 1916, p. 53). However, </w:t>
      </w:r>
      <w:r w:rsidRPr="00651266">
        <w:rPr>
          <w:rStyle w:val="StyleUnderline"/>
        </w:rPr>
        <w:t>if growth is ‘regarded as having an end, instead of being an end’</w:t>
      </w:r>
      <w:r w:rsidRPr="00A71B72">
        <w:rPr>
          <w:sz w:val="16"/>
        </w:rPr>
        <w:t xml:space="preserve"> (1916, p. 50, italics in original), </w:t>
      </w:r>
      <w:r w:rsidRPr="00651266">
        <w:rPr>
          <w:rStyle w:val="StyleUnderline"/>
        </w:rPr>
        <w:t>problems arise</w:t>
      </w:r>
      <w:r w:rsidRPr="001B0DA5">
        <w:rPr>
          <w:rStyle w:val="StyleUnderline"/>
        </w:rPr>
        <w:t>. This conception of growth arises when childhood is treated as an imperfect state during which children are moving toward adulthood</w:t>
      </w:r>
      <w:r w:rsidRPr="00A71B72">
        <w:rPr>
          <w:sz w:val="16"/>
        </w:rPr>
        <w:t xml:space="preserve">, the end of growth in the future. </w:t>
      </w:r>
      <w:r w:rsidRPr="001B0DA5">
        <w:rPr>
          <w:rStyle w:val="StyleUnderline"/>
        </w:rPr>
        <w:t>Dewey pushed against the notion</w:t>
      </w:r>
      <w:r w:rsidRPr="00A71B72">
        <w:rPr>
          <w:sz w:val="16"/>
        </w:rPr>
        <w:t xml:space="preserve"> that children were incomplete adults, and that </w:t>
      </w:r>
      <w:r w:rsidRPr="001B0DA5">
        <w:rPr>
          <w:rStyle w:val="StyleUnderline"/>
        </w:rPr>
        <w:t>education was</w:t>
      </w:r>
      <w:r w:rsidRPr="00A71B72">
        <w:rPr>
          <w:sz w:val="16"/>
        </w:rPr>
        <w:t xml:space="preserve"> merely a matter of </w:t>
      </w:r>
      <w:r w:rsidRPr="001B0DA5">
        <w:rPr>
          <w:rStyle w:val="StyleUnderline"/>
        </w:rPr>
        <w:t>preparation for the future</w:t>
      </w:r>
      <w:r w:rsidRPr="00A71B72">
        <w:rPr>
          <w:sz w:val="16"/>
        </w:rPr>
        <w:t xml:space="preserve">. The idea that growth has an end violates Dewey’s ideas about growth, life, and education. Furthermore, it leads to a whole host of problems in schooling, all of which come down to the fallacious idea of viewing schooling as preparation for the fixed future of adulthood rather than as an end in itself. </w:t>
      </w:r>
      <w:r w:rsidRPr="001B0DA5">
        <w:rPr>
          <w:rStyle w:val="StyleUnderline"/>
        </w:rPr>
        <w:t>With a fixed end in mind</w:t>
      </w:r>
      <w:r w:rsidRPr="00A71B72">
        <w:rPr>
          <w:sz w:val="16"/>
        </w:rPr>
        <w:t xml:space="preserve"> as to the results of education, </w:t>
      </w:r>
      <w:r w:rsidRPr="001B0DA5">
        <w:rPr>
          <w:rStyle w:val="StyleUnderline"/>
        </w:rPr>
        <w:t>the goal of education becomes</w:t>
      </w:r>
      <w:r w:rsidRPr="00A71B72">
        <w:rPr>
          <w:sz w:val="16"/>
        </w:rPr>
        <w:t xml:space="preserve"> not openness and growth, but </w:t>
      </w:r>
      <w:r w:rsidRPr="001B0DA5">
        <w:rPr>
          <w:rStyle w:val="StyleUnderline"/>
        </w:rPr>
        <w:t>conformity</w:t>
      </w:r>
      <w:r w:rsidRPr="00A71B72">
        <w:rPr>
          <w:sz w:val="16"/>
        </w:rPr>
        <w:t xml:space="preserve">: Since conformity is the aim, what is distinctively individual in a young person is brushed aside, or regarded as a source of mischief or anarchy. Conformity is made equivalent to uniformity. Consequently, there are induced lack of interest in the novel, aversion to progress, and dread of the uncertain and the unknown. Since the end of growth is outside of and beyond the process of growing, external agents have to be resorted to, to induce movement toward it (Dewey, 1916, pp. 50–51). </w:t>
      </w:r>
      <w:r w:rsidRPr="001B0DA5">
        <w:rPr>
          <w:rStyle w:val="StyleUnderline"/>
        </w:rPr>
        <w:t>This conformity reins in the excess, the aspects of the individual that do not speak to a future already structured by the logic of conformity.</w:t>
      </w:r>
      <w:r w:rsidRPr="00A71B72">
        <w:rPr>
          <w:sz w:val="16"/>
        </w:rPr>
        <w:t xml:space="preserve"> In doing so, there occurs a refusal to engage that which is unknown or uncertain. </w:t>
      </w:r>
      <w:r w:rsidRPr="001B0DA5">
        <w:rPr>
          <w:rStyle w:val="StyleUnderline"/>
        </w:rPr>
        <w:t>Dewey’s engagement here asked to open the bounded-ness of the Child to the excesses, the unruliness of children’s experience. This, as Dewey noted, might be regarded as ‘mischief’ or ‘anarchy’ because such states challenge the futurism of an education that imagines a fixed end or telos.</w:t>
      </w:r>
      <w:r>
        <w:rPr>
          <w:rStyle w:val="StyleUnderline"/>
        </w:rPr>
        <w:t xml:space="preserve"> </w:t>
      </w:r>
      <w:r w:rsidRPr="00A71B72">
        <w:rPr>
          <w:sz w:val="16"/>
        </w:rPr>
        <w:t xml:space="preserve">As such, education for the future neglects the present, including the powers of present learning in terms of interest and motivation. </w:t>
      </w:r>
      <w:r w:rsidRPr="001B0DA5">
        <w:rPr>
          <w:rStyle w:val="StyleUnderline"/>
        </w:rPr>
        <w:t>Such external motivators to learn become ingrained in school systems, which then swing between harsh and open methods, without changing their essential nature as future-focused and structured by the logic of the Child.</w:t>
      </w:r>
      <w:r w:rsidRPr="00A71B72">
        <w:rPr>
          <w:sz w:val="16"/>
        </w:rPr>
        <w:t xml:space="preserve"> This swinging pendulum, rather than creating a challenge to the structures of education, leads to deadening systems of learning reiterating the centrality of the figural Child. Dewey notes this in regards to systems in punishment where, Everybody knows how largely systems of punishment have had to be resorted to by educational systems which neglect present possibilities in behalf of preparation for a future. Then, in disgust with the harshness and impotency of this method, the pendulum swings to the opposite extreme, and the dose of information required against some later day is sugar-coated, so that pupils may be fooled into taking something which they do not care for (Dewey, 1916, p. 55). For Dewey, then, the future is driven by the present. Educational experiences which lead to growth, valued for their own sakes and on their own terms, prepare students for a future which is undefined, but which will certainly consist of further experiences. To set a definite future is to eliminate the idea of growth for its own sake, and to set a course for conformity. And with a definite </w:t>
      </w:r>
      <w:r w:rsidRPr="00A71B72">
        <w:rPr>
          <w:sz w:val="16"/>
        </w:rPr>
        <w:lastRenderedPageBreak/>
        <w:t xml:space="preserve">future acting as a static goal, with only conformity to look forward to, present experience becomes so devoid of creativity, liveliness and appeal that behaviour management techniques are the only recourse of the educator who hopes to keep students involved in their schoolwork. Dewey thus provides a telling challenge to the schools of his time and to the schools of today, and gives us a critique of educational futurism that describes its classroom outcomes. Far from being a mere supporter of student-centred pedagogical activities, Dewey emerges as a radical critic of any educational practice that relies on bribery or compulsion to make up for a lack of the sort of compelling experiences that engage students in the immediate and, by promoting growth, prepare them for future experiences. For Dewey, the cost of educational futurism was a deadened classroom where carrots and sticks are the dominant features, and where the end is a static and ever-unreachable goal of ‘adulthood’, a modernist dream of perfect knowledge where all the pain and preparation of schooling experiences finally pays off, and a goal to which the present is blithely sacrificed. DEWEY AND EDELMAN IN CONVERSATION </w:t>
      </w:r>
      <w:r w:rsidRPr="00C36182">
        <w:rPr>
          <w:rStyle w:val="StyleUnderline"/>
        </w:rPr>
        <w:t>For both Dewey and Edelman, the drive toward the future begins with the positioning of children relative to some regulatory figural ideal.</w:t>
      </w:r>
      <w:r w:rsidRPr="00A71B72">
        <w:rPr>
          <w:sz w:val="16"/>
        </w:rPr>
        <w:t xml:space="preserve"> Edelman identifies this ideal as the figural Child, while Dewey identifies it as the state of adulthood, which may also be characterised as the figural Adult. This positioning creates notions of children that are merely incomplete, either because they are waiting to grow up, or because they are not supposed to grow up at all. Dewey’s idealised Adult never changes because adulthood is never reached. Edelman’s idealised Child, actually an idealised present projected forward into an ever-receding future, is unchanging, as it always stands for what is to come in the name of those who will, in later days, no longer be children. The Child must always remain a Child in order to retain its power as a driving symbol. Yet, as such it is frozen, an identity every bit as static as Dewey’s Adult. Because of the ways that these theories intersect, we can bring Dewey and Edelman together to focus on the figure of the Child in educational discourse and practice, taking reproductive futurism, the Child, Dewey’s Adult, and his call for an education valuable in the present to offer a different story for education and children. In many ways, these theories fit well together. Children, after all, go to school, and so it is to be expected that the figure of the Child might loom large in education. And, as we have already established, education can be seen as a largely future directed activity driven by the Child, whether that future is the future application of a lesson, the future life of a student, or the future success or failure of the nation. It is, we maintain, even as naturally future-directed as reproduction. And </w:t>
      </w:r>
      <w:r w:rsidRPr="009A6725">
        <w:rPr>
          <w:rStyle w:val="StyleUnderline"/>
        </w:rPr>
        <w:t>the Child, the representative of reproductive futurism, is as directly associated with schooling as with reproduction; both reproduce the next generation, one through birth, the other through instruction but both reproductions are reigned in, fearful of the excessive, the unique, the individual.</w:t>
      </w:r>
      <w:r>
        <w:rPr>
          <w:rStyle w:val="StyleUnderline"/>
        </w:rPr>
        <w:t xml:space="preserve"> </w:t>
      </w:r>
      <w:r w:rsidRPr="00A71B72">
        <w:rPr>
          <w:sz w:val="16"/>
        </w:rPr>
        <w:t xml:space="preserve">For all that, we do not wish to imply that Edelman and Dewey occupy interchangeable positions. The differences between the Child and the Adult may reflect cultural and temporal differences, a movement from a society which viewed childhood as incomplete adulthood to one which views adulthood as, at best, childhood carried forward. These differences may also come from the sources of these theories, their very different views and approaches to politics, or even from Edelman’s queer stance and focus on opposition to reproduction versus Dewey’s straight stance with its faith in progress, though a progress that lacks a set and static end. For all their differences, however, Edelman and Dewey still share much of an outlook. </w:t>
      </w:r>
      <w:r w:rsidRPr="009A6725">
        <w:rPr>
          <w:rStyle w:val="StyleUnderline"/>
        </w:rPr>
        <w:t>Both show the experience of the now, with all of its uncontrolled, excessive possibilities, unregulated desires and unknown ends, brought under control, and thus deadened, by references to a totalising image that controls political and educational discourse and action.</w:t>
      </w:r>
      <w:r w:rsidRPr="00A71B72">
        <w:rPr>
          <w:sz w:val="16"/>
        </w:rPr>
        <w:t xml:space="preserve"> Dewey puts forth the idea that the immediate experiences of childhood are being sacrificed to a fixed and unreachable Adult. For Dewey, children being educated were never meant to completely know themselves, and as such continually experience, struggle with and against the world. Edelman’s critique raises the possibility that the immediate experiences of childhood are structured by the logic of the Child while also present a possible threat to the perfect and innocent image of the Child. For Edelman, the Child regulates experiences for children and adults to maintain its logic, a logic that structures responses, as shown earlier, from ideological perspectives whether liberal or conservative.</w:t>
      </w:r>
    </w:p>
    <w:p w:rsidR="001967C0" w:rsidRDefault="001967C0" w:rsidP="001967C0">
      <w:pPr>
        <w:pStyle w:val="Heading4"/>
      </w:pPr>
      <w:r>
        <w:t>The aff’s figuration of education as production of human capital facilitates a post-fordist futurity that harvests black and brown bodies for return on investments</w:t>
      </w:r>
    </w:p>
    <w:p w:rsidR="001967C0" w:rsidRDefault="001967C0" w:rsidP="001967C0">
      <w:r w:rsidRPr="00E42060">
        <w:rPr>
          <w:rStyle w:val="Author-Date"/>
        </w:rPr>
        <w:t>Gill-Peterson 2015</w:t>
      </w:r>
      <w:r>
        <w:t xml:space="preserve"> [Julian, Assistant Professor of English and Children's Literature at the University of Pittsburgh | “The Value of the Future: The Child as Human Capital and the Neoliberal Labor of Race,” </w:t>
      </w:r>
      <w:r w:rsidRPr="00D622CD">
        <w:rPr>
          <w:i/>
        </w:rPr>
        <w:t>Women's Studies Quarterly</w:t>
      </w:r>
      <w:r>
        <w:t>, Vol. 43, No. 1/2, (Spring/Summer 2015)]</w:t>
      </w:r>
    </w:p>
    <w:p w:rsidR="001967C0" w:rsidRPr="006F4F17" w:rsidRDefault="001967C0" w:rsidP="001967C0">
      <w:pPr>
        <w:rPr>
          <w:sz w:val="16"/>
        </w:rPr>
      </w:pPr>
      <w:r w:rsidRPr="006F4F17">
        <w:rPr>
          <w:sz w:val="16"/>
        </w:rPr>
        <w:t xml:space="preserve">Ten9Eight is in part a racial uplift film for a multicultural era, in which the celebration of ostensible legal equality and the cultural relativism of ethnicity authorize rigid competition between assimilating immigrant groups and the exceptional isolation of African Americans (see Chow 2002 and Sexton 2008). While the students in Ten9Eight are all African American, Latino, or recent immigrants, the communities and families of the black competitors incur the most diegetic pathologization. Melodra- matic and stereotyped tales of drugs, alcohol, prison, sexual abuse, foster care, homelessness, teen pregnancy, and the specter of death govern their biographies. In the face of this cultural pathology, an individual narrative of overcoming is rehearsed: Ten9Eight unambiguously suggests that start- ing businesses is the only way for black children to break a pattern derivative of the Moynihan report. </w:t>
      </w:r>
      <w:r w:rsidRPr="00B86BD0">
        <w:rPr>
          <w:rStyle w:val="StyleUnderline"/>
        </w:rPr>
        <w:t>As with</w:t>
      </w:r>
      <w:r w:rsidRPr="006F4F17">
        <w:rPr>
          <w:sz w:val="16"/>
        </w:rPr>
        <w:t xml:space="preserve"> Daniel Patrick </w:t>
      </w:r>
      <w:r w:rsidRPr="00B86BD0">
        <w:rPr>
          <w:rStyle w:val="StyleUnderline"/>
        </w:rPr>
        <w:t>Moynihan</w:t>
      </w:r>
      <w:r>
        <w:rPr>
          <w:rStyle w:val="StyleUnderline"/>
        </w:rPr>
        <w:t>’</w:t>
      </w:r>
      <w:r w:rsidRPr="006F4F17">
        <w:rPr>
          <w:sz w:val="16"/>
        </w:rPr>
        <w:t xml:space="preserve">s The Negro Family (United States Department of Labor 1965), </w:t>
      </w:r>
      <w:r w:rsidRPr="00B86BD0">
        <w:rPr>
          <w:rStyle w:val="StyleUnderline"/>
        </w:rPr>
        <w:t>systemic inequalities and the planned maldistribution of life chances by race can be criticized as a moral wrong, but their actionable field of remedies is simultaneously confined to the private sphere of individual improvement.</w:t>
      </w:r>
      <w:r w:rsidRPr="006F4F17">
        <w:rPr>
          <w:sz w:val="16"/>
        </w:rPr>
        <w:t xml:space="preserve"> The will to overcome and disavow the signifier "inner city" in places like Baltimore, Chicago, New York City, and Washington, DC returns again and again in Ten9Eight. One competitor, JaMal Wills, explains that he wants to win the competition because he "doesn't want to end up dead.” </w:t>
      </w:r>
      <w:r w:rsidRPr="00B86BD0">
        <w:rPr>
          <w:rStyle w:val="StyleUnderline"/>
        </w:rPr>
        <w:t>Rather than understanding these narratives of black childhood only as representations of a purely ideological devaluation</w:t>
      </w:r>
      <w:r w:rsidRPr="006F4F17">
        <w:rPr>
          <w:sz w:val="16"/>
        </w:rPr>
        <w:t xml:space="preserve">, a cultural ruse for the neoliberal states </w:t>
      </w:r>
      <w:r w:rsidRPr="006F4F17">
        <w:rPr>
          <w:sz w:val="16"/>
        </w:rPr>
        <w:lastRenderedPageBreak/>
        <w:t xml:space="preserve">institutionalized racial exploitation, </w:t>
      </w:r>
      <w:r w:rsidRPr="00B86BD0">
        <w:rPr>
          <w:rStyle w:val="StyleUnderline"/>
        </w:rPr>
        <w:t>an analysis of the proposed labor function</w:t>
      </w:r>
      <w:r w:rsidRPr="006F4F17">
        <w:rPr>
          <w:sz w:val="16"/>
        </w:rPr>
        <w:t xml:space="preserve"> of the film s children </w:t>
      </w:r>
      <w:r w:rsidRPr="00B86BD0">
        <w:rPr>
          <w:rStyle w:val="StyleUnderline"/>
        </w:rPr>
        <w:t>maps the new social contract for which they are targeted as human capital.</w:t>
      </w:r>
      <w:r w:rsidRPr="006F4F17">
        <w:rPr>
          <w:sz w:val="16"/>
        </w:rPr>
        <w:t xml:space="preserve"> Not for nothing do Ten9Eighť s promotional materials emphasize that Thomas Friedman of the New York Times said, Obama should arrange for this movie to be shown in every classroom in America" (qtd. in Ten9Eight: Shoot for the Moon 2014). There is an ideological conceit in Friedmans suggestion, since the film is not addressed to every classroom but rather targets under the category of "inner city" the black and brown bodies whose futurity is of so little value to the nation that public investment in their education or communities is absolutely out of the question. Still, Friedmans proposition is also symptomatic of a mode of investment in the productivity of children whose dispersed strategies cohere through the calculating force of what we habitually signify in using the terms "race," "gender," and "class." </w:t>
      </w:r>
      <w:r w:rsidRPr="00B86BD0">
        <w:rPr>
          <w:rStyle w:val="StyleUnderline"/>
        </w:rPr>
        <w:t>The value of the future contracted through neoliberal child labor assigns risk and speculates on the future of kids as the incorporation of race, gender, and class - economic coefficients that materialize as the growing bodies of children.</w:t>
      </w:r>
      <w:r w:rsidRPr="006F4F17">
        <w:rPr>
          <w:sz w:val="16"/>
        </w:rPr>
        <w:t xml:space="preserve"> Ten9Eight suggests that </w:t>
      </w:r>
      <w:r w:rsidRPr="00B86BD0">
        <w:rPr>
          <w:rStyle w:val="StyleUnderline"/>
        </w:rPr>
        <w:t>the racialization of labor and investment might be understood as originary of American neoliberalisms reason, its political economization of life s growth from infancy to adulthood through childhood.</w:t>
      </w:r>
      <w:r w:rsidRPr="006F4F17">
        <w:rPr>
          <w:sz w:val="16"/>
        </w:rPr>
        <w:t xml:space="preserve"> </w:t>
      </w:r>
      <w:r w:rsidRPr="00C17FE6">
        <w:rPr>
          <w:rStyle w:val="StyleUnderline"/>
        </w:rPr>
        <w:t>Under this neoliberal social contract childhood becomes a form of futures trading</w:t>
      </w:r>
      <w:r w:rsidRPr="006F4F17">
        <w:rPr>
          <w:sz w:val="16"/>
        </w:rPr>
        <w:t xml:space="preserve">. The phrase is not métonymie, but emphasizes that </w:t>
      </w:r>
      <w:r w:rsidRPr="00C17FE6">
        <w:rPr>
          <w:rStyle w:val="StyleUnderline"/>
        </w:rPr>
        <w:t xml:space="preserve">capitalism does not mobilize subjects with a preexisting race, gender, or class; rather, </w:t>
      </w:r>
      <w:r w:rsidRPr="00C17FE6">
        <w:rPr>
          <w:rStyle w:val="Emphasis"/>
        </w:rPr>
        <w:t>it is a subjectification machine that reorganizes human life into those categories</w:t>
      </w:r>
      <w:r w:rsidRPr="00C17FE6">
        <w:rPr>
          <w:rStyle w:val="StyleUnderline"/>
        </w:rPr>
        <w:t>.</w:t>
      </w:r>
      <w:r w:rsidRPr="006F4F17">
        <w:rPr>
          <w:sz w:val="16"/>
        </w:rPr>
        <w:t xml:space="preserve"> As with UNCF, Ten9Eight transforms black and brown children into human capital by restaging education as an entrepreneurial labor. In his 1978-79 collected lectures, The Birth of Biopolitics, Michel Foucault (2007) turns likewise to the child as his example in diagramming American neoliberalism. </w:t>
      </w:r>
      <w:r w:rsidRPr="00C17FE6">
        <w:rPr>
          <w:rStyle w:val="StyleUnderline"/>
        </w:rPr>
        <w:t>What distinguishes American neoliberalism</w:t>
      </w:r>
      <w:r w:rsidRPr="006F4F17">
        <w:rPr>
          <w:sz w:val="16"/>
        </w:rPr>
        <w:t xml:space="preserve">, according to Foucault, </w:t>
      </w:r>
      <w:r w:rsidRPr="00C17FE6">
        <w:rPr>
          <w:rStyle w:val="StyleUnderline"/>
        </w:rPr>
        <w:t>is its theory of human capital,</w:t>
      </w:r>
      <w:r w:rsidRPr="006F4F17">
        <w:rPr>
          <w:sz w:val="16"/>
        </w:rPr>
        <w:t xml:space="preserve"> a theory </w:t>
      </w:r>
      <w:r w:rsidRPr="00C17FE6">
        <w:rPr>
          <w:rStyle w:val="StyleUnderline"/>
        </w:rPr>
        <w:t>that permits "the extension of economic analysis into a previously unexplored domain," the social</w:t>
      </w:r>
      <w:r w:rsidRPr="006F4F17">
        <w:rPr>
          <w:sz w:val="16"/>
        </w:rPr>
        <w:t xml:space="preserve"> (219) - once Annies shelter. American neoliberalism reproaches political economy for ignoring the centrality of labor to the production of capital, but unlike Marx, it makes labor into capital (224). </w:t>
      </w:r>
      <w:r w:rsidRPr="00C17FE6">
        <w:rPr>
          <w:rStyle w:val="StyleUnderline"/>
        </w:rPr>
        <w:t>Human capital makes Homo economicus into an entrepreneur of the self, taking the self as its basic resource, projected into the future through potential wages</w:t>
      </w:r>
      <w:r w:rsidRPr="006F4F17">
        <w:rPr>
          <w:sz w:val="16"/>
        </w:rPr>
        <w:t xml:space="preserve">. This enterprising self represents a theory not of labor power but what Foucault calls "capital-ability" (225). When neoliberal economists began to define human capital in the 1950s and 1960s they argued that all human behavior could be analyzed in economic terms by adapting theories of utility max- imization from Adam Smith and Jeremy Bentham. Gary S. Becker, one of human capitals major proponents, worked over his career on economic analyses of racial and gendered discrimination, crime and punishment, marriage, divorce, and child-rearing, which he summed up in the title of his Nobel Prize lecture (Becker 1992): "An Economic Way of Looking at Life." The economic rationalization of human life also worked to discredit state projects to reduce inequality or combat poverty, especially where they accounted for race and gender. By making human value and its return a factor of private investment in the individual, human capital rendered unreasonable alternate modes of economic redistribution, particularly those both public and based on social justice. Becker s Treatise on the Fam- ily , for instance, argues that a sexual division of labor, where women stay at home investing in the human capital of children while men work, is more efficient than equal pay for equal work (1981, 22-23). Becker also argued that state programs aimed at redressing racialized economic inequality were less effective than a color-blind and competitive labor market (1957, 129). </w:t>
      </w:r>
      <w:r w:rsidRPr="00C17FE6">
        <w:rPr>
          <w:rStyle w:val="StyleUnderline"/>
        </w:rPr>
        <w:t>Within this framework the theory of human capital deploys the child to recalculate the value of the future in terms of private investment.</w:t>
      </w:r>
      <w:r w:rsidRPr="006F4F17">
        <w:rPr>
          <w:sz w:val="16"/>
        </w:rPr>
        <w:t xml:space="preserve"> The theory’s scriptural basis is a passage in Smiths Wealth of Nations on "fixed capital" ([1776] 1909, 225), capital held as stock for the enhancement of the production, but not the circulation, of commodities. According to Smith, there are four types of fixed capital: machines, buildings, land, and "the acquired and useful abilities of all the inhabitants and members of a society" (228). This last form becomes human capital. Smith continues: "The acquisition of such talents, by the maintenance of the acquirer during his education, study, or apprenticeship, always costs a real expense, which is a capital fixed and realized, as it were, in his person. Those talents, as they make a part of his fortune, so do they likewise that of the society to which he belongs. The improved dexterity of a workman may be considered in the same light as a machine or instrument of trade which facilitates and abridges labour, and which, though it costs a certain expense, repays that expense with a profit" (228). Human capital names a production cost that enhances the quality of workers, repaid with a surplus in future output. As Foucault emphasizes, </w:t>
      </w:r>
      <w:r w:rsidRPr="00C17FE6">
        <w:rPr>
          <w:rStyle w:val="StyleUnderline"/>
        </w:rPr>
        <w:t xml:space="preserve">the theory of human capital is less preoccupied with innate capacities than with acquiring new skills. Education was </w:t>
      </w:r>
      <w:r>
        <w:rPr>
          <w:rStyle w:val="StyleUnderline"/>
        </w:rPr>
        <w:t>hence the first target of econ</w:t>
      </w:r>
      <w:r w:rsidRPr="00C17FE6">
        <w:rPr>
          <w:rStyle w:val="StyleUnderline"/>
        </w:rPr>
        <w:t>omists</w:t>
      </w:r>
      <w:r w:rsidRPr="006F4F17">
        <w:rPr>
          <w:sz w:val="16"/>
        </w:rPr>
        <w:t xml:space="preserve">: in one classic essay, Jacob Mincer (1974) calculates the increase to workers' salaries from additional years of schooling through regression formulas. </w:t>
      </w:r>
      <w:r w:rsidRPr="00C17FE6">
        <w:rPr>
          <w:rStyle w:val="StyleUnderline"/>
        </w:rPr>
        <w:t>Yet human capital is also dependent on childhood, understood as the critical period of development</w:t>
      </w:r>
      <w:r w:rsidRPr="006F4F17">
        <w:rPr>
          <w:sz w:val="16"/>
        </w:rPr>
        <w:t xml:space="preserve">, and for this reason Foucault turns his attention to the child in The Birth of Biopolitics . Through "the inversion of the relationships [sic] of the social to the economic" (2007, 240), in his words, "we thus arrive at a whole environmental analysis, as the Americans say, of the child’s life which it will be possible to calculate, and to a certain extent quantify, or at any rate measure, in terms of the possibilities of investment in human capital" (230). Foucault does not broach race in this lecture. Yet </w:t>
      </w:r>
      <w:r w:rsidRPr="00C17FE6">
        <w:rPr>
          <w:rStyle w:val="StyleUnderline"/>
        </w:rPr>
        <w:t>the theory of human capital might be understood as a global strategy for rationalizing American racism, consolidating work on "discrimination coefficients"</w:t>
      </w:r>
      <w:r w:rsidRPr="006F4F17">
        <w:rPr>
          <w:sz w:val="16"/>
        </w:rPr>
        <w:t xml:space="preserve"> (Becker 1957, 6) and the rational value of crime (1968) </w:t>
      </w:r>
      <w:r w:rsidRPr="00C17FE6">
        <w:rPr>
          <w:rStyle w:val="StyleUnderline"/>
        </w:rPr>
        <w:t>to explain ostensibly irrational, nonproductive human behavior.</w:t>
      </w:r>
      <w:r w:rsidRPr="006F4F17">
        <w:rPr>
          <w:sz w:val="16"/>
        </w:rPr>
        <w:t xml:space="preserve"> In Becker s work on family economics, he understands what he calls "the price of children" (198 1, 93) in opposition to the Malthusian anxiety about fertility, according to which children are valuable in quantitative terms. Becker suggests that it is instead "the interaction between quantity and quality" </w:t>
      </w:r>
      <w:r w:rsidRPr="006F4F17">
        <w:rPr>
          <w:sz w:val="16"/>
        </w:rPr>
        <w:lastRenderedPageBreak/>
        <w:t xml:space="preserve">that explains parental investment in children, and he points to Anglo-American history, where, as quantitative income, education, and health increased toward the end of the nineteenth century, the amount of children born declined sharply, a trend repeated after the postwar baby boom (106-7). Becker reads these demographic trends as parents concentrating their resources more efficiently to invest in the increased quality of each child born. A child in whom more time and money is invested from birth will eventually yield greater returns on human capital, obviating the need for more kids. Although it leads to a color-blind conclusion, race is far from absent in Becker s formulas. The child is not a tabula rasa for him; rather, "rates of return on human capital are more sensitive to endowments" than other commodities (113-14). An "endowment" might be as ambiguous as personality or attractiveness, but it also includes "the sex, race, ability, age, allocation of time, social background, and many other characteristics of children 3 ' ( 120). </w:t>
      </w:r>
      <w:r w:rsidRPr="007B59F7">
        <w:rPr>
          <w:rStyle w:val="StyleUnderline"/>
        </w:rPr>
        <w:t>Race is a primary coefficient of American human capital, affecting the average base value of children's bodies, as well as the rate of return on investment, something of which parents are conscious.</w:t>
      </w:r>
      <w:r w:rsidRPr="006F4F17">
        <w:rPr>
          <w:sz w:val="16"/>
        </w:rPr>
        <w:t xml:space="preserve"> "Families usually must commit most of their investments," Becker suggests, "before they know much about their children's market luck" (119). </w:t>
      </w:r>
      <w:r w:rsidRPr="007B59F7">
        <w:rPr>
          <w:rStyle w:val="StyleUnderline"/>
        </w:rPr>
        <w:t>Human capital hence turns childhood into futures trading for parents, who have to specu- late on the effect of endowments like race and gender on their investments.</w:t>
      </w:r>
      <w:r>
        <w:rPr>
          <w:rStyle w:val="StyleUnderline"/>
        </w:rPr>
        <w:t xml:space="preserve"> </w:t>
      </w:r>
      <w:r w:rsidRPr="007B59F7">
        <w:rPr>
          <w:rStyle w:val="StyleUnderline"/>
        </w:rPr>
        <w:t>This framework rationalizes racism in taking the perspective of the abstract parents who always "maximize their utility by choosing optimal investments in the human and nonhuman capital of children"</w:t>
      </w:r>
      <w:r w:rsidRPr="006F4F17">
        <w:rPr>
          <w:sz w:val="16"/>
        </w:rPr>
        <w:t xml:space="preserve"> (136). In this calculus, as Becker puts it, "discrimination against minorities not only reduces their income but also the effect of their family background on income" (137), thus lowering the value of their future. As an example, he argues, "Black families should be less stable than white families, if only because blacks are much poorer and black women earn much more relative to black men than white women do to white men" (231; emphasis added); not surprisingly, he cites the Moynihan report as evidence. Black families both would have less money to invest in the human capital of their children and would expect less of a return than white families, reducing their incentive to make investments, and by analogy reducing the state s incentive to do the same. Becker suggests that taxes levied for "public education and other programs to aid the young may not significantly benefit them because of compensating decreases in parental expenditures" (153). Since children are assumed to be property of parents, if the state steps in to redistribute inequality through public education parents will invest less in human capital to compensate. Given that human capital rationalizes investment as a private practice, even though race and gender are under- stood as coefficients their value remains private, so that the conversion of education and other forms of care into labor becomes the only way to address endemic inequality. This genealogy of human capital contextualizes Ten9Eighťs otherwise presumptuous claim: if children of color have almost no public value to the United States, then it becomes reasonable, even "rational," for them to shoulder the labor of their own education by covering its cost through entrepreneurship. Not only does the state have no motivation to invest in the future of black and brown kids but also the cost of public education is so risky for the nonwhite contestants in Ten9Eight that they must bear it in competition to prove their future value to the nation. In this light, Foucault’s definition of American neoliberalism misses the originary force of racialization in evaluating human life s course by monetizing the grow- ing body of the child. And while Foucault adds that the return on invest- ment in human capital is "the child's salary when he or she becomes an adult" (2007, 260), thirty-five years later, in a digital economy the salary of the child is not necessarily only bound to adulthood. </w:t>
      </w:r>
      <w:r w:rsidRPr="00270AFF">
        <w:rPr>
          <w:rStyle w:val="StyleUnderline"/>
        </w:rPr>
        <w:t>Childhood is also futures trading because increasingly children are generating revenue streams during childhood as supplements to</w:t>
      </w:r>
      <w:r>
        <w:rPr>
          <w:rStyle w:val="StyleUnderline"/>
        </w:rPr>
        <w:t xml:space="preserve"> or substitutes for future sal</w:t>
      </w:r>
      <w:r w:rsidRPr="00270AFF">
        <w:rPr>
          <w:rStyle w:val="StyleUnderline"/>
        </w:rPr>
        <w:t>aries, particularly through a digital economy of social media and mobile phones that decomposes children into data aggregates of likes, consumer interests, tastes, and attitudes that can be bundled and exchanged.</w:t>
      </w:r>
      <w:r w:rsidRPr="006F4F17">
        <w:rPr>
          <w:sz w:val="16"/>
        </w:rPr>
        <w:t xml:space="preserve"> In this form of child labor, a feminized, stylized whiteness in social media juxtaposes itself to Ten9Eight. Consider the "haul" video. On YouTube haul videos are usually included as a recurring segment on channels devoted to fashion or beauty. In a haul video, the host presents her shopping from the day. Clothes are not usually modeled but taken out of the bag, held up to the camera, and presented with commentary on how to wear them, what they go with, why they are good for this season, or how cheap they are. In a viral video con- temporaneous with Ten9Eight , Blair, or "juicystar07," who has hosted her channel since 2008, presents "Forever 21 Haul" (2009). Blair is sixteen at the time and emphasizes that she works two service industry jobs to buy the clothes and makeup she features. In this video, which has to date about 1.75 million views, she intersperses items for winter from Forever 21 with appeals to her viewers to follower her on Twitter and watch her other vlog posts. The haul video exemplifies the role of digital labor in childhood as futures trading because it produces value through what is otherwise a purely social activity: style. It is an example of how consumption is pro- duction, considering that its identification with a store is free advertising (as is this essay unfortunately). YouTube also generates profit through views, quantifying attention as a capacity of users: at the point of 1.75 mil- lion views, Blair is paid a percentage of the ad revenue that YouTube pulls in from her video. (I had to watch a thirty-second ad to see Blair s video on YouTube, so I was also compelled to produce value through attention within the once ostensibly nonmarket activity of thinking and writing.) Finally, the haul video foregrounds the collapse of labor and consumption: many, like Blair s, are about saving money. She, for instance, is most proud of a six-dollar pair of jeans on clearance. It is fair, further, to speculate that the jeans were made by the hands of a girl or young woman whose value to the global economy is calculated very differently from Blair s, in a factory in Southeast Asia (Hicken 2012). </w:t>
      </w:r>
      <w:r w:rsidRPr="00FE723D">
        <w:rPr>
          <w:rStyle w:val="StyleUnderline"/>
        </w:rPr>
        <w:t>The juxtaposition of children in these contemporary forms of child labor is not incidental: on the one hand, there is the black child, often a boy, on the threshold of social or biological death; on the other hand, there is the cheery, suburban white girl to whom futurity accrues easily.</w:t>
      </w:r>
      <w:r w:rsidRPr="006F4F17">
        <w:rPr>
          <w:sz w:val="16"/>
        </w:rPr>
        <w:t xml:space="preserve"> As Ten9Eight dramatizes, the privatization of public education requires that its investment risk be devolved onto children through entrepreneurship of the self, particularly for black and brown bodies that have almost no public value to the nation, save for programs like UNCF. The YouTube haul videos produced by white girls add that even investment in </w:t>
      </w:r>
      <w:r w:rsidRPr="00FE723D">
        <w:rPr>
          <w:rStyle w:val="StyleUnderline"/>
        </w:rPr>
        <w:t>the ideologically valuable child as human capital cannot wait until adulthood to begin demanding returns, not even for the white Annie of reproductive futurism: surplus value must be extracted through digital labor below the threshold of inhumanity attached to "child labor"</w:t>
      </w:r>
      <w:r w:rsidRPr="006F4F17">
        <w:rPr>
          <w:sz w:val="16"/>
        </w:rPr>
        <w:t xml:space="preserve"> by Progressive Era </w:t>
      </w:r>
      <w:r w:rsidRPr="006F4F17">
        <w:rPr>
          <w:sz w:val="16"/>
        </w:rPr>
        <w:lastRenderedPageBreak/>
        <w:t xml:space="preserve">reformers, Western feminism, and human rights discourse (see Macleod 1998, 107-20). The white girl is called upon to produce surplus value online through gendered rehearsals of consumption, which cultivate human capital as good style. No longer a dramatic inhumanity, child labor in its digital form passes quietly under the radar because it is fully socialized ģ. it happens without calling itself work. Side by side, Ten9Eight and the haul video underscore how neoliberal child labor has served to intensify stratifications of race, gender, and class by recontracting how value is added to and produced by human life. These calculations of human capital far outrun the child figure given by Edelman. Even Blair is no Annie; if her style channel is akin to Annie s virtuosic labor of singing and dancing, Blair still works two jobs to pay for her clothes. Moreover, the fact that a black boy s or girls value remains so low to the nation that walking down the street is enough reason to incur murder at the hands of a police officer or civilian who will not be held responsible, a fact painfully repeatedly demonstrated, underscores the insidiousness of Beckers economic rationalization of American racism. Still, Ten9Eight remains the celebrated solution to the racialized dimension of human capital, the outcome of a total privatization of race that has restricted politics to the narrowest economy possible. </w:t>
      </w:r>
      <w:r w:rsidRPr="00FE723D">
        <w:rPr>
          <w:rStyle w:val="StyleUnderline"/>
        </w:rPr>
        <w:t>To understand the contemporary arrangement of child labor beyond industrial forms, in which the value of the future has to be calculated as it arrives, and in which labor both consists of entrepreneurship of the self while also reaching digital simulation online, what we might pursue is a materialism of the child that does not need to "fuck Annie."</w:t>
      </w:r>
      <w:r w:rsidRPr="006F4F17">
        <w:rPr>
          <w:sz w:val="16"/>
        </w:rPr>
        <w:t xml:space="preserve"> The demands on American children today, violently maldistributed by race, class, and gender, call upon a materialism that understands the child as more than a Symbolic figure underwriting reproductive ideology. </w:t>
      </w:r>
      <w:r w:rsidRPr="00FE723D">
        <w:rPr>
          <w:rStyle w:val="StyleUnderline"/>
        </w:rPr>
        <w:t>The child today is the focus of a broader unequal distribution of wealth, the perpetuation of debt, the extension of work to all life-building activities, and the implosion of public education and welfare.</w:t>
      </w:r>
      <w:r w:rsidRPr="006F4F17">
        <w:rPr>
          <w:sz w:val="16"/>
        </w:rPr>
        <w:t xml:space="preserve"> In a sense, the child is as central to capital as it was during Fordism, but the contours of that centrality have changed with the value of the future</w:t>
      </w:r>
      <w:r w:rsidRPr="00FE723D">
        <w:rPr>
          <w:rStyle w:val="StyleUnderline"/>
        </w:rPr>
        <w:t xml:space="preserve">. A materialism of the child that dispenses with the imperative of affirming no future at all </w:t>
      </w:r>
      <w:r>
        <w:rPr>
          <w:rStyle w:val="StyleUnderline"/>
        </w:rPr>
        <w:t>will be left with the more com</w:t>
      </w:r>
      <w:r w:rsidRPr="00FE723D">
        <w:rPr>
          <w:rStyle w:val="StyleUnderline"/>
        </w:rPr>
        <w:t>plex task of working toward something other than</w:t>
      </w:r>
      <w:r w:rsidRPr="006F4F17">
        <w:rPr>
          <w:sz w:val="16"/>
        </w:rPr>
        <w:t xml:space="preserve"> the </w:t>
      </w:r>
      <w:r w:rsidRPr="00FE723D">
        <w:rPr>
          <w:rStyle w:val="StyleUnderline"/>
        </w:rPr>
        <w:t>labored austerity</w:t>
      </w:r>
      <w:r w:rsidRPr="006F4F17">
        <w:rPr>
          <w:sz w:val="16"/>
        </w:rPr>
        <w:t xml:space="preserve"> offered by Ten9Eight or YouTube celebrity. It remains to be seen if Better Futures can be unyoked from its trademark. </w:t>
      </w:r>
    </w:p>
    <w:p w:rsidR="00A71B72" w:rsidRDefault="00A71B72" w:rsidP="00A71B72"/>
    <w:p w:rsidR="00085065" w:rsidRDefault="00085065" w:rsidP="00085065">
      <w:pPr>
        <w:pStyle w:val="Heading4"/>
      </w:pPr>
      <w:r>
        <w:t xml:space="preserve">Reproductive futurism culminates in a homonationalist consolidation of empire where imperial wars secure the future through the extermination of deviant communities </w:t>
      </w:r>
      <w:r w:rsidR="00A311B3">
        <w:t>of color</w:t>
      </w:r>
    </w:p>
    <w:p w:rsidR="00085065" w:rsidRDefault="00085065" w:rsidP="00085065">
      <w:r w:rsidRPr="00085065">
        <w:rPr>
          <w:rStyle w:val="Heading4Char"/>
        </w:rPr>
        <w:t xml:space="preserve">Schotten 2015 </w:t>
      </w:r>
      <w:r>
        <w:t>[C. Heike, Associate Professor of Political Science and an affiliated faculty in Women's and Gender Studies at the University of Massachusetts Boston "Homonationalist Futurism:“Terrorism” and (Other) Queer Resistance to Empire." New Political Science 37.1 (2015): 71-90.</w:t>
      </w:r>
      <w:r w:rsidR="00F82712">
        <w:t>]</w:t>
      </w:r>
    </w:p>
    <w:p w:rsidR="001967C0" w:rsidRDefault="00085065" w:rsidP="00085065">
      <w:r w:rsidRPr="00085065">
        <w:rPr>
          <w:sz w:val="16"/>
        </w:rPr>
        <w:t xml:space="preserve">In queer theory, No Future has largely been read as making an argument regarding the constitutive heteronormativity of the social order. Edelman names this heteronormativity “reproductive futurism” and argues that it inevitably dooms homosexuals—branded as non-reproductive sexual nihilists—to instantiating society’s death drive. I contend, however, that No Future can be understood more generically as a work of political theory, especially given that Edelman explicitly describes its subject matter—reproductive futurism—as “the logic within which the political itself must be thought.”14 Identifying this political theory, however, requires some appropriation, given that, ultimately, Edelman is more concerned with Lacan than politics. Reading with and into the text, then, I propose three modifications of the psychoanalytic politics Edelman advances in No Future in order to more fully appropriate it for political theorizing.15 The first is to insert a distinction between the “futurism” and “reproductive futurism” he discusses, the latter being understood as a specific version of the former. Put simply, </w:t>
      </w:r>
      <w:r w:rsidRPr="007E3C0D">
        <w:rPr>
          <w:rStyle w:val="StyleUnderline"/>
        </w:rPr>
        <w:t>futurism is synopsized by the “presupposition that the body politic must survive,”</w:t>
      </w:r>
      <w:r w:rsidRPr="00085065">
        <w:rPr>
          <w:sz w:val="16"/>
        </w:rPr>
        <w:t xml:space="preserve">16 </w:t>
      </w:r>
      <w:r w:rsidRPr="007E3C0D">
        <w:rPr>
          <w:rStyle w:val="StyleUnderline"/>
        </w:rPr>
        <w:t>the</w:t>
      </w:r>
      <w:r w:rsidRPr="00085065">
        <w:rPr>
          <w:sz w:val="16"/>
        </w:rPr>
        <w:t xml:space="preserve"> putatively apolitical article of </w:t>
      </w:r>
      <w:r w:rsidRPr="007E3C0D">
        <w:rPr>
          <w:rStyle w:val="StyleUnderline"/>
        </w:rPr>
        <w:t>faith in the</w:t>
      </w:r>
      <w:r w:rsidRPr="00085065">
        <w:rPr>
          <w:sz w:val="16"/>
        </w:rPr>
        <w:t xml:space="preserve"> necessary </w:t>
      </w:r>
      <w:r w:rsidRPr="007E3C0D">
        <w:rPr>
          <w:rStyle w:val="StyleUnderline"/>
        </w:rPr>
        <w:t>continuity of politics as such.</w:t>
      </w:r>
      <w:r w:rsidRPr="00085065">
        <w:rPr>
          <w:sz w:val="16"/>
        </w:rPr>
        <w:t xml:space="preserve"> “[E]very political vision,” Edelman claims, is “a vision of futurity.”17 More specifically, reproductive futurism is characterized by “a set of values widely thought of as extrapolitical: values that center on the family, to be sure, but that focus on the protection of children.”18 The iconographic signifier of reproductive futurism is the child; its mantra, “Whitney Houston’s rendition of the secular hymn, ‘I believe that children are our future,’ a hymn we might as well simply declare our national anthem and be done with it.”19 Reproductive futurism is the apolitical imperative that the present be held in service to the children’s future adulthood: [W]e are no more able to conceive of a politics without a fantasy of a future than we are able to conceive of a future without the figure of the Child. That figural Child alone embodies the citizen as an ideal, entitled to claim full rights to its future share in the nation’s good, though always at the cost of limiting the rights “real” citizens are allowed. </w:t>
      </w:r>
      <w:r w:rsidRPr="00085065">
        <w:rPr>
          <w:rStyle w:val="StyleUnderline"/>
        </w:rPr>
        <w:t>For the</w:t>
      </w:r>
      <w:r w:rsidRPr="007E3C0D">
        <w:rPr>
          <w:rStyle w:val="StyleUnderline"/>
        </w:rPr>
        <w:t xml:space="preserve"> social order exists to preserve for this universalized subject, this fantasmatic Child, a notional freedom more highly valued than the actuality of freedom itself</w:t>
      </w:r>
      <w:r w:rsidRPr="00085065">
        <w:rPr>
          <w:sz w:val="16"/>
        </w:rPr>
        <w:t xml:space="preserve">, which might, after all, put at risk the Child to whom such a freedom falls due.20 Whether discussing the survival of the body politic (futurism) or the future as symbolized by the child (reproductive futurism), Edelman is clear that the presuppositions of both are deemed apolitical, although that is precisely what makes them “so oppressively political.”21 For the presuppositions of (reproductive) futurism are the very terms of politics as such. To participate in politics at all, even in protest or dissent, requires that one “submit to the framing of political debate—and, indeed, of the political field—as defined by the terms of ...reproductive futurism: terms that impose an ideological limit on political discourse as such.”22 This is how and why Edelman says that there is no future for queers: politics itself designates “queers” as </w:t>
      </w:r>
      <w:r w:rsidRPr="00085065">
        <w:rPr>
          <w:sz w:val="16"/>
        </w:rPr>
        <w:lastRenderedPageBreak/>
        <w:t xml:space="preserve">futureless. </w:t>
      </w:r>
      <w:r w:rsidRPr="007E3C0D">
        <w:rPr>
          <w:rStyle w:val="StyleUnderline"/>
        </w:rPr>
        <w:t>By definition, politics seeks to install an order of sameness through the ideological (re)production of a future that promises a</w:t>
      </w:r>
      <w:r w:rsidRPr="00085065">
        <w:rPr>
          <w:sz w:val="16"/>
        </w:rPr>
        <w:t xml:space="preserve"> seamless </w:t>
      </w:r>
      <w:r w:rsidRPr="007E3C0D">
        <w:rPr>
          <w:rStyle w:val="StyleUnderline"/>
        </w:rPr>
        <w:t>plenitude of meaning</w:t>
      </w:r>
      <w:r w:rsidRPr="00085065">
        <w:rPr>
          <w:sz w:val="16"/>
        </w:rPr>
        <w:t xml:space="preserve">. Rather than acknowledge the impossibility of such an achievement, however, </w:t>
      </w:r>
      <w:r w:rsidRPr="007E3C0D">
        <w:rPr>
          <w:rStyle w:val="StyleUnderline"/>
        </w:rPr>
        <w:t>this failing is</w:t>
      </w:r>
      <w:r w:rsidRPr="00085065">
        <w:rPr>
          <w:sz w:val="16"/>
        </w:rPr>
        <w:t xml:space="preserve"> instead </w:t>
      </w:r>
      <w:r w:rsidRPr="007E3C0D">
        <w:rPr>
          <w:rStyle w:val="StyleUnderline"/>
        </w:rPr>
        <w:t>foisted onto a</w:t>
      </w:r>
      <w:r w:rsidRPr="00085065">
        <w:rPr>
          <w:sz w:val="16"/>
        </w:rPr>
        <w:t xml:space="preserve"> person, </w:t>
      </w:r>
      <w:r w:rsidRPr="007E3C0D">
        <w:rPr>
          <w:rStyle w:val="StyleUnderline"/>
        </w:rPr>
        <w:t>people</w:t>
      </w:r>
      <w:r w:rsidRPr="00085065">
        <w:rPr>
          <w:sz w:val="16"/>
        </w:rPr>
        <w:t>, or set of forces that instantiate that impossibility in their very existence. These unforgivable obstacles to futurism’s achievement are “queers”: “</w:t>
      </w:r>
      <w:r w:rsidRPr="007E3C0D">
        <w:rPr>
          <w:rStyle w:val="StyleUnderline"/>
        </w:rPr>
        <w:t>the queer dispossesses the social order of the ground on which it rests</w:t>
      </w:r>
      <w:r w:rsidRPr="002F3242">
        <w:rPr>
          <w:rStyle w:val="StyleUnderline"/>
        </w:rPr>
        <w:t>: a faith in the consistent reality of the social ... a faith that politics, whether of the left or of the right, implicitly affirms.”</w:t>
      </w:r>
      <w:r w:rsidRPr="00085065">
        <w:rPr>
          <w:sz w:val="16"/>
        </w:rPr>
        <w:t>23 Defined as non-reproductive sexual nihilists</w:t>
      </w:r>
      <w:r w:rsidRPr="002F3242">
        <w:rPr>
          <w:rStyle w:val="StyleUnderline"/>
        </w:rPr>
        <w:t>, the positioning of queers as culture’s self-indulgent, sex-obsessed death drive thus functions to secure the health, happiness, and adult normality of heterosexually reproducing humanity.</w:t>
      </w:r>
      <w:r w:rsidRPr="00085065">
        <w:rPr>
          <w:sz w:val="16"/>
        </w:rPr>
        <w:t xml:space="preserve"> While this persuasive reading of heteronormativity and homophobia has generated the most critical enthusiasm for No Future, I want to argue that reproductive futurism is neither exhaustive of the political nor futurism’s exclusive form. However hegemonic, reproductive futurism is only “one of the forms” this “calamity” might take.24 For clearly one can invest in the future as signified by any number of possible oppressive and unattainable ideals: not only the child, but also, for example, Christ, security (for example Hobbes), or the American way. </w:t>
      </w:r>
      <w:r w:rsidRPr="002F3242">
        <w:rPr>
          <w:rStyle w:val="StyleUnderline"/>
        </w:rPr>
        <w:t>As Edelman himself observes, “The Child, in the historical epoch of our current epistemological regime, is the figure for this compulsory investment in the misrecognition of figure.”</w:t>
      </w:r>
      <w:r w:rsidRPr="00085065">
        <w:rPr>
          <w:sz w:val="16"/>
        </w:rPr>
        <w:t>25 Futurism itself, however, he calls “the substrate of politics.”26 My second proposed modification follows from the first, its mandate being to situate Edelman’s political theory more distinctly within history.27 In this regard, suspicious reader John Brenkman helpfully provides the political theory references missing from No Future, noting that “modern critical social discourse, whether among the Enlightenment’s philosophes, French revolutionaries, Marxists, social democrats, or contemporary socialists and democrats” all engage in the kind of future-wagering Edelman describes as definitively political.28 Historically, Brenkman is correct—</w:t>
      </w:r>
      <w:r w:rsidRPr="006370BD">
        <w:rPr>
          <w:rStyle w:val="StyleUnderline"/>
        </w:rPr>
        <w:t>futurism is a distinctively modern phenomenon that must be tethered to, among other things, the advent of industrial capitalism, colonialism, and the rise of the nation-state.</w:t>
      </w:r>
      <w:r w:rsidRPr="00085065">
        <w:rPr>
          <w:sz w:val="16"/>
        </w:rPr>
        <w:t xml:space="preserve"> This second modification makes clear that, in naming futurism, Edelman has identified a fundamental baseline of modernity and the workings of modern politics. However, Brenkman’s concern is less with history than the fact that Edelman seems to foreclose the possibility of such critical discourse by consigning it to the same status as the discourse of the Catholic Church and the religious Right. While Brenkman’s point is well-taken, it is already Edelman’s. For, whether liberal or conservative, Left or Right, communist or fascist, every modern political theory is invested in the repetition and reproduction of the social order, cast as a future aspirational ideal, to which the present is held hostage. This is as true of conservative movements as of radical or revolutionary ones—modern politics as such is defined by its investment in reproducing an order of sameness at the expense of the difference of now.29 Tavia Nyong’o has argued that Edelman’s reading of homophobia operates as a kind of nostalgia for a political moment already past, a moment when homosexuality really did pose an ominous and spectral threat to the social order, but does so no longer.30 However—and this is the third modification I wish to assert—the “queer” of No Future is by no means a crudely identitarian homosexual subject, nor is the child solely emblematic of procreation and childrearing. Edelman would agree with at least part of this point. He insists there is “nothing intrinsic to the constitution of those identifying as lesbian, gay, bisexual, transgendered, transsexual, or queer” that “predisposes them to resist the appeal of futurity, to refuse the temptation to reproduce, or to place themselves outside or against the acculturating logic of the Symbolic.”31 And indeed, it is not difficult to find examples of gay reproductive futurism, the most obvious being the movement for “marriage equality.” As former Human Rights Campaign (HRC) President Joe Solmonese puts it: “The fight for marriage equality for samesex couples is quite possibly the most conventional, family-friendly equal rights struggle ever.” He continues, “History bends not only toward fairness and equality, but also toward common sense. Marriage strengthens couples and families, who in turn help strengthen their communities, one at a time—leading ultimately to a stronger, more robust nation.”32 Mixing nationalism into a gay progress narrative of ever-expanding equality and familial inclusion, Solmonese here writes the playbook for reproductive futurism’s political palatability. Tellingly, Andrew Sullivan’s earlier praise of gay marriage is even more explicit on this count, invoking the importance of the future’s promise not just in the name of the children, but more specifically for gay children, who must be saved from having otherwise been born into futurelessness: More important, perhaps ... its [marriage’s] influence would be felt quietly but deeply among gay children. For them, at last, there would be some kind of future; some older faces to apply to their unfolding lives, some language in which their identity could be properly discussed, some rubric by which it could be explained— not in terms of sex, or sexual practices, or bars, or subterranean activity, but in terms of their future life stories, their potential loves, their eventual chance at some kind of constructive happiness. They would be able to feel by the intimation of a myriad examples that in this respect their emotional orientation was not merely about pleasure, or sin, or shame, or otherness (although it might always be involved in many of those things), but about the ability to love and be loved as complete, imperfect human beings. Until gay marriage is legalized, this fundamental element of personal dignity will be denied a whole segment of humanity. No other change can achieve it.33 As we can see, even when the Child is gay, its salvific promise is neither diverted nor diluted. It simply straightens out the queer threat potentially posed by bent children.34 Dangling the lure of “constructive happiness” before the eyes of youths for whom not sugarplums but sex parties dance in their heads, Sullivan here offers up the gay version of reproductive futurism, paternalistically reassuring us that a life of sex for sex’s sake is the meaningless, self-indulgent, anti-civilizational existence every good moralizer ever told us it was. Taken together, Sullivan and Solmonese helpfully illustrate the fact that Edelman’s argument is, in the end, not really about identity and not even about gay people (or, for that matter, straight people). </w:t>
      </w:r>
      <w:r w:rsidRPr="006370BD">
        <w:rPr>
          <w:rStyle w:val="StyleUnderline"/>
        </w:rPr>
        <w:t>Futurism is a logic that transcends the specifics of heterosexuality and homosexuality, and “queer” in Edelman’s vocabulary does not necessarily</w:t>
      </w:r>
      <w:r w:rsidRPr="00085065">
        <w:rPr>
          <w:sz w:val="16"/>
        </w:rPr>
        <w:t>—or, perhaps, even primarily, anymore, as Nyong’o suggests—</w:t>
      </w:r>
      <w:r w:rsidRPr="006370BD">
        <w:rPr>
          <w:rStyle w:val="StyleUnderline"/>
        </w:rPr>
        <w:t>stand in for gay and lesbian people.</w:t>
      </w:r>
      <w:r w:rsidRPr="00085065">
        <w:rPr>
          <w:sz w:val="16"/>
        </w:rPr>
        <w:t xml:space="preserve"> But, to return to my third modification, this also means that the child is not irrevocably tied to the existence, reproduction, or raising of “historical children.”35 In other words, even as the non- or anti-identity politics of Edelman’s figure of queerness is increasingly evident, he neglects to establish the similarly and necessarily nonidentitarian iconography of the future he inscribes (which also returns us to my first proposed modification, the distinction between futurism and reproductive futurism). The queer as homosexual and the Child as historical child may be concrete, daily exemplars of (certain ubiquitous if not exclusive versions of) </w:t>
      </w:r>
      <w:r w:rsidRPr="00085065">
        <w:rPr>
          <w:sz w:val="16"/>
        </w:rPr>
        <w:lastRenderedPageBreak/>
        <w:t xml:space="preserve">heteronormativity. However, </w:t>
      </w:r>
      <w:r w:rsidRPr="006370BD">
        <w:rPr>
          <w:rStyle w:val="StyleUnderline"/>
        </w:rPr>
        <w:t>understood as a specific form of a more generalized futurist logic, it becomes clear that the child cannot simply be equated with reproduction, child-bearing, and child-rearing, just as the “queer” cannot simply mean “homosexual” in Edelman’s temporal sense.</w:t>
      </w:r>
      <w:r w:rsidRPr="00085065">
        <w:rPr>
          <w:sz w:val="16"/>
        </w:rPr>
        <w:t xml:space="preserve"> The child, along with the queer, is a crucial space for political and historical concretization of Edelman’s radical but otherwise unduly narrow political project. Puar: Terrorism, Homonationalism, and US Sexual Exceptionalism </w:t>
      </w:r>
      <w:r w:rsidRPr="006370BD">
        <w:rPr>
          <w:rStyle w:val="StyleUnderline"/>
        </w:rPr>
        <w:t>The</w:t>
      </w:r>
      <w:r w:rsidRPr="00085065">
        <w:rPr>
          <w:sz w:val="16"/>
        </w:rPr>
        <w:t xml:space="preserve"> HRC’s </w:t>
      </w:r>
      <w:r w:rsidRPr="006370BD">
        <w:rPr>
          <w:rStyle w:val="StyleUnderline"/>
        </w:rPr>
        <w:t xml:space="preserve">language of nationhood and the non-exclusivity of the child as futurist icon are the places to begin pushing Edelman’s queer theory toward an explicit engagement with the politics of race, nation, </w:t>
      </w:r>
      <w:r w:rsidRPr="00CB3C66">
        <w:rPr>
          <w:rStyle w:val="StyleUnderline"/>
        </w:rPr>
        <w:t>and US empire</w:t>
      </w:r>
      <w:r w:rsidRPr="00085065">
        <w:rPr>
          <w:sz w:val="16"/>
        </w:rPr>
        <w:t xml:space="preserve">. For Solmonese’s statement is not simply the rhetoric of reproductive futurism. It is also the language of homonationalism, a term Jasbir Puar has coined to document </w:t>
      </w:r>
      <w:r w:rsidRPr="00CB3C66">
        <w:rPr>
          <w:rStyle w:val="StyleUnderline"/>
        </w:rPr>
        <w:t>the “transition under way in how queer subjects are relating to nation-states</w:t>
      </w:r>
      <w:r w:rsidRPr="00085065">
        <w:rPr>
          <w:sz w:val="16"/>
        </w:rPr>
        <w:t xml:space="preserve">, particularly the United States, </w:t>
      </w:r>
      <w:r w:rsidRPr="00CB3C66">
        <w:rPr>
          <w:rStyle w:val="StyleUnderline"/>
        </w:rPr>
        <w:t>from being figures of death</w:t>
      </w:r>
      <w:r w:rsidRPr="00085065">
        <w:rPr>
          <w:sz w:val="16"/>
        </w:rPr>
        <w:t xml:space="preserve"> (in other words, the AIDS epidemic) </w:t>
      </w:r>
      <w:r w:rsidRPr="00CB3C66">
        <w:rPr>
          <w:rStyle w:val="StyleUnderline"/>
        </w:rPr>
        <w:t>to becoming tied to ideas of life and productivity</w:t>
      </w:r>
      <w:r w:rsidRPr="00085065">
        <w:rPr>
          <w:sz w:val="16"/>
        </w:rPr>
        <w:t xml:space="preserve"> (in other words, gay marriage and families).”36 Homonationalism is an abbreviated combination of the words “homonormative” and “nationalism,” the former term borrowed from Lisa Duggan, who describes “the new homonormativity” as a political realignment of the late 1990s/early 2000s in which gay rights became compatible with certain neoliberal, anti-statist, conservative, American nationalist viewpoints.37 Combining homonormativity with nationalism, then, Puar augments Nyong’o’s critique, arguing that </w:t>
      </w:r>
      <w:r w:rsidRPr="00CB3C66">
        <w:rPr>
          <w:rStyle w:val="StyleUnderline"/>
        </w:rPr>
        <w:t>the assimilation of certain gay and lesbian subjects into the mainstream of American</w:t>
      </w:r>
      <w:r w:rsidRPr="00085065">
        <w:rPr>
          <w:sz w:val="16"/>
        </w:rPr>
        <w:t xml:space="preserve"> normalcy, respectability, and </w:t>
      </w:r>
      <w:r w:rsidRPr="00CB3C66">
        <w:rPr>
          <w:rStyle w:val="StyleUnderline"/>
        </w:rPr>
        <w:t>citizenship has entailed the “fleeting sanctioning of a national homosexual subject”</w:t>
      </w:r>
      <w:r w:rsidRPr="00085065">
        <w:rPr>
          <w:sz w:val="16"/>
        </w:rPr>
        <w:t xml:space="preserve">38 who is </w:t>
      </w:r>
      <w:r w:rsidRPr="00CB3C66">
        <w:rPr>
          <w:rStyle w:val="StyleUnderline"/>
        </w:rPr>
        <w:t>“complicit with heterosexual nationalist formations rather than</w:t>
      </w:r>
      <w:r w:rsidRPr="00085065">
        <w:rPr>
          <w:sz w:val="16"/>
        </w:rPr>
        <w:t xml:space="preserve"> inherently or </w:t>
      </w:r>
      <w:r w:rsidRPr="00CB3C66">
        <w:rPr>
          <w:rStyle w:val="StyleUnderline"/>
        </w:rPr>
        <w:t>automatically excluded from</w:t>
      </w:r>
      <w:r w:rsidRPr="00085065">
        <w:rPr>
          <w:sz w:val="16"/>
        </w:rPr>
        <w:t xml:space="preserve"> or opposed to </w:t>
      </w:r>
      <w:r w:rsidRPr="00CB3C66">
        <w:rPr>
          <w:rStyle w:val="StyleUnderline"/>
        </w:rPr>
        <w:t>them</w:t>
      </w:r>
      <w:r w:rsidRPr="00085065">
        <w:rPr>
          <w:sz w:val="16"/>
        </w:rPr>
        <w:t xml:space="preserve">.”39 </w:t>
      </w:r>
      <w:r w:rsidRPr="00CB3C66">
        <w:rPr>
          <w:rStyle w:val="StyleUnderline"/>
        </w:rPr>
        <w:t>One effect of homonationalism</w:t>
      </w:r>
      <w:r w:rsidRPr="00085065">
        <w:rPr>
          <w:sz w:val="16"/>
        </w:rPr>
        <w:t xml:space="preserve"> in the post-9/11 context of the “War on Terror” </w:t>
      </w:r>
      <w:r w:rsidRPr="00CB3C66">
        <w:rPr>
          <w:rStyle w:val="StyleUnderline"/>
        </w:rPr>
        <w:t>is the perverse</w:t>
      </w:r>
      <w:r w:rsidRPr="00085065">
        <w:rPr>
          <w:sz w:val="16"/>
        </w:rPr>
        <w:t xml:space="preserve"> sexualization or </w:t>
      </w:r>
      <w:r w:rsidRPr="00CB3C66">
        <w:rPr>
          <w:rStyle w:val="StyleUnderline"/>
        </w:rPr>
        <w:t>“queering” of Arabs and Muslims</w:t>
      </w:r>
      <w:r w:rsidRPr="00085065">
        <w:rPr>
          <w:sz w:val="16"/>
        </w:rPr>
        <w:t xml:space="preserve"> (and all those held to be such) </w:t>
      </w:r>
      <w:r w:rsidRPr="00CB3C66">
        <w:rPr>
          <w:rStyle w:val="StyleUnderline"/>
        </w:rPr>
        <w:t>in the figure of the “terrorist,”</w:t>
      </w:r>
      <w:r w:rsidRPr="00085065">
        <w:rPr>
          <w:sz w:val="16"/>
        </w:rPr>
        <w:t xml:space="preserve"> a figure of </w:t>
      </w:r>
      <w:r w:rsidRPr="00CB3C66">
        <w:rPr>
          <w:rStyle w:val="StyleUnderline"/>
        </w:rPr>
        <w:t>monstrosity</w:t>
      </w:r>
      <w:r w:rsidRPr="00085065">
        <w:rPr>
          <w:sz w:val="16"/>
        </w:rPr>
        <w:t xml:space="preserve">, excess, savagery, and perversion. To be clear, Puar is not suggesting that the “terrorist” is the new queer. Rather, she is arguing that “queerness is always already installed in the project of naming the terrorist; the terrorist does not appear as such without the concurrent entrance of perversion, deviance.”40 Neither an identity nor a defining behavioral activity (for example, homosexuality), </w:t>
      </w:r>
      <w:r w:rsidRPr="00CB3C66">
        <w:rPr>
          <w:rStyle w:val="StyleUnderline"/>
        </w:rPr>
        <w:t>Puar elaborates queerness as a biopolitical tactic that functions to define and divide populations through processes of racialization, a “management of queer life at the expense of sexually and racially perverse death in relation to the contemporary politics of securitization, Orientalism, terrorism, torture, and the articulation of Muslim, Arab, Sikh, and South Asian sexualities</w:t>
      </w:r>
      <w:r w:rsidRPr="00085065">
        <w:rPr>
          <w:sz w:val="16"/>
        </w:rPr>
        <w:t xml:space="preserve">.”41 In this view, “the contemporary U.S. heteronormative nation actually relies on and benefits from the proliferation of queerness.”42 </w:t>
      </w:r>
      <w:r w:rsidRPr="00CB3C66">
        <w:rPr>
          <w:rStyle w:val="StyleUnderline"/>
        </w:rPr>
        <w:t>Homonationalism, as a biopolitics of queerness, functions to discipline and (re)produce homosexuality as white, American, patriotic, and upwardly mobile while designating people of color, immigrants, and Arabs and Muslims as both heterosexual and yet dangerously “queer”—</w:t>
      </w:r>
      <w:r w:rsidRPr="00085065">
        <w:rPr>
          <w:sz w:val="16"/>
        </w:rPr>
        <w:t xml:space="preserve">as “terrorists” or “failed and perverse” bodies that “always have femininity as their reference point of malfunction, and are metonymically tied to all sorts of pathologies of the mind and body—homosexuality, incest, pedophilia, madness, and disease.”43 As is evident, queerness in Puar’s account veers from any simple conflation with gay and lesbian subjectivity; as she says, </w:t>
      </w:r>
      <w:r w:rsidRPr="00CB3C66">
        <w:rPr>
          <w:rStyle w:val="StyleUnderline"/>
        </w:rPr>
        <w:t>“Race, ethnicity, nation, gender, class, and sexuality disaggregate gay, homosexual, and queer national subjects who align themselves with U.S. imperial interests from forms of illegitimate queerness that</w:t>
      </w:r>
      <w:r w:rsidRPr="00085065">
        <w:rPr>
          <w:sz w:val="16"/>
        </w:rPr>
        <w:t xml:space="preserve"> name and ultimately </w:t>
      </w:r>
      <w:r w:rsidRPr="00CB3C66">
        <w:rPr>
          <w:rStyle w:val="StyleUnderline"/>
        </w:rPr>
        <w:t>propel populations into extinction.</w:t>
      </w:r>
      <w:r w:rsidRPr="00085065">
        <w:rPr>
          <w:sz w:val="16"/>
        </w:rPr>
        <w:t xml:space="preserve">”44 The happily married couples that populate the HRC’s literature and website, then, would be the homonational, or properly queer; the “monster terrorist fag” abjected into existence through torture at Abu Ghraib or Guanta´namo, detained indefinitely in any of the US’s many illegal prisons, surveilled incessantly in mosques and cafes, and stigmatized as suffering from arrested development by the psychologizing literature of security studies, would be the improperly queer.45 </w:t>
      </w:r>
      <w:r w:rsidRPr="00CB3C66">
        <w:rPr>
          <w:rStyle w:val="StyleUnderline"/>
        </w:rPr>
        <w:t>Puar’s point is that these queernesses go together and require one another, much as</w:t>
      </w:r>
      <w:r w:rsidRPr="00085065">
        <w:rPr>
          <w:sz w:val="16"/>
        </w:rPr>
        <w:t xml:space="preserve">, I think, </w:t>
      </w:r>
      <w:r w:rsidRPr="00CB3C66">
        <w:rPr>
          <w:rStyle w:val="StyleUnderline"/>
        </w:rPr>
        <w:t>Edelman can be seen to be arguing that the child and the queer go together and require one another.</w:t>
      </w:r>
      <w:r w:rsidRPr="00085065">
        <w:rPr>
          <w:sz w:val="16"/>
        </w:rPr>
        <w:t xml:space="preserve"> What Puar concretizes, however, in theorizing queerness as a “process of racialization”46 is not simply the analytic point that “queer” and “homosexual” are distinct but, more importantly, the urgently political point that the abjected or improper queer who stands outside the social order and is in effect antagonistic to it is, in this contemporary moment, much more likely to be a Muslim or someone perceived as “looking like” a Muslim to the American gaze than, let us admit it, the newly engaged same-sex couples thronging state houses in Minnesota, Connecticut, and Colorado (much less the “homosexual” figure of queerness in No Future). </w:t>
      </w:r>
      <w:r w:rsidRPr="00F15161">
        <w:rPr>
          <w:rStyle w:val="Emphasis"/>
        </w:rPr>
        <w:t>Understanding queerness as a process of nationalization and racialization also concretizes and expands the understanding of heteronormativity or</w:t>
      </w:r>
      <w:r w:rsidRPr="00085065">
        <w:rPr>
          <w:sz w:val="16"/>
        </w:rPr>
        <w:t xml:space="preserve">, in Edelman’s words, </w:t>
      </w:r>
      <w:r w:rsidRPr="00F15161">
        <w:rPr>
          <w:rStyle w:val="Emphasis"/>
        </w:rPr>
        <w:t>the future</w:t>
      </w:r>
      <w:r w:rsidRPr="00085065">
        <w:rPr>
          <w:sz w:val="16"/>
        </w:rPr>
        <w:t xml:space="preserve">. For </w:t>
      </w:r>
      <w:r w:rsidRPr="00F15161">
        <w:rPr>
          <w:rStyle w:val="StyleUnderline"/>
        </w:rPr>
        <w:t>the terrorist in Puar’s analysis</w:t>
      </w:r>
      <w:r w:rsidRPr="00085065">
        <w:rPr>
          <w:sz w:val="16"/>
        </w:rPr>
        <w:t xml:space="preserve"> resists or </w:t>
      </w:r>
      <w:r w:rsidRPr="00F15161">
        <w:rPr>
          <w:rStyle w:val="StyleUnderline"/>
        </w:rPr>
        <w:t>denies a future that is symbolized and defined not only or simply by the child, but also by the American nation and secular Christianity</w:t>
      </w:r>
      <w:r w:rsidRPr="00085065">
        <w:rPr>
          <w:sz w:val="16"/>
        </w:rPr>
        <w:t xml:space="preserve">. As she says, “In the political imagination, the terrorist serves as the monstrous excess of the nation-state.”47 Post-9/11, Puar notes that this terrorist threat is undeniably linked with Islam, which often serves as its “explanation.”48 As she observes, Islam </w:t>
      </w:r>
      <w:r w:rsidRPr="00085065">
        <w:rPr>
          <w:sz w:val="16"/>
        </w:rPr>
        <w:lastRenderedPageBreak/>
        <w:t xml:space="preserve">signifies, to the ostensibly secular and modern US, both “excess” and “savagery”: “Religious belief is thus cast, in relation to other factors fueling terrorism, as the overflow, the final excess that impels monstrosity—the ‘different attitude toward violence’ signaling these uncivilizable forces.”49 </w:t>
      </w:r>
      <w:r w:rsidRPr="00F15161">
        <w:rPr>
          <w:rStyle w:val="StyleUnderline"/>
        </w:rPr>
        <w:t>Puar’s reading suggests that Islam threatens the futurist temporality of American empire. Cast as retrograde, backward, and frozen in pre-modern religiosity, Islam threatens the progress narrative of US imperial wars which are alleged to bring ever-greater freedom, not only to women and homosexuals, but also to uncivilized, savage, and undemocratic people(s)</w:t>
      </w:r>
      <w:r w:rsidRPr="00085065">
        <w:rPr>
          <w:sz w:val="16"/>
        </w:rPr>
        <w:t xml:space="preserve"> and nations around the world.50 Finally, then, it is important to note that as Islam has been queered or come to signify queerness, it does so in two ways: first, through the phobic association of Islam with terrorism; and, second, through the racist and Orientalist conflation of Islam with homophobia, anti-feminism, and sexual backwardness more generally. Putting Puar’s analysis in an Edelman-esque frame, we might say that the figure of the “terrorist” who threatens national goals, progress, hope—indeed, the nation’s very existence—can be cast as the excessive, anti-social, future-denying figure of the “queer” in Edelman. Or, we might say that just as the domain of normativity has expanded to include some gay people, correspondingly, the domain of (inassimilable) queerness also has shifted. Puar’s analysis of the collusion “between homosexuality and U.S. nationalism”51 as producing two figures, the homonormative patriot and the queer terrorist, notes them as, on the one hand, the embodiment and normative achievement of the social order and, on the other hand, the dissolution and destruction of that social order.52 No longer designating “the homosexual” per se, “queer” names the monstrously raced and perversely sexualized Arab/Muslim/terrorist Other that threatens the American social and political order, an order that (some) properly gay and lesbian subjects can now, through their incorporation into normative American national life, inhabit and reproduce. In sum, we have a theorization of “queer” wherein the sexually backward Muslim is led by the irrationality and violence of her/his religion to annihilate those who serve and protect freedom for all. In this analysis of “the sexually exceptional homonational and its evil counterpart, the queer terrorist of elsewhere,”53 the “terrorist” is to the HRC what, in Edelman’s analysis, the queer is to the child.54 Edelman and Puar: Theorizing Resistance Puar’s theorization of </w:t>
      </w:r>
      <w:r w:rsidRPr="00F15161">
        <w:rPr>
          <w:rStyle w:val="StyleUnderline"/>
        </w:rPr>
        <w:t>homonationalism is</w:t>
      </w:r>
      <w:r w:rsidRPr="00085065">
        <w:rPr>
          <w:sz w:val="16"/>
        </w:rPr>
        <w:t xml:space="preserve"> a significant contribution to queer theory and an essential </w:t>
      </w:r>
      <w:r w:rsidRPr="00F15161">
        <w:rPr>
          <w:rStyle w:val="StyleUnderline"/>
        </w:rPr>
        <w:t>corrective to Edelman’s</w:t>
      </w:r>
      <w:r w:rsidRPr="00085065">
        <w:rPr>
          <w:sz w:val="16"/>
        </w:rPr>
        <w:t xml:space="preserve"> otherwise historically and racially unmarked </w:t>
      </w:r>
      <w:r w:rsidRPr="00F15161">
        <w:rPr>
          <w:rStyle w:val="StyleUnderline"/>
        </w:rPr>
        <w:t>analysis of (reproductive) futurism</w:t>
      </w:r>
      <w:r w:rsidRPr="00085065">
        <w:rPr>
          <w:sz w:val="16"/>
        </w:rPr>
        <w:t xml:space="preserve">. Her work allows us to critique futurism in ways that are responsive to the specificities of its racial and national workings, consequences gapingly unattended to by him. While Edelman deftly parses the logic of power in terms of futurism’s hegemony, he fails fully to unpack its coercive force by focusing solely on futurism’s relationship to an exceedingly narrow version of non-reproductive homosexuality. Although he claims that the theory of politics he explicates in No Future is indifferent to race, arguing that “the fascism of the baby’s face ... subjects us to its sovereign authority as the figure of politics itself ... whatever the face a particular politics gives that baby to wear— Aryan or multicultural, that of the thirty-thousand-year Reich or of an ever expanding horizon of democratic inclusivity,”55 what is clear is that the reproductive futurism he critiques is symptomatic of a very specific bourgeois class culture within the imperial US, a culture that garners his criticism only insofar as it is bound up with heteronormativity.56 By contrast, Puar’s demand that we focus our attention on the racial and nationalized logics of queerness(es) and the unexpected complicities between queers, nationalism, and empire remains only suggestive of futurism’s determinative role, never naming it specifically. Now, this is likely because Puar neither endorses nor conceptualizes futurism as a useful diagnosis of modern politics, just as Edelman may very much wish to privilege (white male homo) sexuality in his psychoanalysis of futurism. However, I suggest that authorial intentions—both Puar’s and Edelman’s—be respectfully disregarded, not only because we have become savvy to the multiple begged questions inherent in any invocation of authorial intention, but also because more than our scholarly work is at stake when it comes to forging critical resistance to US imperial power. Indeed, while the net effect of Edelman’s analysis is that only white gay men are considered the deathly threat portended by queerness in No Future, 57 if we return to his definition of “queer” and insist on distinguishing between futurism and reproductive futurism, we note that </w:t>
      </w:r>
      <w:r w:rsidRPr="00F15161">
        <w:rPr>
          <w:rStyle w:val="StyleUnderline"/>
        </w:rPr>
        <w:t>“queer” designates anyone who fails to abide by the rules of social temporality</w:t>
      </w:r>
      <w:r w:rsidRPr="00085065">
        <w:rPr>
          <w:sz w:val="16"/>
        </w:rPr>
        <w:t xml:space="preserve">—that is, </w:t>
      </w:r>
      <w:r w:rsidRPr="00F15161">
        <w:rPr>
          <w:rStyle w:val="StyleUnderline"/>
        </w:rPr>
        <w:t>anyone who sacrifices the future for the sake of the present</w:t>
      </w:r>
      <w:r w:rsidRPr="00F15161">
        <w:rPr>
          <w:rStyle w:val="Emphasis"/>
        </w:rPr>
        <w:t>. As such, futurism’s ruthless machinations stigmatize all sorts of populations as emblematic of the death and destruction of the social order.</w:t>
      </w:r>
      <w:r w:rsidRPr="00085065">
        <w:rPr>
          <w:sz w:val="16"/>
        </w:rPr>
        <w:t xml:space="preserve"> This broad array of misfits and perverts may include some gay, lesbian, and queer people. It necessarily also includes the “terrorist” and “Muslim” whom Puar argues are biopolitical targets of abjected queerness. This analysis also suggests that </w:t>
      </w:r>
      <w:r w:rsidRPr="00F15161">
        <w:rPr>
          <w:rStyle w:val="StyleUnderline"/>
        </w:rPr>
        <w:t>temporality is a crucial axis of determination regarding all “enemies” of the social order,</w:t>
      </w:r>
      <w:r w:rsidRPr="00085065">
        <w:rPr>
          <w:sz w:val="16"/>
        </w:rPr>
        <w:t xml:space="preserve"> a notion that links Edelman’s political theory to other important work in radical queer politics. For example, in her definitive essay, “Punks, Bulldaggers, and Welfare Queens: The Radical Potential of Queer Politics?,” Cathy Cohen argues for a re-thinking of marginal positionality in terms of one’s relation to power rather than in terms of a binary categorization of queer vs straight. She cites the examples of the prohibition of slave marriages and the long history of obsession with black women’s reproductive choices in the US as examples of ostensibly heterosexual people inhabiting positions outside the bounds of normative sexuality because of race, class, and property status. In arguing for a more capacious, intersectional queer politics that is accountable not simply to the question of who is and is not heterosexual but, more broadly, to the question of what each of our relationships with and proximity to power may be, Cohen writes: As we stand on the verge of watching those in power dismantle the welfare system through a process of demonizing the poor and young—primarily poor and young women of color, many of whom have existed for their entire lives outside the white, middle-class heterosexual norm—we have to ask if these women do not fit into society’s categories of marginal, deviant, and “queer.” As we watch the explosion of prison construction and the disproportionate incarceration rates of young men and women of color, often as part of the economic development of poor white rural communities, we have to ask if these individuals do not fit society’s definition of “queer” and expendable. </w:t>
      </w:r>
      <w:r w:rsidRPr="00F15161">
        <w:rPr>
          <w:rStyle w:val="StyleUnderline"/>
        </w:rPr>
        <w:t>Cohen’s understanding of “queer” as a kind of non- or anti-normativity based on one’s proximity to power might also be understood in terms of futurism and its flouting by “deviants.”</w:t>
      </w:r>
      <w:r w:rsidRPr="00085065">
        <w:rPr>
          <w:sz w:val="16"/>
        </w:rPr>
        <w:t xml:space="preserve"> For, </w:t>
      </w:r>
      <w:r w:rsidRPr="00F15161">
        <w:rPr>
          <w:rStyle w:val="StyleUnderline"/>
        </w:rPr>
        <w:t xml:space="preserve">if the key characteristic of queerness is a temporal one, then having “too many” babies is just as much a threat to America’s future as not having any at </w:t>
      </w:r>
      <w:r w:rsidRPr="00F15161">
        <w:rPr>
          <w:rStyle w:val="StyleUnderline"/>
        </w:rPr>
        <w:lastRenderedPageBreak/>
        <w:t>all</w:t>
      </w:r>
      <w:r w:rsidRPr="00085065">
        <w:rPr>
          <w:sz w:val="16"/>
        </w:rPr>
        <w:t>—</w:t>
      </w:r>
      <w:r w:rsidRPr="00F15161">
        <w:rPr>
          <w:rStyle w:val="StyleUnderline"/>
        </w:rPr>
        <w:t>it just depends on which queers we are talking about</w:t>
      </w:r>
      <w:r w:rsidRPr="00085065">
        <w:rPr>
          <w:sz w:val="16"/>
        </w:rPr>
        <w:t xml:space="preserve"> (not only Reagan’s welfare queen, but also recall the manufactured election-year discourse about “anchor babies”).59 Naming these explicitly makes futurism a useful tool to diagnose the contemporary political moment from a radical queer perspective that does not fetishize sexuality as either the primary domain of subordination or the sole focus of political struggle and resistance.</w:t>
      </w:r>
    </w:p>
    <w:p w:rsidR="001967C0" w:rsidRDefault="001967C0" w:rsidP="001967C0">
      <w:pPr>
        <w:pStyle w:val="Heading4"/>
      </w:pPr>
      <w:r>
        <w:t xml:space="preserve">The alternative is to embrace the queer negativity of education—disconnecting learning from futurity inhabits the gaps within the social to explore queer possibilities </w:t>
      </w:r>
    </w:p>
    <w:p w:rsidR="001967C0" w:rsidRDefault="001967C0" w:rsidP="001967C0">
      <w:r w:rsidRPr="00A71B72">
        <w:rPr>
          <w:rStyle w:val="Author-Date"/>
        </w:rPr>
        <w:t>Greteman &amp; Wojcikiewicz 2014</w:t>
      </w:r>
      <w:r>
        <w:t xml:space="preserve"> [ Adam J., Adjunct Assistant Professor of Art Education at the School of the Art Institute of Chicago; Steven K., Assistant Professor in the College of Education at Western Oregon University | “The Problems with the Future: Educational Futurism and the Figural Child” Journal of Philosophy of Education, Vol. 48, No. 4, 2014]</w:t>
      </w:r>
    </w:p>
    <w:p w:rsidR="001967C0" w:rsidRDefault="001967C0" w:rsidP="001967C0">
      <w:pPr>
        <w:rPr>
          <w:rStyle w:val="StyleUnderline"/>
        </w:rPr>
      </w:pPr>
      <w:r w:rsidRPr="00A71B72">
        <w:rPr>
          <w:sz w:val="16"/>
        </w:rPr>
        <w:t xml:space="preserve">This may seem to lay out a solution for educational futurism in the name of what might be called educational present-ism, but it is not so. </w:t>
      </w:r>
      <w:r w:rsidRPr="009A6725">
        <w:rPr>
          <w:rStyle w:val="StyleUnderline"/>
        </w:rPr>
        <w:t xml:space="preserve">It would be a mistake, when viewing educational futurism and the Child in terms of their roles in creating poor educational practice, to respond merely by calling for an education for the present. Such a call would fall into dualistic thinking that sets the present against the future and demands allegiance to one side or the other. </w:t>
      </w:r>
      <w:r w:rsidRPr="00A71B72">
        <w:rPr>
          <w:sz w:val="16"/>
        </w:rPr>
        <w:t xml:space="preserve">Both Dewey and Edelman warn against such a step, Edelman by making a queer argument centred on the death drive, and Dewey by pointing out the dangers of boiling complex ideas down to either-or propositions. </w:t>
      </w:r>
      <w:r w:rsidRPr="009A6725">
        <w:rPr>
          <w:rStyle w:val="StyleUnderline"/>
        </w:rPr>
        <w:t>Seeing the disruptive potential of the embracing the ‘negativity’ of queerness, Edelman utilises Lacan’s theorisation of the death drive.</w:t>
      </w:r>
      <w:r w:rsidRPr="00A71B72">
        <w:rPr>
          <w:sz w:val="16"/>
        </w:rPr>
        <w:t xml:space="preserve"> He notes that ‘the death drive marks the excess embedded within the Symbolic through the loss, the Real loss, that the advent of the signifier effects’ (2004, p. 9). </w:t>
      </w:r>
      <w:r w:rsidRPr="009A6725">
        <w:rPr>
          <w:rStyle w:val="StyleUnderline"/>
        </w:rPr>
        <w:t>The death drive becomes the moment of undoing, of constantly seeking to disrupt and destroy the signifier for ‘the queer insists that politics is always a politics of the signifier’</w:t>
      </w:r>
      <w:r w:rsidRPr="00A71B72">
        <w:rPr>
          <w:sz w:val="16"/>
        </w:rPr>
        <w:t xml:space="preserve"> (p. 6). Queerness makes possible a constant disruption or ‘the violent undoing of meaning, the loss of identity and coherence’ (p. 132). </w:t>
      </w:r>
      <w:r w:rsidRPr="009A6725">
        <w:rPr>
          <w:rStyle w:val="StyleUnderline"/>
        </w:rPr>
        <w:t>Edelman’s embrace of the death drive thus challenges the story of the Child’s innocence. In this challenge however, he notes that,</w:t>
      </w:r>
      <w:r w:rsidRPr="00A71B72">
        <w:rPr>
          <w:sz w:val="16"/>
        </w:rPr>
        <w:t xml:space="preserve"> . . . </w:t>
      </w:r>
      <w:r w:rsidRPr="009A6725">
        <w:rPr>
          <w:rStyle w:val="StyleUnderline"/>
        </w:rPr>
        <w:t>to intervene in the reproduction of such a reality</w:t>
      </w:r>
      <w:r w:rsidRPr="00A71B72">
        <w:rPr>
          <w:sz w:val="16"/>
        </w:rPr>
        <w:t>—an intervention that may well take the form of figuring that reality’s abortion—</w:t>
      </w:r>
      <w:r w:rsidRPr="009A6725">
        <w:rPr>
          <w:rStyle w:val="StyleUnderline"/>
        </w:rPr>
        <w:t>queer theory must always insist on its connection to the vicissitudes of the sign</w:t>
      </w:r>
      <w:r w:rsidRPr="00A71B72">
        <w:rPr>
          <w:sz w:val="16"/>
        </w:rPr>
        <w:t xml:space="preserve">, to the tension between the signifier’s collapse into the letter’s cadaverous materiality and its participation in a system of reference wherein it generates meaning itself (p. 7). Edelman, as such, is following a broader theme in queer theory. Eve </w:t>
      </w:r>
      <w:r w:rsidRPr="009A6725">
        <w:rPr>
          <w:rStyle w:val="StyleUnderline"/>
        </w:rPr>
        <w:t>Sedgwick</w:t>
      </w:r>
      <w:r w:rsidRPr="00A71B72">
        <w:rPr>
          <w:sz w:val="16"/>
        </w:rPr>
        <w:t xml:space="preserve"> (1993) </w:t>
      </w:r>
      <w:r w:rsidRPr="009A6725">
        <w:rPr>
          <w:rStyle w:val="StyleUnderline"/>
        </w:rPr>
        <w:t>suggests queer ‘can refer to: the mesh of possibilities, of gaps, overlaps, dissonances, and resonances, lapses and excesses of meaning when the constituent elements of anyone’s gender, of anyone’s sexuality aren’t made (</w:t>
      </w:r>
      <w:r w:rsidRPr="00A71B72">
        <w:rPr>
          <w:sz w:val="16"/>
        </w:rPr>
        <w:t xml:space="preserve">or can’t be made) </w:t>
      </w:r>
      <w:r w:rsidRPr="009A6725">
        <w:rPr>
          <w:rStyle w:val="StyleUnderline"/>
        </w:rPr>
        <w:t>to signify monolithically’</w:t>
      </w:r>
      <w:r w:rsidRPr="00A71B72">
        <w:rPr>
          <w:sz w:val="16"/>
        </w:rPr>
        <w:t xml:space="preserve"> (p. 8). </w:t>
      </w:r>
      <w:r w:rsidRPr="009A6725">
        <w:rPr>
          <w:rStyle w:val="StyleUnderline"/>
        </w:rPr>
        <w:t>The social order, under modernity</w:t>
      </w:r>
      <w:r w:rsidRPr="00A71B72">
        <w:rPr>
          <w:sz w:val="16"/>
        </w:rPr>
        <w:t xml:space="preserve">, is fantasised to be coherent, to seek consistency, completeness, and unity. It </w:t>
      </w:r>
      <w:r w:rsidRPr="009A6725">
        <w:rPr>
          <w:rStyle w:val="StyleUnderline"/>
        </w:rPr>
        <w:t>seeks to tell a story that does not fail,</w:t>
      </w:r>
      <w:r w:rsidRPr="00A71B72">
        <w:rPr>
          <w:sz w:val="16"/>
        </w:rPr>
        <w:t xml:space="preserve"> even as it always must. </w:t>
      </w:r>
      <w:r w:rsidRPr="009A6725">
        <w:rPr>
          <w:rStyle w:val="StyleUnderline"/>
        </w:rPr>
        <w:t>It is this failure that queerness embraces.</w:t>
      </w:r>
      <w:r w:rsidRPr="00A71B72">
        <w:rPr>
          <w:sz w:val="16"/>
        </w:rPr>
        <w:t xml:space="preserve"> As Edelman notes ‘queer theory marks the “other” side of politics: the “side” where narrative realization and derealization overlap . . . the “side” outside of all political sides’ (p. 7). While some may seek to tame queer theory so as to imply troubling—eliminating the queers association with (homo)sexuality—such a move is problematic as it ‘dematerialize[s] any possibility of queerness itself’ because homosexuality is a piece of the queers ‘definitional center’ (Sedgwick, 1993, p. 8). Such a move ignores the role of sexual orientation in queerness. And as Ahmed notes </w:t>
      </w:r>
      <w:r w:rsidRPr="009A6725">
        <w:rPr>
          <w:rStyle w:val="StyleUnderline"/>
        </w:rPr>
        <w:t>‘being oriented in different ways does matter, precisely because of how spaces are already oriented</w:t>
      </w:r>
      <w:r w:rsidRPr="00A71B72">
        <w:rPr>
          <w:sz w:val="16"/>
        </w:rPr>
        <w:t xml:space="preserve"> . . </w:t>
      </w:r>
      <w:r w:rsidRPr="009A6725">
        <w:rPr>
          <w:rStyle w:val="StyleUnderline"/>
        </w:rPr>
        <w:t>. Orientations affect what bodies can do’</w:t>
      </w:r>
      <w:r w:rsidRPr="00A71B72">
        <w:rPr>
          <w:sz w:val="16"/>
        </w:rPr>
        <w:t xml:space="preserve"> (2006, p. 563). </w:t>
      </w:r>
      <w:r w:rsidRPr="009A6725">
        <w:rPr>
          <w:rStyle w:val="StyleUnderline"/>
        </w:rPr>
        <w:t>As such, orientation impacts the ability to think of the future and to what ends one is oriented toward.</w:t>
      </w:r>
      <w:r>
        <w:rPr>
          <w:rStyle w:val="StyleUnderline"/>
        </w:rPr>
        <w:t xml:space="preserve"> </w:t>
      </w:r>
      <w:r w:rsidRPr="009A6725">
        <w:rPr>
          <w:rStyle w:val="StyleUnderline"/>
        </w:rPr>
        <w:t>The task in part is the embrace of the negative in order to challenge the social reality and its fantasy of coherence to orient in new ways. The incompleteness of children</w:t>
      </w:r>
      <w:r w:rsidRPr="00A71B72">
        <w:rPr>
          <w:sz w:val="16"/>
        </w:rPr>
        <w:t xml:space="preserve">, much maligned, </w:t>
      </w:r>
      <w:r w:rsidRPr="009A6725">
        <w:rPr>
          <w:rStyle w:val="StyleUnderline"/>
        </w:rPr>
        <w:t>emerges then as a site for such a challenge whereby the incompleteness is embraced so that coherence is always in question.</w:t>
      </w:r>
      <w:r w:rsidRPr="00A71B72">
        <w:rPr>
          <w:sz w:val="16"/>
        </w:rPr>
        <w:t xml:space="preserve"> The social reality is constantly under threat of disintegration and as such seeks to regulate those bodies that cause such threats. </w:t>
      </w:r>
      <w:r w:rsidRPr="000C322C">
        <w:rPr>
          <w:rStyle w:val="StyleUnderline"/>
        </w:rPr>
        <w:t>The queerness of children produces different ways to do and be in the world, hidden by the regulatory subject in the form of the Child. To employ a queer perspective in the examination of educational futurism is not solely to carry out a simple act of negation</w:t>
      </w:r>
      <w:r w:rsidRPr="00A71B72">
        <w:rPr>
          <w:sz w:val="16"/>
        </w:rPr>
        <w:t xml:space="preserve"> (i.e. negating the Child), </w:t>
      </w:r>
      <w:r w:rsidRPr="000C322C">
        <w:rPr>
          <w:rStyle w:val="StyleUnderline"/>
        </w:rPr>
        <w:t>but to recognise how that negation is, in part, how the future is figured and how different futures might become thinkable.</w:t>
      </w:r>
      <w:r>
        <w:rPr>
          <w:rStyle w:val="StyleUnderline"/>
        </w:rPr>
        <w:t xml:space="preserve"> </w:t>
      </w:r>
      <w:r w:rsidRPr="00A71B72">
        <w:rPr>
          <w:sz w:val="16"/>
        </w:rPr>
        <w:t xml:space="preserve">For Edelman this embrace occurs </w:t>
      </w:r>
      <w:r w:rsidRPr="00A71B72">
        <w:rPr>
          <w:sz w:val="16"/>
        </w:rPr>
        <w:lastRenderedPageBreak/>
        <w:t xml:space="preserve">through his theorisation around the death drive, which ‘names what the queer, in the order of the social, is called forth to figure: the negativity opposed to every form of social viability’ (2004, p. 9). </w:t>
      </w:r>
      <w:r w:rsidRPr="00E53BCC">
        <w:rPr>
          <w:rStyle w:val="StyleUnderline"/>
        </w:rPr>
        <w:t>Queerness challenges the world and opposes the norms that structure the logic of the social. It is not reproductive and within the realm of the social, unintelligible. It works against stability at all times, seeking its own death.</w:t>
      </w:r>
      <w:r w:rsidRPr="00A71B72">
        <w:rPr>
          <w:sz w:val="16"/>
        </w:rPr>
        <w:t xml:space="preserve"> In doing so, queerness challenges identity politics: [w]here the political interventions of identitarian minorities— including those who seek to substantialize the identities of lesbians, gay men, and bisexuals—may properly take shape as oppositional, affording the dominant order a reassuringly symmetrical, if inverted, depiction of its own ostensibly coherent identity, queer theory’s opposition is precisely to any such logic of opposition, its proper task the ceaseless disappropriation of every propriety. (p. 24) </w:t>
      </w:r>
      <w:r w:rsidRPr="00C50218">
        <w:rPr>
          <w:rStyle w:val="StyleUnderline"/>
        </w:rPr>
        <w:t>Yet, this death, this negation, is not to deny existence, but to push for alternative possibilities</w:t>
      </w:r>
      <w:r w:rsidRPr="00A71B72">
        <w:rPr>
          <w:sz w:val="16"/>
        </w:rPr>
        <w:t>—</w:t>
      </w:r>
      <w:r w:rsidRPr="00C50218">
        <w:rPr>
          <w:rStyle w:val="Emphasis"/>
        </w:rPr>
        <w:t>it is</w:t>
      </w:r>
      <w:r w:rsidRPr="00A71B72">
        <w:rPr>
          <w:sz w:val="16"/>
        </w:rPr>
        <w:t xml:space="preserve">, one might say, </w:t>
      </w:r>
      <w:r w:rsidRPr="00C50218">
        <w:rPr>
          <w:rStyle w:val="Emphasis"/>
        </w:rPr>
        <w:t>productive but never reproductive in producing new orientations to the world</w:t>
      </w:r>
      <w:r w:rsidRPr="00C50218">
        <w:rPr>
          <w:rStyle w:val="StyleUnderline"/>
        </w:rPr>
        <w:t>. It is creative in its destructive intentions, as it must never cease its negation within any given normative framework.</w:t>
      </w:r>
      <w:r>
        <w:rPr>
          <w:rStyle w:val="StyleUnderline"/>
        </w:rPr>
        <w:t xml:space="preserve"> </w:t>
      </w:r>
      <w:r w:rsidRPr="00A71B72">
        <w:rPr>
          <w:sz w:val="16"/>
        </w:rPr>
        <w:t xml:space="preserve">Dewey follows a parallel course here, in that he does not seek to create an essential, normative position. Rather, in his conception of both life and of education as growth for its own sake, he denies essential identities. Essentialising, in any form, would clearly disrupt Dewey’s insistence on the connection between life, growth, and education, and the self-justifying nature of the latter two. </w:t>
      </w:r>
      <w:r w:rsidRPr="00C50218">
        <w:rPr>
          <w:rStyle w:val="StyleUnderline"/>
        </w:rPr>
        <w:t>If the death drive appears here, as Edelman has used it, it appears as the constant disrupter of the static, the destroyer of identity, the social, which makes constant growth and learning possible.</w:t>
      </w:r>
      <w:r w:rsidRPr="00A71B72">
        <w:rPr>
          <w:sz w:val="16"/>
        </w:rPr>
        <w:t xml:space="preserve"> When Dewey warns about the danger of placing the adult above the child, he does not propose that the answer is the placement of the child above the adult. Rather, Dewey seeks to deny the duality itself. ‘The relation of the present and the future’, he writes, ‘is not an Either-Or affair’ (1938, p. 30). Arguably then, </w:t>
      </w:r>
      <w:r w:rsidRPr="00C50218">
        <w:rPr>
          <w:rStyle w:val="StyleUnderline"/>
        </w:rPr>
        <w:t>Dewey challenges the Child as Edelman does, writing against a politics that fantasises about coherence and recognisable forms proposing rather a subject that is contingent, particular and unable to be fully articulated.</w:t>
      </w:r>
    </w:p>
    <w:p w:rsidR="000D3F1C" w:rsidRDefault="000D3F1C" w:rsidP="000D3F1C">
      <w:pPr>
        <w:pStyle w:val="Heading3"/>
      </w:pPr>
      <w:bookmarkStart w:id="8" w:name="_Toc489138904"/>
      <w:r>
        <w:lastRenderedPageBreak/>
        <w:t>1NC: Sex Ed.</w:t>
      </w:r>
      <w:bookmarkEnd w:id="8"/>
    </w:p>
    <w:p w:rsidR="000D3F1C" w:rsidRDefault="000D3F1C" w:rsidP="000D3F1C">
      <w:pPr>
        <w:pStyle w:val="Heading4"/>
      </w:pPr>
      <w:r>
        <w:t xml:space="preserve">The aff is indebted to an educational futurism where the figural Child tames the queer excess of childhood in favor of projecting a coherent subject that sustains the nation </w:t>
      </w:r>
    </w:p>
    <w:p w:rsidR="000D3F1C" w:rsidRDefault="000D3F1C" w:rsidP="000D3F1C">
      <w:r w:rsidRPr="00A71B72">
        <w:rPr>
          <w:rStyle w:val="Author-Date"/>
        </w:rPr>
        <w:t>Greteman &amp; Wojcikiewicz 2014</w:t>
      </w:r>
      <w:r>
        <w:t xml:space="preserve"> [ Adam J., Adjunct Assistant Professor of Art Education at the School of the Art Institute of Chicago; Steven K., Assistant Professor in the College of Education at Western Oregon University | “The Problems with the Future: Educational Futurism and the Figural Child” Journal of Philosophy of Education, Vol. 48, No. 4, 2014]</w:t>
      </w:r>
    </w:p>
    <w:p w:rsidR="000D3F1C" w:rsidRPr="00A71B72" w:rsidRDefault="000D3F1C" w:rsidP="000D3F1C">
      <w:pPr>
        <w:rPr>
          <w:sz w:val="16"/>
        </w:rPr>
      </w:pPr>
      <w:r w:rsidRPr="00A71B72">
        <w:rPr>
          <w:sz w:val="16"/>
        </w:rPr>
        <w:t xml:space="preserve"> ‘I touch the future’, Christa McAuliffe said, ‘I teach’. This resonates with </w:t>
      </w:r>
      <w:r w:rsidRPr="007577E4">
        <w:rPr>
          <w:rStyle w:val="StyleUnderline"/>
        </w:rPr>
        <w:t>educators. By passing on skills, knowledge, and ideas</w:t>
      </w:r>
      <w:r w:rsidRPr="00A71B72">
        <w:rPr>
          <w:sz w:val="16"/>
        </w:rPr>
        <w:t xml:space="preserve"> that will be </w:t>
      </w:r>
      <w:r w:rsidRPr="007577E4">
        <w:rPr>
          <w:rStyle w:val="StyleUnderline"/>
        </w:rPr>
        <w:t>used at later times</w:t>
      </w:r>
      <w:r w:rsidRPr="00A71B72">
        <w:rPr>
          <w:sz w:val="16"/>
        </w:rPr>
        <w:t xml:space="preserve">, they </w:t>
      </w:r>
      <w:r w:rsidRPr="007577E4">
        <w:rPr>
          <w:rStyle w:val="StyleUnderline"/>
        </w:rPr>
        <w:t>reach out to an unseen future and touch it.</w:t>
      </w:r>
      <w:r w:rsidRPr="00A71B72">
        <w:rPr>
          <w:sz w:val="16"/>
        </w:rPr>
        <w:t xml:space="preserve"> Teachers tell their students to study and work hard, for the things they are learning will be needed in the future. The lesson of the day may be applied to a test at the end of the week, or it may be the basis for work that will be carried out at the next grade level. It may even help prepare a student for college, or for a job, or for a fulfilling life. Whatever the specifics, the commonality here is that </w:t>
      </w:r>
      <w:r w:rsidRPr="007577E4">
        <w:rPr>
          <w:rStyle w:val="StyleUnderline"/>
        </w:rPr>
        <w:t>learning now prepares students for a yet unknown then. Teaching and schooling are suffused with concern about</w:t>
      </w:r>
      <w:r w:rsidRPr="00A71B72">
        <w:rPr>
          <w:sz w:val="16"/>
        </w:rPr>
        <w:t xml:space="preserve">, discussion of, and focus on </w:t>
      </w:r>
      <w:r w:rsidRPr="007577E4">
        <w:rPr>
          <w:rStyle w:val="StyleUnderline"/>
        </w:rPr>
        <w:t>the future.</w:t>
      </w:r>
      <w:r w:rsidRPr="00A71B72">
        <w:rPr>
          <w:sz w:val="16"/>
        </w:rPr>
        <w:t xml:space="preserve"> </w:t>
      </w:r>
      <w:r w:rsidRPr="007577E4">
        <w:rPr>
          <w:rStyle w:val="Emphasis"/>
        </w:rPr>
        <w:t>This theme of futurity carries on beyond school walls and enters political discourse on education.</w:t>
      </w:r>
      <w:r w:rsidRPr="00A71B72">
        <w:rPr>
          <w:sz w:val="16"/>
        </w:rPr>
        <w:t xml:space="preserve"> President John F. Kennedy noted, ‘Children are the world’s most valuable resource and its best hope for the future’, while Malcolm X claimed ‘education is the passport to the future, for tomorrow belongs to those who prepare for it today’. </w:t>
      </w:r>
      <w:r w:rsidRPr="006C2C1D">
        <w:rPr>
          <w:rStyle w:val="StyleUnderline"/>
        </w:rPr>
        <w:t>But,</w:t>
      </w:r>
      <w:r w:rsidRPr="00A71B72">
        <w:rPr>
          <w:sz w:val="16"/>
        </w:rPr>
        <w:t xml:space="preserve"> </w:t>
      </w:r>
      <w:r w:rsidRPr="007577E4">
        <w:rPr>
          <w:rStyle w:val="StyleUnderline"/>
        </w:rPr>
        <w:t xml:space="preserve">education is </w:t>
      </w:r>
      <w:r w:rsidRPr="006C2C1D">
        <w:rPr>
          <w:rStyle w:val="StyleUnderline"/>
        </w:rPr>
        <w:t>not merely directed</w:t>
      </w:r>
      <w:r w:rsidRPr="007577E4">
        <w:rPr>
          <w:rStyle w:val="StyleUnderline"/>
        </w:rPr>
        <w:t xml:space="preserve"> toward the future of the individual, but also toward the future of the nation.</w:t>
      </w:r>
      <w:r w:rsidRPr="00A71B72">
        <w:rPr>
          <w:sz w:val="16"/>
        </w:rPr>
        <w:t xml:space="preserve"> A Nation at Risk, the oft-quoted 1983 US Department of Education report on the state of American education, tells us that, People are steadfast in their belief that education is the major foundation for the future strength of this country. They even considered education more important than developing the best industrial system or the strongest military force, perhaps because they understood education as the cornerstone of both . . . Very clearly, the public understands the primary importance of education as the foundation for a satisfying life, an enlightened and civil society, a strong economy, and a secure Nation (National Commission on Excellence in Education, The Public’s Commitment section, 1983, para. 2). Close to 20 years after the publication of A Nation at Risk, the most sweeping educational reform effort of our time, </w:t>
      </w:r>
      <w:r w:rsidRPr="007577E4">
        <w:rPr>
          <w:rStyle w:val="StyleUnderline"/>
        </w:rPr>
        <w:t>No Child Left Behind, returned the focus back to the Child, continuing the focus on the future in education and the necessity of the Child to maintain the competitiveness of the nation</w:t>
      </w:r>
      <w:r w:rsidRPr="00A71B72">
        <w:rPr>
          <w:sz w:val="16"/>
        </w:rPr>
        <w:t xml:space="preserve">. As former president George W. Bush asserted in one of his last speeches in office, NCLB, . . . starts with this concept: Every child can learn. We believe that it is important to have a high quality education if one is going to succeed in the 21st century. It’s no longer acceptable to be cranking people out of the school system and saying, okay, just go—you know, you can make a living just through manual labor alone. That’s going to happen for some, but it’s not the future of America, if we want to be a competitive nation as we head into the 21st century (Bush, 2009, para. 22). And more recently, President Obama, in a speech when he was running for the office, asserted, ‘We are the nation that has always understood that our future is inextricably linked to the education of our children’ (Obama, 2008, para. 10). Along the same lines, the current Secretary of Education, Arne Duncan, has stated that, ‘Today, more than ever, better schooling provides a down payment on the nation’s future’ (Duncan, 2009, para. 15). </w:t>
      </w:r>
      <w:r w:rsidRPr="007577E4">
        <w:rPr>
          <w:rStyle w:val="StyleUnderline"/>
        </w:rPr>
        <w:t>Within these statements, the future cannot be separated from those it relies on—predominately ‘children’. These assumptions made in regards to children, their role in the future, and schools’ roles in creating that future are seemingly ingrained in our society and our politics.</w:t>
      </w:r>
      <w:r w:rsidRPr="00A71B72">
        <w:rPr>
          <w:sz w:val="16"/>
        </w:rPr>
        <w:t xml:space="preserve"> The presence of this future focus may seem uncontroversial, its influence benign. Such assumptions may appear to be natural and beyond question, particularly since this futurist-focus originated, in part, with the spread of education during the Enlightenment, with its progress-oriented philosophical perspectives. Yet, we wish to question these assumptions, to explore how they can set narrow boundaries around children in schools. In carrying out this task, we employ the work of Lee Edelman and John Dewey to examine the educational ramifications of the focus on the future, which we call ‘educational futurism’ after Edelman’s (2004) ‘reproductive futurism’. Our argument seeks specifically to explore how </w:t>
      </w:r>
      <w:r w:rsidRPr="007577E4">
        <w:rPr>
          <w:rStyle w:val="Emphasis"/>
        </w:rPr>
        <w:t>educational futurism imposes limits on educational discourse and privileges a certain future, thus making it unthinkable to imagine ways outside of such a privileged future.</w:t>
      </w:r>
      <w:r>
        <w:rPr>
          <w:rStyle w:val="Emphasis"/>
        </w:rPr>
        <w:t xml:space="preserve"> </w:t>
      </w:r>
      <w:r w:rsidRPr="00A71B72">
        <w:rPr>
          <w:sz w:val="16"/>
        </w:rPr>
        <w:t xml:space="preserve">We turn to Edelman for his ‘reproductive futurism’, which is embodied in the regulatory figure of ‘the Child’, because it is seems particularly apt to the educational settings, practices and discourses which are our concern. </w:t>
      </w:r>
      <w:r w:rsidRPr="007577E4">
        <w:rPr>
          <w:rStyle w:val="StyleUnderline"/>
        </w:rPr>
        <w:t>This ‘figural Child’</w:t>
      </w:r>
      <w:r w:rsidRPr="00A71B72">
        <w:rPr>
          <w:sz w:val="16"/>
        </w:rPr>
        <w:t xml:space="preserve"> for Edelman </w:t>
      </w:r>
      <w:r w:rsidRPr="007577E4">
        <w:rPr>
          <w:rStyle w:val="StyleUnderline"/>
        </w:rPr>
        <w:t>‘alone embodies the citizen as an ideal, entitled to claim full rights to its future share in the nation’s good, though always at the cost of limiting the rights “real” citizens are allowed’</w:t>
      </w:r>
      <w:r w:rsidRPr="00A71B72">
        <w:rPr>
          <w:sz w:val="16"/>
        </w:rPr>
        <w:t xml:space="preserve"> (2004, p. 11). The Child exists in discourse and it limits discourse from engaging the unruly lives of children</w:t>
      </w:r>
      <w:r w:rsidRPr="007577E4">
        <w:rPr>
          <w:rStyle w:val="StyleUnderline"/>
        </w:rPr>
        <w:t>. The Child,</w:t>
      </w:r>
      <w:r w:rsidRPr="00A71B72">
        <w:rPr>
          <w:sz w:val="16"/>
        </w:rPr>
        <w:t xml:space="preserve"> for Edelman, </w:t>
      </w:r>
      <w:r w:rsidRPr="007577E4">
        <w:rPr>
          <w:rStyle w:val="StyleUnderline"/>
        </w:rPr>
        <w:t>is not representative of children. It is all there is.</w:t>
      </w:r>
      <w:r w:rsidRPr="00A71B72">
        <w:rPr>
          <w:sz w:val="16"/>
        </w:rPr>
        <w:t xml:space="preserve"> And </w:t>
      </w:r>
      <w:r w:rsidRPr="007577E4">
        <w:rPr>
          <w:rStyle w:val="StyleUnderline"/>
        </w:rPr>
        <w:t>actions taken in the name of the Child</w:t>
      </w:r>
      <w:r w:rsidRPr="00A71B72">
        <w:rPr>
          <w:sz w:val="16"/>
        </w:rPr>
        <w:t xml:space="preserve"> ignore, even </w:t>
      </w:r>
      <w:r w:rsidRPr="007577E4">
        <w:rPr>
          <w:rStyle w:val="StyleUnderline"/>
        </w:rPr>
        <w:t>exclude, the particularities and contexts that make children who they are</w:t>
      </w:r>
      <w:r w:rsidRPr="00A71B72">
        <w:rPr>
          <w:sz w:val="16"/>
        </w:rPr>
        <w:t xml:space="preserve">—alive </w:t>
      </w:r>
      <w:r w:rsidRPr="00A71B72">
        <w:rPr>
          <w:sz w:val="16"/>
        </w:rPr>
        <w:lastRenderedPageBreak/>
        <w:t xml:space="preserve">and unique. </w:t>
      </w:r>
      <w:r w:rsidRPr="007577E4">
        <w:rPr>
          <w:rStyle w:val="StyleUnderline"/>
        </w:rPr>
        <w:t>Edelman’s</w:t>
      </w:r>
      <w:r w:rsidRPr="00A71B72">
        <w:rPr>
          <w:sz w:val="16"/>
        </w:rPr>
        <w:t xml:space="preserve"> challenge then offers up a threat to education’s identification with the Child, a challenge that is not simply nihilistic, but which rather aims to see what is denied consideration and action. His </w:t>
      </w:r>
      <w:r w:rsidRPr="007577E4">
        <w:rPr>
          <w:rStyle w:val="StyleUnderline"/>
        </w:rPr>
        <w:t>project</w:t>
      </w:r>
      <w:r w:rsidRPr="00A71B72">
        <w:rPr>
          <w:sz w:val="16"/>
        </w:rPr>
        <w:t xml:space="preserve">, heavily reliant on Lacan’s death drive, </w:t>
      </w:r>
      <w:r w:rsidRPr="007577E4">
        <w:rPr>
          <w:rStyle w:val="StyleUnderline"/>
        </w:rPr>
        <w:t>offers a challenge to ‘a future whose beat goes on’ to expose the way ‘the political regime of futurism, unable to escape what it abjects, negates it as the negation of meaning, of the Child, and of the future the Child portends’</w:t>
      </w:r>
      <w:r w:rsidRPr="00A71B72">
        <w:rPr>
          <w:sz w:val="16"/>
        </w:rPr>
        <w:t xml:space="preserve"> (pp. 153–154). He insists, as such, on a politics that does not seek accommodation within such logic but an embrace of the negation, the unintelligible place of queerness, for it is in such an embrace that queer ethics can engage the violence against non-normative bodies. Dewey makes an appearance here because, though he has been narrowly and inaccurately portrayed as the benign father of student-centred, activity-oriented, open, and laissez-faire classroom methods, his positions are far more nuanced, and far more radical, in relation to children and the future (Dewey, 1938; Petrovic, 1998; Popkewitz, 2005; Prawat, 1995; Schleffler, 1974; Wong and Pugh, 2001). He presents a critique of a future focus in education that shows how such a focus means a loss, not only of present opportunities, but also of the promised future for children. Dewey, read in relation to Edelman’s engagement with futurism, offers a place within educational discourse to explore the possibility to engage educational futurism in ways that challenge the discourse of the Child illustrated in our opening statements. To focus on Dewey’s radical insights then is to challenge the innocent position to which he is often relegated. After all, it is the innocent Dewey, like the innocent Child, that supports and carries forward the status quo. Our focus on the radical insights of Dewey position him against the status quo, and against the Child, bringing a different, though complementary, perspective to our engagement with Edelman. Before moving forward, we would like to note that our approach in this analysis is not entirely new. As a critique of futurism, it questions a general characteristic of modernism, namely, a foundational belief that we will get ‘there’ someday (Lagemann, 2000). This belief asserts that wherever there might be, and in whatever endeavour we are engaged in, the point is that progress is possible and that our actions can be justified in the name of the inevitable and promising, though distant, end. This belief, the heart of futurism, has, in this postmodern time, been challenged on many occasions. Our argument, however, seeks specifically to explore how futurism, expressed through the iterative construction of the Child, shapes the ways that we can think about children and education. We will begin our analysis by describing Edelman’s reproductive futurism and its relation to education specifically. In this we will address Edelman’s the notion of the Child, the Child’s relation to children, and the impact of these concepts on education. Following this we will introduce John Dewey’s views of growth, life, and education, and show how these views can be read to engage a similar critique of the role of the future and the workings of normative or regulatory subjects.With our two theorists in place, we will seek to draw out connections and disconnections between them, illustrating the ways in which educational futurism ignores or overlooks the lived experiences of children. We conclude by briefly noting the queerness of children and the impact of such queerness on broadening discussions of the future of children. EDELMAN’S REPRODUCTIVE FUTURISM AND THE CHILD Edelman, in his book </w:t>
      </w:r>
      <w:r w:rsidRPr="00E375FB">
        <w:rPr>
          <w:rStyle w:val="StyleUnderline"/>
        </w:rPr>
        <w:t>No Future</w:t>
      </w:r>
      <w:r w:rsidRPr="00A71B72">
        <w:rPr>
          <w:sz w:val="16"/>
        </w:rPr>
        <w:t xml:space="preserve"> (2004) </w:t>
      </w:r>
      <w:r w:rsidRPr="00E375FB">
        <w:rPr>
          <w:rStyle w:val="StyleUnderline"/>
        </w:rPr>
        <w:t>uses queerness as a stance to critique, and resist,</w:t>
      </w:r>
      <w:r w:rsidRPr="00A71B72">
        <w:rPr>
          <w:sz w:val="16"/>
        </w:rPr>
        <w:t xml:space="preserve"> what he calls </w:t>
      </w:r>
      <w:r w:rsidRPr="00E375FB">
        <w:rPr>
          <w:rStyle w:val="StyleUnderline"/>
        </w:rPr>
        <w:t>‘reproductive futurism’.</w:t>
      </w:r>
      <w:r w:rsidRPr="00A71B72">
        <w:rPr>
          <w:sz w:val="16"/>
        </w:rPr>
        <w:t xml:space="preserve"> He lays out the boundaries of reproductive futurism as, . . . </w:t>
      </w:r>
      <w:r w:rsidRPr="00E375FB">
        <w:rPr>
          <w:rStyle w:val="StyleUnderline"/>
        </w:rPr>
        <w:t xml:space="preserve">terms that impose an ideological limit on political discourse as </w:t>
      </w:r>
      <w:r w:rsidRPr="005C0687">
        <w:rPr>
          <w:rStyle w:val="StyleUnderline"/>
        </w:rPr>
        <w:t>such, preserving</w:t>
      </w:r>
      <w:r w:rsidRPr="00A71B72">
        <w:rPr>
          <w:sz w:val="16"/>
        </w:rPr>
        <w:t xml:space="preserve"> in the process </w:t>
      </w:r>
      <w:r w:rsidRPr="005C0687">
        <w:rPr>
          <w:rStyle w:val="StyleUnderline"/>
        </w:rPr>
        <w:t>the absolute privilege of heteronormativity by rendering unthinkable</w:t>
      </w:r>
      <w:r w:rsidRPr="00A71B72">
        <w:rPr>
          <w:sz w:val="16"/>
        </w:rPr>
        <w:t xml:space="preserve">, by casting outside the political domain, </w:t>
      </w:r>
      <w:r w:rsidRPr="005C0687">
        <w:rPr>
          <w:rStyle w:val="StyleUnderline"/>
        </w:rPr>
        <w:t>the possibility of a queer resistance to this organizing principle of communal relations</w:t>
      </w:r>
      <w:r w:rsidRPr="00A71B72">
        <w:rPr>
          <w:sz w:val="16"/>
        </w:rPr>
        <w:t xml:space="preserve"> (2004, p. 2). Edelman claims that </w:t>
      </w:r>
      <w:r w:rsidRPr="005C0687">
        <w:rPr>
          <w:rStyle w:val="StyleUnderline"/>
        </w:rPr>
        <w:t>reproductive futurism sets the notion of reproduction, along with</w:t>
      </w:r>
      <w:r w:rsidRPr="00A71B72">
        <w:rPr>
          <w:sz w:val="16"/>
        </w:rPr>
        <w:t xml:space="preserve"> its complementary and concurrent idea of looking to </w:t>
      </w:r>
      <w:r w:rsidRPr="005C0687">
        <w:rPr>
          <w:rStyle w:val="StyleUnderline"/>
        </w:rPr>
        <w:t>the future, as dominant</w:t>
      </w:r>
      <w:r w:rsidRPr="00A71B72">
        <w:rPr>
          <w:sz w:val="16"/>
        </w:rPr>
        <w:t xml:space="preserve">, even natural, </w:t>
      </w:r>
      <w:r w:rsidRPr="005C0687">
        <w:rPr>
          <w:rStyle w:val="StyleUnderline"/>
        </w:rPr>
        <w:t>guides for being and acting in the political realm</w:t>
      </w:r>
      <w:r w:rsidRPr="00A71B72">
        <w:rPr>
          <w:sz w:val="16"/>
        </w:rPr>
        <w:t xml:space="preserve">. Because of this dominance, </w:t>
      </w:r>
      <w:r w:rsidRPr="005C0687">
        <w:rPr>
          <w:rStyle w:val="StyleUnderline"/>
        </w:rPr>
        <w:t>anything which lies outside of this brand of futurism lies outside</w:t>
      </w:r>
      <w:r w:rsidRPr="00A71B72">
        <w:rPr>
          <w:sz w:val="16"/>
        </w:rPr>
        <w:t xml:space="preserve"> of the pale of </w:t>
      </w:r>
      <w:r w:rsidRPr="005C0687">
        <w:rPr>
          <w:rStyle w:val="StyleUnderline"/>
        </w:rPr>
        <w:t>political thought and action</w:t>
      </w:r>
      <w:r w:rsidRPr="00A71B72">
        <w:rPr>
          <w:sz w:val="16"/>
        </w:rPr>
        <w:t xml:space="preserve">. It is, in short, unintelligible. </w:t>
      </w:r>
      <w:r w:rsidRPr="005C0687">
        <w:rPr>
          <w:rStyle w:val="StyleUnderline"/>
        </w:rPr>
        <w:t>Reproductive futurism acts</w:t>
      </w:r>
      <w:r w:rsidRPr="00A71B72">
        <w:rPr>
          <w:sz w:val="16"/>
        </w:rPr>
        <w:t xml:space="preserve">, in Edelman, </w:t>
      </w:r>
      <w:r w:rsidRPr="005C0687">
        <w:rPr>
          <w:rStyle w:val="StyleUnderline"/>
        </w:rPr>
        <w:t>through ‘the Child’, an image</w:t>
      </w:r>
      <w:r w:rsidRPr="00A71B72">
        <w:rPr>
          <w:sz w:val="16"/>
        </w:rPr>
        <w:t xml:space="preserve">, an identity, </w:t>
      </w:r>
      <w:r w:rsidRPr="005C0687">
        <w:rPr>
          <w:rStyle w:val="StyleUnderline"/>
        </w:rPr>
        <w:t xml:space="preserve">and a political tool </w:t>
      </w:r>
      <w:r w:rsidRPr="00A71B72">
        <w:rPr>
          <w:sz w:val="16"/>
        </w:rPr>
        <w:t xml:space="preserve">that he refers to as the ‘privileged embodiment’ of the future (Edelman, 2007, p. 471). </w:t>
      </w:r>
      <w:r w:rsidRPr="00B51387">
        <w:rPr>
          <w:rStyle w:val="Emphasis"/>
        </w:rPr>
        <w:t>‘We are no more able to conceive of politics without a fantasy of the future than we are able to conceive of a future without the figure of the Child</w:t>
      </w:r>
      <w:r w:rsidRPr="00A71B72">
        <w:rPr>
          <w:sz w:val="16"/>
        </w:rPr>
        <w:t xml:space="preserve"> (2004, p. 11). The Child creates a logic by which the political, within contemporary American politics, ‘must be thought’ (p. 2), since: . . . however radical the means by which specific constituencies attempt to produce a more desirable social order, remains, at its core, conservative insofar as it works to affirm a structure, to authenticate social order, which it then intends to transmit to the future in the form of it inner Child (pp. 2–3, italics in original). </w:t>
      </w:r>
      <w:r w:rsidRPr="00B51387">
        <w:rPr>
          <w:rStyle w:val="StyleUnderline"/>
        </w:rPr>
        <w:t>It is the Child that shapes and inspires social and political action</w:t>
      </w:r>
      <w:r w:rsidRPr="00A71B72">
        <w:rPr>
          <w:sz w:val="16"/>
        </w:rPr>
        <w:t xml:space="preserve">, action which is aimed at a future for the Child, </w:t>
      </w:r>
      <w:r w:rsidRPr="00B51387">
        <w:rPr>
          <w:rStyle w:val="StyleUnderline"/>
        </w:rPr>
        <w:t>and this underpins any ideology in contemporary politics.</w:t>
      </w:r>
      <w:r w:rsidRPr="00A71B72">
        <w:rPr>
          <w:sz w:val="16"/>
        </w:rPr>
        <w:t xml:space="preserve"> Edelman’s critique seeks to challenge this to embrace the negativity of that which is negated by the Child to disrupt the narrative trajectory the Child maintains and engage the unruly. Edelman’s critique and exposure of the Child and the Child’s structuring logic illustrates that the Child is exclusionary, de-legitimising all that which is not future-focused, or which does not benefit the Child in all its innocent, sentimentalised, and decontextualised (non)identity. </w:t>
      </w:r>
      <w:r w:rsidRPr="00B51387">
        <w:rPr>
          <w:rStyle w:val="StyleUnderline"/>
        </w:rPr>
        <w:t>The Child takes up the whole frame, permitting nothing else to be seen, recognised, or thinkable.</w:t>
      </w:r>
      <w:r w:rsidRPr="00A71B72">
        <w:rPr>
          <w:sz w:val="16"/>
        </w:rPr>
        <w:t xml:space="preserve"> However, Edelman makes it clear that the Child he writes of is figural and therefore ‘not to be confused with the lived experiences of any historical children’ (p. 11). </w:t>
      </w:r>
      <w:r w:rsidRPr="00B51387">
        <w:rPr>
          <w:rStyle w:val="StyleUnderline"/>
        </w:rPr>
        <w:t>Rather the figural Child ‘serves to regulate political discourse</w:t>
      </w:r>
      <w:r w:rsidRPr="00A71B72">
        <w:rPr>
          <w:sz w:val="16"/>
        </w:rPr>
        <w:t xml:space="preserve">—to prescribe what we count as political discourse—by compelling such discourse to accede in advance to the reality of a collective future whose figurative status we are never permitted to acknowledge or address’ (p. 11). In order to reveal the Child, and the full range of the meanings of the Child for discourse and action, Edelman (2004) proposes the ‘unthinkable’: he threatens the Child by queering it, since ‘queerness names the side of those not “fighting for the children”, the side outside the consensus by which all politics confirms the absolute value of reproductive futurism’ (p. 3). In queering the Child, these hidden discourses and contexts are exposed, and the Child is portrayed, not as the widely and easily accepted stand-in for children, but as an oppressive figure that closes down possibility and denies particularity, all in the name of a future that ‘is mere repetition and just as lethal as the past’, a future that is normatively, narrowly defined but never to be reached. (p. 31). It is important to understand, in this analysis, that to queer </w:t>
      </w:r>
      <w:r w:rsidRPr="00A71B72">
        <w:rPr>
          <w:sz w:val="16"/>
        </w:rPr>
        <w:lastRenderedPageBreak/>
        <w:t xml:space="preserve">the Child in the name of children is, by extension, to put children in the position of the queer. This, in turn, opens up many possibilities. Yet, making the claim that children are queer may provoke anxiety, or outrage because of the reach of the figural Child. Such a statement on the queerness of children, especially in the realm of education, disrupts the innocence of the Child as imagined and portrayed. It challenges the frame that sets the Child up as in need of a proper curriculum, in need of protection. Edelman acknowledges as much noting that, ‘for the cult of the Child permits no shrines to the queerness of boys and girls, since queerness, for contemporary culture at large . . . is understood as bringing children and childhood to an end’ (p. 19). Such anxiety, or even outrage, is useful for our purposes, for it helps reveal the contextualised, complex, and perhaps troubling realities that lie beneath the bland image of the Child. </w:t>
      </w:r>
      <w:r w:rsidRPr="00B51387">
        <w:rPr>
          <w:rStyle w:val="StyleUnderline"/>
        </w:rPr>
        <w:t xml:space="preserve">The Child is not an innocent position. The Child is </w:t>
      </w:r>
      <w:r w:rsidRPr="00A71B72">
        <w:rPr>
          <w:sz w:val="16"/>
        </w:rPr>
        <w:t xml:space="preserve">indeed </w:t>
      </w:r>
      <w:r w:rsidRPr="00B51387">
        <w:rPr>
          <w:rStyle w:val="StyleUnderline"/>
        </w:rPr>
        <w:t>the representative of positions that have been utilised politically to assault and reject those who do not support the Child</w:t>
      </w:r>
      <w:r w:rsidRPr="00A71B72">
        <w:rPr>
          <w:sz w:val="16"/>
        </w:rPr>
        <w:t xml:space="preserve">. The stories that have been told about the Child have followed a narrow narrative trajectory and to take a stand against the Child is to offer different stories, different narrative trajectories, and challenges to the future. In offering a challenge to this dominant story line on the Child asks that we stand against the maintenance of innocence, for it is its maintenance that inhibits experience and learning (Archard, 2004; Bruhm and Hurley, 2004; Buckingham, 2000). </w:t>
      </w:r>
      <w:r w:rsidRPr="002534A8">
        <w:rPr>
          <w:rStyle w:val="StyleUnderline"/>
        </w:rPr>
        <w:t>This maintenance of innocence on the part of the Child is an important piece of what separates the Child from children, and what makes the political Child such a totalising force for the suppression of children.</w:t>
      </w:r>
      <w:r w:rsidRPr="00A71B72">
        <w:rPr>
          <w:sz w:val="16"/>
        </w:rPr>
        <w:t xml:space="preserve"> This Child is one who is always innocent, always protected, and, as the potential for anxiety and outrage already mentioned alludes to, always inexperienced. </w:t>
      </w:r>
      <w:r w:rsidRPr="002534A8">
        <w:rPr>
          <w:rStyle w:val="StyleUnderline"/>
        </w:rPr>
        <w:t>Experience taints, disrupts, and ends innocence. And yet, experience itself is a vital characteristic of learning. Thus children in schools,</w:t>
      </w:r>
      <w:r w:rsidRPr="00A71B72">
        <w:rPr>
          <w:sz w:val="16"/>
        </w:rPr>
        <w:t xml:space="preserve"> those who are learning, </w:t>
      </w:r>
      <w:r w:rsidRPr="002534A8">
        <w:rPr>
          <w:rStyle w:val="StyleUnderline"/>
        </w:rPr>
        <w:t>are always already in a queer position.</w:t>
      </w:r>
      <w:r w:rsidRPr="00A71B72">
        <w:rPr>
          <w:sz w:val="16"/>
        </w:rPr>
        <w:t xml:space="preserve"> The Child’s image of innocence is merely an exclusionary political position, ‘a central reference point in a wider mythology of childhood that helps uphold an unjust moral order in which both adults and children are subject to the oppressive politics of purity’ (Davis, 2011, p. 381). To argue against the Child and its innocence is to open up that which the Child closes off, the real experiences and desires of children. DEWEY’S FOCUS ON GROWTH AND THE PRESENT IN EDUCATION John Dewey did not write about Queer Theory, or about the Child, but he did write about experience, and about how the political and educational discourses and actions of his day acted to deny the realities and experiences of children in the name of a future that would never be realised. Dewey’s ideas on education are rooted in his overall concern with growth. He equated education with growth, and growth with life (Dewey, 1916, 1934/ 1980, 1938; Granger, 2000; Hansen, 2000). This would, at first glance, seem itself to be a future-focused position, but Dewey adds that both education and growth must proceed for their own sakes. ‘Since growth is the characteristic of life’, he claims, ‘education is all one with growing; it has no end beyond itself’ (Dewey, 1916, p. 53). However, </w:t>
      </w:r>
      <w:r w:rsidRPr="00651266">
        <w:rPr>
          <w:rStyle w:val="StyleUnderline"/>
        </w:rPr>
        <w:t>if growth is ‘regarded as having an end, instead of being an end’</w:t>
      </w:r>
      <w:r w:rsidRPr="00A71B72">
        <w:rPr>
          <w:sz w:val="16"/>
        </w:rPr>
        <w:t xml:space="preserve"> (1916, p. 50, italics in original), </w:t>
      </w:r>
      <w:r w:rsidRPr="00651266">
        <w:rPr>
          <w:rStyle w:val="StyleUnderline"/>
        </w:rPr>
        <w:t>problems arise</w:t>
      </w:r>
      <w:r w:rsidRPr="001B0DA5">
        <w:rPr>
          <w:rStyle w:val="StyleUnderline"/>
        </w:rPr>
        <w:t>. This conception of growth arises when childhood is treated as an imperfect state during which children are moving toward adulthood</w:t>
      </w:r>
      <w:r w:rsidRPr="00A71B72">
        <w:rPr>
          <w:sz w:val="16"/>
        </w:rPr>
        <w:t xml:space="preserve">, the end of growth in the future. </w:t>
      </w:r>
      <w:r w:rsidRPr="001B0DA5">
        <w:rPr>
          <w:rStyle w:val="StyleUnderline"/>
        </w:rPr>
        <w:t>Dewey pushed against the notion</w:t>
      </w:r>
      <w:r w:rsidRPr="00A71B72">
        <w:rPr>
          <w:sz w:val="16"/>
        </w:rPr>
        <w:t xml:space="preserve"> that children were incomplete adults, and that </w:t>
      </w:r>
      <w:r w:rsidRPr="001B0DA5">
        <w:rPr>
          <w:rStyle w:val="StyleUnderline"/>
        </w:rPr>
        <w:t>education was</w:t>
      </w:r>
      <w:r w:rsidRPr="00A71B72">
        <w:rPr>
          <w:sz w:val="16"/>
        </w:rPr>
        <w:t xml:space="preserve"> merely a matter of </w:t>
      </w:r>
      <w:r w:rsidRPr="001B0DA5">
        <w:rPr>
          <w:rStyle w:val="StyleUnderline"/>
        </w:rPr>
        <w:t>preparation for the future</w:t>
      </w:r>
      <w:r w:rsidRPr="00A71B72">
        <w:rPr>
          <w:sz w:val="16"/>
        </w:rPr>
        <w:t xml:space="preserve">. The idea that growth has an end violates Dewey’s ideas about growth, life, and education. Furthermore, it leads to a whole host of problems in schooling, all of which come down to the fallacious idea of viewing schooling as preparation for the fixed future of adulthood rather than as an end in itself. </w:t>
      </w:r>
      <w:r w:rsidRPr="001B0DA5">
        <w:rPr>
          <w:rStyle w:val="StyleUnderline"/>
        </w:rPr>
        <w:t>With a fixed end in mind</w:t>
      </w:r>
      <w:r w:rsidRPr="00A71B72">
        <w:rPr>
          <w:sz w:val="16"/>
        </w:rPr>
        <w:t xml:space="preserve"> as to the results of education, </w:t>
      </w:r>
      <w:r w:rsidRPr="001B0DA5">
        <w:rPr>
          <w:rStyle w:val="StyleUnderline"/>
        </w:rPr>
        <w:t>the goal of education becomes</w:t>
      </w:r>
      <w:r w:rsidRPr="00A71B72">
        <w:rPr>
          <w:sz w:val="16"/>
        </w:rPr>
        <w:t xml:space="preserve"> not openness and growth, but </w:t>
      </w:r>
      <w:r w:rsidRPr="001B0DA5">
        <w:rPr>
          <w:rStyle w:val="StyleUnderline"/>
        </w:rPr>
        <w:t>conformity</w:t>
      </w:r>
      <w:r w:rsidRPr="00A71B72">
        <w:rPr>
          <w:sz w:val="16"/>
        </w:rPr>
        <w:t xml:space="preserve">: Since conformity is the aim, what is distinctively individual in a young person is brushed aside, or regarded as a source of mischief or anarchy. Conformity is made equivalent to uniformity. Consequently, there are induced lack of interest in the novel, aversion to progress, and dread of the uncertain and the unknown. Since the end of growth is outside of and beyond the process of growing, external agents have to be resorted to, to induce movement toward it (Dewey, 1916, pp. 50–51). </w:t>
      </w:r>
      <w:r w:rsidRPr="001B0DA5">
        <w:rPr>
          <w:rStyle w:val="StyleUnderline"/>
        </w:rPr>
        <w:t>This conformity reins in the excess, the aspects of the individual that do not speak to a future already structured by the logic of conformity.</w:t>
      </w:r>
      <w:r w:rsidRPr="00A71B72">
        <w:rPr>
          <w:sz w:val="16"/>
        </w:rPr>
        <w:t xml:space="preserve"> In doing so, there occurs a refusal to engage that which is unknown or uncertain. </w:t>
      </w:r>
      <w:r w:rsidRPr="001B0DA5">
        <w:rPr>
          <w:rStyle w:val="StyleUnderline"/>
        </w:rPr>
        <w:t>Dewey’s engagement here asked to open the bounded-ness of the Child to the excesses, the unruliness of children’s experience. This, as Dewey noted, might be regarded as ‘mischief’ or ‘anarchy’ because such states challenge the futurism of an education that imagines a fixed end or telos.</w:t>
      </w:r>
      <w:r>
        <w:rPr>
          <w:rStyle w:val="StyleUnderline"/>
        </w:rPr>
        <w:t xml:space="preserve"> </w:t>
      </w:r>
      <w:r w:rsidRPr="00A71B72">
        <w:rPr>
          <w:sz w:val="16"/>
        </w:rPr>
        <w:t xml:space="preserve">As such, education for the future neglects the present, including the powers of present learning in terms of interest and motivation. </w:t>
      </w:r>
      <w:r w:rsidRPr="001B0DA5">
        <w:rPr>
          <w:rStyle w:val="StyleUnderline"/>
        </w:rPr>
        <w:t>Such external motivators to learn become ingrained in school systems, which then swing between harsh and open methods, without changing their essential nature as future-focused and structured by the logic of the Child.</w:t>
      </w:r>
      <w:r w:rsidRPr="00A71B72">
        <w:rPr>
          <w:sz w:val="16"/>
        </w:rPr>
        <w:t xml:space="preserve"> This swinging pendulum, rather than creating a challenge to the structures of education, leads to deadening systems of learning reiterating the centrality of the figural Child. Dewey notes this in regards to systems in punishment where, Everybody knows how largely systems of punishment have had to be resorted to by educational systems which neglect present possibilities in behalf of preparation for a future. Then, in disgust with the harshness and impotency of this method, the pendulum swings to the opposite extreme, and the dose of information required against some later day is sugar-coated, so that pupils may be fooled into taking something which they do not care for (Dewey, 1916, p. 55). For Dewey, then, the future is driven by the present. Educational experiences which lead to growth, valued for their own sakes and on their own terms, prepare students for a future which is undefined, but which will certainly consist of further experiences. To set a definite future is to eliminate the idea of growth for its own sake, and to set a course for conformity. And with a definite future acting as a static goal, with only conformity to look forward to, present experience becomes so devoid of creativity, liveliness and appeal that behaviour management techniques are the only recourse of the educator who hopes to keep students involved in their schoolwork. Dewey thus provides a telling challenge to the schools of his time and to the schools of today, and gives us a critique of educational futurism that </w:t>
      </w:r>
      <w:r w:rsidRPr="00A71B72">
        <w:rPr>
          <w:sz w:val="16"/>
        </w:rPr>
        <w:lastRenderedPageBreak/>
        <w:t xml:space="preserve">describes its classroom outcomes. Far from being a mere supporter of student-centred pedagogical activities, Dewey emerges as a radical critic of any educational practice that relies on bribery or compulsion to make up for a lack of the sort of compelling experiences that engage students in the immediate and, by promoting growth, prepare them for future experiences. For Dewey, the cost of educational futurism was a deadened classroom where carrots and sticks are the dominant features, and where the end is a static and ever-unreachable goal of ‘adulthood’, a modernist dream of perfect knowledge where all the pain and preparation of schooling experiences finally pays off, and a goal to which the present is blithely sacrificed. DEWEY AND EDELMAN IN CONVERSATION </w:t>
      </w:r>
      <w:r w:rsidRPr="00C36182">
        <w:rPr>
          <w:rStyle w:val="StyleUnderline"/>
        </w:rPr>
        <w:t>For both Dewey and Edelman, the drive toward the future begins with the positioning of children relative to some regulatory figural ideal.</w:t>
      </w:r>
      <w:r w:rsidRPr="00A71B72">
        <w:rPr>
          <w:sz w:val="16"/>
        </w:rPr>
        <w:t xml:space="preserve"> Edelman identifies this ideal as the figural Child, while Dewey identifies it as the state of adulthood, which may also be characterised as the figural Adult. This positioning creates notions of children that are merely incomplete, either because they are waiting to grow up, or because they are not supposed to grow up at all. Dewey’s idealised Adult never changes because adulthood is never reached. Edelman’s idealised Child, actually an idealised present projected forward into an ever-receding future, is unchanging, as it always stands for what is to come in the name of those who will, in later days, no longer be children. The Child must always remain a Child in order to retain its power as a driving symbol. Yet, as such it is frozen, an identity every bit as static as Dewey’s Adult. Because of the ways that these theories intersect, we can bring Dewey and Edelman together to focus on the figure of the Child in educational discourse and practice, taking reproductive futurism, the Child, Dewey’s Adult, and his call for an education valuable in the present to offer a different story for education and children. In many ways, these theories fit well together. Children, after all, go to school, and so it is to be expected that the figure of the Child might loom large in education. And, as we have already established, education can be seen as a largely future directed activity driven by the Child, whether that future is the future application of a lesson, the future life of a student, or the future success or failure of the nation. It is, we maintain, even as naturally future-directed as reproduction. And </w:t>
      </w:r>
      <w:r w:rsidRPr="009A6725">
        <w:rPr>
          <w:rStyle w:val="StyleUnderline"/>
        </w:rPr>
        <w:t>the Child, the representative of reproductive futurism, is as directly associated with schooling as with reproduction; both reproduce the next generation, one through birth, the other through instruction but both reproductions are reigned in, fearful of the excessive, the unique, the individual.</w:t>
      </w:r>
      <w:r>
        <w:rPr>
          <w:rStyle w:val="StyleUnderline"/>
        </w:rPr>
        <w:t xml:space="preserve"> </w:t>
      </w:r>
      <w:r w:rsidRPr="00A71B72">
        <w:rPr>
          <w:sz w:val="16"/>
        </w:rPr>
        <w:t xml:space="preserve">For all that, we do not wish to imply that Edelman and Dewey occupy interchangeable positions. The differences between the Child and the Adult may reflect cultural and temporal differences, a movement from a society which viewed childhood as incomplete adulthood to one which views adulthood as, at best, childhood carried forward. These differences may also come from the sources of these theories, their very different views and approaches to politics, or even from Edelman’s queer stance and focus on opposition to reproduction versus Dewey’s straight stance with its faith in progress, though a progress that lacks a set and static end. For all their differences, however, Edelman and Dewey still share much of an outlook. </w:t>
      </w:r>
      <w:r w:rsidRPr="009A6725">
        <w:rPr>
          <w:rStyle w:val="StyleUnderline"/>
        </w:rPr>
        <w:t>Both show the experience of the now, with all of its uncontrolled, excessive possibilities, unregulated desires and unknown ends, brought under control, and thus deadened, by references to a totalising image that controls political and educational discourse and action.</w:t>
      </w:r>
      <w:r w:rsidRPr="00A71B72">
        <w:rPr>
          <w:sz w:val="16"/>
        </w:rPr>
        <w:t xml:space="preserve"> Dewey puts forth the idea that the immediate experiences of childhood are being sacrificed to a fixed and unreachable Adult. For Dewey, children being educated were never meant to completely know themselves, and as such continually experience, struggle with and against the world. Edelman’s critique raises the possibility that the immediate experiences of childhood are structured by the logic of the Child while also present a possible threat to the perfect and innocent image of the Child. For Edelman, the Child regulates experiences for children and adults to maintain its logic, a logic that structures responses, as shown earlier, from ideological perspectives whether liberal or conservative.</w:t>
      </w:r>
    </w:p>
    <w:p w:rsidR="000D3F1C" w:rsidRPr="006471D1" w:rsidRDefault="000D3F1C" w:rsidP="000D3F1C">
      <w:pPr>
        <w:pStyle w:val="Heading4"/>
        <w:rPr>
          <w:rFonts w:cs="Times New Roman"/>
        </w:rPr>
      </w:pPr>
      <w:r w:rsidRPr="006471D1">
        <w:rPr>
          <w:rFonts w:cs="Times New Roman"/>
        </w:rPr>
        <w:t xml:space="preserve">Comprehensive sex ed is an assimilatory tactic of </w:t>
      </w:r>
      <w:r>
        <w:rPr>
          <w:rFonts w:cs="Times New Roman"/>
        </w:rPr>
        <w:t>homonationalism</w:t>
      </w:r>
      <w:r w:rsidRPr="006471D1">
        <w:rPr>
          <w:rFonts w:cs="Times New Roman"/>
        </w:rPr>
        <w:t xml:space="preserve"> – the progressive narrative of inclusion envelops deviant subjects into a </w:t>
      </w:r>
      <w:r>
        <w:rPr>
          <w:rFonts w:cs="Times New Roman"/>
        </w:rPr>
        <w:t xml:space="preserve">project of citizenship which consolidates cis-heteropatriarchy </w:t>
      </w:r>
    </w:p>
    <w:p w:rsidR="000D3F1C" w:rsidRPr="006471D1" w:rsidRDefault="000D3F1C" w:rsidP="000D3F1C">
      <w:r w:rsidRPr="006471D1">
        <w:rPr>
          <w:rStyle w:val="Style13ptBold"/>
        </w:rPr>
        <w:t>Shannon 16</w:t>
      </w:r>
      <w:r w:rsidRPr="006471D1">
        <w:t xml:space="preserve"> (Barrie Shannon, PhD Candidate at the School of Humanities and Social Science, University of Newcastle, Newcastle, Australia. “Comprehensive for who? Neoliberal directives in Australian ‘comprehensive’ sexuality education and the erasure of GLBTIQ identity,” </w:t>
      </w:r>
      <w:r w:rsidRPr="006471D1">
        <w:rPr>
          <w:i/>
        </w:rPr>
        <w:t>Sex Education,</w:t>
      </w:r>
      <w:r w:rsidRPr="006471D1">
        <w:t xml:space="preserve"> 2016)[discourse modified]*</w:t>
      </w:r>
    </w:p>
    <w:p w:rsidR="000D3F1C" w:rsidRPr="006471D1" w:rsidRDefault="000D3F1C" w:rsidP="000D3F1C">
      <w:pPr>
        <w:rPr>
          <w:sz w:val="16"/>
        </w:rPr>
      </w:pPr>
      <w:r w:rsidRPr="006471D1">
        <w:rPr>
          <w:sz w:val="16"/>
        </w:rPr>
        <w:t xml:space="preserve">Sameness, ‘homonormativity’ and GLBTIQ erasure Harris and Farrington (2014) and Riggs and Due (2013) critique the discourses of ‘sameness and homogeneity’ which permeate contemporary sexuality education, particularly in relation to the way in which GLBTIQ people are portrayed as the same as heterosexual people. This </w:t>
      </w:r>
      <w:r w:rsidRPr="006471D1">
        <w:rPr>
          <w:rStyle w:val="StyleUnderline"/>
        </w:rPr>
        <w:t>sameness is provided as a justification for queer people to deserve legitimacy, respect and representation within the curriculum</w:t>
      </w:r>
      <w:r w:rsidRPr="006471D1">
        <w:rPr>
          <w:sz w:val="16"/>
        </w:rPr>
        <w:t xml:space="preserve">. </w:t>
      </w:r>
      <w:r w:rsidRPr="006471D1">
        <w:rPr>
          <w:rStyle w:val="StyleUnderline"/>
        </w:rPr>
        <w:t>The underlying assumption is ‘that</w:t>
      </w:r>
      <w:r w:rsidRPr="006471D1">
        <w:rPr>
          <w:sz w:val="16"/>
        </w:rPr>
        <w:t xml:space="preserve"> they [</w:t>
      </w:r>
      <w:r w:rsidRPr="006471D1">
        <w:rPr>
          <w:rStyle w:val="StyleUnderline"/>
        </w:rPr>
        <w:t>GLBTIQ</w:t>
      </w:r>
      <w:r w:rsidRPr="006471D1">
        <w:rPr>
          <w:sz w:val="16"/>
        </w:rPr>
        <w:t xml:space="preserve"> </w:t>
      </w:r>
      <w:r w:rsidRPr="006471D1">
        <w:rPr>
          <w:rStyle w:val="StyleUnderline"/>
        </w:rPr>
        <w:t>people</w:t>
      </w:r>
      <w:r w:rsidRPr="006471D1">
        <w:rPr>
          <w:sz w:val="16"/>
        </w:rPr>
        <w:t xml:space="preserve">] </w:t>
      </w:r>
      <w:r w:rsidRPr="006471D1">
        <w:rPr>
          <w:rStyle w:val="StyleUnderline"/>
        </w:rPr>
        <w:t>want nothing more than to assimilate to the standards and limitations dictated by heterosexual hegemony’</w:t>
      </w:r>
      <w:r w:rsidRPr="006471D1">
        <w:rPr>
          <w:sz w:val="16"/>
        </w:rPr>
        <w:t xml:space="preserve"> (Peterson 2013, 489). </w:t>
      </w:r>
      <w:r w:rsidRPr="006471D1">
        <w:rPr>
          <w:rStyle w:val="StyleUnderline"/>
        </w:rPr>
        <w:t xml:space="preserve">This practice of assimilation, which avoids critique, is somewhat of a litmus test for those who can be deemed </w:t>
      </w:r>
      <w:r w:rsidRPr="006471D1">
        <w:rPr>
          <w:rStyle w:val="Emphasis"/>
        </w:rPr>
        <w:t>eligible for social citizenship</w:t>
      </w:r>
      <w:r w:rsidRPr="006471D1">
        <w:rPr>
          <w:sz w:val="16"/>
        </w:rPr>
        <w:t xml:space="preserve">. Halberstam (2003) has observed a similar trend in queer activism and representation more broadly. </w:t>
      </w:r>
      <w:r w:rsidRPr="006471D1">
        <w:rPr>
          <w:rStyle w:val="StyleUnderline"/>
        </w:rPr>
        <w:t xml:space="preserve">The dominant narrative of the ‘gay and lesbian community is used as a rallying cry for fairly conservative social projects aimed at </w:t>
      </w:r>
      <w:r w:rsidRPr="006471D1">
        <w:rPr>
          <w:rStyle w:val="Emphasis"/>
        </w:rPr>
        <w:t>assimilating gays and lesbians</w:t>
      </w:r>
      <w:r w:rsidRPr="006471D1">
        <w:rPr>
          <w:rStyle w:val="StyleUnderline"/>
        </w:rPr>
        <w:t xml:space="preserve"> into the </w:t>
      </w:r>
      <w:r w:rsidRPr="006471D1">
        <w:rPr>
          <w:rStyle w:val="Emphasis"/>
        </w:rPr>
        <w:t>mainstream life of the nation and the family’</w:t>
      </w:r>
      <w:r w:rsidRPr="006471D1">
        <w:rPr>
          <w:sz w:val="16"/>
        </w:rPr>
        <w:t xml:space="preserve"> (Halberstam 2003, 314). </w:t>
      </w:r>
      <w:r w:rsidRPr="006471D1">
        <w:rPr>
          <w:rStyle w:val="StyleUnderline"/>
        </w:rPr>
        <w:t>Halberstam</w:t>
      </w:r>
      <w:r w:rsidRPr="006471D1">
        <w:rPr>
          <w:sz w:val="16"/>
        </w:rPr>
        <w:t xml:space="preserve"> (2003) </w:t>
      </w:r>
      <w:r w:rsidRPr="006471D1">
        <w:rPr>
          <w:rStyle w:val="StyleUnderline"/>
        </w:rPr>
        <w:t xml:space="preserve">critiques the placement of GLBTIQ people into the dominant </w:t>
      </w:r>
      <w:r w:rsidRPr="006471D1">
        <w:rPr>
          <w:rStyle w:val="Emphasis"/>
        </w:rPr>
        <w:lastRenderedPageBreak/>
        <w:t>heteronormative temporality</w:t>
      </w:r>
      <w:r w:rsidRPr="006471D1">
        <w:rPr>
          <w:rStyle w:val="StyleUnderline"/>
        </w:rPr>
        <w:t xml:space="preserve"> consisting of birth, marriage, reproduction and death, dominantly portrayed as the ‘natural’ or universally desirable human lifespan</w:t>
      </w:r>
      <w:r w:rsidRPr="006471D1">
        <w:rPr>
          <w:sz w:val="16"/>
        </w:rPr>
        <w:t xml:space="preserve">. Riggs and Due (2013) demonstrate this point in their exploration of how the topic of same-sex families is broached in Australian classroom discussions. Although Australian sexuality education curricula are often well-meaning in their attempts to include </w:t>
      </w:r>
      <w:r w:rsidRPr="006471D1">
        <w:rPr>
          <w:rStyle w:val="StyleUnderline"/>
        </w:rPr>
        <w:t>same-sex families</w:t>
      </w:r>
      <w:r w:rsidRPr="006471D1">
        <w:rPr>
          <w:sz w:val="16"/>
        </w:rPr>
        <w:t>, they a</w:t>
      </w:r>
      <w:r w:rsidRPr="006471D1">
        <w:rPr>
          <w:rStyle w:val="StyleUnderline"/>
        </w:rPr>
        <w:t xml:space="preserve">ppear ‘typically through a </w:t>
      </w:r>
      <w:r w:rsidRPr="006471D1">
        <w:rPr>
          <w:rStyle w:val="Emphasis"/>
        </w:rPr>
        <w:t>guise of liberal equality</w:t>
      </w:r>
      <w:r w:rsidRPr="006471D1">
        <w:rPr>
          <w:rStyle w:val="StyleUnderline"/>
        </w:rPr>
        <w:t xml:space="preserve"> that enshrines heterosexuality as the norm against which non-heterosexual people are measured</w:t>
      </w:r>
      <w:r w:rsidRPr="006471D1">
        <w:rPr>
          <w:sz w:val="16"/>
        </w:rPr>
        <w:t xml:space="preserve">’ (Riggs and Due 2013, 102). </w:t>
      </w:r>
      <w:r w:rsidRPr="006471D1">
        <w:rPr>
          <w:rStyle w:val="StyleUnderline"/>
        </w:rPr>
        <w:t xml:space="preserve">Though it is important that sexuality education curricula emphasise the notion that queer families should be viewed as ‘normal’, and certainly treated as legal and societal equals, the constitution of the ‘normal’ family in this context </w:t>
      </w:r>
      <w:r w:rsidRPr="006471D1">
        <w:rPr>
          <w:rStyle w:val="Emphasis"/>
        </w:rPr>
        <w:t>evades interrogation</w:t>
      </w:r>
      <w:r w:rsidRPr="006471D1">
        <w:rPr>
          <w:rStyle w:val="StyleUnderline"/>
        </w:rPr>
        <w:t xml:space="preserve">. A lack of critical attention to the normative ‘family’ </w:t>
      </w:r>
      <w:r w:rsidRPr="006471D1">
        <w:rPr>
          <w:rStyle w:val="Emphasis"/>
        </w:rPr>
        <w:t>entrenches several assumptions about families</w:t>
      </w:r>
      <w:r w:rsidRPr="006471D1">
        <w:rPr>
          <w:rStyle w:val="StyleUnderline"/>
        </w:rPr>
        <w:t xml:space="preserve"> and the expected </w:t>
      </w:r>
      <w:r w:rsidRPr="006471D1">
        <w:rPr>
          <w:rStyle w:val="Emphasis"/>
        </w:rPr>
        <w:t>social</w:t>
      </w:r>
      <w:r w:rsidRPr="006471D1">
        <w:rPr>
          <w:rStyle w:val="StyleUnderline"/>
        </w:rPr>
        <w:t xml:space="preserve"> and </w:t>
      </w:r>
      <w:r w:rsidRPr="006471D1">
        <w:rPr>
          <w:rStyle w:val="Emphasis"/>
        </w:rPr>
        <w:t>economic roles</w:t>
      </w:r>
      <w:r w:rsidRPr="006471D1">
        <w:rPr>
          <w:rStyle w:val="StyleUnderline"/>
        </w:rPr>
        <w:t xml:space="preserve"> of each family member</w:t>
      </w:r>
      <w:r w:rsidRPr="006471D1">
        <w:rPr>
          <w:sz w:val="16"/>
        </w:rPr>
        <w:t xml:space="preserve">. Peterson (2013, 487) writes that </w:t>
      </w:r>
      <w:r w:rsidRPr="006471D1">
        <w:rPr>
          <w:rStyle w:val="StyleUnderline"/>
        </w:rPr>
        <w:t>the family is seen to be the ‘primary organising feature of social, civil, cultural, and economic life’</w:t>
      </w:r>
      <w:r w:rsidRPr="006471D1">
        <w:rPr>
          <w:sz w:val="16"/>
        </w:rPr>
        <w:t xml:space="preserve">. </w:t>
      </w:r>
      <w:r w:rsidRPr="006471D1">
        <w:rPr>
          <w:rStyle w:val="StyleUnderline"/>
        </w:rPr>
        <w:t xml:space="preserve">The portrayal of the family, however, is ‘predicated on persistent and unidentified, heteronormative </w:t>
      </w:r>
      <w:r w:rsidRPr="006471D1">
        <w:rPr>
          <w:rStyle w:val="Emphasis"/>
        </w:rPr>
        <w:t>assumptions</w:t>
      </w:r>
      <w:r w:rsidRPr="006471D1">
        <w:rPr>
          <w:rStyle w:val="StyleUnderline"/>
        </w:rPr>
        <w:t xml:space="preserve"> and </w:t>
      </w:r>
      <w:r w:rsidRPr="006471D1">
        <w:rPr>
          <w:rStyle w:val="Emphasis"/>
        </w:rPr>
        <w:t>conscriptions’</w:t>
      </w:r>
      <w:r w:rsidRPr="006471D1">
        <w:rPr>
          <w:sz w:val="16"/>
        </w:rPr>
        <w:t xml:space="preserve"> (Peterson 2013, 487), </w:t>
      </w:r>
      <w:r w:rsidRPr="006471D1">
        <w:rPr>
          <w:rStyle w:val="StyleUnderline"/>
        </w:rPr>
        <w:t xml:space="preserve">such as dominant modes of </w:t>
      </w:r>
      <w:r w:rsidRPr="006471D1">
        <w:rPr>
          <w:rStyle w:val="Emphasis"/>
        </w:rPr>
        <w:t>economic participation</w:t>
      </w:r>
      <w:r w:rsidRPr="006471D1">
        <w:rPr>
          <w:sz w:val="16"/>
        </w:rPr>
        <w:t xml:space="preserve">, </w:t>
      </w:r>
      <w:r w:rsidRPr="006471D1">
        <w:rPr>
          <w:rStyle w:val="Emphasis"/>
        </w:rPr>
        <w:t>cultural reproduction</w:t>
      </w:r>
      <w:r w:rsidRPr="006471D1">
        <w:rPr>
          <w:sz w:val="16"/>
        </w:rPr>
        <w:t xml:space="preserve">, </w:t>
      </w:r>
      <w:r w:rsidRPr="006471D1">
        <w:rPr>
          <w:rStyle w:val="StyleUnderline"/>
        </w:rPr>
        <w:t xml:space="preserve">and childbirth and </w:t>
      </w:r>
      <w:r w:rsidRPr="006471D1">
        <w:rPr>
          <w:rStyle w:val="Emphasis"/>
        </w:rPr>
        <w:t>child-rearing</w:t>
      </w:r>
      <w:r w:rsidRPr="006471D1">
        <w:rPr>
          <w:sz w:val="16"/>
        </w:rPr>
        <w:t xml:space="preserve"> (Peterson 2011</w:t>
      </w:r>
      <w:r w:rsidRPr="006471D1">
        <w:rPr>
          <w:rStyle w:val="StyleUnderline"/>
        </w:rPr>
        <w:t>). The family itself is often presented as intertwined with seemingly ‘natural’ biological processes.</w:t>
      </w:r>
      <w:r w:rsidRPr="006471D1">
        <w:rPr>
          <w:sz w:val="16"/>
        </w:rPr>
        <w:t xml:space="preserve"> </w:t>
      </w:r>
      <w:r w:rsidRPr="006471D1">
        <w:rPr>
          <w:rStyle w:val="StyleUnderline"/>
        </w:rPr>
        <w:t xml:space="preserve">Focuses on ‘reproductive biology tend to reinforce a </w:t>
      </w:r>
      <w:r w:rsidRPr="006471D1">
        <w:rPr>
          <w:rStyle w:val="Emphasis"/>
        </w:rPr>
        <w:t>normatively gendered</w:t>
      </w:r>
      <w:r w:rsidRPr="006471D1">
        <w:rPr>
          <w:rStyle w:val="StyleUnderline"/>
        </w:rPr>
        <w:t xml:space="preserve"> and </w:t>
      </w:r>
      <w:r w:rsidRPr="006471D1">
        <w:rPr>
          <w:rStyle w:val="Emphasis"/>
        </w:rPr>
        <w:t>naturalised</w:t>
      </w:r>
      <w:r w:rsidRPr="006471D1">
        <w:rPr>
          <w:rStyle w:val="StyleUnderline"/>
        </w:rPr>
        <w:t xml:space="preserve"> understanding of parenthood, gender, and familial responsibilities</w:t>
      </w:r>
      <w:r w:rsidRPr="006471D1">
        <w:rPr>
          <w:sz w:val="16"/>
        </w:rPr>
        <w:t xml:space="preserve"> … [</w:t>
      </w:r>
      <w:r w:rsidRPr="006471D1">
        <w:rPr>
          <w:rStyle w:val="StyleUnderline"/>
        </w:rPr>
        <w:t>which</w:t>
      </w:r>
      <w:r w:rsidRPr="006471D1">
        <w:rPr>
          <w:sz w:val="16"/>
        </w:rPr>
        <w:t xml:space="preserve">] </w:t>
      </w:r>
      <w:r w:rsidRPr="006471D1">
        <w:rPr>
          <w:rStyle w:val="StyleUnderline"/>
        </w:rPr>
        <w:t>link these social understandings to biology’</w:t>
      </w:r>
      <w:r w:rsidRPr="006471D1">
        <w:rPr>
          <w:sz w:val="16"/>
        </w:rPr>
        <w:t xml:space="preserve"> (McNeill 2013, 836). </w:t>
      </w:r>
      <w:r w:rsidRPr="006471D1">
        <w:rPr>
          <w:rStyle w:val="StyleUnderline"/>
        </w:rPr>
        <w:t>Existing on the periphery of this normative and ‘natural’ model</w:t>
      </w:r>
      <w:r w:rsidRPr="006471D1">
        <w:rPr>
          <w:sz w:val="16"/>
        </w:rPr>
        <w:t xml:space="preserve">, </w:t>
      </w:r>
      <w:r w:rsidRPr="006471D1">
        <w:rPr>
          <w:rStyle w:val="StyleUnderline"/>
        </w:rPr>
        <w:t>GLBTIQ families are implicitly burdened with the ‘need to somehow prove their ‘sameness’ with heterosexuals in order to gain social credibility and legitimacy’</w:t>
      </w:r>
      <w:r w:rsidRPr="006471D1">
        <w:rPr>
          <w:sz w:val="16"/>
        </w:rPr>
        <w:t xml:space="preserve"> (Peterson 2013, 489). Wilton (1996) notes that </w:t>
      </w:r>
      <w:r w:rsidRPr="006471D1">
        <w:rPr>
          <w:rStyle w:val="Emphasis"/>
        </w:rPr>
        <w:t>the ‘sameness’ test</w:t>
      </w:r>
      <w:r w:rsidRPr="006471D1">
        <w:rPr>
          <w:rStyle w:val="StyleUnderline"/>
        </w:rPr>
        <w:t xml:space="preserve"> is often enforced on GLBTIQ people in same-sex relationships and their families, in the form of </w:t>
      </w:r>
      <w:r w:rsidRPr="006471D1">
        <w:rPr>
          <w:rStyle w:val="Emphasis"/>
        </w:rPr>
        <w:t>gendered assumptions</w:t>
      </w:r>
      <w:r w:rsidRPr="006471D1">
        <w:rPr>
          <w:rStyle w:val="StyleUnderline"/>
        </w:rPr>
        <w:t xml:space="preserve"> or questions about their roles in their own relationships and in public life</w:t>
      </w:r>
      <w:r w:rsidRPr="006471D1">
        <w:rPr>
          <w:sz w:val="16"/>
        </w:rPr>
        <w:t>. Examples provided by Wilton (1996) often relate to confusion about who fulfils gendered expectations as arbitrary as the completion of domestic duties, or each partner’s ‘role’ during sexual intercourse. Peterson (2013, 488) thus warns that ‘</w:t>
      </w:r>
      <w:r w:rsidRPr="006471D1">
        <w:rPr>
          <w:rStyle w:val="StyleUnderline"/>
        </w:rPr>
        <w:t xml:space="preserve">individuals and relationships that exist outside the family’s designated bounds are at risk of being deemed </w:t>
      </w:r>
      <w:r w:rsidRPr="006471D1">
        <w:rPr>
          <w:rStyle w:val="Emphasis"/>
        </w:rPr>
        <w:t>undesirable</w:t>
      </w:r>
      <w:r w:rsidRPr="006471D1">
        <w:rPr>
          <w:rStyle w:val="StyleUnderline"/>
        </w:rPr>
        <w:t xml:space="preserve">, unworthy of support, and even </w:t>
      </w:r>
      <w:r w:rsidRPr="006471D1">
        <w:rPr>
          <w:rStyle w:val="Emphasis"/>
        </w:rPr>
        <w:t>pathological’</w:t>
      </w:r>
      <w:r w:rsidRPr="006471D1">
        <w:rPr>
          <w:sz w:val="16"/>
        </w:rPr>
        <w:t xml:space="preserve">. </w:t>
      </w:r>
      <w:r w:rsidRPr="006471D1">
        <w:rPr>
          <w:rStyle w:val="StyleUnderline"/>
        </w:rPr>
        <w:t xml:space="preserve">The ability to prove this sameness, or at least appear to be doing so, is a privilege that </w:t>
      </w:r>
      <w:r w:rsidRPr="006471D1">
        <w:rPr>
          <w:rStyle w:val="Emphasis"/>
        </w:rPr>
        <w:t>cisgendered queer people enjoy</w:t>
      </w:r>
      <w:r w:rsidRPr="006471D1">
        <w:rPr>
          <w:rStyle w:val="StyleUnderline"/>
        </w:rPr>
        <w:t xml:space="preserve"> that gender </w:t>
      </w:r>
      <w:r w:rsidRPr="006471D1">
        <w:rPr>
          <w:rStyle w:val="Emphasis"/>
        </w:rPr>
        <w:t>non-conforming or transgender people do</w:t>
      </w:r>
      <w:r w:rsidRPr="006471D1">
        <w:rPr>
          <w:rStyle w:val="StyleUnderline"/>
        </w:rPr>
        <w:t xml:space="preserve"> </w:t>
      </w:r>
      <w:r w:rsidRPr="006471D1">
        <w:rPr>
          <w:rStyle w:val="Emphasis"/>
        </w:rPr>
        <w:t>not</w:t>
      </w:r>
      <w:r w:rsidRPr="006471D1">
        <w:rPr>
          <w:sz w:val="16"/>
        </w:rPr>
        <w:t xml:space="preserve">. </w:t>
      </w:r>
      <w:r w:rsidRPr="006471D1">
        <w:rPr>
          <w:rStyle w:val="StyleUnderline"/>
        </w:rPr>
        <w:t>Virtually all representations of the nuclear family include a complementarity of typical male and female gender roles</w:t>
      </w:r>
      <w:r w:rsidRPr="006471D1">
        <w:rPr>
          <w:sz w:val="16"/>
        </w:rPr>
        <w:t xml:space="preserve">, </w:t>
      </w:r>
      <w:r w:rsidRPr="006471D1">
        <w:rPr>
          <w:rStyle w:val="StyleUnderline"/>
        </w:rPr>
        <w:t>from which children are offered a ‘balance’ of normative gender expression</w:t>
      </w:r>
      <w:r w:rsidRPr="006471D1">
        <w:rPr>
          <w:sz w:val="16"/>
        </w:rPr>
        <w:t xml:space="preserve">. Consequently </w:t>
      </w:r>
      <w:r w:rsidRPr="006471D1">
        <w:rPr>
          <w:rStyle w:val="StyleUnderline"/>
        </w:rPr>
        <w:t>for</w:t>
      </w:r>
      <w:r w:rsidRPr="006471D1">
        <w:rPr>
          <w:sz w:val="16"/>
        </w:rPr>
        <w:t xml:space="preserve"> </w:t>
      </w:r>
      <w:r w:rsidRPr="006471D1">
        <w:rPr>
          <w:strike/>
          <w:sz w:val="16"/>
        </w:rPr>
        <w:t>transgendered</w:t>
      </w:r>
      <w:r w:rsidRPr="006471D1">
        <w:rPr>
          <w:sz w:val="16"/>
        </w:rPr>
        <w:t xml:space="preserve"> [</w:t>
      </w:r>
      <w:r w:rsidRPr="006471D1">
        <w:rPr>
          <w:rStyle w:val="StyleUnderline"/>
        </w:rPr>
        <w:t>transgender</w:t>
      </w:r>
      <w:r w:rsidRPr="006471D1">
        <w:rPr>
          <w:sz w:val="16"/>
        </w:rPr>
        <w:t xml:space="preserve">]* </w:t>
      </w:r>
      <w:r w:rsidRPr="006471D1">
        <w:rPr>
          <w:rStyle w:val="StyleUnderline"/>
        </w:rPr>
        <w:t>people who display visual and social transgressions of traditional gender roles, it may not be possible to be reconciled into the traditional family model at all.</w:t>
      </w:r>
      <w:r w:rsidRPr="006471D1">
        <w:rPr>
          <w:sz w:val="16"/>
        </w:rPr>
        <w:t xml:space="preserve"> </w:t>
      </w:r>
      <w:r w:rsidRPr="006471D1">
        <w:rPr>
          <w:strike/>
          <w:sz w:val="16"/>
        </w:rPr>
        <w:t>Transgendered</w:t>
      </w:r>
      <w:r w:rsidRPr="006471D1">
        <w:rPr>
          <w:sz w:val="16"/>
        </w:rPr>
        <w:t xml:space="preserve"> [</w:t>
      </w:r>
      <w:r w:rsidRPr="006471D1">
        <w:rPr>
          <w:rStyle w:val="StyleUnderline"/>
        </w:rPr>
        <w:t>transgender</w:t>
      </w:r>
      <w:r w:rsidRPr="006471D1">
        <w:rPr>
          <w:sz w:val="16"/>
        </w:rPr>
        <w:t xml:space="preserve">]* </w:t>
      </w:r>
      <w:r w:rsidRPr="006471D1">
        <w:rPr>
          <w:rStyle w:val="StyleUnderline"/>
        </w:rPr>
        <w:t>and gender non-conforming people and their families therefore face</w:t>
      </w:r>
      <w:r w:rsidRPr="006471D1">
        <w:rPr>
          <w:sz w:val="16"/>
        </w:rPr>
        <w:t xml:space="preserve"> </w:t>
      </w:r>
      <w:r w:rsidRPr="006471D1">
        <w:rPr>
          <w:rStyle w:val="Emphasis"/>
        </w:rPr>
        <w:t>continued exclusion and discrimination</w:t>
      </w:r>
      <w:r w:rsidRPr="006471D1">
        <w:rPr>
          <w:sz w:val="16"/>
        </w:rPr>
        <w:t xml:space="preserve"> w</w:t>
      </w:r>
      <w:r w:rsidRPr="006471D1">
        <w:rPr>
          <w:rStyle w:val="StyleUnderline"/>
        </w:rPr>
        <w:t xml:space="preserve">ithin and outside of the GLBTIQ rights movement </w:t>
      </w:r>
      <w:r w:rsidRPr="006471D1">
        <w:rPr>
          <w:sz w:val="16"/>
        </w:rPr>
        <w:t xml:space="preserve">(Jauk 2013). </w:t>
      </w:r>
      <w:r w:rsidRPr="006471D1">
        <w:rPr>
          <w:rStyle w:val="StyleUnderline"/>
        </w:rPr>
        <w:t>Elliott</w:t>
      </w:r>
      <w:r w:rsidRPr="006471D1">
        <w:rPr>
          <w:sz w:val="16"/>
        </w:rPr>
        <w:t xml:space="preserve"> (2014) </w:t>
      </w:r>
      <w:r w:rsidRPr="006471D1">
        <w:rPr>
          <w:rStyle w:val="StyleUnderline"/>
        </w:rPr>
        <w:t>alleges that liberationist activisms and the queering of structural institutions are actively discouraged through the employment of neoliberal discourses</w:t>
      </w:r>
      <w:r w:rsidRPr="006471D1">
        <w:rPr>
          <w:sz w:val="16"/>
        </w:rPr>
        <w:t xml:space="preserve">. </w:t>
      </w:r>
      <w:r w:rsidRPr="006471D1">
        <w:rPr>
          <w:rStyle w:val="StyleUnderline"/>
        </w:rPr>
        <w:t xml:space="preserve">The tenets of ‘good’ neoliberal citizenship are the ability ‘to be self-managing, self-responsible, and desiring of self-advancement – and to </w:t>
      </w:r>
      <w:r w:rsidRPr="006471D1">
        <w:rPr>
          <w:rStyle w:val="Emphasis"/>
        </w:rPr>
        <w:t>conform to</w:t>
      </w:r>
      <w:r w:rsidRPr="006471D1">
        <w:rPr>
          <w:rStyle w:val="StyleUnderline"/>
        </w:rPr>
        <w:t>, rather than challenge, existing institutional arrangements’</w:t>
      </w:r>
      <w:r w:rsidRPr="006471D1">
        <w:rPr>
          <w:sz w:val="16"/>
        </w:rPr>
        <w:t xml:space="preserve"> (Elliott 2014, 212). </w:t>
      </w:r>
      <w:r w:rsidRPr="006471D1">
        <w:rPr>
          <w:rStyle w:val="StyleUnderline"/>
        </w:rPr>
        <w:t>Sexuality and its consequences are expected to be personally managed and kept private, therefore preventing any meaningful open dialogue about the social aspects of sex, sexuality and gender expression</w:t>
      </w:r>
      <w:r w:rsidRPr="006471D1">
        <w:rPr>
          <w:sz w:val="16"/>
        </w:rPr>
        <w:t xml:space="preserve">. Sexual autonomy in decision-making and interpersonal relationships is encouraged in neoliberal sexuality education. McAvoy (2013, 495) agrees in this sense that ‘sex education that prioritises the value of autonomy reifies inequality’. </w:t>
      </w:r>
      <w:r w:rsidRPr="006471D1">
        <w:rPr>
          <w:rStyle w:val="StyleUnderline"/>
        </w:rPr>
        <w:t>Elliott</w:t>
      </w:r>
      <w:r w:rsidRPr="006471D1">
        <w:rPr>
          <w:sz w:val="16"/>
        </w:rPr>
        <w:t xml:space="preserve"> (2014, 222) </w:t>
      </w:r>
      <w:r w:rsidRPr="006471D1">
        <w:rPr>
          <w:rStyle w:val="StyleUnderline"/>
        </w:rPr>
        <w:t xml:space="preserve">eloquently rebukes the notion of sexual autonomy by stating that ‘we are not invulnerable, autonomous </w:t>
      </w:r>
      <w:r w:rsidRPr="006471D1">
        <w:rPr>
          <w:rStyle w:val="StyleUnderline"/>
        </w:rPr>
        <w:lastRenderedPageBreak/>
        <w:t xml:space="preserve">agents… we are intimately linked with others, a fact that should be acknowledged and unpacked in the sex education classroom </w:t>
      </w:r>
      <w:r w:rsidRPr="006471D1">
        <w:rPr>
          <w:sz w:val="16"/>
        </w:rPr>
        <w:t>as well as in public policy and government discourse’. If we accept Elliott’s (2014) argument that we are ‘intimately linked with others’, it follows that we should look to shape a curriculum that acknowledges and celebrates the actual lived experiences of young people; sexuality in the classroom must emphasise personhood and mutuality if it is to be relevant and effective. This is especially important for young GLBTIQ people whose identities are subject to erasure under a heterosexualised and gendered curriculum, and whose capability to feel ‘intimately linked’ with the world around them is diminished.</w:t>
      </w:r>
    </w:p>
    <w:p w:rsidR="000D3F1C" w:rsidRDefault="000D3F1C" w:rsidP="000D3F1C"/>
    <w:p w:rsidR="000D3F1C" w:rsidRDefault="000D3F1C" w:rsidP="000D3F1C">
      <w:pPr>
        <w:pStyle w:val="Heading4"/>
      </w:pPr>
      <w:r>
        <w:t>This reproductive homonationalism consolidates empire in the name of the Child—the aff’s project of sexual citizenship mantains and justifies imperial wars that secure the future through the extermination of deviant communities of color</w:t>
      </w:r>
    </w:p>
    <w:p w:rsidR="000D3F1C" w:rsidRDefault="000D3F1C" w:rsidP="000D3F1C">
      <w:r w:rsidRPr="00085065">
        <w:rPr>
          <w:rStyle w:val="Heading4Char"/>
        </w:rPr>
        <w:t xml:space="preserve">Schotten 2015 </w:t>
      </w:r>
      <w:r>
        <w:t>[C. Heike, Associate Professor of Political Science and an affiliated faculty in Women's and Gender Studies at the University of Massachusetts Boston "Homonationalist Futurism:“Terrorism” and (Other) Queer Resistance to Empire." New Political Science 37.1 (2015): 71-90.]</w:t>
      </w:r>
    </w:p>
    <w:p w:rsidR="000D3F1C" w:rsidRDefault="000D3F1C" w:rsidP="000D3F1C">
      <w:r w:rsidRPr="00085065">
        <w:rPr>
          <w:sz w:val="16"/>
        </w:rPr>
        <w:t xml:space="preserve">In queer theory, No Future has largely been read as making an argument regarding the constitutive heteronormativity of the social order. Edelman names this heteronormativity “reproductive futurism” and argues that it inevitably dooms homosexuals—branded as non-reproductive sexual nihilists—to instantiating society’s death drive. I contend, however, that No Future can be understood more generically as a work of political theory, especially given that Edelman explicitly describes its subject matter—reproductive futurism—as “the logic within which the political itself must be thought.”14 Identifying this political theory, however, requires some appropriation, given that, ultimately, Edelman is more concerned with Lacan than politics. Reading with and into the text, then, I propose three modifications of the psychoanalytic politics Edelman advances in No Future in order to more fully appropriate it for political theorizing.15 The first is to insert a distinction between the “futurism” and “reproductive futurism” he discusses, the latter being understood as a specific version of the former. Put simply, </w:t>
      </w:r>
      <w:r w:rsidRPr="007E3C0D">
        <w:rPr>
          <w:rStyle w:val="StyleUnderline"/>
        </w:rPr>
        <w:t>futurism is synopsized by the “presupposition that the body politic must survive,”</w:t>
      </w:r>
      <w:r w:rsidRPr="00085065">
        <w:rPr>
          <w:sz w:val="16"/>
        </w:rPr>
        <w:t xml:space="preserve">16 </w:t>
      </w:r>
      <w:r w:rsidRPr="007E3C0D">
        <w:rPr>
          <w:rStyle w:val="StyleUnderline"/>
        </w:rPr>
        <w:t>the</w:t>
      </w:r>
      <w:r w:rsidRPr="00085065">
        <w:rPr>
          <w:sz w:val="16"/>
        </w:rPr>
        <w:t xml:space="preserve"> putatively apolitical article of </w:t>
      </w:r>
      <w:r w:rsidRPr="007E3C0D">
        <w:rPr>
          <w:rStyle w:val="StyleUnderline"/>
        </w:rPr>
        <w:t>faith in the</w:t>
      </w:r>
      <w:r w:rsidRPr="00085065">
        <w:rPr>
          <w:sz w:val="16"/>
        </w:rPr>
        <w:t xml:space="preserve"> necessary </w:t>
      </w:r>
      <w:r w:rsidRPr="007E3C0D">
        <w:rPr>
          <w:rStyle w:val="StyleUnderline"/>
        </w:rPr>
        <w:t>continuity of politics as such.</w:t>
      </w:r>
      <w:r w:rsidRPr="00085065">
        <w:rPr>
          <w:sz w:val="16"/>
        </w:rPr>
        <w:t xml:space="preserve"> “[E]very political vision,” Edelman claims, is “a vision of futurity.”17 More specifically, reproductive futurism is characterized by “a set of values widely thought of as extrapolitical: values that center on the family, to be sure, but that focus on the protection of children.”18 The iconographic signifier of reproductive futurism is the child; its mantra, “Whitney Houston’s rendition of the secular hymn, ‘I believe that children are our future,’ a hymn we might as well simply declare our national anthem and be done with it.”19 Reproductive futurism is the apolitical imperative that the present be held in service to the children’s future adulthood: [W]e are no more able to conceive of a politics without a fantasy of a future than we are able to conceive of a future without the figure of the Child. That figural Child alone embodies the citizen as an ideal, entitled to claim full rights to its future share in the nation’s good, though always at the cost of limiting the rights “real” citizens are allowed. </w:t>
      </w:r>
      <w:r w:rsidRPr="00085065">
        <w:rPr>
          <w:rStyle w:val="StyleUnderline"/>
        </w:rPr>
        <w:t>For the</w:t>
      </w:r>
      <w:r w:rsidRPr="007E3C0D">
        <w:rPr>
          <w:rStyle w:val="StyleUnderline"/>
        </w:rPr>
        <w:t xml:space="preserve"> social order exists to preserve for this universalized subject, this fantasmatic Child, a notional freedom more highly valued than the actuality of freedom itself</w:t>
      </w:r>
      <w:r w:rsidRPr="00085065">
        <w:rPr>
          <w:sz w:val="16"/>
        </w:rPr>
        <w:t xml:space="preserve">, which might, after all, put at risk the Child to whom such a freedom falls due.20 Whether discussing the survival of the body politic (futurism) or the future as symbolized by the child (reproductive futurism), Edelman is clear that the presuppositions of both are deemed apolitical, although that is precisely what makes them “so oppressively political.”21 For the presuppositions of (reproductive) futurism are the very terms of politics as such. To participate in politics at all, even in protest or dissent, requires that one “submit to the framing of political debate—and, indeed, of the political field—as defined by the terms of ...reproductive futurism: terms that impose an ideological limit on political discourse as such.”22 This is how and why Edelman says that there is no future for queers: politics itself designates “queers” as futureless. </w:t>
      </w:r>
      <w:r w:rsidRPr="007E3C0D">
        <w:rPr>
          <w:rStyle w:val="StyleUnderline"/>
        </w:rPr>
        <w:t>By definition, politics seeks to install an order of sameness through the ideological (re)production of a future that promises a</w:t>
      </w:r>
      <w:r w:rsidRPr="00085065">
        <w:rPr>
          <w:sz w:val="16"/>
        </w:rPr>
        <w:t xml:space="preserve"> seamless </w:t>
      </w:r>
      <w:r w:rsidRPr="007E3C0D">
        <w:rPr>
          <w:rStyle w:val="StyleUnderline"/>
        </w:rPr>
        <w:t>plenitude of meaning</w:t>
      </w:r>
      <w:r w:rsidRPr="00085065">
        <w:rPr>
          <w:sz w:val="16"/>
        </w:rPr>
        <w:t xml:space="preserve">. Rather than acknowledge the impossibility of such an achievement, however, </w:t>
      </w:r>
      <w:r w:rsidRPr="007E3C0D">
        <w:rPr>
          <w:rStyle w:val="StyleUnderline"/>
        </w:rPr>
        <w:t>this failing is</w:t>
      </w:r>
      <w:r w:rsidRPr="00085065">
        <w:rPr>
          <w:sz w:val="16"/>
        </w:rPr>
        <w:t xml:space="preserve"> instead </w:t>
      </w:r>
      <w:r w:rsidRPr="007E3C0D">
        <w:rPr>
          <w:rStyle w:val="StyleUnderline"/>
        </w:rPr>
        <w:t>foisted onto a</w:t>
      </w:r>
      <w:r w:rsidRPr="00085065">
        <w:rPr>
          <w:sz w:val="16"/>
        </w:rPr>
        <w:t xml:space="preserve"> person, </w:t>
      </w:r>
      <w:r w:rsidRPr="007E3C0D">
        <w:rPr>
          <w:rStyle w:val="StyleUnderline"/>
        </w:rPr>
        <w:t>people</w:t>
      </w:r>
      <w:r w:rsidRPr="00085065">
        <w:rPr>
          <w:sz w:val="16"/>
        </w:rPr>
        <w:t>, or set of forces that instantiate that impossibility in their very existence. These unforgivable obstacles to futurism’s achievement are “queers”: “</w:t>
      </w:r>
      <w:r w:rsidRPr="007E3C0D">
        <w:rPr>
          <w:rStyle w:val="StyleUnderline"/>
        </w:rPr>
        <w:t>the queer dispossesses the social order of the ground on which it rests</w:t>
      </w:r>
      <w:r w:rsidRPr="002F3242">
        <w:rPr>
          <w:rStyle w:val="StyleUnderline"/>
        </w:rPr>
        <w:t>: a faith in the consistent reality of the social ... a faith that politics, whether of the left or of the right, implicitly affirms.”</w:t>
      </w:r>
      <w:r w:rsidRPr="00085065">
        <w:rPr>
          <w:sz w:val="16"/>
        </w:rPr>
        <w:t>23 Defined as non-reproductive sexual nihilists</w:t>
      </w:r>
      <w:r w:rsidRPr="002F3242">
        <w:rPr>
          <w:rStyle w:val="StyleUnderline"/>
        </w:rPr>
        <w:t>, the positioning of queers as culture’s self-indulgent, sex-obsessed death drive thus functions to secure the health, happiness, and adult normality of heterosexually reproducing humanity.</w:t>
      </w:r>
      <w:r w:rsidRPr="00085065">
        <w:rPr>
          <w:sz w:val="16"/>
        </w:rPr>
        <w:t xml:space="preserve"> While this persuasive reading of heteronormativity and homophobia has generated the most critical enthusiasm for No Future, I want to argue that reproductive futurism is neither exhaustive of the political nor futurism’s exclusive form. However hegemonic, reproductive futurism is only “one of the forms” this “calamity” might take.24 For clearly one can invest in the future as signified by any number of possible oppressive and unattainable ideals: not only the child, but also, for example, Christ, security (for example Hobbes), or the American way. </w:t>
      </w:r>
      <w:r w:rsidRPr="002F3242">
        <w:rPr>
          <w:rStyle w:val="StyleUnderline"/>
        </w:rPr>
        <w:t>As Edelman himself observes, “The Child, in the historical epoch of our current epistemological regime, is the figure for this compulsory investment in the misrecognition of figure.”</w:t>
      </w:r>
      <w:r w:rsidRPr="00085065">
        <w:rPr>
          <w:sz w:val="16"/>
        </w:rPr>
        <w:t xml:space="preserve">25 Futurism itself, however, he calls “the substrate of politics.”26 My second proposed modification follows from the first, its mandate being to situate Edelman’s political theory more </w:t>
      </w:r>
      <w:r w:rsidRPr="00085065">
        <w:rPr>
          <w:sz w:val="16"/>
        </w:rPr>
        <w:lastRenderedPageBreak/>
        <w:t>distinctly within history.27 In this regard, suspicious reader John Brenkman helpfully provides the political theory references missing from No Future, noting that “modern critical social discourse, whether among the Enlightenment’s philosophes, French revolutionaries, Marxists, social democrats, or contemporary socialists and democrats” all engage in the kind of future-wagering Edelman describes as definitively political.28 Historically, Brenkman is correct—</w:t>
      </w:r>
      <w:r w:rsidRPr="006370BD">
        <w:rPr>
          <w:rStyle w:val="StyleUnderline"/>
        </w:rPr>
        <w:t>futurism is a distinctively modern phenomenon that must be tethered to, among other things, the advent of industrial capitalism, colonialism, and the rise of the nation-state.</w:t>
      </w:r>
      <w:r w:rsidRPr="00085065">
        <w:rPr>
          <w:sz w:val="16"/>
        </w:rPr>
        <w:t xml:space="preserve"> This second modification makes clear that, in naming futurism, Edelman has identified a fundamental baseline of modernity and the workings of modern politics. However, Brenkman’s concern is less with history than the fact that Edelman seems to foreclose the possibility of such critical discourse by consigning it to the same status as the discourse of the Catholic Church and the religious Right. While Brenkman’s point is well-taken, it is already Edelman’s. For, whether liberal or conservative, Left or Right, communist or fascist, every modern political theory is invested in the repetition and reproduction of the social order, cast as a future aspirational ideal, to which the present is held hostage. This is as true of conservative movements as of radical or revolutionary ones—modern politics as such is defined by its investment in reproducing an order of sameness at the expense of the difference of now.29 Tavia Nyong’o has argued that Edelman’s reading of homophobia operates as a kind of nostalgia for a political moment already past, a moment when homosexuality really did pose an ominous and spectral threat to the social order, but does so no longer.30 However—and this is the third modification I wish to assert—the “queer” of No Future is by no means a crudely identitarian homosexual subject, nor is the child solely emblematic of procreation and childrearing. Edelman would agree with at least part of this point. He insists there is “nothing intrinsic to the constitution of those identifying as lesbian, gay, bisexual, transgendered, transsexual, or queer” that “predisposes them to resist the appeal of futurity, to refuse the temptation to reproduce, or to place themselves outside or against the acculturating logic of the Symbolic.”31 And indeed, it is not difficult to find examples of gay reproductive futurism, the most obvious being the movement for “marriage equality.” As former Human Rights Campaign (HRC) President Joe Solmonese puts it: “The fight for marriage equality for samesex couples is quite possibly the most conventional, family-friendly equal rights struggle ever.” He continues, “History bends not only toward fairness and equality, but also toward common sense. Marriage strengthens couples and families, who in turn help strengthen their communities, one at a time—leading ultimately to a stronger, more robust nation.”32 Mixing nationalism into a gay progress narrative of ever-expanding equality and familial inclusion, Solmonese here writes the playbook for reproductive futurism’s political palatability. Tellingly, Andrew Sullivan’s earlier praise of gay marriage is even more explicit on this count, invoking the importance of the future’s promise not just in the name of the children, but more specifically for gay children, who must be saved from having otherwise been born into futurelessness: More important, perhaps ... its [marriage’s] influence would be felt quietly but deeply among gay children. For them, at last, there would be some kind of future; some older faces to apply to their unfolding lives, some language in which their identity could be properly discussed, some rubric by which it could be explained— not in terms of sex, or sexual practices, or bars, or subterranean activity, but in terms of their future life stories, their potential loves, their eventual chance at some kind of constructive happiness. They would be able to feel by the intimation of a myriad examples that in this respect their emotional orientation was not merely about pleasure, or sin, or shame, or otherness (although it might always be involved in many of those things), but about the ability to love and be loved as complete, imperfect human beings. Until gay marriage is legalized, this fundamental element of personal dignity will be denied a whole segment of humanity. No other change can achieve it.33 As we can see, even when the Child is gay, its salvific promise is neither diverted nor diluted. It simply straightens out the queer threat potentially posed by bent children.34 Dangling the lure of “constructive happiness” before the eyes of youths for whom not sugarplums but sex parties dance in their heads, Sullivan here offers up the gay version of reproductive futurism, paternalistically reassuring us that a life of sex for sex’s sake is the meaningless, self-indulgent, anti-civilizational existence every good moralizer ever told us it was. Taken together, Sullivan and Solmonese helpfully illustrate the fact that Edelman’s argument is, in the end, not really about identity and not even about gay people (or, for that matter, straight people). </w:t>
      </w:r>
      <w:r w:rsidRPr="006370BD">
        <w:rPr>
          <w:rStyle w:val="StyleUnderline"/>
        </w:rPr>
        <w:t>Futurism is a logic that transcends the specifics of heterosexuality and homosexuality, and “queer” in Edelman’s vocabulary does not necessarily</w:t>
      </w:r>
      <w:r w:rsidRPr="00085065">
        <w:rPr>
          <w:sz w:val="16"/>
        </w:rPr>
        <w:t>—or, perhaps, even primarily, anymore, as Nyong’o suggests—</w:t>
      </w:r>
      <w:r w:rsidRPr="006370BD">
        <w:rPr>
          <w:rStyle w:val="StyleUnderline"/>
        </w:rPr>
        <w:t>stand in for gay and lesbian people.</w:t>
      </w:r>
      <w:r w:rsidRPr="00085065">
        <w:rPr>
          <w:sz w:val="16"/>
        </w:rPr>
        <w:t xml:space="preserve"> But, to return to my third modification, this also means that the child is not irrevocably tied to the existence, reproduction, or raising of “historical children.”35 In other words, even as the non- or anti-identity politics of Edelman’s figure of queerness is increasingly evident, he neglects to establish the similarly and necessarily nonidentitarian iconography of the future he inscribes (which also returns us to my first proposed modification, the distinction between futurism and reproductive futurism). The queer as homosexual and the Child as historical child may be concrete, daily exemplars of (certain ubiquitous if not exclusive versions of) heteronormativity. However, </w:t>
      </w:r>
      <w:r w:rsidRPr="006370BD">
        <w:rPr>
          <w:rStyle w:val="StyleUnderline"/>
        </w:rPr>
        <w:t>understood as a specific form of a more generalized futurist logic, it becomes clear that the child cannot simply be equated with reproduction, child-bearing, and child-rearing, just as the “queer” cannot simply mean “homosexual” in Edelman’s temporal sense.</w:t>
      </w:r>
      <w:r w:rsidRPr="00085065">
        <w:rPr>
          <w:sz w:val="16"/>
        </w:rPr>
        <w:t xml:space="preserve"> The child, along with the queer, is a crucial space for political and historical concretization of Edelman’s radical but otherwise unduly narrow political project. Puar: Terrorism, Homonationalism, and US Sexual Exceptionalism </w:t>
      </w:r>
      <w:r w:rsidRPr="006370BD">
        <w:rPr>
          <w:rStyle w:val="StyleUnderline"/>
        </w:rPr>
        <w:t>The</w:t>
      </w:r>
      <w:r w:rsidRPr="00085065">
        <w:rPr>
          <w:sz w:val="16"/>
        </w:rPr>
        <w:t xml:space="preserve"> HRC’s </w:t>
      </w:r>
      <w:r w:rsidRPr="006370BD">
        <w:rPr>
          <w:rStyle w:val="StyleUnderline"/>
        </w:rPr>
        <w:t xml:space="preserve">language of nationhood and the non-exclusivity of the child as futurist icon are the places to begin pushing Edelman’s queer theory toward an explicit engagement with the politics of race, nation, </w:t>
      </w:r>
      <w:r w:rsidRPr="00CB3C66">
        <w:rPr>
          <w:rStyle w:val="StyleUnderline"/>
        </w:rPr>
        <w:t>and US empire</w:t>
      </w:r>
      <w:r w:rsidRPr="00085065">
        <w:rPr>
          <w:sz w:val="16"/>
        </w:rPr>
        <w:t xml:space="preserve">. For Solmonese’s statement is not simply the rhetoric of reproductive futurism. It is also the language of homonationalism, a term Jasbir Puar has coined to document </w:t>
      </w:r>
      <w:r w:rsidRPr="00CB3C66">
        <w:rPr>
          <w:rStyle w:val="StyleUnderline"/>
        </w:rPr>
        <w:t>the “transition under way in how queer subjects are relating to nation-states</w:t>
      </w:r>
      <w:r w:rsidRPr="00085065">
        <w:rPr>
          <w:sz w:val="16"/>
        </w:rPr>
        <w:t xml:space="preserve">, particularly the United States, </w:t>
      </w:r>
      <w:r w:rsidRPr="00CB3C66">
        <w:rPr>
          <w:rStyle w:val="StyleUnderline"/>
        </w:rPr>
        <w:t>from being figures of death</w:t>
      </w:r>
      <w:r w:rsidRPr="00085065">
        <w:rPr>
          <w:sz w:val="16"/>
        </w:rPr>
        <w:t xml:space="preserve"> (in other words, the AIDS epidemic) </w:t>
      </w:r>
      <w:r w:rsidRPr="00CB3C66">
        <w:rPr>
          <w:rStyle w:val="StyleUnderline"/>
        </w:rPr>
        <w:t>to becoming tied to ideas of life and productivity</w:t>
      </w:r>
      <w:r w:rsidRPr="00085065">
        <w:rPr>
          <w:sz w:val="16"/>
        </w:rPr>
        <w:t xml:space="preserve"> (in other words, gay marriage and families).”36 Homonationalism is an abbreviated combination of the words “homonormative” and “nationalism,” the former term borrowed from Lisa Duggan, who describes “the new homonormativity” as a political realignment of the late 1990s/early 2000s in which gay rights became compatible with certain neoliberal, anti-statist, conservative, American nationalist viewpoints.37 Combining homonormativity with nationalism, then, Puar augments Nyong’o’s critique, arguing that </w:t>
      </w:r>
      <w:r w:rsidRPr="00CB3C66">
        <w:rPr>
          <w:rStyle w:val="StyleUnderline"/>
        </w:rPr>
        <w:t>the assimilation of certain gay and lesbian subjects into the mainstream of American</w:t>
      </w:r>
      <w:r w:rsidRPr="00085065">
        <w:rPr>
          <w:sz w:val="16"/>
        </w:rPr>
        <w:t xml:space="preserve"> normalcy, respectability, and </w:t>
      </w:r>
      <w:r w:rsidRPr="00CB3C66">
        <w:rPr>
          <w:rStyle w:val="StyleUnderline"/>
        </w:rPr>
        <w:t xml:space="preserve">citizenship has entailed the </w:t>
      </w:r>
      <w:r w:rsidRPr="00CB3C66">
        <w:rPr>
          <w:rStyle w:val="StyleUnderline"/>
        </w:rPr>
        <w:lastRenderedPageBreak/>
        <w:t>“fleeting sanctioning of a national homosexual subject”</w:t>
      </w:r>
      <w:r w:rsidRPr="00085065">
        <w:rPr>
          <w:sz w:val="16"/>
        </w:rPr>
        <w:t xml:space="preserve">38 who is </w:t>
      </w:r>
      <w:r w:rsidRPr="00CB3C66">
        <w:rPr>
          <w:rStyle w:val="StyleUnderline"/>
        </w:rPr>
        <w:t>“complicit with heterosexual nationalist formations rather than</w:t>
      </w:r>
      <w:r w:rsidRPr="00085065">
        <w:rPr>
          <w:sz w:val="16"/>
        </w:rPr>
        <w:t xml:space="preserve"> inherently or </w:t>
      </w:r>
      <w:r w:rsidRPr="00CB3C66">
        <w:rPr>
          <w:rStyle w:val="StyleUnderline"/>
        </w:rPr>
        <w:t>automatically excluded from</w:t>
      </w:r>
      <w:r w:rsidRPr="00085065">
        <w:rPr>
          <w:sz w:val="16"/>
        </w:rPr>
        <w:t xml:space="preserve"> or opposed to </w:t>
      </w:r>
      <w:r w:rsidRPr="00CB3C66">
        <w:rPr>
          <w:rStyle w:val="StyleUnderline"/>
        </w:rPr>
        <w:t>them</w:t>
      </w:r>
      <w:r w:rsidRPr="00085065">
        <w:rPr>
          <w:sz w:val="16"/>
        </w:rPr>
        <w:t xml:space="preserve">.”39 </w:t>
      </w:r>
      <w:r w:rsidRPr="00CB3C66">
        <w:rPr>
          <w:rStyle w:val="StyleUnderline"/>
        </w:rPr>
        <w:t>One effect of homonationalism</w:t>
      </w:r>
      <w:r w:rsidRPr="00085065">
        <w:rPr>
          <w:sz w:val="16"/>
        </w:rPr>
        <w:t xml:space="preserve"> in the post-9/11 context of the “War on Terror” </w:t>
      </w:r>
      <w:r w:rsidRPr="00CB3C66">
        <w:rPr>
          <w:rStyle w:val="StyleUnderline"/>
        </w:rPr>
        <w:t>is the perverse</w:t>
      </w:r>
      <w:r w:rsidRPr="00085065">
        <w:rPr>
          <w:sz w:val="16"/>
        </w:rPr>
        <w:t xml:space="preserve"> sexualization or </w:t>
      </w:r>
      <w:r w:rsidRPr="00CB3C66">
        <w:rPr>
          <w:rStyle w:val="StyleUnderline"/>
        </w:rPr>
        <w:t>“queering” of Arabs and Muslims</w:t>
      </w:r>
      <w:r w:rsidRPr="00085065">
        <w:rPr>
          <w:sz w:val="16"/>
        </w:rPr>
        <w:t xml:space="preserve"> (and all those held to be such) </w:t>
      </w:r>
      <w:r w:rsidRPr="00CB3C66">
        <w:rPr>
          <w:rStyle w:val="StyleUnderline"/>
        </w:rPr>
        <w:t>in the figure of the “terrorist,”</w:t>
      </w:r>
      <w:r w:rsidRPr="00085065">
        <w:rPr>
          <w:sz w:val="16"/>
        </w:rPr>
        <w:t xml:space="preserve"> a figure of </w:t>
      </w:r>
      <w:r w:rsidRPr="00CB3C66">
        <w:rPr>
          <w:rStyle w:val="StyleUnderline"/>
        </w:rPr>
        <w:t>monstrosity</w:t>
      </w:r>
      <w:r w:rsidRPr="00085065">
        <w:rPr>
          <w:sz w:val="16"/>
        </w:rPr>
        <w:t xml:space="preserve">, excess, savagery, and perversion. To be clear, Puar is not suggesting that the “terrorist” is the new queer. Rather, she is arguing that “queerness is always already installed in the project of naming the terrorist; the terrorist does not appear as such without the concurrent entrance of perversion, deviance.”40 Neither an identity nor a defining behavioral activity (for example, homosexuality), </w:t>
      </w:r>
      <w:r w:rsidRPr="00CB3C66">
        <w:rPr>
          <w:rStyle w:val="StyleUnderline"/>
        </w:rPr>
        <w:t>Puar elaborates queerness as a biopolitical tactic that functions to define and divide populations through processes of racialization, a “management of queer life at the expense of sexually and racially perverse death in relation to the contemporary politics of securitization, Orientalism, terrorism, torture, and the articulation of Muslim, Arab, Sikh, and South Asian sexualities</w:t>
      </w:r>
      <w:r w:rsidRPr="00085065">
        <w:rPr>
          <w:sz w:val="16"/>
        </w:rPr>
        <w:t xml:space="preserve">.”41 In this view, “the contemporary U.S. heteronormative nation actually relies on and benefits from the proliferation of queerness.”42 </w:t>
      </w:r>
      <w:r w:rsidRPr="00CB3C66">
        <w:rPr>
          <w:rStyle w:val="StyleUnderline"/>
        </w:rPr>
        <w:t>Homonationalism, as a biopolitics of queerness, functions to discipline and (re)produce homosexuality as white, American, patriotic, and upwardly mobile while designating people of color, immigrants, and Arabs and Muslims as both heterosexual and yet dangerously “queer”—</w:t>
      </w:r>
      <w:r w:rsidRPr="00085065">
        <w:rPr>
          <w:sz w:val="16"/>
        </w:rPr>
        <w:t xml:space="preserve">as “terrorists” or “failed and perverse” bodies that “always have femininity as their reference point of malfunction, and are metonymically tied to all sorts of pathologies of the mind and body—homosexuality, incest, pedophilia, madness, and disease.”43 As is evident, queerness in Puar’s account veers from any simple conflation with gay and lesbian subjectivity; as she says, </w:t>
      </w:r>
      <w:r w:rsidRPr="00CB3C66">
        <w:rPr>
          <w:rStyle w:val="StyleUnderline"/>
        </w:rPr>
        <w:t>“Race, ethnicity, nation, gender, class, and sexuality disaggregate gay, homosexual, and queer national subjects who align themselves with U.S. imperial interests from forms of illegitimate queerness that</w:t>
      </w:r>
      <w:r w:rsidRPr="00085065">
        <w:rPr>
          <w:sz w:val="16"/>
        </w:rPr>
        <w:t xml:space="preserve"> name and ultimately </w:t>
      </w:r>
      <w:r w:rsidRPr="00CB3C66">
        <w:rPr>
          <w:rStyle w:val="StyleUnderline"/>
        </w:rPr>
        <w:t>propel populations into extinction.</w:t>
      </w:r>
      <w:r w:rsidRPr="00085065">
        <w:rPr>
          <w:sz w:val="16"/>
        </w:rPr>
        <w:t xml:space="preserve">”44 The happily married couples that populate the HRC’s literature and website, then, would be the homonational, or properly queer; the “monster terrorist fag” abjected into existence through torture at Abu Ghraib or Guanta´namo, detained indefinitely in any of the US’s many illegal prisons, surveilled incessantly in mosques and cafes, and stigmatized as suffering from arrested development by the psychologizing literature of security studies, would be the improperly queer.45 </w:t>
      </w:r>
      <w:r w:rsidRPr="00CB3C66">
        <w:rPr>
          <w:rStyle w:val="StyleUnderline"/>
        </w:rPr>
        <w:t>Puar’s point is that these queernesses go together and require one another, much as</w:t>
      </w:r>
      <w:r w:rsidRPr="00085065">
        <w:rPr>
          <w:sz w:val="16"/>
        </w:rPr>
        <w:t xml:space="preserve">, I think, </w:t>
      </w:r>
      <w:r w:rsidRPr="00CB3C66">
        <w:rPr>
          <w:rStyle w:val="StyleUnderline"/>
        </w:rPr>
        <w:t>Edelman can be seen to be arguing that the child and the queer go together and require one another.</w:t>
      </w:r>
      <w:r w:rsidRPr="00085065">
        <w:rPr>
          <w:sz w:val="16"/>
        </w:rPr>
        <w:t xml:space="preserve"> What Puar concretizes, however, in theorizing queerness as a “process of racialization”46 is not simply the analytic point that “queer” and “homosexual” are distinct but, more importantly, the urgently political point that the abjected or improper queer who stands outside the social order and is in effect antagonistic to it is, in this contemporary moment, much more likely to be a Muslim or someone perceived as “looking like” a Muslim to the American gaze than, let us admit it, the newly engaged same-sex couples thronging state houses in Minnesota, Connecticut, and Colorado (much less the “homosexual” figure of queerness in No Future). </w:t>
      </w:r>
      <w:r w:rsidRPr="00F15161">
        <w:rPr>
          <w:rStyle w:val="Emphasis"/>
        </w:rPr>
        <w:t>Understanding queerness as a process of nationalization and racialization also concretizes and expands the understanding of heteronormativity or</w:t>
      </w:r>
      <w:r w:rsidRPr="00085065">
        <w:rPr>
          <w:sz w:val="16"/>
        </w:rPr>
        <w:t xml:space="preserve">, in Edelman’s words, </w:t>
      </w:r>
      <w:r w:rsidRPr="00F15161">
        <w:rPr>
          <w:rStyle w:val="Emphasis"/>
        </w:rPr>
        <w:t>the future</w:t>
      </w:r>
      <w:r w:rsidRPr="00085065">
        <w:rPr>
          <w:sz w:val="16"/>
        </w:rPr>
        <w:t xml:space="preserve">. For </w:t>
      </w:r>
      <w:r w:rsidRPr="00F15161">
        <w:rPr>
          <w:rStyle w:val="StyleUnderline"/>
        </w:rPr>
        <w:t>the terrorist in Puar’s analysis</w:t>
      </w:r>
      <w:r w:rsidRPr="00085065">
        <w:rPr>
          <w:sz w:val="16"/>
        </w:rPr>
        <w:t xml:space="preserve"> resists or </w:t>
      </w:r>
      <w:r w:rsidRPr="00F15161">
        <w:rPr>
          <w:rStyle w:val="StyleUnderline"/>
        </w:rPr>
        <w:t>denies a future that is symbolized and defined not only or simply by the child, but also by the American nation and secular Christianity</w:t>
      </w:r>
      <w:r w:rsidRPr="00085065">
        <w:rPr>
          <w:sz w:val="16"/>
        </w:rPr>
        <w:t xml:space="preserve">. As she says, “In the political imagination, the terrorist serves as the monstrous excess of the nation-state.”47 Post-9/11, Puar notes that this terrorist threat is undeniably linked with Islam, which often serves as its “explanation.”48 As she observes, Islam signifies, to the ostensibly secular and modern US, both “excess” and “savagery”: “Religious belief is thus cast, in relation to other factors fueling terrorism, as the overflow, the final excess that impels monstrosity—the ‘different attitude toward violence’ signaling these uncivilizable forces.”49 </w:t>
      </w:r>
      <w:r w:rsidRPr="00F15161">
        <w:rPr>
          <w:rStyle w:val="StyleUnderline"/>
        </w:rPr>
        <w:t>Puar’s reading suggests that Islam threatens the futurist temporality of American empire. Cast as retrograde, backward, and frozen in pre-modern religiosity, Islam threatens the progress narrative of US imperial wars which are alleged to bring ever-greater freedom, not only to women and homosexuals, but also to uncivilized, savage, and undemocratic people(s)</w:t>
      </w:r>
      <w:r w:rsidRPr="00085065">
        <w:rPr>
          <w:sz w:val="16"/>
        </w:rPr>
        <w:t xml:space="preserve"> and nations around the world.50 Finally, then, it is important to note that as Islam has been queered or come to signify queerness, it does so in two ways: first, through the phobic association of Islam with terrorism; and, second, through the racist and Orientalist conflation of Islam with homophobia, anti-feminism, and sexual backwardness more generally. Putting Puar’s analysis in an Edelman-esque frame, we might say that the figure of the “terrorist” who threatens national goals, progress, hope—indeed, the nation’s very existence—can be cast as the excessive, anti-social, future-denying figure of the “queer” in Edelman. Or, we might say that just as the domain of normativity has expanded to include some gay people, correspondingly, the domain of (inassimilable) queerness also has shifted. Puar’s analysis of the collusion “between homosexuality and U.S. nationalism”51 as producing two figures, the homonormative patriot and the queer terrorist, notes them as, on the one hand, the embodiment and normative achievement of the social order and, on the other hand, the dissolution and destruction of that social order.52 No longer designating “the homosexual” per se, “queer” names the monstrously raced and perversely sexualized Arab/Muslim/terrorist Other that threatens the American social and political order, an order that (some) properly gay and lesbian subjects can now, through their incorporation into normative American national life, inhabit and reproduce. In sum, we have a theorization of “queer” wherein the sexually backward Muslim is led by the irrationality and violence of her/his religion to annihilate those who serve and protect freedom for all. In this analysis of “the sexually exceptional </w:t>
      </w:r>
      <w:r w:rsidRPr="00085065">
        <w:rPr>
          <w:sz w:val="16"/>
        </w:rPr>
        <w:lastRenderedPageBreak/>
        <w:t xml:space="preserve">homonational and its evil counterpart, the queer terrorist of elsewhere,”53 the “terrorist” is to the HRC what, in Edelman’s analysis, the queer is to the child.54 Edelman and Puar: Theorizing Resistance Puar’s theorization of </w:t>
      </w:r>
      <w:r w:rsidRPr="00F15161">
        <w:rPr>
          <w:rStyle w:val="StyleUnderline"/>
        </w:rPr>
        <w:t>homonationalism is</w:t>
      </w:r>
      <w:r w:rsidRPr="00085065">
        <w:rPr>
          <w:sz w:val="16"/>
        </w:rPr>
        <w:t xml:space="preserve"> a significant contribution to queer theory and an essential </w:t>
      </w:r>
      <w:r w:rsidRPr="00F15161">
        <w:rPr>
          <w:rStyle w:val="StyleUnderline"/>
        </w:rPr>
        <w:t>corrective to Edelman’s</w:t>
      </w:r>
      <w:r w:rsidRPr="00085065">
        <w:rPr>
          <w:sz w:val="16"/>
        </w:rPr>
        <w:t xml:space="preserve"> otherwise historically and racially unmarked </w:t>
      </w:r>
      <w:r w:rsidRPr="00F15161">
        <w:rPr>
          <w:rStyle w:val="StyleUnderline"/>
        </w:rPr>
        <w:t>analysis of (reproductive) futurism</w:t>
      </w:r>
      <w:r w:rsidRPr="00085065">
        <w:rPr>
          <w:sz w:val="16"/>
        </w:rPr>
        <w:t xml:space="preserve">. Her work allows us to critique futurism in ways that are responsive to the specificities of its racial and national workings, consequences gapingly unattended to by him. While Edelman deftly parses the logic of power in terms of futurism’s hegemony, he fails fully to unpack its coercive force by focusing solely on futurism’s relationship to an exceedingly narrow version of non-reproductive homosexuality. Although he claims that the theory of politics he explicates in No Future is indifferent to race, arguing that “the fascism of the baby’s face ... subjects us to its sovereign authority as the figure of politics itself ... whatever the face a particular politics gives that baby to wear— Aryan or multicultural, that of the thirty-thousand-year Reich or of an ever expanding horizon of democratic inclusivity,”55 what is clear is that the reproductive futurism he critiques is symptomatic of a very specific bourgeois class culture within the imperial US, a culture that garners his criticism only insofar as it is bound up with heteronormativity.56 By contrast, Puar’s demand that we focus our attention on the racial and nationalized logics of queerness(es) and the unexpected complicities between queers, nationalism, and empire remains only suggestive of futurism’s determinative role, never naming it specifically. Now, this is likely because Puar neither endorses nor conceptualizes futurism as a useful diagnosis of modern politics, just as Edelman may very much wish to privilege (white male homo) sexuality in his psychoanalysis of futurism. However, I suggest that authorial intentions—both Puar’s and Edelman’s—be respectfully disregarded, not only because we have become savvy to the multiple begged questions inherent in any invocation of authorial intention, but also because more than our scholarly work is at stake when it comes to forging critical resistance to US imperial power. Indeed, while the net effect of Edelman’s analysis is that only white gay men are considered the deathly threat portended by queerness in No Future, 57 if we return to his definition of “queer” and insist on distinguishing between futurism and reproductive futurism, we note that </w:t>
      </w:r>
      <w:r w:rsidRPr="00F15161">
        <w:rPr>
          <w:rStyle w:val="StyleUnderline"/>
        </w:rPr>
        <w:t>“queer” designates anyone who fails to abide by the rules of social temporality</w:t>
      </w:r>
      <w:r w:rsidRPr="00085065">
        <w:rPr>
          <w:sz w:val="16"/>
        </w:rPr>
        <w:t xml:space="preserve">—that is, </w:t>
      </w:r>
      <w:r w:rsidRPr="00F15161">
        <w:rPr>
          <w:rStyle w:val="StyleUnderline"/>
        </w:rPr>
        <w:t>anyone who sacrifices the future for the sake of the present</w:t>
      </w:r>
      <w:r w:rsidRPr="00F15161">
        <w:rPr>
          <w:rStyle w:val="Emphasis"/>
        </w:rPr>
        <w:t>. As such, futurism’s ruthless machinations stigmatize all sorts of populations as emblematic of the death and destruction of the social order.</w:t>
      </w:r>
      <w:r w:rsidRPr="00085065">
        <w:rPr>
          <w:sz w:val="16"/>
        </w:rPr>
        <w:t xml:space="preserve"> This broad array of misfits and perverts may include some gay, lesbian, and queer people. It necessarily also includes the “terrorist” and “Muslim” whom Puar argues are biopolitical targets of abjected queerness. This analysis also suggests that </w:t>
      </w:r>
      <w:r w:rsidRPr="00F15161">
        <w:rPr>
          <w:rStyle w:val="StyleUnderline"/>
        </w:rPr>
        <w:t>temporality is a crucial axis of determination regarding all “enemies” of the social order,</w:t>
      </w:r>
      <w:r w:rsidRPr="00085065">
        <w:rPr>
          <w:sz w:val="16"/>
        </w:rPr>
        <w:t xml:space="preserve"> a notion that links Edelman’s political theory to other important work in radical queer politics. For example, in her definitive essay, “Punks, Bulldaggers, and Welfare Queens: The Radical Potential of Queer Politics?,” Cathy Cohen argues for a re-thinking of marginal positionality in terms of one’s relation to power rather than in terms of a binary categorization of queer vs straight. She cites the examples of the prohibition of slave marriages and the long history of obsession with black women’s reproductive choices in the US as examples of ostensibly heterosexual people inhabiting positions outside the bounds of normative sexuality because of race, class, and property status. In arguing for a more capacious, intersectional queer politics that is accountable not simply to the question of who is and is not heterosexual but, more broadly, to the question of what each of our relationships with and proximity to power may be, Cohen writes: As we stand on the verge of watching those in power dismantle the welfare system through a process of demonizing the poor and young—primarily poor and young women of color, many of whom have existed for their entire lives outside the white, middle-class heterosexual norm—we have to ask if these women do not fit into society’s categories of marginal, deviant, and “queer.” As we watch the explosion of prison construction and the disproportionate incarceration rates of young men and women of color, often as part of the economic development of poor white rural communities, we have to ask if these individuals do not fit society’s definition of “queer” and expendable. </w:t>
      </w:r>
      <w:r w:rsidRPr="00F15161">
        <w:rPr>
          <w:rStyle w:val="StyleUnderline"/>
        </w:rPr>
        <w:t>Cohen’s understanding of “queer” as a kind of non- or anti-normativity based on one’s proximity to power might also be understood in terms of futurism and its flouting by “deviants.”</w:t>
      </w:r>
      <w:r w:rsidRPr="00085065">
        <w:rPr>
          <w:sz w:val="16"/>
        </w:rPr>
        <w:t xml:space="preserve"> For, </w:t>
      </w:r>
      <w:r w:rsidRPr="00F15161">
        <w:rPr>
          <w:rStyle w:val="StyleUnderline"/>
        </w:rPr>
        <w:t>if the key characteristic of queerness is a temporal one, then having “too many” babies is just as much a threat to America’s future as not having any at all</w:t>
      </w:r>
      <w:r w:rsidRPr="00085065">
        <w:rPr>
          <w:sz w:val="16"/>
        </w:rPr>
        <w:t>—</w:t>
      </w:r>
      <w:r w:rsidRPr="00F15161">
        <w:rPr>
          <w:rStyle w:val="StyleUnderline"/>
        </w:rPr>
        <w:t>it just depends on which queers we are talking about</w:t>
      </w:r>
      <w:r w:rsidRPr="00085065">
        <w:rPr>
          <w:sz w:val="16"/>
        </w:rPr>
        <w:t xml:space="preserve"> (not only Reagan’s welfare queen, but also recall the manufactured election-year discourse about “anchor babies”).59 Naming these explicitly makes futurism a useful tool to diagnose the contemporary political moment from a radical queer perspective that does not fetishize sexuality as either the primary domain of subordination or the sole focus of political struggle and resistance.</w:t>
      </w:r>
    </w:p>
    <w:p w:rsidR="000D3F1C" w:rsidRDefault="000D3F1C" w:rsidP="000D3F1C">
      <w:pPr>
        <w:pStyle w:val="Heading4"/>
      </w:pPr>
      <w:r>
        <w:t xml:space="preserve">The alternative is to engage in a bareback pedagogy which embraces barebacking as a model of risking the self in the process of education. Prefer a pedagogy that proliferates new modes of relationality rather than one that imposes normative sexualities </w:t>
      </w:r>
    </w:p>
    <w:p w:rsidR="000D3F1C" w:rsidRDefault="000D3F1C" w:rsidP="000D3F1C">
      <w:r w:rsidRPr="00F82712">
        <w:rPr>
          <w:rStyle w:val="Author-Date"/>
        </w:rPr>
        <w:t>Greteman 2013</w:t>
      </w:r>
      <w:r>
        <w:t xml:space="preserve"> [Adam J., Adjunct Assistant Professor of Art Education at the School of the Art Institute of Chicago | “Fashioning a bareback pedagogy: towards a theory of risky (sex) education” </w:t>
      </w:r>
      <w:r w:rsidRPr="004F038D">
        <w:rPr>
          <w:i/>
        </w:rPr>
        <w:t>Sex Education</w:t>
      </w:r>
      <w:r>
        <w:t>, 2013]</w:t>
      </w:r>
    </w:p>
    <w:p w:rsidR="000D3F1C" w:rsidRPr="00801856" w:rsidRDefault="000D3F1C" w:rsidP="000D3F1C">
      <w:pPr>
        <w:rPr>
          <w:sz w:val="16"/>
        </w:rPr>
      </w:pPr>
      <w:r w:rsidRPr="00801856">
        <w:rPr>
          <w:sz w:val="16"/>
        </w:rPr>
        <w:t xml:space="preserve">In Rolling Stone’s February 2003 article, ‘Bug Chasing: The Men Who Long to Be HIVþ’, journalist Gregory Freeman brought – for better or worse – the figure of the ‘barebacker’ into the mainstream.1 The Human Rights Campaign (HRC) expressed outrage at the publication, calling it irresponsible, arguably because it showed a representation of ‘homosexuality’ that is not in line with the HRC’s more (homo)normative political </w:t>
      </w:r>
      <w:r w:rsidRPr="00801856">
        <w:rPr>
          <w:sz w:val="16"/>
        </w:rPr>
        <w:lastRenderedPageBreak/>
        <w:t xml:space="preserve">goals. In spite of the backlash, barebackers gained mainstream notoriety from the article and the practice, and the practitioners have been placed under the literal and metaphorical microscope of various researchers (medical, psychological, sociological) for the past decade to understand and explain such a phenomenon – namely the phenomenon of men knowingly not using condoms and engaging in risky sex. Barebackers are nowhere near a homogenous group.2 While some saw it as the dirty little secret of homosexuals, others saw it as something overblown and sensationalised, as a curiosity, and as a confirmation of gay men’s ‘death drive’. </w:t>
      </w:r>
      <w:r w:rsidRPr="00EB79A6">
        <w:rPr>
          <w:rStyle w:val="StyleUnderline"/>
        </w:rPr>
        <w:t>The figure of the barebacker has become a rather queer ‘pedagogue’ at the start of the twenty-first century. This figure has unknowingly taught us about ethics</w:t>
      </w:r>
      <w:r w:rsidRPr="00801856">
        <w:rPr>
          <w:sz w:val="16"/>
        </w:rPr>
        <w:t xml:space="preserve"> (Dean 2009), </w:t>
      </w:r>
      <w:r w:rsidRPr="00EB79A6">
        <w:rPr>
          <w:rStyle w:val="StyleUnderline"/>
        </w:rPr>
        <w:t>impersonal intimacy and asceticism</w:t>
      </w:r>
      <w:r w:rsidRPr="00801856">
        <w:rPr>
          <w:sz w:val="16"/>
        </w:rPr>
        <w:t xml:space="preserve"> (Bersani and Phillips 2008), </w:t>
      </w:r>
      <w:r w:rsidRPr="00EB79A6">
        <w:rPr>
          <w:rStyle w:val="StyleUnderline"/>
        </w:rPr>
        <w:t>gay male subjectivity</w:t>
      </w:r>
      <w:r w:rsidRPr="00801856">
        <w:rPr>
          <w:sz w:val="16"/>
        </w:rPr>
        <w:t xml:space="preserve"> (Halperin 2007) </w:t>
      </w:r>
      <w:r w:rsidRPr="00EB79A6">
        <w:rPr>
          <w:rStyle w:val="StyleUnderline"/>
        </w:rPr>
        <w:t>and the psychological aspects of such practices</w:t>
      </w:r>
      <w:r w:rsidRPr="00801856">
        <w:rPr>
          <w:sz w:val="16"/>
        </w:rPr>
        <w:t xml:space="preserve"> (Shernoff 2005). While barebackers have implicitly been viewed as teachers, this paper seeks to explore the pedagogical lessons these practices and their practitioners offer. Barebackers did not set out to be identified as pedagogues but through their practices and the critical scholarship that has emerged surrounding them, they have unwittingly come to teach. Barebackers, it would seem, have no place within education, particularly sex education. However, they are, in fact, quite central to (sex) education. </w:t>
      </w:r>
      <w:r w:rsidRPr="008A3767">
        <w:rPr>
          <w:rStyle w:val="StyleUnderline"/>
        </w:rPr>
        <w:t>Barebackers, by inhabiting the outside of sex and sex education, are made ‘other’ by the dominant discourses that emerge post-HIV that have classified particular practices (risky vs. safe) and models of intimacy (healthy vs. unhealthy) in the process of normalisation</w:t>
      </w:r>
      <w:r w:rsidRPr="00801856">
        <w:rPr>
          <w:sz w:val="16"/>
        </w:rPr>
        <w:t xml:space="preserve">. Barebackers have taught what not to do, how not to live. My intentions in this paper are to counter-intuitively use the figure of the barebacker as a lifestyle for thinking through sex education in the twenty-first century. </w:t>
      </w:r>
      <w:r w:rsidRPr="008A3767">
        <w:rPr>
          <w:rStyle w:val="StyleUnderline"/>
        </w:rPr>
        <w:t>The barebacker</w:t>
      </w:r>
      <w:r w:rsidRPr="00801856">
        <w:rPr>
          <w:sz w:val="16"/>
        </w:rPr>
        <w:t xml:space="preserve"> does not simply offer a lesson of what not to do, but </w:t>
      </w:r>
      <w:r w:rsidRPr="008A3767">
        <w:rPr>
          <w:rStyle w:val="StyleUnderline"/>
        </w:rPr>
        <w:t>allows us to explore possible ways of coming into presence</w:t>
      </w:r>
      <w:r w:rsidRPr="00801856">
        <w:rPr>
          <w:sz w:val="16"/>
        </w:rPr>
        <w:t xml:space="preserve">, echoing the work of Biesta (2006). Barebackers, as a whole, are a complex, complicated and heterogeneous subsection of men who have sex with men (they may be gay, bisexual or straight). The prevalence of barebacking is highly contested, often relying on anecdotal evidence (see Dawson et al. 2005). Yet, </w:t>
      </w:r>
      <w:r w:rsidRPr="008A3767">
        <w:rPr>
          <w:rStyle w:val="StyleUnderline"/>
        </w:rPr>
        <w:t>the figure of the barebacker has been invented and developed in any number of ways to do something within contemporary sexual politics</w:t>
      </w:r>
      <w:r w:rsidRPr="00801856">
        <w:rPr>
          <w:sz w:val="16"/>
        </w:rPr>
        <w:t xml:space="preserve"> – </w:t>
      </w:r>
      <w:r w:rsidRPr="008A3767">
        <w:rPr>
          <w:rStyle w:val="StyleUnderline"/>
        </w:rPr>
        <w:t>from policing sexual activity to offering alternative ways of relating to the self and other.</w:t>
      </w:r>
      <w:r w:rsidRPr="00801856">
        <w:rPr>
          <w:sz w:val="16"/>
        </w:rPr>
        <w:t xml:space="preserve"> In this paper, </w:t>
      </w:r>
      <w:r w:rsidRPr="008A3767">
        <w:rPr>
          <w:rStyle w:val="StyleUnderline"/>
        </w:rPr>
        <w:t>I use the figure of the barebacker</w:t>
      </w:r>
      <w:r w:rsidRPr="00801856">
        <w:rPr>
          <w:sz w:val="16"/>
        </w:rPr>
        <w:t xml:space="preserve"> as developed within sexuality and queer studies </w:t>
      </w:r>
      <w:r w:rsidRPr="008A3767">
        <w:rPr>
          <w:rStyle w:val="StyleUnderline"/>
        </w:rPr>
        <w:t>to explore the pedagogical potential for thinking through barebacking and how this queer sexual practice allows individuals to thrive in the midst of violence, homophobia and the regimes of the normative. Might these practices</w:t>
      </w:r>
      <w:r w:rsidRPr="00801856">
        <w:rPr>
          <w:sz w:val="16"/>
        </w:rPr>
        <w:t xml:space="preserve"> (and their associated ‘lifestyle’) </w:t>
      </w:r>
      <w:r w:rsidRPr="008A3767">
        <w:rPr>
          <w:rStyle w:val="StyleUnderline"/>
        </w:rPr>
        <w:t>offer a space and time to think through not only survival</w:t>
      </w:r>
      <w:r w:rsidRPr="00801856">
        <w:rPr>
          <w:sz w:val="16"/>
        </w:rPr>
        <w:t xml:space="preserve"> (methods of safe(r) sex; information about sexually transmitted infections), </w:t>
      </w:r>
      <w:r w:rsidRPr="008A3767">
        <w:rPr>
          <w:rStyle w:val="StyleUnderline"/>
        </w:rPr>
        <w:t>but also thrival</w:t>
      </w:r>
      <w:r w:rsidRPr="00801856">
        <w:rPr>
          <w:sz w:val="16"/>
        </w:rPr>
        <w:t xml:space="preserve"> (methods of becoming) </w:t>
      </w:r>
      <w:r w:rsidRPr="008A3767">
        <w:rPr>
          <w:rStyle w:val="StyleUnderline"/>
        </w:rPr>
        <w:t>in the face of normative ideas about sex education relating to HIV transmission?</w:t>
      </w:r>
      <w:r>
        <w:rPr>
          <w:rStyle w:val="StyleUnderline"/>
        </w:rPr>
        <w:t xml:space="preserve"> </w:t>
      </w:r>
      <w:r w:rsidRPr="00801856">
        <w:rPr>
          <w:sz w:val="16"/>
        </w:rPr>
        <w:t xml:space="preserve">With Freeman’s article, the mainstream reader is given an ‘inside’ look on the practices of barebackers – Carlos and Doug – both positioned problematically as teachers. Carlos, arguably the central figure of the article, teaches the reader about barebacking, noting how he finds sexual partners and the various reasons for practising what most see as risky sexual acts – mainly unprotected sex with men whose status is unknown or known to be opposite of Carlos’ negative status. Carlos explains his reasoning for such erotic practices provocatively. As Freeman wrote, ‘his [Carlos’] eyes light up as he says that the actual moment of transmission, the instant he gets HIV, will be “the most erotic thing I can imagine”’ (Rolling Stone, February 2003). Carlos will, of course, have to imagine that moment for transmission of HIV is temporally delayed. One never knows exactly when one converts. It takes time for antibodies to develop and it takes time – even with rapidresponse tests now widely available – to learn of one’s HIV status (which is confirmed if one tests positive for the antibodies by a longer wait to test for the actual HIV virus). The moment of transmission is less about the literal moment then and more about the imagined moment, the fantasy of joining the ‘brotherhood’. Carlos is, arguably, already a member of the brotherhood, a member of the subculture of barebackers (both gift givers and bug chasers) who have created over the past two decades a recognisable, although highly contested, subculture. Furthermore, Carlos admits that ‘he hasn’t been tested in a couple of years, and he’s reluctant to get a test now’. ‘He might very well be positive already’, Freeman writes, ‘But as long as he doesn’t know for sure, he can always hope that tonight is the night he gets the virus. Every date is potentially The One’. While Carlos illuminated the perverse lessons of barebacking, Doug enters Freeman’s story as one who has already learned by mistake. Doug’s lessons will challenge the erotic practices advocated by Carlos. Doug regretted his time barebacking – particularly after he became positive. Doug’s story begins with the shame and low self-esteem he had that prompted him to engage in such risky sexual practices. It was only after he found out he was positive that the appeal of barebacking was shown for its problems. Such a revelation was perhaps one fuck too late. However, Doug becomes the safe pedagogue in Freeman’s account, showing the mistakes of Carlos’ lessons and allowing Freeman to maintain an us versus them mentality towards HIV/AIDS, writing ‘while the rest of the world fights the AIDS epidemic and most people fear HIV infection, this subculture celebrates the virus and eroticizes it’ (Rolling Stone, February 2003, 44). Doug, once one of ‘them’, is now one of ‘us’ helping fight the AIDS epidemic. As Gonzalez notes, such an approach ‘denies any possibility of situating HIV from an AIDS-centric cultural perspective in the public sphere’ (2010, 93). Likewise, as Gonzalez continues: </w:t>
      </w:r>
      <w:r w:rsidRPr="00FB7A62">
        <w:rPr>
          <w:rStyle w:val="StyleUnderline"/>
        </w:rPr>
        <w:t>Freeman’s sensationalist report boils down any nuances of gay desire across the social field of HIV/AIDS to a form of unredeemable deviance</w:t>
      </w:r>
      <w:r w:rsidRPr="007D3730">
        <w:rPr>
          <w:rStyle w:val="StyleUnderline"/>
        </w:rPr>
        <w:t>. This naturalised ideological re-presentation of the diseased and disabled gay male body, in the form of reporting on the ‘chase’, reinforces a dominant reading of HIV-positive gay men as</w:t>
      </w:r>
      <w:r w:rsidRPr="00801856">
        <w:rPr>
          <w:sz w:val="16"/>
        </w:rPr>
        <w:t xml:space="preserve"> ineluctably undesirable because they signify only the </w:t>
      </w:r>
      <w:r w:rsidRPr="007D3730">
        <w:rPr>
          <w:rStyle w:val="StyleUnderline"/>
        </w:rPr>
        <w:t>vectors of death and disease.</w:t>
      </w:r>
      <w:r w:rsidRPr="00801856">
        <w:rPr>
          <w:sz w:val="16"/>
        </w:rPr>
        <w:t xml:space="preserve"> (2010, 94) </w:t>
      </w:r>
      <w:r w:rsidRPr="007D3730">
        <w:rPr>
          <w:rStyle w:val="StyleUnderline"/>
        </w:rPr>
        <w:t>The figure of the barebacker</w:t>
      </w:r>
      <w:r w:rsidRPr="00801856">
        <w:rPr>
          <w:sz w:val="16"/>
        </w:rPr>
        <w:t xml:space="preserve">, while a contested ‘empirical reality’, then </w:t>
      </w:r>
      <w:r w:rsidRPr="007D3730">
        <w:rPr>
          <w:rStyle w:val="StyleUnderline"/>
        </w:rPr>
        <w:t>operates as a figure – represented in discourse to discipline and regulate what counts as normal gay sex</w:t>
      </w:r>
      <w:r w:rsidRPr="00801856">
        <w:rPr>
          <w:sz w:val="16"/>
        </w:rPr>
        <w:t xml:space="preserve"> (Halperin 2007; Dean 2009; Gonzalez 2010). My particular interest in this figure is how the barebacker comes to operate pedagogically or </w:t>
      </w:r>
      <w:r w:rsidRPr="00801856">
        <w:rPr>
          <w:sz w:val="16"/>
        </w:rPr>
        <w:lastRenderedPageBreak/>
        <w:t xml:space="preserve">how the barebacker comes to teach through his practices (imagined or real). Following the work of Tim Dean, my foray into barebacking’s pedagogical promises is an attempt to think through the possibility for queer ethics and the need for risky (sex) education so that such an education might do less harm than it has done in the past. Fashioning barebackers Barebackers are fashionable within sex(ualities) research. Fashions, of course, come and go like fashions must to be ‘fashionable’.3 But fashions are important, for they, in their constant state of change, illustrate diverse practices of creating the self and the community. Svedsen writes, ‘the role of modern man in this world does not consist in realising a given essence but in realising himself by creating himself’ (2006, 138). The modern man – or more so the ‘postmodern’ subject – is preoccupied with constructing the self without the stable traditions that defined the ‘premodern’ subject. ‘Lacking traditions’, Svedsen writes, ‘we are hyperactive lifestyle constructors, in an attempt to form meaning and identity’ (139). And this process of creating and maintaining a lifestyle is much more demanding than membership in a social class because, ‘lifestyles go out of fashion, so that constant assessments have to be made as to what extent they are to be retained or a new one chosen if one is to keep abreast of fashion’ (139). </w:t>
      </w:r>
      <w:r w:rsidRPr="007D3730">
        <w:rPr>
          <w:rStyle w:val="StyleUnderline"/>
        </w:rPr>
        <w:t>The postmodern, consumer society’s emphasis on lifestyle</w:t>
      </w:r>
      <w:r w:rsidRPr="00801856">
        <w:rPr>
          <w:sz w:val="16"/>
        </w:rPr>
        <w:t xml:space="preserve"> requires, perhaps even </w:t>
      </w:r>
      <w:r w:rsidRPr="007D3730">
        <w:rPr>
          <w:rStyle w:val="StyleUnderline"/>
        </w:rPr>
        <w:t>demands, that one question one’s reality and search for alternative models of</w:t>
      </w:r>
      <w:r w:rsidRPr="00801856">
        <w:rPr>
          <w:sz w:val="16"/>
        </w:rPr>
        <w:t xml:space="preserve"> being or </w:t>
      </w:r>
      <w:r w:rsidRPr="007D3730">
        <w:rPr>
          <w:rStyle w:val="StyleUnderline"/>
        </w:rPr>
        <w:t>becoming</w:t>
      </w:r>
      <w:r w:rsidRPr="00801856">
        <w:rPr>
          <w:sz w:val="16"/>
        </w:rPr>
        <w:t xml:space="preserve"> (Baudrillard 1998). </w:t>
      </w:r>
      <w:r w:rsidRPr="007D3730">
        <w:rPr>
          <w:rStyle w:val="StyleUnderline"/>
        </w:rPr>
        <w:t>This is</w:t>
      </w:r>
      <w:r w:rsidRPr="00801856">
        <w:rPr>
          <w:sz w:val="16"/>
        </w:rPr>
        <w:t xml:space="preserve">, in part, </w:t>
      </w:r>
      <w:r w:rsidRPr="007D3730">
        <w:rPr>
          <w:rStyle w:val="StyleUnderline"/>
        </w:rPr>
        <w:t>one way in which we might read barebackers – eschewing medical or scientific discourse in favour of aesthetic and ethical discourses</w:t>
      </w:r>
      <w:r w:rsidRPr="00801856">
        <w:rPr>
          <w:sz w:val="16"/>
        </w:rPr>
        <w:t xml:space="preserve">. Echoing Svedsen, ‘we must choose a lifestyle and, as a style, the choice is basically an aesthetic one. Aesthetics, then, becomes a center for the formation of identity’ (142). </w:t>
      </w:r>
      <w:r w:rsidRPr="007D3730">
        <w:rPr>
          <w:rStyle w:val="StyleUnderline"/>
        </w:rPr>
        <w:t xml:space="preserve">Within this engagement, </w:t>
      </w:r>
      <w:r w:rsidRPr="007D3730">
        <w:rPr>
          <w:rStyle w:val="Emphasis"/>
        </w:rPr>
        <w:t>barebackers</w:t>
      </w:r>
      <w:r w:rsidRPr="007D3730">
        <w:rPr>
          <w:rStyle w:val="StyleUnderline"/>
        </w:rPr>
        <w:t xml:space="preserve"> do not reveal an ‘essence’ of queerness, but within the historical/social/political context they emerge from, they </w:t>
      </w:r>
      <w:r w:rsidRPr="007D3730">
        <w:rPr>
          <w:rStyle w:val="Emphasis"/>
        </w:rPr>
        <w:t>model ways of fashioning a lifestyle that contests</w:t>
      </w:r>
      <w:r w:rsidRPr="00801856">
        <w:rPr>
          <w:sz w:val="16"/>
        </w:rPr>
        <w:t xml:space="preserve"> (quite radically) a variety of </w:t>
      </w:r>
      <w:r w:rsidRPr="007D3730">
        <w:rPr>
          <w:rStyle w:val="Emphasis"/>
        </w:rPr>
        <w:t>social norms while opening up ways of relating to the self and the other.</w:t>
      </w:r>
      <w:r w:rsidRPr="00801856">
        <w:rPr>
          <w:sz w:val="16"/>
        </w:rPr>
        <w:t xml:space="preserve"> In line with Foucault’s assertion in ‘Friendship as a Way of Life’, </w:t>
      </w:r>
      <w:r w:rsidRPr="007D3730">
        <w:rPr>
          <w:rStyle w:val="StyleUnderline"/>
        </w:rPr>
        <w:t>the practices of barebacking invent ways of living instead of remaining obstinate in asserting an identity</w:t>
      </w:r>
      <w:r w:rsidRPr="00801856">
        <w:rPr>
          <w:sz w:val="16"/>
        </w:rPr>
        <w:t xml:space="preserve"> (1998). If education is, in part, a process of forming identity and sex education is specifically an engagement with forming a sexual identity – such as being a knowledgeable sexual subject, understanding one’s rights as a sexual being – the current paper makes a move in sexuality research thinking through ways in which sex education fashions subjects and vice versa. I question how such fashioning changes, given the advancements in scientific, medical, technological and aesthetic discourses. In addition, how do the fashions of sex education ‘edit’ out particular ways of being in the process? Within what might be called the popular imagination, sex education’s purpose is to teach about issues related to human sexuality – including human sexual anatomy, sexual reproduction, reproductive rights and responsibilities, human sexual behaviour and other related topics. This type of education formally occurs via parents or guardians, school curricula and programmes and/or public health initiatives, and informally via peers and various forms of media (e.g. film, television and pornography). However, history shows us that: Sex education became the site for working on the bodies of children, adolescents, and teachers. But it also repeated its own ambivalent relation to the workings of sexuality. The shift to a pedagogy for making normalcy, as well as the idea that normalcy was an effect of proper pedagogy and not an a priori state, were essentially the grounds for the social hygiene movement called ‘sex education’. (Britzman 1998a, 67) Sex education – be it ‘normal’ or ‘critical’ (to use Britzman’s distinctions) – ‘cannot exceed the moralism and the eugenic categories of the normal’ (1998a, 66). Yet, a third version of sex education Britzman offered is the ‘polymorphously perverse’, which ‘conceptualises sexuality as movement and as otherness and, as such, as a part of the imaginary domain that means to refuse to stabilise sexuality’ (66). It is this ‘not yet tolerated’ form of sex education that Britzman explores and that I take up here – placing the obvious (e.g. barebackers as irresponsible) at risk to illuminate how risky-sex education (as opposed to safer-sex education) challenges certain ethical and aesthetic demands – contesting the ‘normal’. This is not to propose a ‘curriculum’ of barebacking, but to investigate what new or ‘fashionable’ sexual practices and subcultures offer education to think through. Teaching about sex is in constant crisis as what is ‘proper’ is always in flux, dependent on various social, political and religious views. While there may be no true way to teach about sex despite the constant battles seeking to do so, as Britzman’s work has constantly shown, there is a need to investigate the ‘unthinkable’ in (sex) education. To follow the work of Silin, there is a need to challenge ‘our passion for ignorance in the age of AIDS’ (1995, 3). This, I will argue, requires a move away from talking about sex to talking and thinking through sex. McCallum (1999) offers an exploration of such an approach – writing about ways to think (and teach) through fetishism. ‘The change from thinking about fetishism to thinking through fetishism’, McCallum writes, ‘calls for a change in attention, from fetish objects to the use subjects make of fetishes and fetishism’. This change in thinking has an aim, ‘to show how thinking as a fetishist leads us to a more complicated and nuanced view about sexual and ontological differences and . . . more creative and productive interpretations of subjects and objects can emerge’ (xvi). I am not engaging fetishism, but using McCallum’s distinction between thinking about versus thinking through to assist in my aims here regarding barebacking. What might we learn if we think ‘as’ a barebacker and the ways we make use of HIV to do something? Barebackers, while potentially viewed as subjects who fethishise HIV by turning the virus into an erotic object, are for my purposes the most challenging ethical and aesthetic sexual figure within contemporary sexuality studies. While it might be more palatable to take a psychological approach – an approach Halperin (2007) has already adequately contested – alternative approaches are necessary. Britzman’s adventures into a queer pedagogy already offered groundwork for such an approach wherein one of the stakes of queer pedagogy was the need for ‘thinking ethically about what discourses of difference, choice, and visibility mean in classrooms, in pedagogy, and in how education can be thought about’ (1995, 152). If this is the case – that barebacking offers us insights further into queer pedagogy – then thinking through barebacking allows sex education to move beyond simple epistemological questions (what students should know or think about sex?) to also think about how subjects emerge in relationship to other subjects. Or, in this case, how sex education edits out particular types of sexual subjects and practices in the name of the ‘normal’ and certainty. There is no certainty regarding HIV transmission and the consequences of acquiring HIV. No advanced screening, no test, no curriculum can, for certain, teach what needs to be taught and establish ‘safe’ education – one reason why the rhetoric around sex education has moved to talk of ‘safer’ sex – implicating the reality that sex can only ever be ‘safer’ but never completely safe. The challenges that sex brings to education then, particularly in the age of AIDS, demand a queer pedagogy; a pedagogy that requires reading practices that disrupt the ‘straight’ fashions of education to make lives livable or allows lives to think through the possibilities. Bareback reading </w:t>
      </w:r>
      <w:r w:rsidRPr="009507D5">
        <w:rPr>
          <w:rStyle w:val="StyleUnderline"/>
        </w:rPr>
        <w:t xml:space="preserve">Gallop proposes a methodology ‘trying to theorise </w:t>
      </w:r>
      <w:r w:rsidRPr="009507D5">
        <w:rPr>
          <w:rStyle w:val="StyleUnderline"/>
        </w:rPr>
        <w:lastRenderedPageBreak/>
        <w:t>pedagogy in a way that</w:t>
      </w:r>
      <w:r w:rsidRPr="00801856">
        <w:rPr>
          <w:sz w:val="16"/>
        </w:rPr>
        <w:t xml:space="preserve"> resists the norm’ (2002, 6). This ‘exorbitant theorizing’ </w:t>
      </w:r>
      <w:r w:rsidRPr="009507D5">
        <w:rPr>
          <w:rStyle w:val="StyleUnderline"/>
        </w:rPr>
        <w:t>is ‘excessive’</w:t>
      </w:r>
      <w:r w:rsidRPr="00801856">
        <w:rPr>
          <w:sz w:val="16"/>
        </w:rPr>
        <w:t xml:space="preserve">, ‘romantic’, </w:t>
      </w:r>
      <w:r w:rsidRPr="009507D5">
        <w:rPr>
          <w:rStyle w:val="StyleUnderline"/>
        </w:rPr>
        <w:t>‘perverse’ and ‘queer’</w:t>
      </w:r>
      <w:r w:rsidRPr="00801856">
        <w:rPr>
          <w:sz w:val="16"/>
        </w:rPr>
        <w:t xml:space="preserve"> (7). The pedagogical relationship is quite central to such theorising, for it is the pedagogical relationship that gives way to theorising. </w:t>
      </w:r>
      <w:r w:rsidRPr="009507D5">
        <w:rPr>
          <w:rStyle w:val="StyleUnderline"/>
        </w:rPr>
        <w:t xml:space="preserve">Exorbitant theorising cuts through the oppositions of theory and practice, the humorous and serious, ‘in order to produce theory with a better sense of humour, theorising which honours that uncanny detail of lived experience’ </w:t>
      </w:r>
      <w:r w:rsidRPr="00801856">
        <w:rPr>
          <w:sz w:val="16"/>
        </w:rPr>
        <w:t xml:space="preserve">(2). It is a theory that is open to surprise. Relying on the anecdote – an ‘exorbitant model’ – Gallop illuminates the importance of the moment through her rigorous close readings of cultural shifts and texts. Deconstruction has taught her that it is the moment that is ‘the site of productive thinking’ (3). The moment becomes central to ‘theorising’ and such theorising turns out to be ‘insistently sexual’, as it constantly is ‘grappling with its erotics’ (8). Yet, it cannot be mistaken as forgoing its responsibility to the real; rather it seeks to open up more heterogeneous ways of producing theory and experiencing the world. In addition, while the anecdote allows us to focus in on the particular – the moment – it also allows us to read from within the particular – in this case, the subculture of barebacking via the highly charged anecdotes Freeman wields in his article. </w:t>
      </w:r>
      <w:r w:rsidRPr="009507D5">
        <w:rPr>
          <w:rStyle w:val="StyleUnderline"/>
        </w:rPr>
        <w:t>Rather than trying to find the truth regarding this practice, the challenge becomes one of thinking through how practices of barebacking might offer promising ways of engaging sexuality.</w:t>
      </w:r>
      <w:r w:rsidRPr="00801856">
        <w:rPr>
          <w:sz w:val="16"/>
        </w:rPr>
        <w:t xml:space="preserve"> I might, through this anecdotal theorising, find something specifically queer – something (a practice) that helps create a queer subculture and identification with HIV that is defined by its departure from heterosexuality and homosexuality. </w:t>
      </w:r>
      <w:r w:rsidRPr="00A311B3">
        <w:rPr>
          <w:rStyle w:val="StyleUnderline"/>
        </w:rPr>
        <w:t>Barebacking becomes</w:t>
      </w:r>
      <w:r w:rsidRPr="00801856">
        <w:rPr>
          <w:sz w:val="16"/>
        </w:rPr>
        <w:t>, relying on Halperin, ‘</w:t>
      </w:r>
      <w:r w:rsidRPr="00A311B3">
        <w:rPr>
          <w:rStyle w:val="StyleUnderline"/>
        </w:rPr>
        <w:t>a form of understanding, a way of seeing men, women, and the world’ through sexuality</w:t>
      </w:r>
      <w:r w:rsidRPr="00801856">
        <w:rPr>
          <w:sz w:val="16"/>
        </w:rPr>
        <w:t xml:space="preserve"> (2012, 375). </w:t>
      </w:r>
      <w:r w:rsidRPr="00A311B3">
        <w:rPr>
          <w:rStyle w:val="Emphasis"/>
        </w:rPr>
        <w:t>For sex education, this method of reading ‘sex’ moves beyond the medical and health models that assume particular normative needs for living and instead offers an aesthetic and ethical view of sex and subjectivity that offer radical ways of being and relating.</w:t>
      </w:r>
      <w:r w:rsidRPr="00801856">
        <w:rPr>
          <w:sz w:val="16"/>
        </w:rPr>
        <w:t xml:space="preserve"> It may not be immediately humorous – sex education rarely allows itself to laugh. Nor does such a way of reading and theorising offer broad generalised ideas of teaching sex. What it does do is quite humbly focus on and privilege the moment – the moment itself something highly fantasised about within Carlos’ account of barebacking. There are all kinds of moments in education. Most of those moments pass by unnoticed, forgotten in the forward progression of time. These moments eventually add up though and create – in relation with other factors – educated subjects. The debates and controversies that emerge around education might be boiled down to the struggle over which types of subjects should be created and which should be destroyed or ‘straightened’ out.4 Education is, quite simply, a space and time in which students develop lifestyles and within ‘sex’ education the concern, particularly around ‘sexual behaviours’ (read non-heterosexual behaviours), is that one will choose a non-heterosexual lifestyle. Or put differently, one’s fear of sex education that is inclusive of homosexuality is that it will teach children how to be gay. Most rebuttals to such fears are in the form of denying such intentions – arguing that homosexuality is neither a ‘choice’ nor something that can be taught. Rather, it is ‘natural’ or to quote Lady Gaga we are ‘born this way’. So, it is rather tenuous to talk about lifestyle in relationship to sexuality since it has been a mantra of LGBT politics to claim that homosexuality is not a lifestyle. However, it is perhaps necessary to eschew the disdain for lifestyle and embrace what ‘lifestyle’ offers us in thinking about sexuality and sex education within our consumer society. While it has rarely been fashionable to use fashion-speak in education – in favour of tradition (developed through ‘evidence-based research’) – I use fashion here to think about what might be a rather unfashionable subject. In particular, I use the barebacking lifestyle to explore potential pedagogical insights where pedagogy is viewed not simply as methods of teaching or the art of teaching, but as the process of fashioning the self through relationships with knowledge, the self and others (e.g. peers and teachers). Barebacking education Nowhere is the challenge of queerness more apparent than in sex education where discussions about homosexuality and non-reproductive sexuality are often challenged and controversial. Yet, </w:t>
      </w:r>
      <w:r w:rsidRPr="00A311B3">
        <w:rPr>
          <w:rStyle w:val="StyleUnderline"/>
        </w:rPr>
        <w:t>queerness is not simply about sexual practices but also about queer people</w:t>
      </w:r>
      <w:r w:rsidRPr="00801856">
        <w:rPr>
          <w:sz w:val="16"/>
        </w:rPr>
        <w:t xml:space="preserve"> – </w:t>
      </w:r>
      <w:r w:rsidRPr="00A311B3">
        <w:rPr>
          <w:rStyle w:val="StyleUnderline"/>
        </w:rPr>
        <w:t>people who live lives, have lifestyles, that are unrepresented within schools and could illustrate ways of ‘becoming’ queer</w:t>
      </w:r>
      <w:r w:rsidRPr="00801856">
        <w:rPr>
          <w:sz w:val="16"/>
        </w:rPr>
        <w:t xml:space="preserve"> – something Eric Rofes so eloquently argued in his work. </w:t>
      </w:r>
      <w:r w:rsidRPr="00A311B3">
        <w:rPr>
          <w:rStyle w:val="Emphasis"/>
        </w:rPr>
        <w:t>Simply offering representations of queer people is inadequate</w:t>
      </w:r>
      <w:r w:rsidRPr="00A311B3">
        <w:rPr>
          <w:rStyle w:val="StyleUnderline"/>
        </w:rPr>
        <w:t>. Representations used more often than not continue to conform to the accepted status quo</w:t>
      </w:r>
      <w:r w:rsidRPr="00801856">
        <w:rPr>
          <w:sz w:val="16"/>
        </w:rPr>
        <w:t xml:space="preserve"> (Britzman 1998b). And while barebackers are the epitome of the ‘anti-social’ – anti-social not because they are anti-communal but because they are, as Halperin (2012) notes, ‘contrary to social norms’ – they do offer a compelling lifestyle choice to think through, to illuminate the challenges and possibilities of ‘inventing’ a lifestyle. </w:t>
      </w:r>
      <w:r w:rsidRPr="00A311B3">
        <w:rPr>
          <w:rStyle w:val="StyleUnderline"/>
        </w:rPr>
        <w:t>Barebacking, while an extreme practice, illustrates a particular promise of a queer lifestyle.</w:t>
      </w:r>
      <w:r w:rsidRPr="00801856">
        <w:rPr>
          <w:sz w:val="16"/>
        </w:rPr>
        <w:t xml:space="preserve"> Dean argued that the emergence of the bareback subculture was directly related to the campaign for same-sex marriage. ‘The AIDS epidemic’, he argued, ‘not only made gay sexuality more visible but also led to the promotion of a more socially conservative gay political agenda’ and with the promotion of such a conservative agenda ‘queers invented bareback subculture to help keep their sex outside the pale of bourgeois respectability’ (2009, 84–85). The emergence of such a subculture also came at a time when HIV was no longer a death sentence due to anti-retrovirals (assuming, of course, one has access). The temporality of AIDS was no longer certain as those who found themselves ‘positive’ did not have to ask ‘how long’ but could look to a manageable illness. Dean, looking at ‘Bareback Time’, extends the strange relationship of ‘marriage’ and ‘barebacking’, writing ‘insofar as both involve experiments in kinship formation’ it is also possible to see that both experiments ‘may be understood as an equally symptomatic response to the anxiety of not knowing which timeline one is living’ (2012, 83). ‘Marriage, like barebacking, promises’, as Dean notes, ‘the seductive illusion that one can be sure about which temporality he or she inhabits; it offers an answer to questions that may barely have been formulated. Marriage, like barebacking, seems to make the future more certain’ (83). Yet, such certainty is quite illusory. Similarly</w:t>
      </w:r>
      <w:r w:rsidRPr="00A311B3">
        <w:rPr>
          <w:rStyle w:val="StyleUnderline"/>
        </w:rPr>
        <w:t xml:space="preserve">, educational research while seeking certainty must inevitably find ways to grapple with uncertainty – not to fall </w:t>
      </w:r>
      <w:r w:rsidRPr="00A311B3">
        <w:rPr>
          <w:rStyle w:val="StyleUnderline"/>
        </w:rPr>
        <w:lastRenderedPageBreak/>
        <w:t>prey to nihilism but to find ways of living up to the promise of queerness to insist on the ‘particularity of the subject’</w:t>
      </w:r>
      <w:r w:rsidRPr="00801856">
        <w:rPr>
          <w:sz w:val="16"/>
        </w:rPr>
        <w:t xml:space="preserve"> (Edelman 2004, 5). </w:t>
      </w:r>
      <w:r w:rsidRPr="00A311B3">
        <w:rPr>
          <w:rStyle w:val="StyleUnderline"/>
        </w:rPr>
        <w:t>Education is</w:t>
      </w:r>
      <w:r w:rsidRPr="00801856">
        <w:rPr>
          <w:sz w:val="16"/>
        </w:rPr>
        <w:t xml:space="preserve">, however, </w:t>
      </w:r>
      <w:r w:rsidRPr="00A311B3">
        <w:rPr>
          <w:rStyle w:val="StyleUnderline"/>
        </w:rPr>
        <w:t>always concerned with the future.</w:t>
      </w:r>
      <w:r w:rsidRPr="00801856">
        <w:rPr>
          <w:sz w:val="16"/>
        </w:rPr>
        <w:t xml:space="preserve"> Its central task in the USA, it would seem, is to prepare students for any number of future activities – from being productive workers to being informed democratic citizens to helping keep the USA competitive and innovative (Labaree 1992). ‘The future is kids’ stuff’ to echo Edelman (2004). And in these postmodern times, the future is itself uncertain as the assumptions and dreams of the Enlightenment come apart. </w:t>
      </w:r>
      <w:r w:rsidRPr="006479B5">
        <w:rPr>
          <w:rStyle w:val="StyleUnderline"/>
        </w:rPr>
        <w:t>For Edelman, the future may be kids’ stuff but as such it is a problem for queers. Queers in his estimation, are not on the side of the future, but always placed as being against it</w:t>
      </w:r>
      <w:r w:rsidRPr="00801856">
        <w:rPr>
          <w:sz w:val="16"/>
        </w:rPr>
        <w:t xml:space="preserve">. Queers cannot reproduce; queers ‘pervert’ our children; queers are responsible for Hurricane Katrina. And so the story (homophobic to be sure) goes on. Queers have become, in the homophobic imagination, that which is against everything ‘good’ and ‘positive’. Edelman’s response to the positioning of queers as ‘negative’ is not to disavow this negativity as liberal responses often go. Instead, </w:t>
      </w:r>
      <w:r w:rsidRPr="006479B5">
        <w:rPr>
          <w:rStyle w:val="StyleUnderline"/>
        </w:rPr>
        <w:t>the negativity so often associated with ‘queerness’ and queers becomes central to the promise of queerness</w:t>
      </w:r>
      <w:r w:rsidRPr="00801856">
        <w:rPr>
          <w:sz w:val="16"/>
        </w:rPr>
        <w:t xml:space="preserve"> – </w:t>
      </w:r>
      <w:r w:rsidRPr="006479B5">
        <w:rPr>
          <w:rStyle w:val="StyleUnderline"/>
        </w:rPr>
        <w:t>through negativity queerness challenges and contests the normative and reproductive.</w:t>
      </w:r>
      <w:r w:rsidRPr="00801856">
        <w:rPr>
          <w:sz w:val="16"/>
        </w:rPr>
        <w:t xml:space="preserve"> As Edelman writes: far from partaking of this narrative movement toward a viable political future, far from perpetuating the fantasy of meaning’s eventual realisation, the queer comes to figure the bar to every realisation of futurity, the resistance, internal to the social, to every social structure or form. (2004, 4) </w:t>
      </w:r>
      <w:r w:rsidRPr="006479B5">
        <w:rPr>
          <w:rStyle w:val="StyleUnderline"/>
        </w:rPr>
        <w:t>Queers promise to refuse, ‘the structuring optimism of politics to which the order to meaning commits us, installing as it does the perpetual hope of reading meaning through signification’ to propose something ‘better’ that is inevitably ‘absolutely nothing’ except the ‘insistent particularity of the subject’</w:t>
      </w:r>
      <w:r w:rsidRPr="00801856">
        <w:rPr>
          <w:sz w:val="16"/>
        </w:rPr>
        <w:t xml:space="preserve"> (2004, 5). </w:t>
      </w:r>
      <w:r w:rsidRPr="006479B5">
        <w:rPr>
          <w:rStyle w:val="StyleUnderline"/>
        </w:rPr>
        <w:t>The value of such a promise ‘resides in its challenge to value as defined by the social and thus in its radical challenge to the very value of the social itself’</w:t>
      </w:r>
      <w:r w:rsidRPr="00801856">
        <w:rPr>
          <w:sz w:val="16"/>
        </w:rPr>
        <w:t xml:space="preserve"> (6). A queer pedagogy for barebackers Luhmann, in an early engagement ‘Queering/Querying Pedagogy’, notes that </w:t>
      </w:r>
      <w:r w:rsidRPr="00E61862">
        <w:rPr>
          <w:rStyle w:val="StyleUnderline"/>
        </w:rPr>
        <w:t>what is at stake in a queer pedagogy</w:t>
      </w:r>
      <w:r w:rsidRPr="00801856">
        <w:rPr>
          <w:sz w:val="16"/>
        </w:rPr>
        <w:t xml:space="preserve">: </w:t>
      </w:r>
      <w:r w:rsidRPr="00E61862">
        <w:rPr>
          <w:rStyle w:val="StyleUnderline"/>
        </w:rPr>
        <w:t>is not the application of queer theory</w:t>
      </w:r>
      <w:r w:rsidRPr="00801856">
        <w:rPr>
          <w:sz w:val="16"/>
        </w:rPr>
        <w:t xml:space="preserve"> (as a new knowledge) </w:t>
      </w:r>
      <w:r w:rsidRPr="00E61862">
        <w:rPr>
          <w:rStyle w:val="StyleUnderline"/>
        </w:rPr>
        <w:t>onto pedagogy</w:t>
      </w:r>
      <w:r w:rsidRPr="00801856">
        <w:rPr>
          <w:sz w:val="16"/>
        </w:rPr>
        <w:t xml:space="preserve">, nor the application of pedagogy (as a new method) for the dissemination of queer theory/knowledge . . . </w:t>
      </w:r>
      <w:r w:rsidRPr="00E61862">
        <w:rPr>
          <w:rStyle w:val="StyleUnderline"/>
        </w:rPr>
        <w:t>A queer pedagogy aims at the infinite proliferation of new identifications</w:t>
      </w:r>
      <w:r w:rsidRPr="00E61862">
        <w:rPr>
          <w:rStyle w:val="Emphasis"/>
        </w:rPr>
        <w:t>. A queer pedagogy suggests that, rather than finding the self in knowledge and representations, learning is about the process of risking the self.</w:t>
      </w:r>
      <w:r w:rsidRPr="00801856">
        <w:rPr>
          <w:sz w:val="16"/>
        </w:rPr>
        <w:t xml:space="preserve"> (1998, 151) For sex education, the notion of risking the self is a more ‘real’ issue than when it comes to almost any other subject. Not learning one’s lessons in history might lead one to fail a test or appear uninformed, but not learning one’s lesson in sex education can mean the difference between ‘life’ and ‘death’ or ‘healthy’ and ‘diseased’. Determinations of what counts as ‘life’ and ‘healthy’, however, are made by those who have the ability to do so, making those who fall outside those norms become ‘queer’. Those who fail to live in normal ways are not incapable of living life, but contest the normative order. </w:t>
      </w:r>
      <w:r w:rsidRPr="00E61862">
        <w:rPr>
          <w:rStyle w:val="StyleUnderline"/>
        </w:rPr>
        <w:t>‘Queer suggests’, as Morris wrote, ‘a self-naming that stands outside the dominant cultural codes; queer opposes sex-policing, gender-policing, heteronormativity, and assimilationist politics’</w:t>
      </w:r>
      <w:r w:rsidRPr="00801856">
        <w:rPr>
          <w:sz w:val="16"/>
        </w:rPr>
        <w:t xml:space="preserve"> (1998, 276). </w:t>
      </w:r>
      <w:r w:rsidRPr="00E61862">
        <w:rPr>
          <w:rStyle w:val="Emphasis"/>
        </w:rPr>
        <w:t>Barebackers offer an extreme position and an extreme lesson contesting the normalising tendencies of sex education</w:t>
      </w:r>
      <w:r w:rsidRPr="00801856">
        <w:rPr>
          <w:sz w:val="16"/>
        </w:rPr>
        <w:t xml:space="preserve"> – </w:t>
      </w:r>
      <w:r w:rsidRPr="00E61862">
        <w:rPr>
          <w:rStyle w:val="StyleUnderline"/>
        </w:rPr>
        <w:t>particularly because of its emphasis on medical and scientific discourses</w:t>
      </w:r>
      <w:r w:rsidRPr="00801856">
        <w:rPr>
          <w:sz w:val="16"/>
        </w:rPr>
        <w:t xml:space="preserve">. In opposing the fashioning practices of sex education, </w:t>
      </w:r>
      <w:r w:rsidRPr="00E61862">
        <w:rPr>
          <w:rStyle w:val="StyleUnderline"/>
        </w:rPr>
        <w:t>barebackers illuminate alternative lifestyles that challenge the ever-present process of normalisation. They illuminate the ethical challenges of sex education by eschewing ‘knowledge’ in favour of engaging relations as Dean illustrated.</w:t>
      </w:r>
      <w:r w:rsidRPr="00801856">
        <w:rPr>
          <w:sz w:val="16"/>
        </w:rPr>
        <w:t xml:space="preserve"> While knowledge about sex is ubiquitous from sex manuals, classes and pornography, </w:t>
      </w:r>
      <w:r w:rsidRPr="00E61862">
        <w:rPr>
          <w:rStyle w:val="StyleUnderline"/>
        </w:rPr>
        <w:t>the challenge of sex continues to be about how to relate to the self and other.</w:t>
      </w:r>
      <w:r w:rsidRPr="00801856">
        <w:rPr>
          <w:sz w:val="16"/>
        </w:rPr>
        <w:t xml:space="preserve"> Sex, like education, as Bingham wrote, ‘is primarily about beings who meet’ (2011, 517).</w:t>
      </w:r>
    </w:p>
    <w:p w:rsidR="000D3F1C" w:rsidRDefault="000D3F1C" w:rsidP="000D3F1C"/>
    <w:p w:rsidR="000D3F1C" w:rsidRDefault="000D3F1C" w:rsidP="000D3F1C">
      <w:pPr>
        <w:pStyle w:val="Heading4"/>
      </w:pPr>
      <w:r>
        <w:t xml:space="preserve">This risky pedagogy embraces the queer negativity of education—by disconnecting learning from futurity the alt inhabits the gaps within the social to explore queer possibilities </w:t>
      </w:r>
    </w:p>
    <w:p w:rsidR="000D3F1C" w:rsidRDefault="000D3F1C" w:rsidP="000D3F1C">
      <w:r w:rsidRPr="00A71B72">
        <w:rPr>
          <w:rStyle w:val="Author-Date"/>
        </w:rPr>
        <w:t>Greteman &amp; Wojcikiewicz 2014</w:t>
      </w:r>
      <w:r>
        <w:t xml:space="preserve"> [ Adam J., Adjunct Assistant Professor of Art Education at the School of the Art Institute of Chicago; Steven K., Assistant Professor in the College of Education at Western Oregon University | “The Problems with the Future: Educational Futurism and the Figural Child” Journal of Philosophy of Education, Vol. 48, No. 4, 2014]</w:t>
      </w:r>
    </w:p>
    <w:p w:rsidR="000D3F1C" w:rsidRDefault="000D3F1C" w:rsidP="000D3F1C">
      <w:pPr>
        <w:rPr>
          <w:rStyle w:val="StyleUnderline"/>
        </w:rPr>
      </w:pPr>
      <w:r w:rsidRPr="00A71B72">
        <w:rPr>
          <w:sz w:val="16"/>
        </w:rPr>
        <w:lastRenderedPageBreak/>
        <w:t xml:space="preserve">This may seem to lay out a solution for educational futurism in the name of what might be called educational present-ism, but it is not so. </w:t>
      </w:r>
      <w:r w:rsidRPr="009A6725">
        <w:rPr>
          <w:rStyle w:val="StyleUnderline"/>
        </w:rPr>
        <w:t xml:space="preserve">It would be a mistake, when viewing educational futurism and the Child in terms of their roles in creating poor educational practice, to respond merely by calling for an education for the present. Such a call would fall into dualistic thinking that sets the present against the future and demands allegiance to one side or the other. </w:t>
      </w:r>
      <w:r w:rsidRPr="00A71B72">
        <w:rPr>
          <w:sz w:val="16"/>
        </w:rPr>
        <w:t xml:space="preserve">Both Dewey and Edelman warn against such a step, Edelman by making a queer argument centred on the death drive, and Dewey by pointing out the dangers of boiling complex ideas down to either-or propositions. </w:t>
      </w:r>
      <w:r w:rsidRPr="009A6725">
        <w:rPr>
          <w:rStyle w:val="StyleUnderline"/>
        </w:rPr>
        <w:t>Seeing the disruptive potential of the embracing the ‘negativity’ of queerness, Edelman utilises Lacan’s theorisation of the death drive.</w:t>
      </w:r>
      <w:r w:rsidRPr="00A71B72">
        <w:rPr>
          <w:sz w:val="16"/>
        </w:rPr>
        <w:t xml:space="preserve"> He notes that ‘the death drive marks the excess embedded within the Symbolic through the loss, the Real loss, that the advent of the signifier effects’ (2004, p. 9). </w:t>
      </w:r>
      <w:r w:rsidRPr="009A6725">
        <w:rPr>
          <w:rStyle w:val="StyleUnderline"/>
        </w:rPr>
        <w:t>The death drive becomes the moment of undoing, of constantly seeking to disrupt and destroy the signifier for ‘the queer insists that politics is always a politics of the signifier’</w:t>
      </w:r>
      <w:r w:rsidRPr="00A71B72">
        <w:rPr>
          <w:sz w:val="16"/>
        </w:rPr>
        <w:t xml:space="preserve"> (p. 6). Queerness makes possible a constant disruption or ‘the violent undoing of meaning, the loss of identity and coherence’ (p. 132). </w:t>
      </w:r>
      <w:r w:rsidRPr="009A6725">
        <w:rPr>
          <w:rStyle w:val="StyleUnderline"/>
        </w:rPr>
        <w:t>Edelman’s embrace of the death drive thus challenges the story of the Child’s innocence. In this challenge however, he notes that,</w:t>
      </w:r>
      <w:r w:rsidRPr="00A71B72">
        <w:rPr>
          <w:sz w:val="16"/>
        </w:rPr>
        <w:t xml:space="preserve"> . . . </w:t>
      </w:r>
      <w:r w:rsidRPr="009A6725">
        <w:rPr>
          <w:rStyle w:val="StyleUnderline"/>
        </w:rPr>
        <w:t>to intervene in the reproduction of such a reality</w:t>
      </w:r>
      <w:r w:rsidRPr="00A71B72">
        <w:rPr>
          <w:sz w:val="16"/>
        </w:rPr>
        <w:t>—an intervention that may well take the form of figuring that reality’s abortion—</w:t>
      </w:r>
      <w:r w:rsidRPr="009A6725">
        <w:rPr>
          <w:rStyle w:val="StyleUnderline"/>
        </w:rPr>
        <w:t>queer theory must always insist on its connection to the vicissitudes of the sign</w:t>
      </w:r>
      <w:r w:rsidRPr="00A71B72">
        <w:rPr>
          <w:sz w:val="16"/>
        </w:rPr>
        <w:t xml:space="preserve">, to the tension between the signifier’s collapse into the letter’s cadaverous materiality and its participation in a system of reference wherein it generates meaning itself (p. 7). Edelman, as such, is following a broader theme in queer theory. Eve </w:t>
      </w:r>
      <w:r w:rsidRPr="009A6725">
        <w:rPr>
          <w:rStyle w:val="StyleUnderline"/>
        </w:rPr>
        <w:t>Sedgwick</w:t>
      </w:r>
      <w:r w:rsidRPr="00A71B72">
        <w:rPr>
          <w:sz w:val="16"/>
        </w:rPr>
        <w:t xml:space="preserve"> (1993) </w:t>
      </w:r>
      <w:r w:rsidRPr="009A6725">
        <w:rPr>
          <w:rStyle w:val="StyleUnderline"/>
        </w:rPr>
        <w:t>suggests queer ‘can refer to: the mesh of possibilities, of gaps, overlaps, dissonances, and resonances, lapses and excesses of meaning when the constituent elements of anyone’s gender, of anyone’s sexuality aren’t made (</w:t>
      </w:r>
      <w:r w:rsidRPr="00A71B72">
        <w:rPr>
          <w:sz w:val="16"/>
        </w:rPr>
        <w:t xml:space="preserve">or can’t be made) </w:t>
      </w:r>
      <w:r w:rsidRPr="009A6725">
        <w:rPr>
          <w:rStyle w:val="StyleUnderline"/>
        </w:rPr>
        <w:t>to signify monolithically’</w:t>
      </w:r>
      <w:r w:rsidRPr="00A71B72">
        <w:rPr>
          <w:sz w:val="16"/>
        </w:rPr>
        <w:t xml:space="preserve"> (p. 8). </w:t>
      </w:r>
      <w:r w:rsidRPr="009A6725">
        <w:rPr>
          <w:rStyle w:val="StyleUnderline"/>
        </w:rPr>
        <w:t>The social order, under modernity</w:t>
      </w:r>
      <w:r w:rsidRPr="00A71B72">
        <w:rPr>
          <w:sz w:val="16"/>
        </w:rPr>
        <w:t xml:space="preserve">, is fantasised to be coherent, to seek consistency, completeness, and unity. It </w:t>
      </w:r>
      <w:r w:rsidRPr="009A6725">
        <w:rPr>
          <w:rStyle w:val="StyleUnderline"/>
        </w:rPr>
        <w:t>seeks to tell a story that does not fail,</w:t>
      </w:r>
      <w:r w:rsidRPr="00A71B72">
        <w:rPr>
          <w:sz w:val="16"/>
        </w:rPr>
        <w:t xml:space="preserve"> even as it always must. </w:t>
      </w:r>
      <w:r w:rsidRPr="009A6725">
        <w:rPr>
          <w:rStyle w:val="StyleUnderline"/>
        </w:rPr>
        <w:t>It is this failure that queerness embraces.</w:t>
      </w:r>
      <w:r w:rsidRPr="00A71B72">
        <w:rPr>
          <w:sz w:val="16"/>
        </w:rPr>
        <w:t xml:space="preserve"> As Edelman notes ‘queer theory marks the “other” side of politics: the “side” where narrative realization and derealization overlap . . . the “side” outside of all political sides’ (p. 7). While some may seek to tame queer theory so as to imply troubling—eliminating the queers association with (homo)sexuality—such a move is problematic as it ‘dematerialize[s] any possibility of queerness itself’ because homosexuality is a piece of the queers ‘definitional center’ (Sedgwick, 1993, p. 8). Such a move ignores the role of sexual orientation in queerness. And as Ahmed notes </w:t>
      </w:r>
      <w:r w:rsidRPr="009A6725">
        <w:rPr>
          <w:rStyle w:val="StyleUnderline"/>
        </w:rPr>
        <w:t>‘being oriented in different ways does matter, precisely because of how spaces are already oriented</w:t>
      </w:r>
      <w:r w:rsidRPr="00A71B72">
        <w:rPr>
          <w:sz w:val="16"/>
        </w:rPr>
        <w:t xml:space="preserve"> . . </w:t>
      </w:r>
      <w:r w:rsidRPr="009A6725">
        <w:rPr>
          <w:rStyle w:val="StyleUnderline"/>
        </w:rPr>
        <w:t>. Orientations affect what bodies can do’</w:t>
      </w:r>
      <w:r w:rsidRPr="00A71B72">
        <w:rPr>
          <w:sz w:val="16"/>
        </w:rPr>
        <w:t xml:space="preserve"> (2006, p. 563). </w:t>
      </w:r>
      <w:r w:rsidRPr="009A6725">
        <w:rPr>
          <w:rStyle w:val="StyleUnderline"/>
        </w:rPr>
        <w:t>As such, orientation impacts the ability to think of the future and to what ends one is oriented toward.</w:t>
      </w:r>
      <w:r>
        <w:rPr>
          <w:rStyle w:val="StyleUnderline"/>
        </w:rPr>
        <w:t xml:space="preserve"> </w:t>
      </w:r>
      <w:r w:rsidRPr="009A6725">
        <w:rPr>
          <w:rStyle w:val="StyleUnderline"/>
        </w:rPr>
        <w:t>The task in part is the embrace of the negative in order to challenge the social reality and its fantasy of coherence to orient in new ways. The incompleteness of children</w:t>
      </w:r>
      <w:r w:rsidRPr="00A71B72">
        <w:rPr>
          <w:sz w:val="16"/>
        </w:rPr>
        <w:t xml:space="preserve">, much maligned, </w:t>
      </w:r>
      <w:r w:rsidRPr="009A6725">
        <w:rPr>
          <w:rStyle w:val="StyleUnderline"/>
        </w:rPr>
        <w:t>emerges then as a site for such a challenge whereby the incompleteness is embraced so that coherence is always in question.</w:t>
      </w:r>
      <w:r w:rsidRPr="00A71B72">
        <w:rPr>
          <w:sz w:val="16"/>
        </w:rPr>
        <w:t xml:space="preserve"> The social reality is constantly under threat of disintegration and as such seeks to regulate those bodies that cause such threats. </w:t>
      </w:r>
      <w:r w:rsidRPr="000C322C">
        <w:rPr>
          <w:rStyle w:val="StyleUnderline"/>
        </w:rPr>
        <w:t>The queerness of children produces different ways to do and be in the world, hidden by the regulatory subject in the form of the Child. To employ a queer perspective in the examination of educational futurism is not solely to carry out a simple act of negation</w:t>
      </w:r>
      <w:r w:rsidRPr="00A71B72">
        <w:rPr>
          <w:sz w:val="16"/>
        </w:rPr>
        <w:t xml:space="preserve"> (i.e. negating the Child), </w:t>
      </w:r>
      <w:r w:rsidRPr="000C322C">
        <w:rPr>
          <w:rStyle w:val="StyleUnderline"/>
        </w:rPr>
        <w:t>but to recognise how that negation is, in part, how the future is figured and how different futures might become thinkable.</w:t>
      </w:r>
      <w:r>
        <w:rPr>
          <w:rStyle w:val="StyleUnderline"/>
        </w:rPr>
        <w:t xml:space="preserve"> </w:t>
      </w:r>
      <w:r w:rsidRPr="00A71B72">
        <w:rPr>
          <w:sz w:val="16"/>
        </w:rPr>
        <w:t xml:space="preserve">For Edelman this embrace occurs through his theorisation around the death drive, which ‘names what the queer, in the order of the social, is called forth to figure: the negativity opposed to every form of social viability’ (2004, p. 9). </w:t>
      </w:r>
      <w:r w:rsidRPr="00E53BCC">
        <w:rPr>
          <w:rStyle w:val="StyleUnderline"/>
        </w:rPr>
        <w:t>Queerness challenges the world and opposes the norms that structure the logic of the social. It is not reproductive and within the realm of the social, unintelligible. It works against stability at all times, seeking its own death.</w:t>
      </w:r>
      <w:r w:rsidRPr="00A71B72">
        <w:rPr>
          <w:sz w:val="16"/>
        </w:rPr>
        <w:t xml:space="preserve"> In doing so, queerness challenges identity politics: [w]here the political interventions of identitarian minorities— including those who seek to substantialize the identities of lesbians, gay men, and bisexuals—may properly take shape as oppositional, affording the dominant order a reassuringly symmetrical, if inverted, depiction of its own ostensibly coherent identity, queer theory’s opposition is precisely to any such logic of opposition, its proper task the ceaseless disappropriation of every propriety. (p. 24) </w:t>
      </w:r>
      <w:r w:rsidRPr="00C50218">
        <w:rPr>
          <w:rStyle w:val="StyleUnderline"/>
        </w:rPr>
        <w:t>Yet, this death, this negation, is not to deny existence, but to push for alternative possibilities</w:t>
      </w:r>
      <w:r w:rsidRPr="00A71B72">
        <w:rPr>
          <w:sz w:val="16"/>
        </w:rPr>
        <w:t>—</w:t>
      </w:r>
      <w:r w:rsidRPr="00C50218">
        <w:rPr>
          <w:rStyle w:val="Emphasis"/>
        </w:rPr>
        <w:t>it is</w:t>
      </w:r>
      <w:r w:rsidRPr="00A71B72">
        <w:rPr>
          <w:sz w:val="16"/>
        </w:rPr>
        <w:t xml:space="preserve">, one might say, </w:t>
      </w:r>
      <w:r w:rsidRPr="00C50218">
        <w:rPr>
          <w:rStyle w:val="Emphasis"/>
        </w:rPr>
        <w:t>productive but never reproductive in producing new orientations to the world</w:t>
      </w:r>
      <w:r w:rsidRPr="00C50218">
        <w:rPr>
          <w:rStyle w:val="StyleUnderline"/>
        </w:rPr>
        <w:t>. It is creative in its destructive intentions, as it must never cease its negation within any given normative framework.</w:t>
      </w:r>
      <w:r>
        <w:rPr>
          <w:rStyle w:val="StyleUnderline"/>
        </w:rPr>
        <w:t xml:space="preserve"> </w:t>
      </w:r>
      <w:r w:rsidRPr="00A71B72">
        <w:rPr>
          <w:sz w:val="16"/>
        </w:rPr>
        <w:t xml:space="preserve">Dewey follows a parallel course here, in that he does not seek to create an essential, normative position. Rather, in his conception of both life and of education as growth for its own sake, he denies essential identities. Essentialising, in any form, would clearly disrupt Dewey’s insistence on the connection between life, growth, and </w:t>
      </w:r>
      <w:r w:rsidRPr="00A71B72">
        <w:rPr>
          <w:sz w:val="16"/>
        </w:rPr>
        <w:lastRenderedPageBreak/>
        <w:t xml:space="preserve">education, and the self-justifying nature of the latter two. </w:t>
      </w:r>
      <w:r w:rsidRPr="00C50218">
        <w:rPr>
          <w:rStyle w:val="StyleUnderline"/>
        </w:rPr>
        <w:t>If the death drive appears here, as Edelman has used it, it appears as the constant disrupter of the static, the destroyer of identity, the social, which makes constant growth and learning possible.</w:t>
      </w:r>
      <w:r w:rsidRPr="00A71B72">
        <w:rPr>
          <w:sz w:val="16"/>
        </w:rPr>
        <w:t xml:space="preserve"> When Dewey warns about the danger of placing the adult above the child, he does not propose that the answer is the placement of the child above the adult. Rather, Dewey seeks to deny the duality itself. ‘The relation of the present and the future’, he writes, ‘is not an Either-Or affair’ (1938, p. 30). Arguably then, </w:t>
      </w:r>
      <w:r w:rsidRPr="00C50218">
        <w:rPr>
          <w:rStyle w:val="StyleUnderline"/>
        </w:rPr>
        <w:t>Dewey challenges the Child as Edelman does, writing against a politics that fantasises about coherence and recognisable forms proposing rather a subject that is contingent, particular and unable to be fully articulated.</w:t>
      </w:r>
    </w:p>
    <w:p w:rsidR="000D3F1C" w:rsidRDefault="00623601" w:rsidP="00623601">
      <w:pPr>
        <w:pStyle w:val="Heading3"/>
      </w:pPr>
      <w:bookmarkStart w:id="9" w:name="_Toc489138905"/>
      <w:r>
        <w:lastRenderedPageBreak/>
        <w:t>1NC: Studious Play</w:t>
      </w:r>
      <w:bookmarkEnd w:id="9"/>
    </w:p>
    <w:p w:rsidR="00DB78EB" w:rsidRPr="00DB75D7" w:rsidRDefault="00DB78EB" w:rsidP="00DB78EB">
      <w:pPr>
        <w:pStyle w:val="Heading4"/>
      </w:pPr>
      <w:r>
        <w:t xml:space="preserve">The affirmative’s defense of “I would prefer not to” aligns itself with the corporate cooption of the humanities – eradicating the queerness of Bartleby’s project and twisting it to an intelligible call for a new social order </w:t>
      </w:r>
    </w:p>
    <w:p w:rsidR="00DB78EB" w:rsidRPr="00BE2E04" w:rsidRDefault="00DB78EB" w:rsidP="00DB78EB">
      <w:r w:rsidRPr="001E6ECB">
        <w:rPr>
          <w:rStyle w:val="Style13ptBold"/>
        </w:rPr>
        <w:t xml:space="preserve">Edelman </w:t>
      </w:r>
      <w:r>
        <w:rPr>
          <w:rStyle w:val="Style13ptBold"/>
        </w:rPr>
        <w:t>20</w:t>
      </w:r>
      <w:r w:rsidRPr="001E6ECB">
        <w:rPr>
          <w:rStyle w:val="Style13ptBold"/>
        </w:rPr>
        <w:t>13</w:t>
      </w:r>
      <w:r>
        <w:t xml:space="preserve"> (</w:t>
      </w:r>
      <w:r w:rsidRPr="00BE2E04">
        <w:t>Edelman</w:t>
      </w:r>
      <w:r>
        <w:t>,</w:t>
      </w:r>
      <w:r w:rsidRPr="00BE2E04">
        <w:t xml:space="preserve"> </w:t>
      </w:r>
      <w:r w:rsidRPr="00B848A8">
        <w:t xml:space="preserve">Fletcher Professor of English </w:t>
      </w:r>
      <w:r>
        <w:t>Literature at Tufts University | “Occupy Wall Street: ‘Bartleby’</w:t>
      </w:r>
      <w:r w:rsidRPr="00BE2E04">
        <w:t xml:space="preserve"> Against the Humanities</w:t>
      </w:r>
      <w:r>
        <w:t xml:space="preserve">.” </w:t>
      </w:r>
      <w:r w:rsidRPr="00155D2B">
        <w:rPr>
          <w:i/>
        </w:rPr>
        <w:t>History of the Present</w:t>
      </w:r>
      <w:r>
        <w:t>, Vol. 3, No. 1 (Spring 2013) Pg 99-118)</w:t>
      </w:r>
    </w:p>
    <w:p w:rsidR="00DB78EB" w:rsidRDefault="00DB78EB" w:rsidP="00DB78EB">
      <w:pPr>
        <w:rPr>
          <w:sz w:val="16"/>
        </w:rPr>
      </w:pPr>
      <w:r w:rsidRPr="00DB75D7">
        <w:rPr>
          <w:sz w:val="16"/>
        </w:rPr>
        <w:t xml:space="preserve">So moved is </w:t>
      </w:r>
      <w:r w:rsidRPr="002A7659">
        <w:rPr>
          <w:rStyle w:val="StyleUnderline"/>
        </w:rPr>
        <w:t>the lawyer</w:t>
      </w:r>
      <w:r w:rsidRPr="00DB75D7">
        <w:rPr>
          <w:sz w:val="16"/>
        </w:rPr>
        <w:t xml:space="preserve"> by these self-conjured phantoms i</w:t>
      </w:r>
      <w:r w:rsidRPr="002A7659">
        <w:rPr>
          <w:rStyle w:val="StyleUnderline"/>
        </w:rPr>
        <w:t xml:space="preserve">ntended to make Bartleby comprehensible that he produces </w:t>
      </w:r>
      <w:r>
        <w:rPr>
          <w:rStyle w:val="StyleUnderline"/>
        </w:rPr>
        <w:t>the twin exclamations, simulta</w:t>
      </w:r>
      <w:r w:rsidRPr="002A7659">
        <w:rPr>
          <w:rStyle w:val="StyleUnderline"/>
        </w:rPr>
        <w:t>neously mournful and triumphant, with which the story ends: “Ah, Bartleby! Ah, humanity!</w:t>
      </w:r>
      <w:r w:rsidRPr="00DB75D7">
        <w:rPr>
          <w:sz w:val="16"/>
        </w:rPr>
        <w:t xml:space="preserve">” And that, </w:t>
      </w:r>
      <w:r w:rsidRPr="001861BC">
        <w:rPr>
          <w:rStyle w:val="StyleUnderline"/>
        </w:rPr>
        <w:t xml:space="preserve">for Occupy Wall Street, is the end of the story in more ways than one. </w:t>
      </w:r>
      <w:r w:rsidRPr="00DB75D7">
        <w:rPr>
          <w:sz w:val="16"/>
        </w:rPr>
        <w:t xml:space="preserve">In an article published a week and a half after the public reading of “Bartleby,” Lauren Klein quotes H. Bruce Franklin, a prominent Melville scholar, as follows: “we can never know who or what Bartleby is, but . . . we are continually asked to guess who or what he might be.”13 Klein tells us that this is </w:t>
      </w:r>
      <w:r w:rsidRPr="001861BC">
        <w:rPr>
          <w:rStyle w:val="StyleUnderline"/>
        </w:rPr>
        <w:t>the “function of the story” and the “obligation of its readers” and aligns this obligation with the politics of Occupy Wall Street</w:t>
      </w:r>
      <w:r w:rsidRPr="00DB75D7">
        <w:rPr>
          <w:sz w:val="16"/>
        </w:rPr>
        <w:t>: “</w:t>
      </w:r>
      <w:r w:rsidRPr="001861BC">
        <w:rPr>
          <w:rStyle w:val="StyleUnderline"/>
        </w:rPr>
        <w:t>to extend this from the literary to the political realm, when presented with a person’s resistance—passive or otherwise—it is the obligation of observers—indeed of all in a democratic society—to think about the possibilities of what that person might stand for</w:t>
      </w:r>
      <w:r w:rsidRPr="00DB75D7">
        <w:rPr>
          <w:sz w:val="16"/>
        </w:rPr>
        <w:t xml:space="preserve">, even if we cannot pinpoint a single issue, meaning, or demand.”14 </w:t>
      </w:r>
      <w:r w:rsidRPr="001861BC">
        <w:rPr>
          <w:rStyle w:val="StyleUnderline"/>
        </w:rPr>
        <w:t>Could anything speak more clearly to our sense of the purpose and the value of the humanities—to their value, that is, in helping us know ourselves and each other more fully by insisting that even what resists comprehension can be colonized by imagination?</w:t>
      </w:r>
      <w:r w:rsidRPr="00DB75D7">
        <w:rPr>
          <w:sz w:val="16"/>
        </w:rPr>
        <w:t xml:space="preserve"> Consider, for example, these words from the 1980 report produced by the Rockefeller Foundation’s Commission on the Humanities: “by awakening a sense of what it might be like to be someone else or to live in another time or culture, [the humanities] tell us about ourselves, stretch our imagination, and enrich our experience. </w:t>
      </w:r>
      <w:r w:rsidRPr="00C503C0">
        <w:rPr>
          <w:rStyle w:val="StyleUnderline"/>
        </w:rPr>
        <w:t>They increase our distinctively human potential</w:t>
      </w:r>
      <w:r w:rsidRPr="00DB75D7">
        <w:rPr>
          <w:sz w:val="16"/>
        </w:rPr>
        <w:t xml:space="preserve">.”15 Yet </w:t>
      </w:r>
      <w:r w:rsidRPr="00C503C0">
        <w:rPr>
          <w:rStyle w:val="StyleUnderline"/>
        </w:rPr>
        <w:t>this value emanates in Melville’s tale from the well-to-do Wall Street lawyer and gets reinforced by the corporate managers of the United St</w:t>
      </w:r>
      <w:r>
        <w:rPr>
          <w:rStyle w:val="StyleUnderline"/>
        </w:rPr>
        <w:t>ates today who shape the insti</w:t>
      </w:r>
      <w:r w:rsidRPr="00C503C0">
        <w:rPr>
          <w:rStyle w:val="StyleUnderline"/>
        </w:rPr>
        <w:t>tutions, including the academy and the various foundations</w:t>
      </w:r>
      <w:r w:rsidRPr="00DB75D7">
        <w:rPr>
          <w:sz w:val="16"/>
        </w:rPr>
        <w:t xml:space="preserve"> (Rockefeller, Carnegie, Mellon, Ford), on which the humanities depend. For </w:t>
      </w:r>
      <w:r w:rsidRPr="00C503C0">
        <w:rPr>
          <w:rStyle w:val="Emphasis"/>
        </w:rPr>
        <w:t>the task of the humanities</w:t>
      </w:r>
      <w:r w:rsidRPr="00C503C0">
        <w:rPr>
          <w:rStyle w:val="StyleUnderline"/>
        </w:rPr>
        <w:t>, in such a light</w:t>
      </w:r>
      <w:r w:rsidRPr="00C503C0">
        <w:rPr>
          <w:rStyle w:val="Emphasis"/>
        </w:rPr>
        <w:t>, remains to affirm the human and so to reproduce the ideological fantasy that the human as concept sustains</w:t>
      </w:r>
      <w:r w:rsidRPr="00DB75D7">
        <w:rPr>
          <w:sz w:val="16"/>
        </w:rPr>
        <w:t xml:space="preserve">. The work of that concept, in no small part, is to produce a ction of community, however large or small its scale, that rests on the constant aesthetic demonstration of the sameness at the core of the human: the sameness that makes us, in one fell swoop, comprehensible in our opacity and collectivizable in our singularity. </w:t>
      </w:r>
      <w:r w:rsidRPr="00D146E8">
        <w:rPr>
          <w:rStyle w:val="StyleUnderline"/>
        </w:rPr>
        <w:t>That fantasy</w:t>
      </w:r>
      <w:r w:rsidRPr="00DB75D7">
        <w:rPr>
          <w:sz w:val="16"/>
        </w:rPr>
        <w:t xml:space="preserve"> may be put to progressive ends by reducing our fear or anxiety about what could seem, at first glance, wholly foreign, and permitting us, instead, to see ourselves in what presents itself as different. But it </w:t>
      </w:r>
      <w:r w:rsidRPr="00D146E8">
        <w:rPr>
          <w:rStyle w:val="StyleUnderline"/>
        </w:rPr>
        <w:t>works in the other direction</w:t>
      </w:r>
      <w:r w:rsidRPr="00DB75D7">
        <w:rPr>
          <w:sz w:val="16"/>
        </w:rPr>
        <w:t xml:space="preserve"> too </w:t>
      </w:r>
      <w:r w:rsidRPr="00D146E8">
        <w:rPr>
          <w:rStyle w:val="StyleUnderline"/>
        </w:rPr>
        <w:t>by maintaining that only such sameness to our- selves could make those differences tolerable</w:t>
      </w:r>
      <w:r w:rsidRPr="00DB75D7">
        <w:rPr>
          <w:sz w:val="16"/>
        </w:rPr>
        <w:t xml:space="preserve">. </w:t>
      </w:r>
      <w:r w:rsidRPr="00D146E8">
        <w:rPr>
          <w:rStyle w:val="Emphasis"/>
        </w:rPr>
        <w:t>The progressive insistence that we’re all alike is not that far from the reactionary claim that what’s valuable is what’s like us.</w:t>
      </w:r>
      <w:r w:rsidRPr="00DB75D7">
        <w:rPr>
          <w:sz w:val="16"/>
        </w:rPr>
        <w:t xml:space="preserve"> In both cases whatever holds fast to its difference, resisting appropriation to sameness, resisting even sameness to itself, gets read as the radical threat of an otherness essentially inhuman. </w:t>
      </w:r>
      <w:r w:rsidRPr="00421062">
        <w:rPr>
          <w:rStyle w:val="StyleUnderline"/>
        </w:rPr>
        <w:t>When we “think about the possibilities of what [a] person might stand for,”</w:t>
      </w:r>
      <w:r w:rsidRPr="00DB75D7">
        <w:rPr>
          <w:sz w:val="16"/>
        </w:rPr>
        <w:t xml:space="preserve"> to quote Klein on the political imperative of reading Bartleby’s resistance, </w:t>
      </w:r>
      <w:r w:rsidRPr="00421062">
        <w:rPr>
          <w:rStyle w:val="StyleUnderline"/>
        </w:rPr>
        <w:t>we</w:t>
      </w:r>
      <w:r w:rsidRPr="00DB75D7">
        <w:rPr>
          <w:sz w:val="16"/>
        </w:rPr>
        <w:t xml:space="preserve"> may </w:t>
      </w:r>
      <w:r w:rsidRPr="00421062">
        <w:rPr>
          <w:rStyle w:val="StyleUnderline"/>
        </w:rPr>
        <w:t>extend our capacity to know the world through sympathetic imagination,</w:t>
      </w:r>
      <w:r w:rsidRPr="00DB75D7">
        <w:rPr>
          <w:sz w:val="16"/>
        </w:rPr>
        <w:t xml:space="preserve"> </w:t>
      </w:r>
      <w:r w:rsidRPr="00421062">
        <w:rPr>
          <w:rStyle w:val="StyleUnderline"/>
        </w:rPr>
        <w:t>but by making a person</w:t>
      </w:r>
      <w:r w:rsidRPr="00DB75D7">
        <w:rPr>
          <w:sz w:val="16"/>
        </w:rPr>
        <w:t xml:space="preserve"> stand for something, by making her or him </w:t>
      </w:r>
      <w:r w:rsidRPr="00421062">
        <w:rPr>
          <w:rStyle w:val="StyleUnderline"/>
        </w:rPr>
        <w:t xml:space="preserve">a figure for whatever we project, we make that person a screen on which, like the lawyer, </w:t>
      </w:r>
      <w:r w:rsidRPr="00421062">
        <w:rPr>
          <w:rStyle w:val="Emphasis"/>
        </w:rPr>
        <w:t>we see no more than what we’re predisposed to imagine</w:t>
      </w:r>
      <w:r w:rsidRPr="00421062">
        <w:rPr>
          <w:rStyle w:val="StyleUnderline"/>
        </w:rPr>
        <w:t>.</w:t>
      </w:r>
      <w:r w:rsidRPr="00DB75D7">
        <w:rPr>
          <w:sz w:val="16"/>
        </w:rPr>
        <w:t xml:space="preserve"> Such a person, therefore, like the corporation, is an artificial being. Or to carry this one step further, while the Occupy movement may resist the equation of arti cial beings with natural persons, “</w:t>
      </w:r>
      <w:r w:rsidRPr="00421062">
        <w:rPr>
          <w:rStyle w:val="StyleUnderline"/>
        </w:rPr>
        <w:t>Bartleby” reminds us that natural persons are artificially constructed, that both “natural” and “person” operate as ideological fictions.</w:t>
      </w:r>
      <w:r w:rsidRPr="00DB75D7">
        <w:rPr>
          <w:sz w:val="16"/>
        </w:rPr>
        <w:t xml:space="preserve">16 </w:t>
      </w:r>
      <w:r w:rsidRPr="00421062">
        <w:rPr>
          <w:rStyle w:val="StyleUnderline"/>
        </w:rPr>
        <w:t>We need only remember our nation’s own history and Justice Curtis’s dissent in the Dred Scott case</w:t>
      </w:r>
      <w:r w:rsidRPr="00DB75D7">
        <w:rPr>
          <w:sz w:val="16"/>
        </w:rPr>
        <w:t xml:space="preserve"> in which he quotes Judge Gaston on the status of the enslaved in the colonies before the Revolution: “Slaves were not in legal parlance persons, but property,” he observed.17 </w:t>
      </w:r>
      <w:r w:rsidRPr="00421062">
        <w:rPr>
          <w:rStyle w:val="StyleUnderline"/>
        </w:rPr>
        <w:t xml:space="preserve">From what we call a humanistic perspective, we affirm that the personhood of those </w:t>
      </w:r>
      <w:r w:rsidRPr="00421062">
        <w:rPr>
          <w:rStyle w:val="StyleUnderline"/>
        </w:rPr>
        <w:lastRenderedPageBreak/>
        <w:t>enslaved ought never to have been in question because personhood,</w:t>
      </w:r>
      <w:r w:rsidRPr="00DB75D7">
        <w:rPr>
          <w:sz w:val="16"/>
        </w:rPr>
        <w:t xml:space="preserve"> </w:t>
      </w:r>
      <w:r w:rsidRPr="00421062">
        <w:rPr>
          <w:rStyle w:val="StyleUnderline"/>
        </w:rPr>
        <w:t>like the foundational claim that “all men are created equal,”</w:t>
      </w:r>
      <w:r w:rsidRPr="00DB75D7">
        <w:rPr>
          <w:sz w:val="16"/>
        </w:rPr>
        <w:t xml:space="preserve"> ought to have been, as the Declaration of Independence puts it, “self-evident.” But </w:t>
      </w:r>
      <w:r w:rsidRPr="00421062">
        <w:rPr>
          <w:rStyle w:val="StyleUnderline"/>
        </w:rPr>
        <w:t>whatever we call “self-evident” reflects the biases of the self; hence the personhood historically denied to the enslaved can now be extended to corporations not because truth’s self- evidence is either forgotten or denied,</w:t>
      </w:r>
      <w:r w:rsidRPr="00DB75D7">
        <w:rPr>
          <w:sz w:val="16"/>
        </w:rPr>
        <w:t xml:space="preserve"> </w:t>
      </w:r>
      <w:r w:rsidRPr="00421062">
        <w:rPr>
          <w:rStyle w:val="StyleUnderline"/>
        </w:rPr>
        <w:t xml:space="preserve">but </w:t>
      </w:r>
      <w:r w:rsidRPr="00DB75D7">
        <w:rPr>
          <w:sz w:val="16"/>
        </w:rPr>
        <w:t xml:space="preserve">rather because </w:t>
      </w:r>
      <w:r w:rsidRPr="00421062">
        <w:rPr>
          <w:rStyle w:val="StyleUnderline"/>
        </w:rPr>
        <w:t>the ever-elastic category of personhood</w:t>
      </w:r>
      <w:r w:rsidRPr="00DB75D7">
        <w:rPr>
          <w:sz w:val="16"/>
        </w:rPr>
        <w:t xml:space="preserve">, like everything to which we attach the performative claim of its self-evidence, retains the literary provenance that marks it as a ction. </w:t>
      </w:r>
      <w:r w:rsidRPr="002078A5">
        <w:rPr>
          <w:rStyle w:val="StyleUnderline"/>
        </w:rPr>
        <w:t>Even the framers of the Declaration, after all, had to “hold” their truths “self-evident,” had to assert them at the outset to render self-evident what hadn’t been before</w:t>
      </w:r>
      <w:r w:rsidRPr="00DB75D7">
        <w:rPr>
          <w:sz w:val="16"/>
        </w:rPr>
        <w:t xml:space="preserve">. When Justice Taney, writing the decision for the majority in Dred Scott, denied that the phrase “all men are created equal” could possibly have been intended by its authors to refer to those being kept as slaves, he made clear that whatever else it might be, that phrase was not self-evident. The labor of creating self-evidence, of making the “natural” seem intuitively obvious and therefore unexceptionable, occupies politics and the humanities both, even when they explicitly resist it. Every decon- struction of humanism relies on a logic whose structuring principles appeal to self-evidence in the end. And the queerest politics will base its claims on natural rights that emerge from the shifting ctions of social bonds. Thus </w:t>
      </w:r>
      <w:r w:rsidRPr="002078A5">
        <w:rPr>
          <w:rStyle w:val="StyleUnderline"/>
        </w:rPr>
        <w:t>the lawyer’s exclamations at the end of “Bartleby” aspire on his part</w:t>
      </w:r>
      <w:r w:rsidRPr="00DB75D7">
        <w:rPr>
          <w:sz w:val="16"/>
        </w:rPr>
        <w:t xml:space="preserve">, if not on Melville’s, </w:t>
      </w:r>
      <w:r w:rsidRPr="002078A5">
        <w:rPr>
          <w:rStyle w:val="StyleUnderline"/>
        </w:rPr>
        <w:t>to present as self-evident that the now-deceased scrivener, who in life refused charity, companionship</w:t>
      </w:r>
      <w:r w:rsidRPr="00DB75D7">
        <w:rPr>
          <w:sz w:val="16"/>
        </w:rPr>
        <w:t xml:space="preserve">, and the lawyer’s best efforts to understand him, </w:t>
      </w:r>
      <w:r w:rsidRPr="002078A5">
        <w:rPr>
          <w:rStyle w:val="StyleUnderline"/>
        </w:rPr>
        <w:t>embodied,</w:t>
      </w:r>
      <w:r w:rsidRPr="00DB75D7">
        <w:rPr>
          <w:sz w:val="16"/>
        </w:rPr>
        <w:t xml:space="preserve"> despite this, </w:t>
      </w:r>
      <w:r>
        <w:rPr>
          <w:rStyle w:val="StyleUnderline"/>
        </w:rPr>
        <w:t>the very essence of a piti</w:t>
      </w:r>
      <w:r w:rsidRPr="002078A5">
        <w:rPr>
          <w:rStyle w:val="StyleUnderline"/>
        </w:rPr>
        <w:t>able</w:t>
      </w:r>
      <w:r>
        <w:rPr>
          <w:rStyle w:val="StyleUnderline"/>
        </w:rPr>
        <w:t xml:space="preserve"> </w:t>
      </w:r>
      <w:r w:rsidRPr="002078A5">
        <w:rPr>
          <w:rStyle w:val="StyleUnderline"/>
        </w:rPr>
        <w:t>“humanity</w:t>
      </w:r>
      <w:r w:rsidRPr="00DB75D7">
        <w:rPr>
          <w:sz w:val="16"/>
        </w:rPr>
        <w:t>.” In leading us to this recognition, the lawyer, or so he would have us believe</w:t>
      </w:r>
      <w:r w:rsidRPr="002078A5">
        <w:rPr>
          <w:rStyle w:val="StyleUnderline"/>
        </w:rPr>
        <w:t>, expresses his own “humanity” by displaying his moving capacity to be moved by what he so vividly imagines.</w:t>
      </w:r>
      <w:r w:rsidRPr="00DB75D7">
        <w:rPr>
          <w:sz w:val="16"/>
        </w:rPr>
        <w:t xml:space="preserve"> Doesn’t the corporate funding of the humanities work in similar ways? </w:t>
      </w:r>
      <w:r w:rsidRPr="00A24096">
        <w:rPr>
          <w:rStyle w:val="StyleUnderline"/>
        </w:rPr>
        <w:t>When ExxonMobil sponsors Masterpiece Theater</w:t>
      </w:r>
      <w:r w:rsidRPr="00DB75D7">
        <w:rPr>
          <w:sz w:val="16"/>
        </w:rPr>
        <w:t xml:space="preserve"> or Goldman Sachs the Metropolitan Museum of Art, </w:t>
      </w:r>
      <w:r w:rsidRPr="00A24096">
        <w:rPr>
          <w:rStyle w:val="StyleUnderline"/>
        </w:rPr>
        <w:t>they purchase their humanization by contributing to the work of affirming the human</w:t>
      </w:r>
      <w:r w:rsidRPr="00DB75D7">
        <w:rPr>
          <w:sz w:val="16"/>
        </w:rPr>
        <w:t xml:space="preserve">. So the government bailout of Goldman Sachs in response to the economic crisis (itself fueled by Wall Street’s relentless pursuit of pro t at any cost), permits Goldman Sachs to contribute its support to the Metropolitan Museum, in return for a corporate tax break and public recognition in an advertisement in the New York Times. </w:t>
      </w:r>
      <w:r w:rsidRPr="00A24096">
        <w:rPr>
          <w:rStyle w:val="StyleUnderline"/>
        </w:rPr>
        <w:t>It thus reasserts its humanity through its commitment to the humanities, for which, of course, in this roundabout way, non</w:t>
      </w:r>
      <w:r>
        <w:rPr>
          <w:rStyle w:val="StyleUnderline"/>
        </w:rPr>
        <w:t>-</w:t>
      </w:r>
      <w:r w:rsidRPr="00A24096">
        <w:rPr>
          <w:rStyle w:val="StyleUnderline"/>
        </w:rPr>
        <w:t>corporate persons pay</w:t>
      </w:r>
      <w:r w:rsidRPr="00DB75D7">
        <w:rPr>
          <w:sz w:val="16"/>
        </w:rPr>
        <w:t xml:space="preserve">. The ad, which appeared in the New York Times on March 19, 2012, celebrated a raft of corporate sponsors (Goldman Sachs among them), but the image from the museum’s collection used to invoke their civic mindedness depicted a man in boat, not a raft. For the painting was Ernest Gottlieb Leutze’s Washington Crossing the Delaware, the anodyne exemplar of the culture that corporate sponsorship promotes. In this framework, </w:t>
      </w:r>
      <w:r w:rsidRPr="00A24096">
        <w:rPr>
          <w:rStyle w:val="StyleUnderline"/>
        </w:rPr>
        <w:t>the humanities,</w:t>
      </w:r>
      <w:r w:rsidRPr="00DB75D7">
        <w:rPr>
          <w:sz w:val="16"/>
        </w:rPr>
        <w:t xml:space="preserve"> like General George Washington, </w:t>
      </w:r>
      <w:r w:rsidRPr="00A24096">
        <w:rPr>
          <w:rStyle w:val="StyleUnderline"/>
        </w:rPr>
        <w:t>cross boundaries only to consolidate the state and thereby shape the discourse of the human in ways conservative by definitio</w:t>
      </w:r>
      <w:r w:rsidRPr="00DB75D7">
        <w:rPr>
          <w:sz w:val="16"/>
        </w:rPr>
        <w:t xml:space="preserve">n: conservative insofar as they aim to conserve the use-value of </w:t>
      </w:r>
      <w:r w:rsidRPr="00A24096">
        <w:rPr>
          <w:rStyle w:val="StyleUnderline"/>
        </w:rPr>
        <w:t>the human as a mask for the machinery of production we’re all conscripted to support</w:t>
      </w:r>
      <w:r w:rsidRPr="00DB75D7">
        <w:rPr>
          <w:sz w:val="16"/>
        </w:rPr>
        <w:t xml:space="preserve">. In funding the humanities, </w:t>
      </w:r>
      <w:r w:rsidRPr="00A24096">
        <w:rPr>
          <w:rStyle w:val="StyleUnderline"/>
        </w:rPr>
        <w:t>corporations get more than just tax breaks and public recognition; they buy, which is much more important, a means of shaping an ideological fantasy of a coherent human community beyond the lived experience of social contradiction and structural antagonism</w:t>
      </w:r>
      <w:r w:rsidRPr="00DB75D7">
        <w:rPr>
          <w:sz w:val="16"/>
        </w:rPr>
        <w:t>, a community wherein the fractures to which, like Bartleby’s employer, they contribute, seem resolved in the commonality to which the humanities at- test. Not that the aesthetic education to which the corporate humanities are devoted excludes the prospect of debate or the performance of conflicting points of view. But even those conflicts are made to conform the richness and vitality of the human, which thereby reinforces its value as a means of securing, as collective value, collectivity itself. As the British Council announces in explaining its financial support for the arts and humanities: “Great art and culture inspires us, brings us together and teaches us about ourselves and the world around us. In short, it makes life better.”18 In an article published in Academe called “The Humanities on Life Support,” Ellen Schrecker reviewed recent books on higher education in America and drew attention to the work of two major scholars invested in rethinking the humanities: Geoffrey Galt Harpham, currently the director of the National Humanities Center, and Martha Nussbaum, who teaches law and ethics at the University of Chicago. Quoting from recent books by these two major scholars, Schrecker ef ciently summarizes how we think about the humanities in America today: “</w:t>
      </w:r>
      <w:r w:rsidRPr="0026062B">
        <w:rPr>
          <w:rStyle w:val="StyleUnderline"/>
        </w:rPr>
        <w:t>The humanities</w:t>
      </w:r>
      <w:r w:rsidRPr="00DB75D7">
        <w:rPr>
          <w:sz w:val="16"/>
        </w:rPr>
        <w:t xml:space="preserve">, Harpham asserts, offer the knowledge that [to live in a human—and humane—society] </w:t>
      </w:r>
      <w:r w:rsidRPr="0026062B">
        <w:rPr>
          <w:rStyle w:val="StyleUnderline"/>
        </w:rPr>
        <w:t>requires ‘an awakened understanding of oneself as a member of the human species</w:t>
      </w:r>
      <w:r w:rsidRPr="00DB75D7">
        <w:rPr>
          <w:sz w:val="16"/>
        </w:rPr>
        <w:t xml:space="preserve">,a heightened alertness to the possibilities of being human.’ Along with that self-awareness, he notes, the humanities also create ‘the capacity to sympathize, empathize, or otherwise inhabit the experience of others.’ Nussbaum agrees; the sympathetic ‘ability to imagine . . . the predicament of another person, along with the ability to think for oneself,’ are the ‘skills that are needed to keep democracies alive.’”19 </w:t>
      </w:r>
      <w:r w:rsidRPr="00DC7FF5">
        <w:rPr>
          <w:rStyle w:val="StyleUnderline"/>
        </w:rPr>
        <w:t>But thinking for oneself has never had any fixed connection to democracy;</w:t>
      </w:r>
      <w:r w:rsidRPr="00DB75D7">
        <w:rPr>
          <w:sz w:val="16"/>
        </w:rPr>
        <w:t xml:space="preserve"> and </w:t>
      </w:r>
      <w:r w:rsidRPr="00DC7FF5">
        <w:rPr>
          <w:rStyle w:val="StyleUnderline"/>
        </w:rPr>
        <w:t>sympathetically imagining another affords no guarantee of justice</w:t>
      </w:r>
      <w:r w:rsidRPr="00DB75D7">
        <w:rPr>
          <w:sz w:val="16"/>
        </w:rPr>
        <w:t xml:space="preserve">. After all, if that other person is what some might call a fetus, personhood here revealing once more its status as ideological fiction, then “sympathy,” depending on where it falls, may justify acts terroristic to some, but deeply humane to others. </w:t>
      </w:r>
      <w:r w:rsidRPr="00DC7FF5">
        <w:rPr>
          <w:rStyle w:val="StyleUnderline"/>
        </w:rPr>
        <w:t xml:space="preserve">Only a </w:t>
      </w:r>
      <w:r w:rsidRPr="00DC7FF5">
        <w:rPr>
          <w:rStyle w:val="Emphasis"/>
        </w:rPr>
        <w:t>humanities designed to affirm</w:t>
      </w:r>
      <w:r w:rsidRPr="00DC7FF5">
        <w:rPr>
          <w:rStyle w:val="StyleUnderline"/>
        </w:rPr>
        <w:t xml:space="preserve">, for its corporate and government sponsors, the harmony of social values (whether local, national, or universal) could </w:t>
      </w:r>
      <w:r w:rsidRPr="00DC7FF5">
        <w:rPr>
          <w:rStyle w:val="Emphasis"/>
        </w:rPr>
        <w:t xml:space="preserve">offer </w:t>
      </w:r>
      <w:r w:rsidRPr="00DC7FF5">
        <w:rPr>
          <w:rStyle w:val="StyleUnderline"/>
        </w:rPr>
        <w:t xml:space="preserve">such </w:t>
      </w:r>
      <w:r w:rsidRPr="00DC7FF5">
        <w:rPr>
          <w:rStyle w:val="Emphasis"/>
        </w:rPr>
        <w:t xml:space="preserve">a </w:t>
      </w:r>
      <w:r w:rsidRPr="00DC7FF5">
        <w:rPr>
          <w:rStyle w:val="Emphasis"/>
        </w:rPr>
        <w:lastRenderedPageBreak/>
        <w:t>vision of sympathy as its intellectual goal.</w:t>
      </w:r>
      <w:r w:rsidRPr="00DB75D7">
        <w:rPr>
          <w:sz w:val="16"/>
        </w:rPr>
        <w:t xml:space="preserve"> Politics may depend on the capacity to encounter what exceeds our own subjectivity, but simply imagining other subjectivities from the perspective of our own assures no particular political transformation. </w:t>
      </w:r>
    </w:p>
    <w:p w:rsidR="00DB78EB" w:rsidRPr="00DB78EB" w:rsidRDefault="00DB78EB" w:rsidP="00DB78EB">
      <w:pPr>
        <w:pStyle w:val="Heading4"/>
      </w:pPr>
      <w:r>
        <w:t>Their recuperative project aligns the far left with the far right by using the politics of refusal as a platform for futurist human discourse of inclusion</w:t>
      </w:r>
    </w:p>
    <w:p w:rsidR="00DB78EB" w:rsidRPr="00155D2B" w:rsidRDefault="00DB78EB" w:rsidP="00DB78EB">
      <w:r w:rsidRPr="001E6ECB">
        <w:rPr>
          <w:rStyle w:val="Style13ptBold"/>
        </w:rPr>
        <w:t xml:space="preserve">Edelman </w:t>
      </w:r>
      <w:r>
        <w:rPr>
          <w:rStyle w:val="Style13ptBold"/>
        </w:rPr>
        <w:t>20</w:t>
      </w:r>
      <w:r w:rsidRPr="001E6ECB">
        <w:rPr>
          <w:rStyle w:val="Style13ptBold"/>
        </w:rPr>
        <w:t>13</w:t>
      </w:r>
      <w:r>
        <w:t xml:space="preserve"> (</w:t>
      </w:r>
      <w:r w:rsidRPr="00BE2E04">
        <w:t>Edelman</w:t>
      </w:r>
      <w:r>
        <w:t>,</w:t>
      </w:r>
      <w:r w:rsidRPr="00BE2E04">
        <w:t xml:space="preserve"> </w:t>
      </w:r>
      <w:r w:rsidRPr="00B848A8">
        <w:t xml:space="preserve">Fletcher Professor of English </w:t>
      </w:r>
      <w:r>
        <w:t>Literature at Tufts University | “Occupy Wall Street: ‘Bartleby’</w:t>
      </w:r>
      <w:r w:rsidRPr="00BE2E04">
        <w:t xml:space="preserve"> Against the Humanities</w:t>
      </w:r>
      <w:r>
        <w:t xml:space="preserve">.” </w:t>
      </w:r>
      <w:r w:rsidRPr="00155D2B">
        <w:rPr>
          <w:i/>
        </w:rPr>
        <w:t>History of the Present</w:t>
      </w:r>
      <w:r>
        <w:t>, Vol. 3, No. 1 (Spring 2013) Pg 99-118)</w:t>
      </w:r>
    </w:p>
    <w:p w:rsidR="00DB78EB" w:rsidRDefault="00DB78EB" w:rsidP="00DB78EB">
      <w:pPr>
        <w:rPr>
          <w:sz w:val="16"/>
        </w:rPr>
      </w:pPr>
      <w:r w:rsidRPr="00DB75D7">
        <w:rPr>
          <w:sz w:val="16"/>
        </w:rPr>
        <w:t xml:space="preserve">Melville’s story, which invites us to read it as the narrator’s advertisement for himself, as a flattering display of the insight and feeling induced in the smug man of business (self-described as “eminently safe” [60]) by his en- counter with the “strangest” (59) of scriveners, offers an implicit critique of this dominant corporate framing of the humanities. Faced, you’ll remember, with Bartleby’s intransigence, his refusal either to perform his job or to vacate the of face he occupies, the lawyer, unwilling to evict the copyist or to have him “collared by a constable” (91)—a scruple apparently foreign to many in positions of power today—determines to give up the chambers he rents and locate his of ces elsewhere. But what the lawyer himself is too tender to do, he leaves to those who come after. And sure enough, his former landlord, urged to action by his new tenants on discovering that Bartleby comes with the of ce, has the scrivener removed as a vagrant and sent to the prison called “the Tombs.” </w:t>
      </w:r>
      <w:r w:rsidRPr="00046CCF">
        <w:rPr>
          <w:rStyle w:val="StyleUnderline"/>
        </w:rPr>
        <w:t>There, preferring not to dine, and aloof from every community, Bartleby, referred to as “the silent man,” dies quietly a few days later,</w:t>
      </w:r>
      <w:r w:rsidRPr="00DB75D7">
        <w:rPr>
          <w:sz w:val="16"/>
        </w:rPr>
        <w:t xml:space="preserve"> as if maintaining to the very end his preference for the negative. In the wake of this death, </w:t>
      </w:r>
      <w:r w:rsidRPr="00046CCF">
        <w:rPr>
          <w:rStyle w:val="StyleUnderline"/>
        </w:rPr>
        <w:t>the lawyer</w:t>
      </w:r>
      <w:r w:rsidRPr="00DB75D7">
        <w:rPr>
          <w:sz w:val="16"/>
        </w:rPr>
        <w:t xml:space="preserve">, far from heartless throughout his ordeal and open to anything that might have reconciled the scrivener to normative life, </w:t>
      </w:r>
      <w:r w:rsidRPr="00046CCF">
        <w:rPr>
          <w:rStyle w:val="StyleUnderline"/>
        </w:rPr>
        <w:t>feels compelled in the name of that norm itself to positivize Bartleby’</w:t>
      </w:r>
      <w:r>
        <w:rPr>
          <w:rStyle w:val="StyleUnderline"/>
        </w:rPr>
        <w:t>s negation, to turn it to a profi</w:t>
      </w:r>
      <w:r w:rsidRPr="00046CCF">
        <w:rPr>
          <w:rStyle w:val="StyleUnderline"/>
        </w:rPr>
        <w:t>t, by making both it and Bartleby speak to a universal “hu- manity.”</w:t>
      </w:r>
      <w:r w:rsidRPr="00DB75D7">
        <w:rPr>
          <w:sz w:val="16"/>
        </w:rPr>
        <w:t xml:space="preserve"> He assuages the guilt he carries for the part he played in Bartleby’s fate (recall his words on abandoning Bartleby to the empty Wall Street of ce: “something from within me upbraided me” [91]), by attributing Bartleby’s eccentricity, which he’ll portray as a type of “derange[ment]” (97), to the heightening of Bartleby’s sensitivities during his time in the Dead Letter Of- ce. The never-to-be-delivered letters he imagines as causing the scrivener’s despair—a despair evinced in the preference not to copy the letters of the law— nd their answer, their redemptive counterpart, when the man of busi- ness turns to writing and becomes, with his tale of Bartleby, a man of letters himself. We might say </w:t>
      </w:r>
      <w:r w:rsidRPr="00046CCF">
        <w:rPr>
          <w:rStyle w:val="Emphasis"/>
        </w:rPr>
        <w:t>he produces “Bartleby” to make Bartleby disappear, to eliminate the rupture, the negative preference, at odds with social totality and to make Bartleby, in his singularity, merely a copy of the human.</w:t>
      </w:r>
      <w:r w:rsidRPr="00DB75D7">
        <w:rPr>
          <w:sz w:val="16"/>
        </w:rPr>
        <w:t xml:space="preserve"> </w:t>
      </w:r>
      <w:r w:rsidRPr="00046CCF">
        <w:rPr>
          <w:rStyle w:val="StyleUnderline"/>
        </w:rPr>
        <w:t>Much as the corporate humanities do</w:t>
      </w:r>
      <w:r w:rsidRPr="00DB75D7">
        <w:rPr>
          <w:sz w:val="16"/>
        </w:rPr>
        <w:t xml:space="preserve">, </w:t>
      </w:r>
      <w:r w:rsidRPr="00046CCF">
        <w:rPr>
          <w:rStyle w:val="Emphasis"/>
        </w:rPr>
        <w:t>and as Occupy Wall Street does as well in appropriating the scrivener to its cause</w:t>
      </w:r>
      <w:r w:rsidRPr="00DB75D7">
        <w:rPr>
          <w:sz w:val="16"/>
        </w:rPr>
        <w:t xml:space="preserve">, </w:t>
      </w:r>
      <w:r w:rsidRPr="00046CCF">
        <w:rPr>
          <w:rStyle w:val="StyleUnderline"/>
        </w:rPr>
        <w:t xml:space="preserve">he turns the resistance to human community, the preference not to be integrated into the order of sociality, into yet </w:t>
      </w:r>
      <w:r>
        <w:rPr>
          <w:rStyle w:val="StyleUnderline"/>
        </w:rPr>
        <w:t>another instrument of social affi</w:t>
      </w:r>
      <w:r w:rsidRPr="00046CCF">
        <w:rPr>
          <w:rStyle w:val="StyleUnderline"/>
        </w:rPr>
        <w:t>rmation</w:t>
      </w:r>
      <w:r w:rsidRPr="00DB75D7">
        <w:rPr>
          <w:sz w:val="16"/>
        </w:rPr>
        <w:t xml:space="preserve">. But the story in which Melville sets before us the story told by the lawyer, though it coincides letter for letter with the story produced by the lawyer himself, resists, as does the scrivener, such an erasure of what resists. Contrary to Lauren Klein’s assertion, </w:t>
      </w:r>
      <w:r w:rsidRPr="00046CCF">
        <w:rPr>
          <w:rStyle w:val="StyleUnderline"/>
        </w:rPr>
        <w:t>our political obligation in the context of Bartleby is not “to think about the possibilities of what [the person who resists] might stand for,” but rather to interrogate the politics of making him “stand for” something in the</w:t>
      </w:r>
      <w:r>
        <w:rPr>
          <w:rStyle w:val="StyleUnderline"/>
        </w:rPr>
        <w:t xml:space="preserve"> fi</w:t>
      </w:r>
      <w:r w:rsidRPr="00046CCF">
        <w:rPr>
          <w:rStyle w:val="StyleUnderline"/>
        </w:rPr>
        <w:t>rst place</w:t>
      </w:r>
      <w:r w:rsidRPr="00DB75D7">
        <w:rPr>
          <w:sz w:val="16"/>
        </w:rPr>
        <w:t xml:space="preserve">. </w:t>
      </w:r>
      <w:r w:rsidRPr="00046CCF">
        <w:rPr>
          <w:rStyle w:val="Emphasis"/>
        </w:rPr>
        <w:t>Bartleby,</w:t>
      </w:r>
      <w:r w:rsidRPr="00DB75D7">
        <w:rPr>
          <w:sz w:val="16"/>
        </w:rPr>
        <w:t xml:space="preserve"> with his persistent iterations of what Gilles Deleuze describes as his “formula,” </w:t>
      </w:r>
      <w:r w:rsidRPr="00046CCF">
        <w:rPr>
          <w:rStyle w:val="Emphasis"/>
        </w:rPr>
        <w:t>speaks to the tension between standing for something and engaging in an act</w:t>
      </w:r>
      <w:r w:rsidRPr="00DB75D7">
        <w:rPr>
          <w:sz w:val="16"/>
        </w:rPr>
        <w:t xml:space="preserve">.20 </w:t>
      </w:r>
      <w:r w:rsidRPr="00DB75D7">
        <w:rPr>
          <w:rStyle w:val="StyleUnderline"/>
        </w:rPr>
        <w:t>To stand for something is always to accede to a log</w:t>
      </w:r>
      <w:r>
        <w:rPr>
          <w:rStyle w:val="StyleUnderline"/>
        </w:rPr>
        <w:t>ic of social exchange that con</w:t>
      </w:r>
      <w:r w:rsidRPr="00DB75D7">
        <w:rPr>
          <w:rStyle w:val="StyleUnderline"/>
        </w:rPr>
        <w:t>solidates its gural economy as a totalized eld of meaning. But an act, by breaking from the framework of legibility itself, denies the closure that such a framework imposes in the form of its own self-evidence.</w:t>
      </w:r>
      <w:r w:rsidRPr="00DB75D7">
        <w:rPr>
          <w:sz w:val="16"/>
        </w:rPr>
        <w:t xml:space="preserve"> By refusing to submit to the regulative norms of community and communication, the act insists on something else, on a preference that negates what is. Far from a socially compliant mode of sympathetic imagination, it com- pels a violent encounter with something radically unimaginable, inspiring, in turn, the mimetic violence of communitarian self-assertion. The lawyer at rst may vacillate before Bartleby’s unyielding, “I would prefer not to,” but he recalls a more choleric response by one of his employees: “‘Prefer not, eh?’ gritted Nippers—“I’d prefer him, if I were you, sir,’ . . . ‘I’d prefer him; I’d give him preferences, the stubborn mule!’” After telling Nippers, in response to this outburst, “I’d prefer that you withdraw for the present,” the lawyer succumbs to self-consciousness about his unintended choice of words: “Somehow, of late, I </w:t>
      </w:r>
      <w:r w:rsidRPr="00DB75D7">
        <w:rPr>
          <w:rStyle w:val="StyleUnderline"/>
        </w:rPr>
        <w:t>had got into the way of involuntarily using the word ‘prefer’ upon all sorts of not exactly suitable occasions.</w:t>
      </w:r>
      <w:r w:rsidRPr="00DB75D7">
        <w:rPr>
          <w:sz w:val="16"/>
        </w:rPr>
        <w:t xml:space="preserve"> And I trembled to think that my contact with the scrivener had already and seriously affected me in a mental way. And what further and deeper aberration might it not yet produce?” (81). The aberration of Bartleby’s speech act, with its indifference to social norms, condenses itself for the lawyer in that single word: prefer. That word, however, not only begins to obtrude on the lawyer’s own speech, but also makes its way into that of his other copyists, too. </w:t>
      </w:r>
      <w:r w:rsidRPr="00DB75D7">
        <w:rPr>
          <w:rStyle w:val="StyleUnderline"/>
        </w:rPr>
        <w:t xml:space="preserve">When one of them observes to his boss, for example, “I was thinking about Bartleby here, and I think that if he would but prefer </w:t>
      </w:r>
      <w:r w:rsidRPr="00DB75D7">
        <w:rPr>
          <w:rStyle w:val="StyleUnderline"/>
        </w:rPr>
        <w:lastRenderedPageBreak/>
        <w:t>to take a quart of good ale every day, it would do much towards mending him</w:t>
      </w:r>
      <w:r w:rsidRPr="00DB75D7">
        <w:rPr>
          <w:sz w:val="16"/>
        </w:rPr>
        <w:t xml:space="preserve">,” </w:t>
      </w:r>
      <w:r w:rsidRPr="00DB75D7">
        <w:rPr>
          <w:rStyle w:val="StyleUnderline"/>
        </w:rPr>
        <w:t>the lawyer responds with a certain excitement: “So you have got the word, too”</w:t>
      </w:r>
      <w:r w:rsidRPr="00DB75D7">
        <w:rPr>
          <w:sz w:val="16"/>
        </w:rPr>
        <w:t xml:space="preserve"> (81). But the employee fails to recognize what word the lawyer means, and when nally made to understand, he replies in a way that sunders the logic by which words and meanings are bound: “Oh, prefer? Oh yes—queer word. I never use it myself. But, sir, as I was saying, if he would but prefer—” (82). This verbal contagion that saps the sovereignty of meaning in linguistic exchange defines the queerness of the word that comes to epitomize </w:t>
      </w:r>
      <w:r w:rsidRPr="00DB75D7">
        <w:rPr>
          <w:rStyle w:val="StyleUnderline"/>
        </w:rPr>
        <w:t>Bartleby’s queerness, a queerness the story disposes us to see in its illegible materialty as a dangerous textual preference</w:t>
      </w:r>
      <w:r w:rsidRPr="00DB75D7">
        <w:rPr>
          <w:sz w:val="16"/>
        </w:rPr>
        <w:t xml:space="preserve">. Perhaps that explains why at one point the lawyer describes the effects produced by Bartleby’s phrase in terms that explicitly frame it in Sodomitical terms: “For a few moments I was turned into a pillar of salt” (69). In The Gift of Death, Jacques Derrida touches brie y on Melville’s tale. After noting that the scrivener’s famous phrase “says nothing, promises nothing, neither refuses nor accepts any- thing,” he calls it a “singularly insignificant statement [that]remind some of a nonlanguage.”21 In this context the word “insignificant” denotes a resistance to signification that makes </w:t>
      </w:r>
      <w:r w:rsidRPr="00DB75D7">
        <w:rPr>
          <w:rStyle w:val="StyleUnderline"/>
        </w:rPr>
        <w:t>Bartleby’s phrase</w:t>
      </w:r>
      <w:r w:rsidRPr="00DB75D7">
        <w:rPr>
          <w:sz w:val="16"/>
        </w:rPr>
        <w:t xml:space="preserve">, from the vantage point of the social order of meaning, an affront to the notion of value. Infecting linguistic communication with this element of “non-language,” it </w:t>
      </w:r>
      <w:r w:rsidRPr="00DB75D7">
        <w:rPr>
          <w:rStyle w:val="StyleUnderline"/>
        </w:rPr>
        <w:t>reifies the queerness of language as iterative machine and in doing so it gestures toward some- thing else at work in language,</w:t>
      </w:r>
      <w:r w:rsidRPr="00DB75D7">
        <w:rPr>
          <w:sz w:val="16"/>
        </w:rPr>
        <w:t xml:space="preserve"> something that communal norms of meaning and value seek to foreclose: the queerness that every regime of “what is” must construe as what is not, as the nothing, the negativity, or the preference for negation that threatens the normative order, whose name is always human community. And it’s not just the Right that pits human community against the queer threat to its future; the Left, and many who call themselves “queer,” embrace that position too. That’s how Left and Right acquire political legibility and come to share the political terrain; it’s even what makes them, in this sense at least, effectively interchangeable. Though each has a different vision of the human community it aims to procure, both aspire to realize the coherence of a social collectivity. Thus Michael </w:t>
      </w:r>
      <w:r w:rsidRPr="009603EB">
        <w:rPr>
          <w:rStyle w:val="StyleUnderline"/>
        </w:rPr>
        <w:t>Hardt</w:t>
      </w:r>
      <w:r w:rsidRPr="00DB75D7">
        <w:rPr>
          <w:sz w:val="16"/>
        </w:rPr>
        <w:t xml:space="preserve"> </w:t>
      </w:r>
      <w:r w:rsidRPr="009603EB">
        <w:rPr>
          <w:rStyle w:val="StyleUnderline"/>
        </w:rPr>
        <w:t>and</w:t>
      </w:r>
      <w:r w:rsidRPr="00DB75D7">
        <w:rPr>
          <w:sz w:val="16"/>
        </w:rPr>
        <w:t xml:space="preserve"> Antonio </w:t>
      </w:r>
      <w:r w:rsidRPr="009603EB">
        <w:rPr>
          <w:rStyle w:val="StyleUnderline"/>
        </w:rPr>
        <w:t>Negri</w:t>
      </w:r>
      <w:r w:rsidRPr="00DB75D7">
        <w:rPr>
          <w:sz w:val="16"/>
        </w:rPr>
        <w:t xml:space="preserve">, writing from the Left in Empire, the global bestseller they published in 2000, </w:t>
      </w:r>
      <w:r w:rsidRPr="009603EB">
        <w:rPr>
          <w:rStyle w:val="StyleUnderline"/>
        </w:rPr>
        <w:t>see in Bartleby what they characterize as “the absoluteness of refusal,</w:t>
      </w:r>
      <w:r w:rsidRPr="00DB75D7">
        <w:rPr>
          <w:sz w:val="16"/>
        </w:rPr>
        <w:t>” which they then align with the “hatred of authority” and the “refusal of voluntary servitude</w:t>
      </w:r>
      <w:r w:rsidRPr="009603EB">
        <w:rPr>
          <w:rStyle w:val="StyleUnderline"/>
        </w:rPr>
        <w:t>.” But their admiration for this queer refusal of the norm can only go so far. Such refusal may be, as they put it, “the beginning of a liberatory politics, but it is only a beginning</w:t>
      </w:r>
      <w:r w:rsidRPr="00DB75D7">
        <w:rPr>
          <w:sz w:val="16"/>
        </w:rPr>
        <w:t xml:space="preserve">. . . . What we need is to create a new social body, which is a project that goes well beyond refusal. . . . Beyond the simple refusal, or as part of that refusal, we need also to construct a new mode of life and above all a new community.”22 </w:t>
      </w:r>
      <w:r w:rsidRPr="009603EB">
        <w:rPr>
          <w:rStyle w:val="Emphasis"/>
        </w:rPr>
        <w:t>Here</w:t>
      </w:r>
      <w:r w:rsidRPr="009603EB">
        <w:rPr>
          <w:rStyle w:val="StyleUnderline"/>
        </w:rPr>
        <w:t xml:space="preserve"> sounds the doxa whose chorus aspires to incorporate us all: wealthy sponsors of the corporate humanities and neo-Marxist critics of global empire; </w:t>
      </w:r>
      <w:r w:rsidRPr="009603EB">
        <w:rPr>
          <w:rStyle w:val="Emphasis"/>
        </w:rPr>
        <w:t>the protestors of Occupy Wall Street and Wall Street’s CEOs</w:t>
      </w:r>
      <w:r w:rsidRPr="009603EB">
        <w:rPr>
          <w:rStyle w:val="StyleUnderline"/>
        </w:rPr>
        <w:t xml:space="preserve"> alike.</w:t>
      </w:r>
      <w:r w:rsidRPr="00DB75D7">
        <w:rPr>
          <w:sz w:val="16"/>
        </w:rPr>
        <w:t xml:space="preserve"> Bartleby, in his utter refusal to mean for communitarian ends, can possess no value except as a proof of negativity’s insufficiency. </w:t>
      </w:r>
      <w:r w:rsidRPr="009603EB">
        <w:rPr>
          <w:rStyle w:val="StyleUnderline"/>
        </w:rPr>
        <w:t xml:space="preserve">Hence the lawyer who authors Bartleby’s tale, unlike Melville who authors the lawyer’s, </w:t>
      </w:r>
      <w:r w:rsidRPr="009603EB">
        <w:rPr>
          <w:rStyle w:val="Emphasis"/>
        </w:rPr>
        <w:t xml:space="preserve">must conscript the </w:t>
      </w:r>
      <w:r>
        <w:rPr>
          <w:rStyle w:val="Emphasis"/>
        </w:rPr>
        <w:t>copyist to the cause of the hu</w:t>
      </w:r>
      <w:r w:rsidRPr="009603EB">
        <w:rPr>
          <w:rStyle w:val="Emphasis"/>
        </w:rPr>
        <w:t>man by making his resistance make sense</w:t>
      </w:r>
      <w:r w:rsidRPr="009603EB">
        <w:rPr>
          <w:rStyle w:val="StyleUnderline"/>
        </w:rPr>
        <w:t>.</w:t>
      </w:r>
      <w:r w:rsidRPr="00DB75D7">
        <w:rPr>
          <w:sz w:val="16"/>
        </w:rPr>
        <w:t xml:space="preserve"> His distance from community and his absence of anything “ordinarily human” must prove in the end his hypersensitivity to the pathos of the human and even his longing for a uto- pian “community” where “good tidings” and “hope” on their “errands of life” can neither be errant nor erring. Like Hardt and Negri, </w:t>
      </w:r>
      <w:r w:rsidRPr="00743D2E">
        <w:rPr>
          <w:rStyle w:val="StyleUnderline"/>
        </w:rPr>
        <w:t xml:space="preserve">the lawyer, that is, must refuse “the absoluteness of refusal,” forcibly wrenching Bartleby from the queerness of preferring not to accede to normative reason and sense. </w:t>
      </w:r>
      <w:r w:rsidRPr="00DB75D7">
        <w:rPr>
          <w:sz w:val="16"/>
        </w:rPr>
        <w:t xml:space="preserve">To appreciate the complex politics of these multiple negations of the queer as negation, and to conclude this discussion by bringing it back to the Occupy movement once more, let me place beside Hardt and Negri’s text an editorial from the politically conservative Daily Oklahoman of Oklahoma City. Published in the Sunday edition of the paper on November 6, 2011, the editorial, which bore the title “Goal Remains Fuzzy for Occupy Protestors,” appeared four days before the public reading of “Bartleby” on Wall Street. </w:t>
      </w:r>
      <w:r w:rsidRPr="00743D2E">
        <w:rPr>
          <w:rStyle w:val="StyleUnderline"/>
        </w:rPr>
        <w:t>But this editorial identified Bartleby with the Occupy movement in</w:t>
      </w:r>
      <w:r>
        <w:rPr>
          <w:rStyle w:val="StyleUnderline"/>
        </w:rPr>
        <w:t xml:space="preserve"> advance, intending that identifi</w:t>
      </w:r>
      <w:r w:rsidRPr="00743D2E">
        <w:rPr>
          <w:rStyle w:val="StyleUnderline"/>
        </w:rPr>
        <w:t>cation to discredit the movement and Bartleby both</w:t>
      </w:r>
      <w:r w:rsidRPr="00DB75D7">
        <w:rPr>
          <w:sz w:val="16"/>
        </w:rPr>
        <w:t>. Allow me to quote at length: “I would prefer not to.” So sayeth Bartleby, the intransigent copyist in a classic Herman Melville short story. To every request to earn his pay, to move on, to do something—anything— Bartleby would reply, “</w:t>
      </w:r>
      <w:r w:rsidRPr="00743D2E">
        <w:rPr>
          <w:rStyle w:val="StyleUnderline"/>
        </w:rPr>
        <w:t>I would prefer not to.” . . . “Bartleby, the Scrivener: A Story of Wall Street” is a study in petulant behavior met with inexplicable patience by Bartleby’s employer</w:t>
      </w:r>
      <w:r w:rsidRPr="00DB75D7">
        <w:rPr>
          <w:sz w:val="16"/>
        </w:rPr>
        <w:t xml:space="preserve">. The story of Wall Street today is one of petulance met with inexplicable patience by authorities dealing with the “Occupy This” movement that’s spread from lower Manhattan around the country. </w:t>
      </w:r>
      <w:r w:rsidRPr="00743D2E">
        <w:rPr>
          <w:rStyle w:val="StyleUnderline"/>
        </w:rPr>
        <w:t>Ask the occupiers what they hope to accomplish.</w:t>
      </w:r>
      <w:r w:rsidRPr="00DB75D7">
        <w:rPr>
          <w:sz w:val="16"/>
        </w:rPr>
        <w:t xml:space="preserve"> </w:t>
      </w:r>
      <w:r w:rsidRPr="00743D2E">
        <w:rPr>
          <w:rStyle w:val="StyleUnderline"/>
        </w:rPr>
        <w:t>They’d prefer not to tell you. Perhaps they don’t really know. Who’s in charge? They’d prefer not to tell you. Everyone is in charge. Nobody is. What good does it do to hang around a park, beat drums and occasionally march to a designated site?</w:t>
      </w:r>
      <w:r w:rsidRPr="00DB75D7">
        <w:rPr>
          <w:sz w:val="16"/>
        </w:rPr>
        <w:t xml:space="preserve"> </w:t>
      </w:r>
      <w:r w:rsidRPr="00743D2E">
        <w:rPr>
          <w:rStyle w:val="StyleUnderline"/>
        </w:rPr>
        <w:t xml:space="preserve">They’d prefer not to say. It’s the doing, not the point of it, that matters. </w:t>
      </w:r>
      <w:r w:rsidRPr="00DB75D7">
        <w:rPr>
          <w:sz w:val="16"/>
        </w:rPr>
        <w:t xml:space="preserve">Some occupiers have done their best to incite police reaction to their doings, all the better for news footage of how The Man is cracking the heads of the innocent. . . . . . . The “Occupy This” movement’s story is still being written. The childish and sometimes violent behavior of its participants is still being met with inexplicable patience. . . . </w:t>
      </w:r>
      <w:r w:rsidRPr="00B31E32">
        <w:rPr>
          <w:rStyle w:val="StyleUnderline"/>
        </w:rPr>
        <w:t>The people will express their intolerance for lawlessness at the ballot box.</w:t>
      </w:r>
      <w:r w:rsidRPr="00DB75D7">
        <w:rPr>
          <w:sz w:val="16"/>
        </w:rPr>
        <w:t xml:space="preserve"> That’s exactly where the movement could have beaten its drums, in the way the tea party did. </w:t>
      </w:r>
      <w:r w:rsidRPr="00B31E32">
        <w:rPr>
          <w:rStyle w:val="StyleUnderline"/>
        </w:rPr>
        <w:t xml:space="preserve">It preferred not to. Ah anarchy! Ah </w:t>
      </w:r>
      <w:r w:rsidRPr="00B31E32">
        <w:rPr>
          <w:rStyle w:val="StyleUnderline"/>
        </w:rPr>
        <w:lastRenderedPageBreak/>
        <w:t>enough already</w:t>
      </w:r>
      <w:r w:rsidRPr="00DB75D7">
        <w:rPr>
          <w:sz w:val="16"/>
        </w:rPr>
        <w:t xml:space="preserve">! 23 </w:t>
      </w:r>
      <w:r w:rsidRPr="00B31E32">
        <w:rPr>
          <w:rStyle w:val="Emphasis"/>
        </w:rPr>
        <w:t>The specter of anarchy, of radical lawlessness, of acts that have no point,</w:t>
      </w:r>
      <w:r w:rsidRPr="00B31E32">
        <w:rPr>
          <w:rStyle w:val="StyleUnderline"/>
        </w:rPr>
        <w:t xml:space="preserve"> </w:t>
      </w:r>
      <w:r w:rsidRPr="00B31E32">
        <w:rPr>
          <w:rStyle w:val="Emphasis"/>
        </w:rPr>
        <w:t>however little connection it bears to the Occupy protests themselves</w:t>
      </w:r>
      <w:r w:rsidRPr="00B31E32">
        <w:rPr>
          <w:rStyle w:val="StyleUnderline"/>
        </w:rPr>
        <w:t xml:space="preserve">, </w:t>
      </w:r>
      <w:r w:rsidRPr="00B31E32">
        <w:rPr>
          <w:rStyle w:val="Emphasis"/>
        </w:rPr>
        <w:t>is refused in defense of an implicit ideal of the integrated “social body</w:t>
      </w:r>
      <w:r w:rsidRPr="00DB75D7">
        <w:rPr>
          <w:sz w:val="16"/>
        </w:rPr>
        <w:t xml:space="preserve">,” </w:t>
      </w:r>
      <w:r w:rsidRPr="00B31E32">
        <w:rPr>
          <w:rStyle w:val="StyleUnderline"/>
        </w:rPr>
        <w:t>the harmonious community endorsed by Hardt and Negri’s text as well.</w:t>
      </w:r>
      <w:r w:rsidRPr="00DB75D7">
        <w:rPr>
          <w:sz w:val="16"/>
        </w:rPr>
        <w:t xml:space="preserve"> Unlike Hardt and Negri, though, the author of the editorial fully acknowledges the force of Bartleby’s queerness and draws a reasonable conclusion about where resistance to reason must lead. </w:t>
      </w:r>
      <w:r w:rsidRPr="00B31E32">
        <w:rPr>
          <w:rStyle w:val="StyleUnderline"/>
        </w:rPr>
        <w:t>If the Left would normalize Bartleby as a crucial step toward a “new community,” then the Right perceives, correctly, his threat to community as such.</w:t>
      </w:r>
      <w:r w:rsidRPr="00DB75D7">
        <w:rPr>
          <w:sz w:val="16"/>
        </w:rPr>
        <w:t xml:space="preserve"> And it recognizes something else that the Left too frequently ignores as well: that the Bartlebys of the world don’t ask to be liked and the queer remains whatever a given order cannot accept. </w:t>
      </w:r>
      <w:r w:rsidRPr="00B31E32">
        <w:rPr>
          <w:rStyle w:val="Emphasis"/>
        </w:rPr>
        <w:t>All progressivism in politics, all gradualist normalization, aspires, in the end, to the very same thing that moves the radical Right: the elimination of the queer;</w:t>
      </w:r>
      <w:r w:rsidRPr="00DB75D7">
        <w:rPr>
          <w:sz w:val="16"/>
        </w:rPr>
        <w:t xml:space="preserve"> not, however, by resorting to the violence of or outside the law, but by constructing a community from whose total embrace no one would be excluded. No one except those Bartlebys excluded through forcible inclu- sion, eliminated by being turned into pillars of the collectivity they resist. Consider, in this context, “</w:t>
      </w:r>
      <w:r w:rsidRPr="00DC7FF5">
        <w:rPr>
          <w:rStyle w:val="StyleUnderline"/>
        </w:rPr>
        <w:t>Occupy Bartleby,” a post that appeared on a left-leaning blog in response to the Oklahoman’s editorial.</w:t>
      </w:r>
      <w:r w:rsidRPr="00DB75D7">
        <w:rPr>
          <w:sz w:val="16"/>
        </w:rPr>
        <w:t xml:space="preserve"> With the inten- tion of defending the Occupy movement and Bartleby at once, </w:t>
      </w:r>
      <w:r w:rsidRPr="00DC7FF5">
        <w:rPr>
          <w:rStyle w:val="StyleUnderline"/>
        </w:rPr>
        <w:t>the author of the blog post offers a rival interpretation of the tale:</w:t>
      </w:r>
      <w:r w:rsidRPr="00DB75D7">
        <w:rPr>
          <w:sz w:val="16"/>
        </w:rPr>
        <w:t xml:space="preserve"> “The point the editorial seems to make is that the protestors are as strange as Bartleby, but that misses the main message of the story. It’s a simplistic reading. </w:t>
      </w:r>
      <w:r w:rsidRPr="00EB6572">
        <w:rPr>
          <w:rStyle w:val="StyleUnderline"/>
        </w:rPr>
        <w:t>The real point is that Bartleby’s protest, like the Occupier’s protest, actually represents a sane and human reaction to an indifferent world dictated by the greed of Wall Street</w:t>
      </w:r>
      <w:r w:rsidRPr="00DB75D7">
        <w:rPr>
          <w:sz w:val="16"/>
        </w:rPr>
        <w:t xml:space="preserve">.”24 For all the difference in their political viewpoints and their approaches to Melville’s story, the editorial and the blog post pray side-by- side to the gods of the “sane” and the “human.” </w:t>
      </w:r>
      <w:r w:rsidRPr="00EB6572">
        <w:rPr>
          <w:rStyle w:val="StyleUnderline"/>
        </w:rPr>
        <w:t>The left-wing blogger denies Bartleby’s strangeness to enshrine him at the heart of community, while the right-wing author, alert to that strangeness, rejects him for the community’s good.</w:t>
      </w:r>
      <w:r w:rsidRPr="00DB75D7">
        <w:rPr>
          <w:sz w:val="16"/>
        </w:rPr>
        <w:t xml:space="preserve"> </w:t>
      </w:r>
      <w:r w:rsidRPr="00EB6572">
        <w:rPr>
          <w:rStyle w:val="Emphasis"/>
        </w:rPr>
        <w:t>Both would eliminate the queerness that doesn’t worship the gods of the polis</w:t>
      </w:r>
      <w:r w:rsidRPr="00DB75D7">
        <w:rPr>
          <w:sz w:val="16"/>
        </w:rPr>
        <w:t xml:space="preserve">, recalling the indictment of Socrates that led to his date with a hemlock cocktail for “refusing to recognize the gods recognized by the state” and “corrupting the youth.”25 </w:t>
      </w:r>
    </w:p>
    <w:p w:rsidR="00162C2D" w:rsidRDefault="00162C2D" w:rsidP="00162C2D">
      <w:pPr>
        <w:pStyle w:val="Heading4"/>
      </w:pPr>
      <w:r>
        <w:t>Reproductive futurism culminates in a homonationalist consolidation of empire where imperial wars secure the future through the extermination of deviant communities of color</w:t>
      </w:r>
    </w:p>
    <w:p w:rsidR="00162C2D" w:rsidRDefault="00162C2D" w:rsidP="00162C2D">
      <w:r w:rsidRPr="00085065">
        <w:rPr>
          <w:rStyle w:val="Heading4Char"/>
        </w:rPr>
        <w:t xml:space="preserve">Schotten 2015 </w:t>
      </w:r>
      <w:r>
        <w:t>[C. Heike, Associate Professor of Political Science and an affiliated faculty in Women's and Gender Studies at the University of Massachusetts Boston "Homonationalist Futurism:“Terrorism” and (Other) Queer Resistance to Empire." New Political Science 37.1 (2015): 71-90.]</w:t>
      </w:r>
    </w:p>
    <w:p w:rsidR="00162C2D" w:rsidRDefault="00162C2D" w:rsidP="00162C2D">
      <w:r w:rsidRPr="00085065">
        <w:rPr>
          <w:sz w:val="16"/>
        </w:rPr>
        <w:t xml:space="preserve">In queer theory, No Future has largely been read as making an argument regarding the constitutive heteronormativity of the social order. Edelman names this heteronormativity “reproductive futurism” and argues that it inevitably dooms homosexuals—branded as non-reproductive sexual nihilists—to instantiating society’s death drive. I contend, however, that No Future can be understood more generically as a work of political theory, especially given that Edelman explicitly describes its subject matter—reproductive futurism—as “the logic within which the political itself must be thought.”14 Identifying this political theory, however, requires some appropriation, given that, ultimately, Edelman is more concerned with Lacan than politics. Reading with and into the text, then, I propose three modifications of the psychoanalytic politics Edelman advances in No Future in order to more fully appropriate it for political theorizing.15 The first is to insert a distinction between the “futurism” and “reproductive futurism” he discusses, the latter being understood as a specific version of the former. Put simply, </w:t>
      </w:r>
      <w:r w:rsidRPr="007E3C0D">
        <w:rPr>
          <w:rStyle w:val="StyleUnderline"/>
        </w:rPr>
        <w:t>futurism is synopsized by the “presupposition that the body politic must survive,”</w:t>
      </w:r>
      <w:r w:rsidRPr="00085065">
        <w:rPr>
          <w:sz w:val="16"/>
        </w:rPr>
        <w:t xml:space="preserve">16 </w:t>
      </w:r>
      <w:r w:rsidRPr="007E3C0D">
        <w:rPr>
          <w:rStyle w:val="StyleUnderline"/>
        </w:rPr>
        <w:t>the</w:t>
      </w:r>
      <w:r w:rsidRPr="00085065">
        <w:rPr>
          <w:sz w:val="16"/>
        </w:rPr>
        <w:t xml:space="preserve"> putatively apolitical article of </w:t>
      </w:r>
      <w:r w:rsidRPr="007E3C0D">
        <w:rPr>
          <w:rStyle w:val="StyleUnderline"/>
        </w:rPr>
        <w:t>faith in the</w:t>
      </w:r>
      <w:r w:rsidRPr="00085065">
        <w:rPr>
          <w:sz w:val="16"/>
        </w:rPr>
        <w:t xml:space="preserve"> necessary </w:t>
      </w:r>
      <w:r w:rsidRPr="007E3C0D">
        <w:rPr>
          <w:rStyle w:val="StyleUnderline"/>
        </w:rPr>
        <w:t>continuity of politics as such.</w:t>
      </w:r>
      <w:r w:rsidRPr="00085065">
        <w:rPr>
          <w:sz w:val="16"/>
        </w:rPr>
        <w:t xml:space="preserve"> “[E]very political vision,” Edelman claims, is “a vision of futurity.”17 More specifically, reproductive futurism is characterized by “a set of values widely thought of as extrapolitical: values that center on the family, to be sure, but that focus on the protection of children.”18 The iconographic signifier of reproductive futurism is the child; its mantra, “Whitney Houston’s rendition of the secular hymn, ‘I believe that children are our future,’ a hymn we might as well simply declare our national anthem and be done with it.”19 Reproductive futurism is the apolitical imperative that the present be held in service to the children’s future adulthood: [W]e are no more able to conceive of a politics without a fantasy of a future than we are able to conceive of a future without the figure of the Child. That figural Child alone embodies the citizen as an ideal, entitled to claim full rights to its future share in the nation’s good, though always at the cost of limiting the rights “real” citizens are allowed. </w:t>
      </w:r>
      <w:r w:rsidRPr="00085065">
        <w:rPr>
          <w:rStyle w:val="StyleUnderline"/>
        </w:rPr>
        <w:t>For the</w:t>
      </w:r>
      <w:r w:rsidRPr="007E3C0D">
        <w:rPr>
          <w:rStyle w:val="StyleUnderline"/>
        </w:rPr>
        <w:t xml:space="preserve"> social order exists to preserve for this universalized subject, this fantasmatic Child, a notional freedom more highly valued than the actuality of freedom itself</w:t>
      </w:r>
      <w:r w:rsidRPr="00085065">
        <w:rPr>
          <w:sz w:val="16"/>
        </w:rPr>
        <w:t xml:space="preserve">, which might, after all, put at risk the Child to whom such a freedom falls due.20 Whether discussing the survival of the body politic (futurism) or the future as symbolized by the child (reproductive futurism), Edelman is clear that the presuppositions of both are </w:t>
      </w:r>
      <w:r w:rsidRPr="00085065">
        <w:rPr>
          <w:sz w:val="16"/>
        </w:rPr>
        <w:lastRenderedPageBreak/>
        <w:t xml:space="preserve">deemed apolitical, although that is precisely what makes them “so oppressively political.”21 For the presuppositions of (reproductive) futurism are the very terms of politics as such. To participate in politics at all, even in protest or dissent, requires that one “submit to the framing of political debate—and, indeed, of the political field—as defined by the terms of ...reproductive futurism: terms that impose an ideological limit on political discourse as such.”22 This is how and why Edelman says that there is no future for queers: politics itself designates “queers” as futureless. </w:t>
      </w:r>
      <w:r w:rsidRPr="007E3C0D">
        <w:rPr>
          <w:rStyle w:val="StyleUnderline"/>
        </w:rPr>
        <w:t>By definition, politics seeks to install an order of sameness through the ideological (re)production of a future that promises a</w:t>
      </w:r>
      <w:r w:rsidRPr="00085065">
        <w:rPr>
          <w:sz w:val="16"/>
        </w:rPr>
        <w:t xml:space="preserve"> seamless </w:t>
      </w:r>
      <w:r w:rsidRPr="007E3C0D">
        <w:rPr>
          <w:rStyle w:val="StyleUnderline"/>
        </w:rPr>
        <w:t>plenitude of meaning</w:t>
      </w:r>
      <w:r w:rsidRPr="00085065">
        <w:rPr>
          <w:sz w:val="16"/>
        </w:rPr>
        <w:t xml:space="preserve">. Rather than acknowledge the impossibility of such an achievement, however, </w:t>
      </w:r>
      <w:r w:rsidRPr="007E3C0D">
        <w:rPr>
          <w:rStyle w:val="StyleUnderline"/>
        </w:rPr>
        <w:t>this failing is</w:t>
      </w:r>
      <w:r w:rsidRPr="00085065">
        <w:rPr>
          <w:sz w:val="16"/>
        </w:rPr>
        <w:t xml:space="preserve"> instead </w:t>
      </w:r>
      <w:r w:rsidRPr="007E3C0D">
        <w:rPr>
          <w:rStyle w:val="StyleUnderline"/>
        </w:rPr>
        <w:t>foisted onto a</w:t>
      </w:r>
      <w:r w:rsidRPr="00085065">
        <w:rPr>
          <w:sz w:val="16"/>
        </w:rPr>
        <w:t xml:space="preserve"> person, </w:t>
      </w:r>
      <w:r w:rsidRPr="007E3C0D">
        <w:rPr>
          <w:rStyle w:val="StyleUnderline"/>
        </w:rPr>
        <w:t>people</w:t>
      </w:r>
      <w:r w:rsidRPr="00085065">
        <w:rPr>
          <w:sz w:val="16"/>
        </w:rPr>
        <w:t>, or set of forces that instantiate that impossibility in their very existence. These unforgivable obstacles to futurism’s achievement are “queers”: “</w:t>
      </w:r>
      <w:r w:rsidRPr="007E3C0D">
        <w:rPr>
          <w:rStyle w:val="StyleUnderline"/>
        </w:rPr>
        <w:t>the queer dispossesses the social order of the ground on which it rests</w:t>
      </w:r>
      <w:r w:rsidRPr="002F3242">
        <w:rPr>
          <w:rStyle w:val="StyleUnderline"/>
        </w:rPr>
        <w:t>: a faith in the consistent reality of the social ... a faith that politics, whether of the left or of the right, implicitly affirms.”</w:t>
      </w:r>
      <w:r w:rsidRPr="00085065">
        <w:rPr>
          <w:sz w:val="16"/>
        </w:rPr>
        <w:t>23 Defined as non-reproductive sexual nihilists</w:t>
      </w:r>
      <w:r w:rsidRPr="002F3242">
        <w:rPr>
          <w:rStyle w:val="StyleUnderline"/>
        </w:rPr>
        <w:t>, the positioning of queers as culture’s self-indulgent, sex-obsessed death drive thus functions to secure the health, happiness, and adult normality of heterosexually reproducing humanity.</w:t>
      </w:r>
      <w:r w:rsidRPr="00085065">
        <w:rPr>
          <w:sz w:val="16"/>
        </w:rPr>
        <w:t xml:space="preserve"> While this persuasive reading of heteronormativity and homophobia has generated the most critical enthusiasm for No Future, I want to argue that reproductive futurism is neither exhaustive of the political nor futurism’s exclusive form. However hegemonic, reproductive futurism is only “one of the forms” this “calamity” might take.24 For clearly one can invest in the future as signified by any number of possible oppressive and unattainable ideals: not only the child, but also, for example, Christ, security (for example Hobbes), or the American way. </w:t>
      </w:r>
      <w:r w:rsidRPr="002F3242">
        <w:rPr>
          <w:rStyle w:val="StyleUnderline"/>
        </w:rPr>
        <w:t>As Edelman himself observes, “The Child, in the historical epoch of our current epistemological regime, is the figure for this compulsory investment in the misrecognition of figure.”</w:t>
      </w:r>
      <w:r w:rsidRPr="00085065">
        <w:rPr>
          <w:sz w:val="16"/>
        </w:rPr>
        <w:t>25 Futurism itself, however, he calls “the substrate of politics.”26 My second proposed modification follows from the first, its mandate being to situate Edelman’s political theory more distinctly within history.27 In this regard, suspicious reader John Brenkman helpfully provides the political theory references missing from No Future, noting that “modern critical social discourse, whether among the Enlightenment’s philosophes, French revolutionaries, Marxists, social democrats, or contemporary socialists and democrats” all engage in the kind of future-wagering Edelman describes as definitively political.28 Historically, Brenkman is correct—</w:t>
      </w:r>
      <w:r w:rsidRPr="006370BD">
        <w:rPr>
          <w:rStyle w:val="StyleUnderline"/>
        </w:rPr>
        <w:t>futurism is a distinctively modern phenomenon that must be tethered to, among other things, the advent of industrial capitalism, colonialism, and the rise of the nation-state.</w:t>
      </w:r>
      <w:r w:rsidRPr="00085065">
        <w:rPr>
          <w:sz w:val="16"/>
        </w:rPr>
        <w:t xml:space="preserve"> This second modification makes clear that, in naming futurism, Edelman has identified a fundamental baseline of modernity and the workings of modern politics. However, Brenkman’s concern is less with history than the fact that Edelman seems to foreclose the possibility of such critical discourse by consigning it to the same status as the discourse of the Catholic Church and the religious Right. While Brenkman’s point is well-taken, it is already Edelman’s. For, whether liberal or conservative, Left or Right, communist or fascist, every modern political theory is invested in the repetition and reproduction of the social order, cast as a future aspirational ideal, to which the present is held hostage. This is as true of conservative movements as of radical or revolutionary ones—modern politics as such is defined by its investment in reproducing an order of sameness at the expense of the difference of now.29 Tavia Nyong’o has argued that Edelman’s reading of homophobia operates as a kind of nostalgia for a political moment already past, a moment when homosexuality really did pose an ominous and spectral threat to the social order, but does so no longer.30 However—and this is the third modification I wish to assert—the “queer” of No Future is by no means a crudely identitarian homosexual subject, nor is the child solely emblematic of procreation and childrearing. Edelman would agree with at least part of this point. He insists there is “nothing intrinsic to the constitution of those identifying as lesbian, gay, bisexual, transgendered, transsexual, or queer” that “predisposes them to resist the appeal of futurity, to refuse the temptation to reproduce, or to place themselves outside or against the acculturating logic of the Symbolic.”31 And indeed, it is not difficult to find examples of gay reproductive futurism, the most obvious being the movement for “marriage equality.” As former Human Rights Campaign (HRC) President Joe Solmonese puts it: “The fight for marriage equality for samesex couples is quite possibly the most conventional, family-friendly equal rights struggle ever.” He continues, “History bends not only toward fairness and equality, but also toward common sense. Marriage strengthens couples and families, who in turn help strengthen their communities, one at a time—leading ultimately to a stronger, more robust nation.”32 Mixing nationalism into a gay progress narrative of ever-expanding equality and familial inclusion, Solmonese here writes the playbook for reproductive futurism’s political palatability. Tellingly, Andrew Sullivan’s earlier praise of gay marriage is even more explicit on this count, invoking the importance of the future’s promise not just in the name of the children, but more specifically for gay children, who must be saved from having otherwise been born into futurelessness: More important, perhaps ... its [marriage’s] influence would be felt quietly but deeply among gay children. For them, at last, there would be some kind of future; some older faces to apply to their unfolding lives, some language in which their identity could be properly discussed, some rubric by which it could be explained— not in terms of sex, or sexual practices, or bars, or subterranean activity, but in terms of their future life stories, their potential loves, their eventual chance at some kind of constructive happiness. They would be able to feel by the intimation of a myriad examples that in this respect their emotional orientation was not merely about pleasure, or sin, or shame, or otherness (although it might always be involved in many of those things), but about the ability to love and be loved as complete, imperfect human beings. Until gay marriage is legalized, this fundamental element of personal dignity will be denied a whole segment of humanity. No other change can achieve it.33 As we can see, even when the Child is gay, its salvific promise is neither diverted nor diluted. It simply straightens out the queer threat potentially posed by bent children.34 Dangling the lure of “constructive happiness” before the eyes of youths for whom not sugarplums but sex parties dance in their heads, Sullivan here offers up the gay version of reproductive futurism, paternalistically reassuring us that a life of sex for sex’s sake is the meaningless, self-indulgent, anti-civilizational existence every good moralizer ever told us it was. Taken together, Sullivan and Solmonese helpfully illustrate the fact that Edelman’s argument is, in the end, not really about identity and not even about gay people (or, for that matter, straight people). </w:t>
      </w:r>
      <w:r w:rsidRPr="006370BD">
        <w:rPr>
          <w:rStyle w:val="StyleUnderline"/>
        </w:rPr>
        <w:t>Futurism is a logic that transcends the specifics of heterosexuality and homosexuality, and “queer” in Edelman’s vocabulary does not necessarily</w:t>
      </w:r>
      <w:r w:rsidRPr="00085065">
        <w:rPr>
          <w:sz w:val="16"/>
        </w:rPr>
        <w:t>—or, perhaps, even primarily, anymore, as Nyong’o suggests—</w:t>
      </w:r>
      <w:r w:rsidRPr="006370BD">
        <w:rPr>
          <w:rStyle w:val="StyleUnderline"/>
        </w:rPr>
        <w:t>stand in for gay and lesbian people.</w:t>
      </w:r>
      <w:r w:rsidRPr="00085065">
        <w:rPr>
          <w:sz w:val="16"/>
        </w:rPr>
        <w:t xml:space="preserve"> But, to return to my third modification, this also means that the child is not </w:t>
      </w:r>
      <w:r w:rsidRPr="00085065">
        <w:rPr>
          <w:sz w:val="16"/>
        </w:rPr>
        <w:lastRenderedPageBreak/>
        <w:t xml:space="preserve">irrevocably tied to the existence, reproduction, or raising of “historical children.”35 In other words, even as the non- or anti-identity politics of Edelman’s figure of queerness is increasingly evident, he neglects to establish the similarly and necessarily nonidentitarian iconography of the future he inscribes (which also returns us to my first proposed modification, the distinction between futurism and reproductive futurism). The queer as homosexual and the Child as historical child may be concrete, daily exemplars of (certain ubiquitous if not exclusive versions of) heteronormativity. However, </w:t>
      </w:r>
      <w:r w:rsidRPr="006370BD">
        <w:rPr>
          <w:rStyle w:val="StyleUnderline"/>
        </w:rPr>
        <w:t>understood as a specific form of a more generalized futurist logic, it becomes clear that the child cannot simply be equated with reproduction, child-bearing, and child-rearing, just as the “queer” cannot simply mean “homosexual” in Edelman’s temporal sense.</w:t>
      </w:r>
      <w:r w:rsidRPr="00085065">
        <w:rPr>
          <w:sz w:val="16"/>
        </w:rPr>
        <w:t xml:space="preserve"> The child, along with the queer, is a crucial space for political and historical concretization of Edelman’s radical but otherwise unduly narrow political project. Puar: Terrorism, Homonationalism, and US Sexual Exceptionalism </w:t>
      </w:r>
      <w:r w:rsidRPr="006370BD">
        <w:rPr>
          <w:rStyle w:val="StyleUnderline"/>
        </w:rPr>
        <w:t>The</w:t>
      </w:r>
      <w:r w:rsidRPr="00085065">
        <w:rPr>
          <w:sz w:val="16"/>
        </w:rPr>
        <w:t xml:space="preserve"> HRC’s </w:t>
      </w:r>
      <w:r w:rsidRPr="006370BD">
        <w:rPr>
          <w:rStyle w:val="StyleUnderline"/>
        </w:rPr>
        <w:t xml:space="preserve">language of nationhood and the non-exclusivity of the child as futurist icon are the places to begin pushing Edelman’s queer theory toward an explicit engagement with the politics of race, nation, </w:t>
      </w:r>
      <w:r w:rsidRPr="00CB3C66">
        <w:rPr>
          <w:rStyle w:val="StyleUnderline"/>
        </w:rPr>
        <w:t>and US empire</w:t>
      </w:r>
      <w:r w:rsidRPr="00085065">
        <w:rPr>
          <w:sz w:val="16"/>
        </w:rPr>
        <w:t xml:space="preserve">. For Solmonese’s statement is not simply the rhetoric of reproductive futurism. It is also the language of homonationalism, a term Jasbir Puar has coined to document </w:t>
      </w:r>
      <w:r w:rsidRPr="00CB3C66">
        <w:rPr>
          <w:rStyle w:val="StyleUnderline"/>
        </w:rPr>
        <w:t>the “transition under way in how queer subjects are relating to nation-states</w:t>
      </w:r>
      <w:r w:rsidRPr="00085065">
        <w:rPr>
          <w:sz w:val="16"/>
        </w:rPr>
        <w:t xml:space="preserve">, particularly the United States, </w:t>
      </w:r>
      <w:r w:rsidRPr="00CB3C66">
        <w:rPr>
          <w:rStyle w:val="StyleUnderline"/>
        </w:rPr>
        <w:t>from being figures of death</w:t>
      </w:r>
      <w:r w:rsidRPr="00085065">
        <w:rPr>
          <w:sz w:val="16"/>
        </w:rPr>
        <w:t xml:space="preserve"> (in other words, the AIDS epidemic) </w:t>
      </w:r>
      <w:r w:rsidRPr="00CB3C66">
        <w:rPr>
          <w:rStyle w:val="StyleUnderline"/>
        </w:rPr>
        <w:t>to becoming tied to ideas of life and productivity</w:t>
      </w:r>
      <w:r w:rsidRPr="00085065">
        <w:rPr>
          <w:sz w:val="16"/>
        </w:rPr>
        <w:t xml:space="preserve"> (in other words, gay marriage and families).”36 Homonationalism is an abbreviated combination of the words “homonormative” and “nationalism,” the former term borrowed from Lisa Duggan, who describes “the new homonormativity” as a political realignment of the late 1990s/early 2000s in which gay rights became compatible with certain neoliberal, anti-statist, conservative, American nationalist viewpoints.37 Combining homonormativity with nationalism, then, Puar augments Nyong’o’s critique, arguing that </w:t>
      </w:r>
      <w:r w:rsidRPr="00CB3C66">
        <w:rPr>
          <w:rStyle w:val="StyleUnderline"/>
        </w:rPr>
        <w:t>the assimilation of certain gay and lesbian subjects into the mainstream of American</w:t>
      </w:r>
      <w:r w:rsidRPr="00085065">
        <w:rPr>
          <w:sz w:val="16"/>
        </w:rPr>
        <w:t xml:space="preserve"> normalcy, respectability, and </w:t>
      </w:r>
      <w:r w:rsidRPr="00CB3C66">
        <w:rPr>
          <w:rStyle w:val="StyleUnderline"/>
        </w:rPr>
        <w:t>citizenship has entailed the “fleeting sanctioning of a national homosexual subject”</w:t>
      </w:r>
      <w:r w:rsidRPr="00085065">
        <w:rPr>
          <w:sz w:val="16"/>
        </w:rPr>
        <w:t xml:space="preserve">38 who is </w:t>
      </w:r>
      <w:r w:rsidRPr="00CB3C66">
        <w:rPr>
          <w:rStyle w:val="StyleUnderline"/>
        </w:rPr>
        <w:t>“complicit with heterosexual nationalist formations rather than</w:t>
      </w:r>
      <w:r w:rsidRPr="00085065">
        <w:rPr>
          <w:sz w:val="16"/>
        </w:rPr>
        <w:t xml:space="preserve"> inherently or </w:t>
      </w:r>
      <w:r w:rsidRPr="00CB3C66">
        <w:rPr>
          <w:rStyle w:val="StyleUnderline"/>
        </w:rPr>
        <w:t>automatically excluded from</w:t>
      </w:r>
      <w:r w:rsidRPr="00085065">
        <w:rPr>
          <w:sz w:val="16"/>
        </w:rPr>
        <w:t xml:space="preserve"> or opposed to </w:t>
      </w:r>
      <w:r w:rsidRPr="00CB3C66">
        <w:rPr>
          <w:rStyle w:val="StyleUnderline"/>
        </w:rPr>
        <w:t>them</w:t>
      </w:r>
      <w:r w:rsidRPr="00085065">
        <w:rPr>
          <w:sz w:val="16"/>
        </w:rPr>
        <w:t xml:space="preserve">.”39 </w:t>
      </w:r>
      <w:r w:rsidRPr="00CB3C66">
        <w:rPr>
          <w:rStyle w:val="StyleUnderline"/>
        </w:rPr>
        <w:t>One effect of homonationalism</w:t>
      </w:r>
      <w:r w:rsidRPr="00085065">
        <w:rPr>
          <w:sz w:val="16"/>
        </w:rPr>
        <w:t xml:space="preserve"> in the post-9/11 context of the “War on Terror” </w:t>
      </w:r>
      <w:r w:rsidRPr="00CB3C66">
        <w:rPr>
          <w:rStyle w:val="StyleUnderline"/>
        </w:rPr>
        <w:t>is the perverse</w:t>
      </w:r>
      <w:r w:rsidRPr="00085065">
        <w:rPr>
          <w:sz w:val="16"/>
        </w:rPr>
        <w:t xml:space="preserve"> sexualization or </w:t>
      </w:r>
      <w:r w:rsidRPr="00CB3C66">
        <w:rPr>
          <w:rStyle w:val="StyleUnderline"/>
        </w:rPr>
        <w:t>“queering” of Arabs and Muslims</w:t>
      </w:r>
      <w:r w:rsidRPr="00085065">
        <w:rPr>
          <w:sz w:val="16"/>
        </w:rPr>
        <w:t xml:space="preserve"> (and all those held to be such) </w:t>
      </w:r>
      <w:r w:rsidRPr="00CB3C66">
        <w:rPr>
          <w:rStyle w:val="StyleUnderline"/>
        </w:rPr>
        <w:t>in the figure of the “terrorist,”</w:t>
      </w:r>
      <w:r w:rsidRPr="00085065">
        <w:rPr>
          <w:sz w:val="16"/>
        </w:rPr>
        <w:t xml:space="preserve"> a figure of </w:t>
      </w:r>
      <w:r w:rsidRPr="00CB3C66">
        <w:rPr>
          <w:rStyle w:val="StyleUnderline"/>
        </w:rPr>
        <w:t>monstrosity</w:t>
      </w:r>
      <w:r w:rsidRPr="00085065">
        <w:rPr>
          <w:sz w:val="16"/>
        </w:rPr>
        <w:t xml:space="preserve">, excess, savagery, and perversion. To be clear, Puar is not suggesting that the “terrorist” is the new queer. Rather, she is arguing that “queerness is always already installed in the project of naming the terrorist; the terrorist does not appear as such without the concurrent entrance of perversion, deviance.”40 Neither an identity nor a defining behavioral activity (for example, homosexuality), </w:t>
      </w:r>
      <w:r w:rsidRPr="00CB3C66">
        <w:rPr>
          <w:rStyle w:val="StyleUnderline"/>
        </w:rPr>
        <w:t>Puar elaborates queerness as a biopolitical tactic that functions to define and divide populations through processes of racialization, a “management of queer life at the expense of sexually and racially perverse death in relation to the contemporary politics of securitization, Orientalism, terrorism, torture, and the articulation of Muslim, Arab, Sikh, and South Asian sexualities</w:t>
      </w:r>
      <w:r w:rsidRPr="00085065">
        <w:rPr>
          <w:sz w:val="16"/>
        </w:rPr>
        <w:t xml:space="preserve">.”41 In this view, “the contemporary U.S. heteronormative nation actually relies on and benefits from the proliferation of queerness.”42 </w:t>
      </w:r>
      <w:r w:rsidRPr="00CB3C66">
        <w:rPr>
          <w:rStyle w:val="StyleUnderline"/>
        </w:rPr>
        <w:t>Homonationalism, as a biopolitics of queerness, functions to discipline and (re)produce homosexuality as white, American, patriotic, and upwardly mobile while designating people of color, immigrants, and Arabs and Muslims as both heterosexual and yet dangerously “queer”—</w:t>
      </w:r>
      <w:r w:rsidRPr="00085065">
        <w:rPr>
          <w:sz w:val="16"/>
        </w:rPr>
        <w:t xml:space="preserve">as “terrorists” or “failed and perverse” bodies that “always have femininity as their reference point of malfunction, and are metonymically tied to all sorts of pathologies of the mind and body—homosexuality, incest, pedophilia, madness, and disease.”43 As is evident, queerness in Puar’s account veers from any simple conflation with gay and lesbian subjectivity; as she says, </w:t>
      </w:r>
      <w:r w:rsidRPr="00CB3C66">
        <w:rPr>
          <w:rStyle w:val="StyleUnderline"/>
        </w:rPr>
        <w:t>“Race, ethnicity, nation, gender, class, and sexuality disaggregate gay, homosexual, and queer national subjects who align themselves with U.S. imperial interests from forms of illegitimate queerness that</w:t>
      </w:r>
      <w:r w:rsidRPr="00085065">
        <w:rPr>
          <w:sz w:val="16"/>
        </w:rPr>
        <w:t xml:space="preserve"> name and ultimately </w:t>
      </w:r>
      <w:r w:rsidRPr="00CB3C66">
        <w:rPr>
          <w:rStyle w:val="StyleUnderline"/>
        </w:rPr>
        <w:t>propel populations into extinction.</w:t>
      </w:r>
      <w:r w:rsidRPr="00085065">
        <w:rPr>
          <w:sz w:val="16"/>
        </w:rPr>
        <w:t xml:space="preserve">”44 The happily married couples that populate the HRC’s literature and website, then, would be the homonational, or properly queer; the “monster terrorist fag” abjected into existence through torture at Abu Ghraib or Guanta´namo, detained indefinitely in any of the US’s many illegal prisons, surveilled incessantly in mosques and cafes, and stigmatized as suffering from arrested development by the psychologizing literature of security studies, would be the improperly queer.45 </w:t>
      </w:r>
      <w:r w:rsidRPr="00CB3C66">
        <w:rPr>
          <w:rStyle w:val="StyleUnderline"/>
        </w:rPr>
        <w:t>Puar’s point is that these queernesses go together and require one another, much as</w:t>
      </w:r>
      <w:r w:rsidRPr="00085065">
        <w:rPr>
          <w:sz w:val="16"/>
        </w:rPr>
        <w:t xml:space="preserve">, I think, </w:t>
      </w:r>
      <w:r w:rsidRPr="00CB3C66">
        <w:rPr>
          <w:rStyle w:val="StyleUnderline"/>
        </w:rPr>
        <w:t>Edelman can be seen to be arguing that the child and the queer go together and require one another.</w:t>
      </w:r>
      <w:r w:rsidRPr="00085065">
        <w:rPr>
          <w:sz w:val="16"/>
        </w:rPr>
        <w:t xml:space="preserve"> What Puar concretizes, however, in theorizing queerness as a “process of racialization”46 is not simply the analytic point that “queer” and “homosexual” are distinct but, more importantly, the urgently political point that the abjected or improper queer who stands outside the social order and is in effect antagonistic to it is, in this contemporary moment, much more likely to be a Muslim or someone perceived as “looking like” a Muslim to the American gaze than, let us admit it, the newly engaged same-sex couples thronging state houses in Minnesota, Connecticut, and Colorado (much less the “homosexual” figure of queerness in No Future). </w:t>
      </w:r>
      <w:r w:rsidRPr="00F15161">
        <w:rPr>
          <w:rStyle w:val="Emphasis"/>
        </w:rPr>
        <w:t>Understanding queerness as a process of nationalization and racialization also concretizes and expands the understanding of heteronormativity or</w:t>
      </w:r>
      <w:r w:rsidRPr="00085065">
        <w:rPr>
          <w:sz w:val="16"/>
        </w:rPr>
        <w:t xml:space="preserve">, in Edelman’s words, </w:t>
      </w:r>
      <w:r w:rsidRPr="00F15161">
        <w:rPr>
          <w:rStyle w:val="Emphasis"/>
        </w:rPr>
        <w:t>the future</w:t>
      </w:r>
      <w:r w:rsidRPr="00085065">
        <w:rPr>
          <w:sz w:val="16"/>
        </w:rPr>
        <w:t xml:space="preserve">. For </w:t>
      </w:r>
      <w:r w:rsidRPr="00F15161">
        <w:rPr>
          <w:rStyle w:val="StyleUnderline"/>
        </w:rPr>
        <w:t>the terrorist in Puar’s analysis</w:t>
      </w:r>
      <w:r w:rsidRPr="00085065">
        <w:rPr>
          <w:sz w:val="16"/>
        </w:rPr>
        <w:t xml:space="preserve"> resists or </w:t>
      </w:r>
      <w:r w:rsidRPr="00F15161">
        <w:rPr>
          <w:rStyle w:val="StyleUnderline"/>
        </w:rPr>
        <w:t xml:space="preserve">denies a future that is </w:t>
      </w:r>
      <w:r w:rsidRPr="00F15161">
        <w:rPr>
          <w:rStyle w:val="StyleUnderline"/>
        </w:rPr>
        <w:lastRenderedPageBreak/>
        <w:t>symbolized and defined not only or simply by the child, but also by the American nation and secular Christianity</w:t>
      </w:r>
      <w:r w:rsidRPr="00085065">
        <w:rPr>
          <w:sz w:val="16"/>
        </w:rPr>
        <w:t xml:space="preserve">. As she says, “In the political imagination, the terrorist serves as the monstrous excess of the nation-state.”47 Post-9/11, Puar notes that this terrorist threat is undeniably linked with Islam, which often serves as its “explanation.”48 As she observes, Islam signifies, to the ostensibly secular and modern US, both “excess” and “savagery”: “Religious belief is thus cast, in relation to other factors fueling terrorism, as the overflow, the final excess that impels monstrosity—the ‘different attitude toward violence’ signaling these uncivilizable forces.”49 </w:t>
      </w:r>
      <w:r w:rsidRPr="00F15161">
        <w:rPr>
          <w:rStyle w:val="StyleUnderline"/>
        </w:rPr>
        <w:t>Puar’s reading suggests that Islam threatens the futurist temporality of American empire. Cast as retrograde, backward, and frozen in pre-modern religiosity, Islam threatens the progress narrative of US imperial wars which are alleged to bring ever-greater freedom, not only to women and homosexuals, but also to uncivilized, savage, and undemocratic people(s)</w:t>
      </w:r>
      <w:r w:rsidRPr="00085065">
        <w:rPr>
          <w:sz w:val="16"/>
        </w:rPr>
        <w:t xml:space="preserve"> and nations around the world.50 Finally, then, it is important to note that as Islam has been queered or come to signify queerness, it does so in two ways: first, through the phobic association of Islam with terrorism; and, second, through the racist and Orientalist conflation of Islam with homophobia, anti-feminism, and sexual backwardness more generally. Putting Puar’s analysis in an Edelman-esque frame, we might say that the figure of the “terrorist” who threatens national goals, progress, hope—indeed, the nation’s very existence—can be cast as the excessive, anti-social, future-denying figure of the “queer” in Edelman. Or, we might say that just as the domain of normativity has expanded to include some gay people, correspondingly, the domain of (inassimilable) queerness also has shifted. Puar’s analysis of the collusion “between homosexuality and U.S. nationalism”51 as producing two figures, the homonormative patriot and the queer terrorist, notes them as, on the one hand, the embodiment and normative achievement of the social order and, on the other hand, the dissolution and destruction of that social order.52 No longer designating “the homosexual” per se, “queer” names the monstrously raced and perversely sexualized Arab/Muslim/terrorist Other that threatens the American social and political order, an order that (some) properly gay and lesbian subjects can now, through their incorporation into normative American national life, inhabit and reproduce. In sum, we have a theorization of “queer” wherein the sexually backward Muslim is led by the irrationality and violence of her/his religion to annihilate those who serve and protect freedom for all. In this analysis of “the sexually exceptional homonational and its evil counterpart, the queer terrorist of elsewhere,”53 the “terrorist” is to the HRC what, in Edelman’s analysis, the queer is to the child.54 Edelman and Puar: Theorizing Resistance Puar’s theorization of </w:t>
      </w:r>
      <w:r w:rsidRPr="00F15161">
        <w:rPr>
          <w:rStyle w:val="StyleUnderline"/>
        </w:rPr>
        <w:t>homonationalism is</w:t>
      </w:r>
      <w:r w:rsidRPr="00085065">
        <w:rPr>
          <w:sz w:val="16"/>
        </w:rPr>
        <w:t xml:space="preserve"> a significant contribution to queer theory and an essential </w:t>
      </w:r>
      <w:r w:rsidRPr="00F15161">
        <w:rPr>
          <w:rStyle w:val="StyleUnderline"/>
        </w:rPr>
        <w:t>corrective to Edelman’s</w:t>
      </w:r>
      <w:r w:rsidRPr="00085065">
        <w:rPr>
          <w:sz w:val="16"/>
        </w:rPr>
        <w:t xml:space="preserve"> otherwise historically and racially unmarked </w:t>
      </w:r>
      <w:r w:rsidRPr="00F15161">
        <w:rPr>
          <w:rStyle w:val="StyleUnderline"/>
        </w:rPr>
        <w:t>analysis of (reproductive) futurism</w:t>
      </w:r>
      <w:r w:rsidRPr="00085065">
        <w:rPr>
          <w:sz w:val="16"/>
        </w:rPr>
        <w:t xml:space="preserve">. Her work allows us to critique futurism in ways that are responsive to the specificities of its racial and national workings, consequences gapingly unattended to by him. While Edelman deftly parses the logic of power in terms of futurism’s hegemony, he fails fully to unpack its coercive force by focusing solely on futurism’s relationship to an exceedingly narrow version of non-reproductive homosexuality. Although he claims that the theory of politics he explicates in No Future is indifferent to race, arguing that “the fascism of the baby’s face ... subjects us to its sovereign authority as the figure of politics itself ... whatever the face a particular politics gives that baby to wear— Aryan or multicultural, that of the thirty-thousand-year Reich or of an ever expanding horizon of democratic inclusivity,”55 what is clear is that the reproductive futurism he critiques is symptomatic of a very specific bourgeois class culture within the imperial US, a culture that garners his criticism only insofar as it is bound up with heteronormativity.56 By contrast, Puar’s demand that we focus our attention on the racial and nationalized logics of queerness(es) and the unexpected complicities between queers, nationalism, and empire remains only suggestive of futurism’s determinative role, never naming it specifically. Now, this is likely because Puar neither endorses nor conceptualizes futurism as a useful diagnosis of modern politics, just as Edelman may very much wish to privilege (white male homo) sexuality in his psychoanalysis of futurism. However, I suggest that authorial intentions—both Puar’s and Edelman’s—be respectfully disregarded, not only because we have become savvy to the multiple begged questions inherent in any invocation of authorial intention, but also because more than our scholarly work is at stake when it comes to forging critical resistance to US imperial power. Indeed, while the net effect of Edelman’s analysis is that only white gay men are considered the deathly threat portended by queerness in No Future, 57 if we return to his definition of “queer” and insist on distinguishing between futurism and reproductive futurism, we note that </w:t>
      </w:r>
      <w:r w:rsidRPr="00F15161">
        <w:rPr>
          <w:rStyle w:val="StyleUnderline"/>
        </w:rPr>
        <w:t>“queer” designates anyone who fails to abide by the rules of social temporality</w:t>
      </w:r>
      <w:r w:rsidRPr="00085065">
        <w:rPr>
          <w:sz w:val="16"/>
        </w:rPr>
        <w:t xml:space="preserve">—that is, </w:t>
      </w:r>
      <w:r w:rsidRPr="00F15161">
        <w:rPr>
          <w:rStyle w:val="StyleUnderline"/>
        </w:rPr>
        <w:t>anyone who sacrifices the future for the sake of the present</w:t>
      </w:r>
      <w:r w:rsidRPr="00F15161">
        <w:rPr>
          <w:rStyle w:val="Emphasis"/>
        </w:rPr>
        <w:t>. As such, futurism’s ruthless machinations stigmatize all sorts of populations as emblematic of the death and destruction of the social order.</w:t>
      </w:r>
      <w:r w:rsidRPr="00085065">
        <w:rPr>
          <w:sz w:val="16"/>
        </w:rPr>
        <w:t xml:space="preserve"> This broad array of misfits and perverts may include some gay, lesbian, and queer people. It necessarily also includes the “terrorist” and “Muslim” whom Puar argues are biopolitical targets of abjected queerness. This analysis also suggests that </w:t>
      </w:r>
      <w:r w:rsidRPr="00F15161">
        <w:rPr>
          <w:rStyle w:val="StyleUnderline"/>
        </w:rPr>
        <w:t>temporality is a crucial axis of determination regarding all “enemies” of the social order,</w:t>
      </w:r>
      <w:r w:rsidRPr="00085065">
        <w:rPr>
          <w:sz w:val="16"/>
        </w:rPr>
        <w:t xml:space="preserve"> a notion that links Edelman’s political theory to other important work in radical queer politics. For example, in her definitive essay, “Punks, Bulldaggers, and Welfare Queens: The Radical Potential of Queer Politics?,” Cathy Cohen argues for a re-thinking of marginal positionality in terms of one’s relation to power rather than in terms of a binary categorization of queer vs straight. She cites the examples of the prohibition of slave marriages and the long history of obsession with black women’s reproductive choices in the US as examples of ostensibly heterosexual people inhabiting positions outside the bounds of normative sexuality because of race, class, and property status. In arguing for a more capacious, intersectional queer politics that is accountable not simply to the question of who is and is not heterosexual but, more broadly, to the question of what each of our relationships with and proximity to power may be, Cohen writes: As we stand on the verge of watching those in power dismantle the welfare system through a process of demonizing the poor and young—primarily poor and young women of color, many of whom have existed for their entire lives outside the white, middle-class heterosexual norm—we have to ask if these women do not fit into society’s categories of marginal, deviant, and “queer.” As we watch the explosion of prison construction and the disproportionate incarceration rates of young men and women of color, often as part of the economic development of poor white rural communities, we have to ask if these individuals do not fit society’s definition of “queer” and expendable. </w:t>
      </w:r>
      <w:r w:rsidRPr="00F15161">
        <w:rPr>
          <w:rStyle w:val="StyleUnderline"/>
        </w:rPr>
        <w:t xml:space="preserve">Cohen’s understanding of “queer” as a kind </w:t>
      </w:r>
      <w:r w:rsidRPr="00F15161">
        <w:rPr>
          <w:rStyle w:val="StyleUnderline"/>
        </w:rPr>
        <w:lastRenderedPageBreak/>
        <w:t>of non- or anti-normativity based on one’s proximity to power might also be understood in terms of futurism and its flouting by “deviants.”</w:t>
      </w:r>
      <w:r w:rsidRPr="00085065">
        <w:rPr>
          <w:sz w:val="16"/>
        </w:rPr>
        <w:t xml:space="preserve"> For, </w:t>
      </w:r>
      <w:r w:rsidRPr="00F15161">
        <w:rPr>
          <w:rStyle w:val="StyleUnderline"/>
        </w:rPr>
        <w:t>if the key characteristic of queerness is a temporal one, then having “too many” babies is just as much a threat to America’s future as not having any at all</w:t>
      </w:r>
      <w:r w:rsidRPr="00085065">
        <w:rPr>
          <w:sz w:val="16"/>
        </w:rPr>
        <w:t>—</w:t>
      </w:r>
      <w:r w:rsidRPr="00F15161">
        <w:rPr>
          <w:rStyle w:val="StyleUnderline"/>
        </w:rPr>
        <w:t>it just depends on which queers we are talking about</w:t>
      </w:r>
      <w:r w:rsidRPr="00085065">
        <w:rPr>
          <w:sz w:val="16"/>
        </w:rPr>
        <w:t xml:space="preserve"> (not only Reagan’s welfare queen, but also recall the manufactured election-year discourse about “anchor babies”).59 Naming these explicitly makes futurism a useful tool to diagnose the contemporary political moment from a radical queer perspective that does not fetishize sexuality as either the primary domain of subordination or the sole focus of political struggle and resistance.</w:t>
      </w:r>
    </w:p>
    <w:p w:rsidR="00162C2D" w:rsidRDefault="00162C2D" w:rsidP="00162C2D">
      <w:pPr>
        <w:pStyle w:val="Heading4"/>
      </w:pPr>
      <w:r>
        <w:t xml:space="preserve">The alternative is to embrace the queer negativity of education—disconnecting learning from futurity inhabits the gaps within the social to explore queer possibilities </w:t>
      </w:r>
    </w:p>
    <w:p w:rsidR="00162C2D" w:rsidRDefault="00162C2D" w:rsidP="00162C2D">
      <w:r w:rsidRPr="00A71B72">
        <w:rPr>
          <w:rStyle w:val="Author-Date"/>
        </w:rPr>
        <w:t>Greteman &amp; Wojcikiewicz 2014</w:t>
      </w:r>
      <w:r>
        <w:t xml:space="preserve"> [ Adam J., Adjunct Assistant Professor of Art Education at the School of the Art Institute of Chicago; Steven K., Assistant Professor in the College of Education at Western Oregon University | “The Problems with the Future: Educational Futurism and the Figural Child” Journal of Philosophy of Education, Vol. 48, No. 4, 2014]</w:t>
      </w:r>
    </w:p>
    <w:p w:rsidR="00162C2D" w:rsidRDefault="00162C2D" w:rsidP="00162C2D">
      <w:pPr>
        <w:rPr>
          <w:rStyle w:val="StyleUnderline"/>
        </w:rPr>
      </w:pPr>
      <w:r w:rsidRPr="00A71B72">
        <w:rPr>
          <w:sz w:val="16"/>
        </w:rPr>
        <w:t xml:space="preserve">This may seem to lay out a solution for educational futurism in the name of what might be called educational present-ism, but it is not so. </w:t>
      </w:r>
      <w:r w:rsidRPr="009A6725">
        <w:rPr>
          <w:rStyle w:val="StyleUnderline"/>
        </w:rPr>
        <w:t xml:space="preserve">It would be a mistake, when viewing educational futurism and the Child in terms of their roles in creating poor educational practice, to respond merely by calling for an education for the present. Such a call would fall into dualistic thinking that sets the present against the future and demands allegiance to one side or the other. </w:t>
      </w:r>
      <w:r w:rsidRPr="00A71B72">
        <w:rPr>
          <w:sz w:val="16"/>
        </w:rPr>
        <w:t xml:space="preserve">Both Dewey and Edelman warn against such a step, Edelman by making a queer argument centred on the death drive, and Dewey by pointing out the dangers of boiling complex ideas down to either-or propositions. </w:t>
      </w:r>
      <w:r w:rsidRPr="009A6725">
        <w:rPr>
          <w:rStyle w:val="StyleUnderline"/>
        </w:rPr>
        <w:t>Seeing the disruptive potential of the embracing the ‘negativity’ of queerness, Edelman utilises Lacan’s theorisation of the death drive.</w:t>
      </w:r>
      <w:r w:rsidRPr="00A71B72">
        <w:rPr>
          <w:sz w:val="16"/>
        </w:rPr>
        <w:t xml:space="preserve"> He notes that ‘the death drive marks the excess embedded within the Symbolic through the loss, the Real loss, that the advent of the signifier effects’ (2004, p. 9). </w:t>
      </w:r>
      <w:r w:rsidRPr="009A6725">
        <w:rPr>
          <w:rStyle w:val="StyleUnderline"/>
        </w:rPr>
        <w:t>The death drive becomes the moment of undoing, of constantly seeking to disrupt and destroy the signifier for ‘the queer insists that politics is always a politics of the signifier’</w:t>
      </w:r>
      <w:r w:rsidRPr="00A71B72">
        <w:rPr>
          <w:sz w:val="16"/>
        </w:rPr>
        <w:t xml:space="preserve"> (p. 6). Queerness makes possible a constant disruption or ‘the violent undoing of meaning, the loss of identity and coherence’ (p. 132). </w:t>
      </w:r>
      <w:r w:rsidRPr="009A6725">
        <w:rPr>
          <w:rStyle w:val="StyleUnderline"/>
        </w:rPr>
        <w:t>Edelman’s embrace of the death drive thus challenges the story of the Child’s innocence. In this challenge however, he notes that,</w:t>
      </w:r>
      <w:r w:rsidRPr="00A71B72">
        <w:rPr>
          <w:sz w:val="16"/>
        </w:rPr>
        <w:t xml:space="preserve"> . . . </w:t>
      </w:r>
      <w:r w:rsidRPr="009A6725">
        <w:rPr>
          <w:rStyle w:val="StyleUnderline"/>
        </w:rPr>
        <w:t>to intervene in the reproduction of such a reality</w:t>
      </w:r>
      <w:r w:rsidRPr="00A71B72">
        <w:rPr>
          <w:sz w:val="16"/>
        </w:rPr>
        <w:t>—an intervention that may well take the form of figuring that reality’s abortion—</w:t>
      </w:r>
      <w:r w:rsidRPr="009A6725">
        <w:rPr>
          <w:rStyle w:val="StyleUnderline"/>
        </w:rPr>
        <w:t>queer theory must always insist on its connection to the vicissitudes of the sign</w:t>
      </w:r>
      <w:r w:rsidRPr="00A71B72">
        <w:rPr>
          <w:sz w:val="16"/>
        </w:rPr>
        <w:t xml:space="preserve">, to the tension between the signifier’s collapse into the letter’s cadaverous materiality and its participation in a system of reference wherein it generates meaning itself (p. 7). Edelman, as such, is following a broader theme in queer theory. Eve </w:t>
      </w:r>
      <w:r w:rsidRPr="009A6725">
        <w:rPr>
          <w:rStyle w:val="StyleUnderline"/>
        </w:rPr>
        <w:t>Sedgwick</w:t>
      </w:r>
      <w:r w:rsidRPr="00A71B72">
        <w:rPr>
          <w:sz w:val="16"/>
        </w:rPr>
        <w:t xml:space="preserve"> (1993) </w:t>
      </w:r>
      <w:r w:rsidRPr="009A6725">
        <w:rPr>
          <w:rStyle w:val="StyleUnderline"/>
        </w:rPr>
        <w:t>suggests queer ‘can refer to: the mesh of possibilities, of gaps, overlaps, dissonances, and resonances, lapses and excesses of meaning when the constituent elements of anyone’s gender, of anyone’s sexuality aren’t made (</w:t>
      </w:r>
      <w:r w:rsidRPr="00A71B72">
        <w:rPr>
          <w:sz w:val="16"/>
        </w:rPr>
        <w:t xml:space="preserve">or can’t be made) </w:t>
      </w:r>
      <w:r w:rsidRPr="009A6725">
        <w:rPr>
          <w:rStyle w:val="StyleUnderline"/>
        </w:rPr>
        <w:t>to signify monolithically’</w:t>
      </w:r>
      <w:r w:rsidRPr="00A71B72">
        <w:rPr>
          <w:sz w:val="16"/>
        </w:rPr>
        <w:t xml:space="preserve"> (p. 8). </w:t>
      </w:r>
      <w:r w:rsidRPr="009A6725">
        <w:rPr>
          <w:rStyle w:val="StyleUnderline"/>
        </w:rPr>
        <w:t>The social order, under modernity</w:t>
      </w:r>
      <w:r w:rsidRPr="00A71B72">
        <w:rPr>
          <w:sz w:val="16"/>
        </w:rPr>
        <w:t xml:space="preserve">, is fantasised to be coherent, to seek consistency, completeness, and unity. It </w:t>
      </w:r>
      <w:r w:rsidRPr="009A6725">
        <w:rPr>
          <w:rStyle w:val="StyleUnderline"/>
        </w:rPr>
        <w:t>seeks to tell a story that does not fail,</w:t>
      </w:r>
      <w:r w:rsidRPr="00A71B72">
        <w:rPr>
          <w:sz w:val="16"/>
        </w:rPr>
        <w:t xml:space="preserve"> even as it always must. </w:t>
      </w:r>
      <w:r w:rsidRPr="009A6725">
        <w:rPr>
          <w:rStyle w:val="StyleUnderline"/>
        </w:rPr>
        <w:t>It is this failure that queerness embraces.</w:t>
      </w:r>
      <w:r w:rsidRPr="00A71B72">
        <w:rPr>
          <w:sz w:val="16"/>
        </w:rPr>
        <w:t xml:space="preserve"> As Edelman notes ‘queer theory marks the “other” side of politics: the “side” where narrative realization and derealization overlap . . . the “side” outside of all political sides’ (p. 7). While some may seek to tame queer theory so as to imply troubling—eliminating the queers association with (homo)sexuality—such a move is problematic as it ‘dematerialize[s] any possibility of queerness itself’ because homosexuality is a piece of the queers ‘definitional center’ (Sedgwick, 1993, p. 8). Such a move ignores the role of sexual orientation in queerness. And as Ahmed notes </w:t>
      </w:r>
      <w:r w:rsidRPr="009A6725">
        <w:rPr>
          <w:rStyle w:val="StyleUnderline"/>
        </w:rPr>
        <w:t>‘being oriented in different ways does matter, precisely because of how spaces are already oriented</w:t>
      </w:r>
      <w:r w:rsidRPr="00A71B72">
        <w:rPr>
          <w:sz w:val="16"/>
        </w:rPr>
        <w:t xml:space="preserve"> . . </w:t>
      </w:r>
      <w:r w:rsidRPr="009A6725">
        <w:rPr>
          <w:rStyle w:val="StyleUnderline"/>
        </w:rPr>
        <w:t>. Orientations affect what bodies can do’</w:t>
      </w:r>
      <w:r w:rsidRPr="00A71B72">
        <w:rPr>
          <w:sz w:val="16"/>
        </w:rPr>
        <w:t xml:space="preserve"> (2006, p. 563). </w:t>
      </w:r>
      <w:r w:rsidRPr="009A6725">
        <w:rPr>
          <w:rStyle w:val="StyleUnderline"/>
        </w:rPr>
        <w:t>As such, orientation impacts the ability to think of the future and to what ends one is oriented toward.</w:t>
      </w:r>
      <w:r>
        <w:rPr>
          <w:rStyle w:val="StyleUnderline"/>
        </w:rPr>
        <w:t xml:space="preserve"> </w:t>
      </w:r>
      <w:r w:rsidRPr="009A6725">
        <w:rPr>
          <w:rStyle w:val="StyleUnderline"/>
        </w:rPr>
        <w:t>The task in part is the embrace of the negative in order to challenge the social reality and its fantasy of coherence to orient in new ways. The incompleteness of children</w:t>
      </w:r>
      <w:r w:rsidRPr="00A71B72">
        <w:rPr>
          <w:sz w:val="16"/>
        </w:rPr>
        <w:t xml:space="preserve">, much maligned, </w:t>
      </w:r>
      <w:r w:rsidRPr="009A6725">
        <w:rPr>
          <w:rStyle w:val="StyleUnderline"/>
        </w:rPr>
        <w:t>emerges then as a site for such a challenge whereby the incompleteness is embraced so that coherence is always in question.</w:t>
      </w:r>
      <w:r w:rsidRPr="00A71B72">
        <w:rPr>
          <w:sz w:val="16"/>
        </w:rPr>
        <w:t xml:space="preserve"> The social reality is constantly under threat of disintegration and as such seeks to regulate those bodies that cause such threats. </w:t>
      </w:r>
      <w:r w:rsidRPr="000C322C">
        <w:rPr>
          <w:rStyle w:val="StyleUnderline"/>
        </w:rPr>
        <w:t xml:space="preserve">The queerness of children produces different ways to do and be in the world, hidden by the regulatory subject in the form of </w:t>
      </w:r>
      <w:r w:rsidRPr="000C322C">
        <w:rPr>
          <w:rStyle w:val="StyleUnderline"/>
        </w:rPr>
        <w:lastRenderedPageBreak/>
        <w:t>the Child. To employ a queer perspective in the examination of educational futurism is not solely to carry out a simple act of negation</w:t>
      </w:r>
      <w:r w:rsidRPr="00A71B72">
        <w:rPr>
          <w:sz w:val="16"/>
        </w:rPr>
        <w:t xml:space="preserve"> (i.e. negating the Child), </w:t>
      </w:r>
      <w:r w:rsidRPr="000C322C">
        <w:rPr>
          <w:rStyle w:val="StyleUnderline"/>
        </w:rPr>
        <w:t>but to recognise how that negation is, in part, how the future is figured and how different futures might become thinkable.</w:t>
      </w:r>
      <w:r>
        <w:rPr>
          <w:rStyle w:val="StyleUnderline"/>
        </w:rPr>
        <w:t xml:space="preserve"> </w:t>
      </w:r>
      <w:r w:rsidRPr="00A71B72">
        <w:rPr>
          <w:sz w:val="16"/>
        </w:rPr>
        <w:t xml:space="preserve">For Edelman this embrace occurs through his theorisation around the death drive, which ‘names what the queer, in the order of the social, is called forth to figure: the negativity opposed to every form of social viability’ (2004, p. 9). </w:t>
      </w:r>
      <w:r w:rsidRPr="00E53BCC">
        <w:rPr>
          <w:rStyle w:val="StyleUnderline"/>
        </w:rPr>
        <w:t>Queerness challenges the world and opposes the norms that structure the logic of the social. It is not reproductive and within the realm of the social, unintelligible. It works against stability at all times, seeking its own death.</w:t>
      </w:r>
      <w:r w:rsidRPr="00A71B72">
        <w:rPr>
          <w:sz w:val="16"/>
        </w:rPr>
        <w:t xml:space="preserve"> In doing so, queerness challenges identity politics: [w]here the political interventions of identitarian minorities— including those who seek to substantialize the identities of lesbians, gay men, and bisexuals—may properly take shape as oppositional, affording the dominant order a reassuringly symmetrical, if inverted, depiction of its own ostensibly coherent identity, queer theory’s opposition is precisely to any such logic of opposition, its proper task the ceaseless disappropriation of every propriety. (p. 24) </w:t>
      </w:r>
      <w:r w:rsidRPr="00C50218">
        <w:rPr>
          <w:rStyle w:val="StyleUnderline"/>
        </w:rPr>
        <w:t>Yet, this death, this negation, is not to deny existence, but to push for alternative possibilities</w:t>
      </w:r>
      <w:r w:rsidRPr="00A71B72">
        <w:rPr>
          <w:sz w:val="16"/>
        </w:rPr>
        <w:t>—</w:t>
      </w:r>
      <w:r w:rsidRPr="00C50218">
        <w:rPr>
          <w:rStyle w:val="Emphasis"/>
        </w:rPr>
        <w:t>it is</w:t>
      </w:r>
      <w:r w:rsidRPr="00A71B72">
        <w:rPr>
          <w:sz w:val="16"/>
        </w:rPr>
        <w:t xml:space="preserve">, one might say, </w:t>
      </w:r>
      <w:r w:rsidRPr="00C50218">
        <w:rPr>
          <w:rStyle w:val="Emphasis"/>
        </w:rPr>
        <w:t>productive but never reproductive in producing new orientations to the world</w:t>
      </w:r>
      <w:r w:rsidRPr="00C50218">
        <w:rPr>
          <w:rStyle w:val="StyleUnderline"/>
        </w:rPr>
        <w:t>. It is creative in its destructive intentions, as it must never cease its negation within any given normative framework.</w:t>
      </w:r>
      <w:r>
        <w:rPr>
          <w:rStyle w:val="StyleUnderline"/>
        </w:rPr>
        <w:t xml:space="preserve"> </w:t>
      </w:r>
      <w:r w:rsidRPr="00A71B72">
        <w:rPr>
          <w:sz w:val="16"/>
        </w:rPr>
        <w:t xml:space="preserve">Dewey follows a parallel course here, in that he does not seek to create an essential, normative position. Rather, in his conception of both life and of education as growth for its own sake, he denies essential identities. Essentialising, in any form, would clearly disrupt Dewey’s insistence on the connection between life, growth, and education, and the self-justifying nature of the latter two. </w:t>
      </w:r>
      <w:r w:rsidRPr="00C50218">
        <w:rPr>
          <w:rStyle w:val="StyleUnderline"/>
        </w:rPr>
        <w:t>If the death drive appears here, as Edelman has used it, it appears as the constant disrupter of the static, the destroyer of identity, the social, which makes constant growth and learning possible.</w:t>
      </w:r>
      <w:r w:rsidRPr="00A71B72">
        <w:rPr>
          <w:sz w:val="16"/>
        </w:rPr>
        <w:t xml:space="preserve"> When Dewey warns about the danger of placing the adult above the child, he does not propose that the answer is the placement of the child above the adult. Rather, Dewey seeks to deny the duality itself. ‘The relation of the present and the future’, he writes, ‘is not an Either-Or affair’ (1938, p. 30). Arguably then, </w:t>
      </w:r>
      <w:r w:rsidRPr="00C50218">
        <w:rPr>
          <w:rStyle w:val="StyleUnderline"/>
        </w:rPr>
        <w:t>Dewey challenges the Child as Edelman does, writing against a politics that fantasises about coherence and recognisable forms proposing rather a subject that is contingent, particular and unable to be fully articulated.</w:t>
      </w:r>
    </w:p>
    <w:p w:rsidR="00623601" w:rsidRPr="00623601" w:rsidRDefault="00623601" w:rsidP="00623601"/>
    <w:p w:rsidR="00162C2D" w:rsidRDefault="00162C2D" w:rsidP="00DE5E47">
      <w:pPr>
        <w:pStyle w:val="Heading3"/>
      </w:pPr>
      <w:bookmarkStart w:id="10" w:name="_Toc489138906"/>
      <w:bookmarkEnd w:id="7"/>
      <w:r>
        <w:lastRenderedPageBreak/>
        <w:t>1NC: DeSchooling</w:t>
      </w:r>
      <w:bookmarkEnd w:id="10"/>
    </w:p>
    <w:p w:rsidR="0068462F" w:rsidRPr="00572969" w:rsidRDefault="0068462F" w:rsidP="0068462F">
      <w:pPr>
        <w:pStyle w:val="Heading4"/>
        <w:rPr>
          <w:rStyle w:val="Style13ptBold"/>
          <w:b/>
        </w:rPr>
      </w:pPr>
      <w:r>
        <w:rPr>
          <w:rStyle w:val="Style13ptBold"/>
          <w:b/>
        </w:rPr>
        <w:t xml:space="preserve">The aff reinvests in the same myth of human community that provides legibility to the Right—the construction of a new multitude and social fabric is enacted through the assimilation of queerness’s radical negativity. </w:t>
      </w:r>
    </w:p>
    <w:p w:rsidR="0068462F" w:rsidRPr="00DD7BD6" w:rsidRDefault="0068462F" w:rsidP="0068462F">
      <w:pPr>
        <w:rPr>
          <w:rStyle w:val="Style13ptBold"/>
          <w:b w:val="0"/>
          <w:i/>
        </w:rPr>
      </w:pPr>
      <w:r>
        <w:rPr>
          <w:rStyle w:val="Style13ptBold"/>
        </w:rPr>
        <w:t xml:space="preserve">Edelman 13 </w:t>
      </w:r>
      <w:r w:rsidRPr="00DD7BD6">
        <w:rPr>
          <w:rStyle w:val="Style13ptBold"/>
          <w:b w:val="0"/>
          <w:sz w:val="16"/>
          <w:szCs w:val="16"/>
        </w:rPr>
        <w:t xml:space="preserve">[Lee. professor of English at Tufts University. “Occupy Wall Street: “Bartleby” Against the Humanities.” </w:t>
      </w:r>
      <w:r w:rsidRPr="00DD7BD6">
        <w:rPr>
          <w:rStyle w:val="Style13ptBold"/>
          <w:b w:val="0"/>
          <w:i/>
          <w:sz w:val="16"/>
          <w:szCs w:val="16"/>
        </w:rPr>
        <w:t>History of the Present</w:t>
      </w:r>
      <w:r w:rsidRPr="00DD7BD6">
        <w:rPr>
          <w:rStyle w:val="Style13ptBold"/>
          <w:b w:val="0"/>
          <w:sz w:val="16"/>
          <w:szCs w:val="16"/>
        </w:rPr>
        <w:t>, Vol. 3, No. 1 (Spring 2013), pp. 99-118. SH]</w:t>
      </w:r>
    </w:p>
    <w:p w:rsidR="0068462F" w:rsidRPr="00572969" w:rsidRDefault="0068462F" w:rsidP="0068462F">
      <w:pPr>
        <w:rPr>
          <w:rStyle w:val="StyleUnderline"/>
        </w:rPr>
      </w:pPr>
      <w:r w:rsidRPr="00572969">
        <w:rPr>
          <w:sz w:val="16"/>
        </w:rPr>
        <w:t xml:space="preserve">This verbal contagion that saps the sovereignty of meaning in linguistic exchange defines the queerness of the word that comes to epitomize Bartleby’s queerness, a queerness the story disposes us to see in its illegible materialty as a dangerous textual preference. Perhaps that explains why at one point the lawyer describes the effects produced by Bartleby’s phrase in terms that explicitly frame it in Sodomitical terms: “For a few moments I was turned into a pillar of salt” (69). In The Gift of Death, Jacques Derrida touches briefly on Melville’s tale. After noting that the scrivener’s famous phrase “says nothing, promises nothing, neither refuses nor accepts anything,” he calls it a “singularly insignificant statement [that] reminds one of a nonlanguage.”21 </w:t>
      </w:r>
      <w:r w:rsidRPr="00B83B60">
        <w:rPr>
          <w:rStyle w:val="StyleUnderline"/>
        </w:rPr>
        <w:t xml:space="preserve">In this context the word “insignificant” denotes a resistance to signification that makes Bartleby’s phrase, from the vantage point of the social order of meaning, </w:t>
      </w:r>
      <w:r w:rsidRPr="00B83B60">
        <w:rPr>
          <w:rStyle w:val="Emphasis"/>
        </w:rPr>
        <w:t>an affront to the notion of value</w:t>
      </w:r>
      <w:r w:rsidRPr="00B83B60">
        <w:rPr>
          <w:rStyle w:val="StyleUnderline"/>
        </w:rPr>
        <w:t xml:space="preserve">. Infecting linguistic communication with this element of “nonlanguage,” it reifies the queerness of language as iterative machine and in doing so it gestures toward something else at work in language, </w:t>
      </w:r>
      <w:r w:rsidRPr="00B83B60">
        <w:rPr>
          <w:rStyle w:val="Emphasis"/>
        </w:rPr>
        <w:t>something that communal norms of meaning and value seek to foreclose</w:t>
      </w:r>
      <w:r w:rsidRPr="00B83B60">
        <w:rPr>
          <w:rStyle w:val="StyleUnderline"/>
        </w:rPr>
        <w:t>: the queerness that every regime of “what is” must construe as what is not, as the nothing, the negativity, or the preference for negation that threatens the normative order, whose name is always human community</w:t>
      </w:r>
      <w:r w:rsidRPr="00572969">
        <w:rPr>
          <w:sz w:val="16"/>
        </w:rPr>
        <w:t xml:space="preserve">. And </w:t>
      </w:r>
      <w:r w:rsidRPr="00B83B60">
        <w:rPr>
          <w:rStyle w:val="StyleUnderline"/>
        </w:rPr>
        <w:t xml:space="preserve">it’s not just the Right that </w:t>
      </w:r>
      <w:r w:rsidRPr="00B83B60">
        <w:rPr>
          <w:rStyle w:val="Emphasis"/>
        </w:rPr>
        <w:t xml:space="preserve">pits human community </w:t>
      </w:r>
      <w:r w:rsidRPr="00B83B60">
        <w:rPr>
          <w:rStyle w:val="StyleUnderline"/>
        </w:rPr>
        <w:t>against the queer threat to its future; the Left, and many who call themselves “queer,” embrace that position too. That’s how Left and Right acquire political legibility and come to share the political terrain; it’s even what makes them</w:t>
      </w:r>
      <w:r w:rsidRPr="00572969">
        <w:rPr>
          <w:sz w:val="16"/>
        </w:rPr>
        <w:t xml:space="preserve">, in this sense at least, </w:t>
      </w:r>
      <w:r w:rsidRPr="00B83B60">
        <w:rPr>
          <w:rStyle w:val="StyleUnderline"/>
        </w:rPr>
        <w:t>effectively interchangeable</w:t>
      </w:r>
      <w:r w:rsidRPr="00572969">
        <w:rPr>
          <w:sz w:val="16"/>
        </w:rPr>
        <w:t xml:space="preserve">. Though each has a different vision of the human community it aims to procure, </w:t>
      </w:r>
      <w:r w:rsidRPr="00B83B60">
        <w:rPr>
          <w:rStyle w:val="StyleUnderline"/>
        </w:rPr>
        <w:t>both aspire to realize the coherence of a social collectivity.</w:t>
      </w:r>
      <w:r w:rsidRPr="00572969">
        <w:rPr>
          <w:sz w:val="16"/>
        </w:rPr>
        <w:t xml:space="preserve"> Thus Michael Hardt and Antonio Negri, writing from the Left in Empire, the global bestseller they published in 2000, see in Bartleby what they characterize as “the absoluteness of refusal,” which they then align with the “hatred of authority” and the “refusal of voluntary servitude.” But their admiration for this queer refusal of the norm can only go so far. Such </w:t>
      </w:r>
      <w:r w:rsidRPr="00B83B60">
        <w:rPr>
          <w:rStyle w:val="StyleUnderline"/>
        </w:rPr>
        <w:t>refusal may be, as they put it, “the beginning of a liberatory politics</w:t>
      </w:r>
      <w:r w:rsidRPr="00572969">
        <w:rPr>
          <w:sz w:val="16"/>
        </w:rPr>
        <w:t xml:space="preserve">, but it is only a beginning. . . . What we need is </w:t>
      </w:r>
      <w:r w:rsidRPr="00B83B60">
        <w:rPr>
          <w:rStyle w:val="StyleUnderline"/>
        </w:rPr>
        <w:t>to create a new social body,</w:t>
      </w:r>
      <w:r w:rsidRPr="00572969">
        <w:rPr>
          <w:sz w:val="16"/>
        </w:rPr>
        <w:t xml:space="preserve"> which is a project that goes well beyond refusal. . . . Beyond the simple refusal, or as part of that refusal, we need also to construct a new mode of life and above all a new community.”22 </w:t>
      </w:r>
      <w:r w:rsidRPr="00B83B60">
        <w:rPr>
          <w:rStyle w:val="StyleUnderline"/>
        </w:rPr>
        <w:t xml:space="preserve">Here sounds the doxa whose chorus aspires to incorporate us all: </w:t>
      </w:r>
      <w:r w:rsidRPr="00572969">
        <w:rPr>
          <w:rStyle w:val="Emphasis"/>
        </w:rPr>
        <w:t xml:space="preserve">wealthy sponsors of the corporate humanities and neo-Marxist critics of global empire; the protestors of Occupy Wall Street and Wall Street’s CEOs alike. </w:t>
      </w:r>
      <w:r w:rsidRPr="00572969">
        <w:rPr>
          <w:rStyle w:val="StyleUnderline"/>
        </w:rPr>
        <w:t>Bartleby, in his utter refusal to mean for communitarian ends, can possess no value except as a proof of negativity’s insufficiency</w:t>
      </w:r>
      <w:r w:rsidRPr="00572969">
        <w:rPr>
          <w:sz w:val="16"/>
        </w:rPr>
        <w:t xml:space="preserve">. Hence the lawyer who authors Bartleby’s tale, unlike Melville who authors the lawyer’s, must conscript the copyist to the cause of the human by making his resistance make sense. </w:t>
      </w:r>
      <w:r w:rsidRPr="00572969">
        <w:rPr>
          <w:rStyle w:val="StyleUnderline"/>
        </w:rPr>
        <w:t>His distance from community and his absence of anything “ordinarily human” must prove in the end his hypersensitivity to the pathos of the human and even his longing for a utopian “community” where “good tidings” and “hope” on their “errands of life” can neither be errant nor erring</w:t>
      </w:r>
      <w:r w:rsidRPr="00572969">
        <w:rPr>
          <w:sz w:val="16"/>
        </w:rPr>
        <w:t xml:space="preserve">. Like Hardt and Negri, the lawyer, that is, must refuse “the absoluteness of refusal,” </w:t>
      </w:r>
      <w:r w:rsidRPr="00572969">
        <w:rPr>
          <w:rStyle w:val="StyleUnderline"/>
        </w:rPr>
        <w:t>forcibly wrenching Bartleby from the queerness of preferring not to accede to normative reason and sense</w:t>
      </w:r>
      <w:r w:rsidRPr="00572969">
        <w:rPr>
          <w:sz w:val="16"/>
        </w:rPr>
        <w:t xml:space="preserve">. To appreciate the complex politics of these multiple negations of the queer as negation, and to conclude this discussion by bringing it back to the Occupy movement once more, let me place beside Hardt and Negri’s text an editorial from the politically conservative Daily Oklahoman of Oklahoma City. Published in the Sunday edition of the paper on November 6, 2011, the editorial, which bore the title “Goal Remains Fuzzy for Occupy Protestors,” appeared four days before the public reading of “Bartleby” on Wall Street. But this editorial identified Bartleby with the Occupy movement in advance, intending that identification to discredit the movement and Bartleby both. Allow me to quote at length: “I would prefer not to.” So sayeth Bartleby, the intransigent copyist in a classic Herman Melville short story. To every request to earn his pay, to move on, to do something—anything— Bartleby would reply, “I would prefer not to.” . . . “Bartleby, the Scrivener: A Story of Wall Street” is a study in petulant behavior met with inexplicable patience by Bartleby’s employer. The story of Wall Street today is one of petulance met with inexplicable patience by authorities dealing with the “Occupy This” movement that’s spread from lower Manhattan around the country. Ask the occupiers what they hope to accomplish. They’d prefer not to tell you. Perhaps they don’t really know. Who’s in charge? They’d prefer not to tell you. </w:t>
      </w:r>
      <w:r w:rsidRPr="00572969">
        <w:rPr>
          <w:sz w:val="16"/>
        </w:rPr>
        <w:lastRenderedPageBreak/>
        <w:t xml:space="preserve">Everyone is in charge. Nobody is. What good does it do to hang around a park, beat drums and occasionally march to a designated site? They’d prefer not to say. It’s the doing, not the point of it, that matters. Some occupiers have done their best to incite police reaction to their doings, all the better for news footage of how The Man is cracking the heads of the innocent. . . . . . . The “Occupy This” movement’s story is still being written. The childish and sometimes violent behavior of its participants is still being met with inexplicable patience. . . . The people will express their intolerance for lawlessness at the ballot box. That’s exactly where the movement could have beaten its drums, in the way the tea party did. It preferred not to. Ah anarchy! Ah enough already! 23 </w:t>
      </w:r>
      <w:r w:rsidRPr="00572969">
        <w:rPr>
          <w:rStyle w:val="Emphasis"/>
        </w:rPr>
        <w:t>The specter of anarchy, of radical lawlessness, of acts that have no point</w:t>
      </w:r>
      <w:r w:rsidRPr="00572969">
        <w:rPr>
          <w:sz w:val="16"/>
        </w:rPr>
        <w:t>, however little connection it bears to the Occupy protests themselves</w:t>
      </w:r>
      <w:r w:rsidRPr="00572969">
        <w:rPr>
          <w:rStyle w:val="StyleUnderline"/>
        </w:rPr>
        <w:t>, is refused in defense of an implicit ideal of the integrated “social body,” the harmonious community</w:t>
      </w:r>
      <w:r w:rsidRPr="00572969">
        <w:rPr>
          <w:sz w:val="16"/>
        </w:rPr>
        <w:t xml:space="preserve"> endorsed by Hardt and Negri’s text as well. Unlike Hardt and Negri, though, the author of the editorial fully acknowledges the force of Bartleby’s queerness and draws a reasonable conclusion about where resistance to reason must lead. </w:t>
      </w:r>
      <w:r w:rsidRPr="00572969">
        <w:rPr>
          <w:rStyle w:val="StyleUnderline"/>
        </w:rPr>
        <w:t>If the Left would normalize Bartleby as a crucial step toward a “new community,” then the Right perceives, correctly, his threat to community as such. And it recognizes something else that the Left too frequently ignores as well: that the Bartlebys of the world don’t ask to be liked and the queer remains whatever a given order cannot accept. All progressivism in politics, all gradualist normalization, aspires,</w:t>
      </w:r>
      <w:r w:rsidRPr="00572969">
        <w:rPr>
          <w:sz w:val="16"/>
        </w:rPr>
        <w:t xml:space="preserve"> in the end, </w:t>
      </w:r>
      <w:r w:rsidRPr="00572969">
        <w:rPr>
          <w:rStyle w:val="StyleUnderline"/>
        </w:rPr>
        <w:t>to the very same thing that moves the radical Right</w:t>
      </w:r>
      <w:r w:rsidRPr="00572969">
        <w:rPr>
          <w:rStyle w:val="Emphasis"/>
        </w:rPr>
        <w:t>: the elimination of the queer</w:t>
      </w:r>
      <w:r w:rsidRPr="00572969">
        <w:rPr>
          <w:sz w:val="16"/>
        </w:rPr>
        <w:t xml:space="preserve">; not, however, by resorting to the violence of or outside the law, but </w:t>
      </w:r>
      <w:r w:rsidRPr="00572969">
        <w:rPr>
          <w:rStyle w:val="Emphasis"/>
        </w:rPr>
        <w:t>by constructing a community from whose total embrace no one would be excluded</w:t>
      </w:r>
      <w:r w:rsidRPr="00572969">
        <w:rPr>
          <w:rStyle w:val="StyleUnderline"/>
        </w:rPr>
        <w:t>. No one except those Bartlebys excluded through forcible inclusion, eliminated by being turned into pillars of the collectivity they resist</w:t>
      </w:r>
      <w:r w:rsidRPr="00572969">
        <w:rPr>
          <w:sz w:val="16"/>
        </w:rPr>
        <w:t xml:space="preserve">. Consider, in this context, “Occupy Bartleby,” a post that appeared on a left-leaning blog in response to the Oklahoman’s editorial. With the intention of defending the Occupy movement and Bartleby at once, the author of the blog post offers a rival interpretation of the tale: “The point the editorial seems to make is that the protestors are as strange as Bartleby, but that misses the main message of the story. It’s a simplistic reading. The real point is that Bartleby’s protest, like the Occupier’s protest, actually represents a sane and human reaction to an indifferent world dictated by the greed of Wall Street.”24 For all the difference in their political viewpoints and their approaches to Melville’s story, the editorial and the blog post pray side-byside to the gods of the “sane” and the “human.” The left-wing blogger denies Bartleby’s strangeness to enshrine him at the heart of community, while the right-wing author, alert to that strangeness, rejects him for the community’s good. </w:t>
      </w:r>
      <w:r w:rsidRPr="00572969">
        <w:rPr>
          <w:rStyle w:val="Emphasis"/>
        </w:rPr>
        <w:t>Both would eliminate the queerness that doesn’t worship the gods of the polis</w:t>
      </w:r>
      <w:r w:rsidRPr="00572969">
        <w:rPr>
          <w:sz w:val="16"/>
        </w:rPr>
        <w:t xml:space="preserve">, recalling the indictment of Socrates that led to his date with a hemlock cocktail for “refusing to recognize the gods recognized by the state” and “corrupting the youth.”25 </w:t>
      </w:r>
      <w:r w:rsidRPr="00572969">
        <w:rPr>
          <w:rStyle w:val="StyleUnderline"/>
        </w:rPr>
        <w:t>The corporate humanities, by contrast, serve the gods of the state quite well, transforming Socrates and Bartleby into poster boys for democracy, social responsibility, the triumph of the human spirit, until the humanities classroom can start to seem like a Unitarian church</w:t>
      </w:r>
      <w:r w:rsidRPr="00572969">
        <w:rPr>
          <w:sz w:val="16"/>
        </w:rPr>
        <w:t xml:space="preserve">. But </w:t>
      </w:r>
      <w:r w:rsidRPr="00572969">
        <w:rPr>
          <w:rStyle w:val="Emphasis"/>
        </w:rPr>
        <w:t>another relation to the humanities persists by virtue of preferring not to</w:t>
      </w:r>
      <w:r w:rsidRPr="00572969">
        <w:rPr>
          <w:rStyle w:val="StyleUnderline"/>
        </w:rPr>
        <w:t xml:space="preserve">. Operating not for the good of the state or the cohesion of any community, this queerness dwells on the fractures that make the social a site of dissension and attends to the discontinuities that turn the aesthetic against itself. </w:t>
      </w:r>
      <w:r w:rsidRPr="00572969">
        <w:rPr>
          <w:sz w:val="16"/>
        </w:rPr>
        <w:t>Rather than affirming the putative “richness” and plurality of meaning</w:t>
      </w:r>
      <w:r w:rsidRPr="00572969">
        <w:rPr>
          <w:rStyle w:val="StyleUnderline"/>
        </w:rPr>
        <w:t>, it empties meaning of authority without, in the process, denying its power. Power without authority, in fact, is its object of analysis, even when it focuses on its own analytic force</w:t>
      </w:r>
      <w:r w:rsidRPr="00572969">
        <w:rPr>
          <w:sz w:val="16"/>
        </w:rPr>
        <w:t xml:space="preserve">. This queerness, </w:t>
      </w:r>
      <w:r w:rsidRPr="00572969">
        <w:rPr>
          <w:rStyle w:val="StyleUnderline"/>
        </w:rPr>
        <w:t>this materiality that never resolves into relation, bespeaks the nonhumanity inseparable from the assertion of the human and the “nonlanguage,” the negativity, that linguistic sense drowns out</w:t>
      </w:r>
      <w:r w:rsidRPr="00572969">
        <w:rPr>
          <w:sz w:val="16"/>
        </w:rPr>
        <w:t xml:space="preserve">. If it teaches, </w:t>
      </w:r>
      <w:r w:rsidRPr="00572969">
        <w:rPr>
          <w:rStyle w:val="StyleUnderline"/>
        </w:rPr>
        <w:t>it teaches us nothing—or, more precisely, the place of that nothing, that non, in the politics of the human and, therefore, the place of the humanities in the performance of every politics</w:t>
      </w:r>
      <w:r w:rsidRPr="00572969">
        <w:rPr>
          <w:sz w:val="16"/>
        </w:rPr>
        <w:t xml:space="preserve">. Like the poet, in Sir Philip Sidney’s words, this humanities “nothing affirmeth,” but </w:t>
      </w:r>
      <w:r w:rsidRPr="00572969">
        <w:rPr>
          <w:rStyle w:val="StyleUnderline"/>
        </w:rPr>
        <w:t>its queerness inheres in the force with which it stubbornly affirms this nothing, insisting</w:t>
      </w:r>
      <w:r w:rsidRPr="00572969">
        <w:rPr>
          <w:sz w:val="16"/>
        </w:rPr>
        <w:t xml:space="preserve">, thereby, with Bartleby, </w:t>
      </w:r>
      <w:r w:rsidRPr="00572969">
        <w:rPr>
          <w:rStyle w:val="StyleUnderline"/>
        </w:rPr>
        <w:t>on its preference for the negative,</w:t>
      </w:r>
      <w:r w:rsidRPr="00572969">
        <w:rPr>
          <w:sz w:val="16"/>
        </w:rPr>
        <w:t xml:space="preserve"> which is also to say, </w:t>
      </w:r>
      <w:r w:rsidRPr="00572969">
        <w:rPr>
          <w:rStyle w:val="StyleUnderline"/>
        </w:rPr>
        <w:t>its preference for what the governing orders, the circuits of opinion, the frameworks of collective reality make invisible, impossible, and, to that extent, unthinkable.</w:t>
      </w:r>
    </w:p>
    <w:p w:rsidR="00763BED" w:rsidRDefault="00763BED" w:rsidP="00763BED">
      <w:pPr>
        <w:pStyle w:val="Heading4"/>
      </w:pPr>
      <w:r>
        <w:t>The 1AC’s demand upon the state initiates an intelligible political project that compels a subjectification of queerness to speak and identify as citizens of the social. Their de-schooled communities interiorize discipline on the level of identity.</w:t>
      </w:r>
    </w:p>
    <w:p w:rsidR="00763BED" w:rsidRDefault="00763BED" w:rsidP="00763BED">
      <w:r>
        <w:rPr>
          <w:b/>
          <w:sz w:val="26"/>
          <w:szCs w:val="26"/>
        </w:rPr>
        <w:t xml:space="preserve">Baedan 12’ </w:t>
      </w:r>
      <w:r>
        <w:t>[baedan, 2012, “baedan”, The Anarchist Library, 26-27] ER</w:t>
      </w:r>
    </w:p>
    <w:p w:rsidR="00763BED" w:rsidRPr="008B55E3" w:rsidRDefault="00763BED" w:rsidP="00763BED">
      <w:pPr>
        <w:rPr>
          <w:rStyle w:val="StyleUnderline"/>
        </w:rPr>
      </w:pPr>
      <w:r w:rsidRPr="008B55E3">
        <w:rPr>
          <w:rStyle w:val="Emphasis"/>
        </w:rPr>
        <w:lastRenderedPageBreak/>
        <w:t>The agent responsible for effecting their destruction has been given many names</w:t>
      </w:r>
      <w:r w:rsidRPr="008B55E3">
        <w:rPr>
          <w:rStyle w:val="StyleUnderline"/>
        </w:rPr>
        <w:t xml:space="preserve">:… global extermination of meaning… gravediggers of society… whatever refuses to allow parents to cherish their children… homosexuals… the death drive and the Real of jouissance…. </w:t>
      </w:r>
      <w:r w:rsidRPr="008B55E3">
        <w:rPr>
          <w:rStyle w:val="Emphasis"/>
        </w:rPr>
        <w:t xml:space="preserve">So [queerness] knots together these threats to reproductive futurism. </w:t>
      </w:r>
      <w:r w:rsidRPr="008B55E3">
        <w:rPr>
          <w:sz w:val="16"/>
        </w:rPr>
        <w:t xml:space="preserve">No political catachresis, such as Butler proposes, could forestall the need to constitute, then, such a category of [queerness]. For even though, as Butler suggests, political catachresis may change over time the occupants of that category, the category itself… continues to mark the place of whatever refuses intelligibility. And </w:t>
      </w:r>
      <w:r w:rsidRPr="008B55E3">
        <w:rPr>
          <w:rStyle w:val="StyleUnderline"/>
        </w:rPr>
        <w:t>so the question that is posed concerns the refusal of intelligibility</w:t>
      </w:r>
      <w:r w:rsidRPr="008B55E3">
        <w:rPr>
          <w:sz w:val="16"/>
        </w:rPr>
        <w:t xml:space="preserve">. Contemporary arrangements of power have abolished the silence that once accompanied the dark ineffable desires of queerness and destruction. </w:t>
      </w:r>
      <w:r w:rsidRPr="008B55E3">
        <w:rPr>
          <w:rStyle w:val="StyleUnderline"/>
        </w:rPr>
        <w:t xml:space="preserve">Rather than an injunction against speech, the power of biopolitical democracy is specifically to make us speak. Cybernetic relationships ensure that each of us as a speaking subject has the ability to name ourselves, aestheticize ourselves, deploy blogs and social networks and avatars to represent ourselves. </w:t>
      </w:r>
      <w:r w:rsidRPr="008B55E3">
        <w:rPr>
          <w:rStyle w:val="Emphasis"/>
        </w:rPr>
        <w:t>The contemporary function of power can be understood as one unending move toward intelligibility—one of moving what had been blind spots into new subjects to be marketed; new identities to be surveilled. We are captured by the state every time we make ourselves intelligible</w:t>
      </w:r>
      <w:r w:rsidRPr="008B55E3">
        <w:rPr>
          <w:sz w:val="16"/>
        </w:rPr>
        <w:t>. Whether demand, political subject, or formal organization, each intelligible form can be recuperated, represented, or annihilated. Our project then must proceed in the recognition of the paradox that its being made truly intelligible—even by us, even to us—would be its defeat. We must seize the possibility of a life neither constrained by nor produced through the omnipresence of capital and state. It is precisely by the fact that words fail to describe it and programs fail to bring it about that we can know this life. As such, any imperative to put this ineffable project into words must be understood as a compromise of what must be an uncompromising project. There is no language which can make our intentions comprehensible to the social order</w:t>
      </w:r>
      <w:r w:rsidRPr="008B55E3">
        <w:rPr>
          <w:rStyle w:val="StyleUnderline"/>
        </w:rPr>
        <w:t xml:space="preserve">. </w:t>
      </w:r>
      <w:r w:rsidRPr="008B55E3">
        <w:rPr>
          <w:rStyle w:val="Emphasis"/>
        </w:rPr>
        <w:t>Any move toward such comprehensibility would be a betrayal of the specific antagonistic character of our project against that social order.</w:t>
      </w:r>
      <w:r w:rsidRPr="008B55E3">
        <w:rPr>
          <w:sz w:val="16"/>
        </w:rPr>
        <w:t xml:space="preserve"> Camatte elaborates on this point: This is a revolution of life itself, a search for another way of living. Dialogue should be concerned only with the plans and ideas for realizing this desire. No dialogue can take place between the social order and those who are to overthrow it. If dialogue is still seen as a possibility, then this would be an indication that the movement is faltering. </w:t>
      </w:r>
      <w:r w:rsidRPr="008B55E3">
        <w:rPr>
          <w:rStyle w:val="StyleUnderline"/>
        </w:rPr>
        <w:t>Underlying all this is a profoundly important phenomenon: all human life from the very beginning of its development within capitalist society, has undergone an impoverishment</w:t>
      </w:r>
      <w:r w:rsidRPr="008B55E3">
        <w:rPr>
          <w:sz w:val="16"/>
        </w:rPr>
        <w:t xml:space="preserve">. More than this, capitalist society is death organized with all the appearances of life. Here it is not a question of death as the extinction of life, but death-in-life, death with all the substance and power of life. The human being is dead and is no more than a ritual of capital … but to those great number of smugly complacent people, who live on empty dramas and fantasies, this demand, this passionate need, just seems irrational, or, at best, a paradise that is by definition inaccessible. </w:t>
      </w:r>
      <w:r w:rsidRPr="008B55E3">
        <w:rPr>
          <w:rStyle w:val="Emphasis"/>
        </w:rPr>
        <w:t>And so a queerness which opposes society must embody the death drive of what has become death-in-life, the intrinsic negation of a social order predicated on the use of life for its ends. In this project, we have nothing to gain by speaking the language of, or making demands to, the existent power structures. It is specifically these structures’ ability to comprehend antagonism that makes intelligibility synonymous with recuperation</w:t>
      </w:r>
      <w:r w:rsidRPr="008B55E3">
        <w:rPr>
          <w:rStyle w:val="StyleUnderline"/>
        </w:rPr>
        <w:t>. Such [queers] would insist on the unintelligible’s unintelligibility, on the internal limit to signification and the impossibility of turning Real loss to meaningful profit in the Symbolic without its persistent remainder: the inescapable Real of the death drive.</w:t>
      </w:r>
      <w:r w:rsidRPr="008B55E3">
        <w:rPr>
          <w:sz w:val="16"/>
        </w:rPr>
        <w:t xml:space="preserve"> </w:t>
      </w:r>
      <w:r w:rsidRPr="008B55E3">
        <w:rPr>
          <w:rStyle w:val="Emphasis"/>
        </w:rPr>
        <w:t>As embodiments of unintelligibility, of course, they must veil what they expose, becoming, as figures for it, the means of its apparent subjection to meaning</w:t>
      </w:r>
      <w:r w:rsidRPr="008B55E3">
        <w:rPr>
          <w:sz w:val="16"/>
        </w:rPr>
        <w:t>. But where Butler… conduces to futurism’s logic of intelligibility by seeking no more than to widen the reach of what it allows us to grasp, where she moves, by way of the future, toward the ongoing legitimation of social form through the recognition that is said to afford “ontological certainty and durability” [queerness], though destined, of course, to be claimed for intelligibility, consents to the logic that makes it a figure for what meaning can never grasp. Demeaned, it embraces de-meaning as the endless insistence of the real that the symbolic can never master for meaning now or in the future</w:t>
      </w:r>
      <w:r w:rsidRPr="008B55E3">
        <w:rPr>
          <w:rStyle w:val="Emphasis"/>
        </w:rPr>
        <w:t>. Here Edelman invokes the Lacanian concept of the Real, or that which escapes articulation through symbolic structures</w:t>
      </w:r>
      <w:r w:rsidRPr="008B55E3">
        <w:rPr>
          <w:rStyle w:val="StyleUnderline"/>
        </w:rPr>
        <w:t xml:space="preserve">. The Real is the indescribable and unnameable characteristic of our lived experience. The Real is the irreducible essence of revolt, pleasure, conspiracy and joy which comprises our project and which continually evades </w:t>
      </w:r>
      <w:r w:rsidRPr="008B55E3">
        <w:rPr>
          <w:rStyle w:val="StyleUnderline"/>
        </w:rPr>
        <w:lastRenderedPageBreak/>
        <w:t xml:space="preserve">representation by politicians or surveillance by police apparatuses. </w:t>
      </w:r>
      <w:r w:rsidRPr="008B55E3">
        <w:rPr>
          <w:rStyle w:val="Emphasis"/>
        </w:rPr>
        <w:t>To the contrary, Intelligibility offers two options: legitimization and democratic inclusion, or delegitimization and repression.</w:t>
      </w:r>
      <w:r w:rsidRPr="008B55E3">
        <w:rPr>
          <w:rStyle w:val="StyleUnderline"/>
        </w:rPr>
        <w:t xml:space="preserve"> </w:t>
      </w:r>
    </w:p>
    <w:p w:rsidR="0068462F" w:rsidRDefault="0068462F" w:rsidP="0068462F">
      <w:pPr>
        <w:pStyle w:val="Heading4"/>
      </w:pPr>
      <w:r>
        <w:t>Reproductive futurism culminates in a homonationalist consolidation of empire where imperial wars secure the future through the extermination of deviant communities of color</w:t>
      </w:r>
    </w:p>
    <w:p w:rsidR="0068462F" w:rsidRDefault="0068462F" w:rsidP="0068462F">
      <w:r w:rsidRPr="00085065">
        <w:rPr>
          <w:rStyle w:val="Heading4Char"/>
        </w:rPr>
        <w:t xml:space="preserve">Schotten 2015 </w:t>
      </w:r>
      <w:r>
        <w:t>[C. Heike, Associate Professor of Political Science and an affiliated faculty in Women's and Gender Studies at the University of Massachusetts Boston "Homonationalist Futurism:“Terrorism” and (Other) Queer Resistance to Empire." New Political Science 37.1 (2015): 71-90.]</w:t>
      </w:r>
    </w:p>
    <w:p w:rsidR="0068462F" w:rsidRDefault="0068462F" w:rsidP="0068462F">
      <w:r w:rsidRPr="00085065">
        <w:rPr>
          <w:sz w:val="16"/>
        </w:rPr>
        <w:t xml:space="preserve">In queer theory, No Future has largely been read as making an argument regarding the constitutive heteronormativity of the social order. Edelman names this heteronormativity “reproductive futurism” and argues that it inevitably dooms homosexuals—branded as non-reproductive sexual nihilists—to instantiating society’s death drive. I contend, however, that No Future can be understood more generically as a work of political theory, especially given that Edelman explicitly describes its subject matter—reproductive futurism—as “the logic within which the political itself must be thought.”14 Identifying this political theory, however, requires some appropriation, given that, ultimately, Edelman is more concerned with Lacan than politics. Reading with and into the text, then, I propose three modifications of the psychoanalytic politics Edelman advances in No Future in order to more fully appropriate it for political theorizing.15 The first is to insert a distinction between the “futurism” and “reproductive futurism” he discusses, the latter being understood as a specific version of the former. Put simply, </w:t>
      </w:r>
      <w:r w:rsidRPr="007E3C0D">
        <w:rPr>
          <w:rStyle w:val="StyleUnderline"/>
        </w:rPr>
        <w:t>futurism is synopsized by the “presupposition that the body politic must survive,”</w:t>
      </w:r>
      <w:r w:rsidRPr="00085065">
        <w:rPr>
          <w:sz w:val="16"/>
        </w:rPr>
        <w:t xml:space="preserve">16 </w:t>
      </w:r>
      <w:r w:rsidRPr="007E3C0D">
        <w:rPr>
          <w:rStyle w:val="StyleUnderline"/>
        </w:rPr>
        <w:t>the</w:t>
      </w:r>
      <w:r w:rsidRPr="00085065">
        <w:rPr>
          <w:sz w:val="16"/>
        </w:rPr>
        <w:t xml:space="preserve"> putatively apolitical article of </w:t>
      </w:r>
      <w:r w:rsidRPr="007E3C0D">
        <w:rPr>
          <w:rStyle w:val="StyleUnderline"/>
        </w:rPr>
        <w:t>faith in the</w:t>
      </w:r>
      <w:r w:rsidRPr="00085065">
        <w:rPr>
          <w:sz w:val="16"/>
        </w:rPr>
        <w:t xml:space="preserve"> necessary </w:t>
      </w:r>
      <w:r w:rsidRPr="007E3C0D">
        <w:rPr>
          <w:rStyle w:val="StyleUnderline"/>
        </w:rPr>
        <w:t>continuity of politics as such.</w:t>
      </w:r>
      <w:r w:rsidRPr="00085065">
        <w:rPr>
          <w:sz w:val="16"/>
        </w:rPr>
        <w:t xml:space="preserve"> “[E]very political vision,” Edelman claims, is “a vision of futurity.”17 More specifically, reproductive futurism is characterized by “a set of values widely thought of as extrapolitical: values that center on the family, to be sure, but that focus on the protection of children.”18 The iconographic signifier of reproductive futurism is the child; its mantra, “Whitney Houston’s rendition of the secular hymn, ‘I believe that children are our future,’ a hymn we might as well simply declare our national anthem and be done with it.”19 Reproductive futurism is the apolitical imperative that the present be held in service to the children’s future adulthood: [W]e are no more able to conceive of a politics without a fantasy of a future than we are able to conceive of a future without the figure of the Child. That figural Child alone embodies the citizen as an ideal, entitled to claim full rights to its future share in the nation’s good, though always at the cost of limiting the rights “real” citizens are allowed. </w:t>
      </w:r>
      <w:r w:rsidRPr="00085065">
        <w:rPr>
          <w:rStyle w:val="StyleUnderline"/>
        </w:rPr>
        <w:t>For the</w:t>
      </w:r>
      <w:r w:rsidRPr="007E3C0D">
        <w:rPr>
          <w:rStyle w:val="StyleUnderline"/>
        </w:rPr>
        <w:t xml:space="preserve"> social order exists to preserve for this universalized subject, this fantasmatic Child, a notional freedom more highly valued than the actuality of freedom itself</w:t>
      </w:r>
      <w:r w:rsidRPr="00085065">
        <w:rPr>
          <w:sz w:val="16"/>
        </w:rPr>
        <w:t xml:space="preserve">, which might, after all, put at risk the Child to whom such a freedom falls due.20 Whether discussing the survival of the body politic (futurism) or the future as symbolized by the child (reproductive futurism), Edelman is clear that the presuppositions of both are deemed apolitical, although that is precisely what makes them “so oppressively political.”21 For the presuppositions of (reproductive) futurism are the very terms of politics as such. To participate in politics at all, even in protest or dissent, requires that one “submit to the framing of political debate—and, indeed, of the political field—as defined by the terms of ...reproductive futurism: terms that impose an ideological limit on political discourse as such.”22 This is how and why Edelman says that there is no future for queers: politics itself designates “queers” as futureless. </w:t>
      </w:r>
      <w:r w:rsidRPr="007E3C0D">
        <w:rPr>
          <w:rStyle w:val="StyleUnderline"/>
        </w:rPr>
        <w:t>By definition, politics seeks to install an order of sameness through the ideological (re)production of a future that promises a</w:t>
      </w:r>
      <w:r w:rsidRPr="00085065">
        <w:rPr>
          <w:sz w:val="16"/>
        </w:rPr>
        <w:t xml:space="preserve"> seamless </w:t>
      </w:r>
      <w:r w:rsidRPr="007E3C0D">
        <w:rPr>
          <w:rStyle w:val="StyleUnderline"/>
        </w:rPr>
        <w:t>plenitude of meaning</w:t>
      </w:r>
      <w:r w:rsidRPr="00085065">
        <w:rPr>
          <w:sz w:val="16"/>
        </w:rPr>
        <w:t xml:space="preserve">. Rather than acknowledge the impossibility of such an achievement, however, </w:t>
      </w:r>
      <w:r w:rsidRPr="007E3C0D">
        <w:rPr>
          <w:rStyle w:val="StyleUnderline"/>
        </w:rPr>
        <w:t>this failing is</w:t>
      </w:r>
      <w:r w:rsidRPr="00085065">
        <w:rPr>
          <w:sz w:val="16"/>
        </w:rPr>
        <w:t xml:space="preserve"> instead </w:t>
      </w:r>
      <w:r w:rsidRPr="007E3C0D">
        <w:rPr>
          <w:rStyle w:val="StyleUnderline"/>
        </w:rPr>
        <w:t>foisted onto a</w:t>
      </w:r>
      <w:r w:rsidRPr="00085065">
        <w:rPr>
          <w:sz w:val="16"/>
        </w:rPr>
        <w:t xml:space="preserve"> person, </w:t>
      </w:r>
      <w:r w:rsidRPr="007E3C0D">
        <w:rPr>
          <w:rStyle w:val="StyleUnderline"/>
        </w:rPr>
        <w:t>people</w:t>
      </w:r>
      <w:r w:rsidRPr="00085065">
        <w:rPr>
          <w:sz w:val="16"/>
        </w:rPr>
        <w:t>, or set of forces that instantiate that impossibility in their very existence. These unforgivable obstacles to futurism’s achievement are “queers”: “</w:t>
      </w:r>
      <w:r w:rsidRPr="007E3C0D">
        <w:rPr>
          <w:rStyle w:val="StyleUnderline"/>
        </w:rPr>
        <w:t>the queer dispossesses the social order of the ground on which it rests</w:t>
      </w:r>
      <w:r w:rsidRPr="002F3242">
        <w:rPr>
          <w:rStyle w:val="StyleUnderline"/>
        </w:rPr>
        <w:t>: a faith in the consistent reality of the social ... a faith that politics, whether of the left or of the right, implicitly affirms.”</w:t>
      </w:r>
      <w:r w:rsidRPr="00085065">
        <w:rPr>
          <w:sz w:val="16"/>
        </w:rPr>
        <w:t>23 Defined as non-reproductive sexual nihilists</w:t>
      </w:r>
      <w:r w:rsidRPr="002F3242">
        <w:rPr>
          <w:rStyle w:val="StyleUnderline"/>
        </w:rPr>
        <w:t>, the positioning of queers as culture’s self-indulgent, sex-obsessed death drive thus functions to secure the health, happiness, and adult normality of heterosexually reproducing humanity.</w:t>
      </w:r>
      <w:r w:rsidRPr="00085065">
        <w:rPr>
          <w:sz w:val="16"/>
        </w:rPr>
        <w:t xml:space="preserve"> While this persuasive reading of heteronormativity and homophobia has generated the most critical enthusiasm for No Future, I want to argue that reproductive futurism is neither exhaustive of the political nor futurism’s exclusive form. However hegemonic, reproductive futurism is only “one of the forms” this “calamity” might take.24 For clearly one can invest in the future as signified by any number of possible oppressive and unattainable ideals: not only the child, but also, for example, Christ, security (for example Hobbes), or the American way. </w:t>
      </w:r>
      <w:r w:rsidRPr="002F3242">
        <w:rPr>
          <w:rStyle w:val="StyleUnderline"/>
        </w:rPr>
        <w:t>As Edelman himself observes, “The Child, in the historical epoch of our current epistemological regime, is the figure for this compulsory investment in the misrecognition of figure.”</w:t>
      </w:r>
      <w:r w:rsidRPr="00085065">
        <w:rPr>
          <w:sz w:val="16"/>
        </w:rPr>
        <w:t xml:space="preserve">25 Futurism itself, however, he calls “the substrate of politics.”26 My second proposed modification follows from the first, its mandate being to situate Edelman’s political theory more distinctly within history.27 In this regard, suspicious reader John Brenkman helpfully provides the political theory references missing from No Future, noting that “modern critical social discourse, whether among the Enlightenment’s philosophes, French revolutionaries, Marxists, social democrats, or contemporary socialists and democrats” all engage in the kind of future-wagering Edelman describes as definitively political.28 </w:t>
      </w:r>
      <w:r w:rsidRPr="00085065">
        <w:rPr>
          <w:sz w:val="16"/>
        </w:rPr>
        <w:lastRenderedPageBreak/>
        <w:t>Historically, Brenkman is correct—</w:t>
      </w:r>
      <w:r w:rsidRPr="006370BD">
        <w:rPr>
          <w:rStyle w:val="StyleUnderline"/>
        </w:rPr>
        <w:t>futurism is a distinctively modern phenomenon that must be tethered to, among other things, the advent of industrial capitalism, colonialism, and the rise of the nation-state.</w:t>
      </w:r>
      <w:r w:rsidRPr="00085065">
        <w:rPr>
          <w:sz w:val="16"/>
        </w:rPr>
        <w:t xml:space="preserve"> This second modification makes clear that, in naming futurism, Edelman has identified a fundamental baseline of modernity and the workings of modern politics. However, Brenkman’s concern is less with history than the fact that Edelman seems to foreclose the possibility of such critical discourse by consigning it to the same status as the discourse of the Catholic Church and the religious Right. While Brenkman’s point is well-taken, it is already Edelman’s. For, whether liberal or conservative, Left or Right, communist or fascist, every modern political theory is invested in the repetition and reproduction of the social order, cast as a future aspirational ideal, to which the present is held hostage. This is as true of conservative movements as of radical or revolutionary ones—modern politics as such is defined by its investment in reproducing an order of sameness at the expense of the difference of now.29 Tavia Nyong’o has argued that Edelman’s reading of homophobia operates as a kind of nostalgia for a political moment already past, a moment when homosexuality really did pose an ominous and spectral threat to the social order, but does so no longer.30 However—and this is the third modification I wish to assert—the “queer” of No Future is by no means a crudely identitarian homosexual subject, nor is the child solely emblematic of procreation and childrearing. Edelman would agree with at least part of this point. He insists there is “nothing intrinsic to the constitution of those identifying as lesbian, gay, bisexual, transgendered, transsexual, or queer” that “predisposes them to resist the appeal of futurity, to refuse the temptation to reproduce, or to place themselves outside or against the acculturating logic of the Symbolic.”31 And indeed, it is not difficult to find examples of gay reproductive futurism, the most obvious being the movement for “marriage equality.” As former Human Rights Campaign (HRC) President Joe Solmonese puts it: “The fight for marriage equality for samesex couples is quite possibly the most conventional, family-friendly equal rights struggle ever.” He continues, “History bends not only toward fairness and equality, but also toward common sense. Marriage strengthens couples and families, who in turn help strengthen their communities, one at a time—leading ultimately to a stronger, more robust nation.”32 Mixing nationalism into a gay progress narrative of ever-expanding equality and familial inclusion, Solmonese here writes the playbook for reproductive futurism’s political palatability. Tellingly, Andrew Sullivan’s earlier praise of gay marriage is even more explicit on this count, invoking the importance of the future’s promise not just in the name of the children, but more specifically for gay children, who must be saved from having otherwise been born into futurelessness: More important, perhaps ... its [marriage’s] influence would be felt quietly but deeply among gay children. For them, at last, there would be some kind of future; some older faces to apply to their unfolding lives, some language in which their identity could be properly discussed, some rubric by which it could be explained— not in terms of sex, or sexual practices, or bars, or subterranean activity, but in terms of their future life stories, their potential loves, their eventual chance at some kind of constructive happiness. They would be able to feel by the intimation of a myriad examples that in this respect their emotional orientation was not merely about pleasure, or sin, or shame, or otherness (although it might always be involved in many of those things), but about the ability to love and be loved as complete, imperfect human beings. Until gay marriage is legalized, this fundamental element of personal dignity will be denied a whole segment of humanity. No other change can achieve it.33 As we can see, even when the Child is gay, its salvific promise is neither diverted nor diluted. It simply straightens out the queer threat potentially posed by bent children.34 Dangling the lure of “constructive happiness” before the eyes of youths for whom not sugarplums but sex parties dance in their heads, Sullivan here offers up the gay version of reproductive futurism, paternalistically reassuring us that a life of sex for sex’s sake is the meaningless, self-indulgent, anti-civilizational existence every good moralizer ever told us it was. Taken together, Sullivan and Solmonese helpfully illustrate the fact that Edelman’s argument is, in the end, not really about identity and not even about gay people (or, for that matter, straight people). </w:t>
      </w:r>
      <w:r w:rsidRPr="006370BD">
        <w:rPr>
          <w:rStyle w:val="StyleUnderline"/>
        </w:rPr>
        <w:t>Futurism is a logic that transcends the specifics of heterosexuality and homosexuality, and “queer” in Edelman’s vocabulary does not necessarily</w:t>
      </w:r>
      <w:r w:rsidRPr="00085065">
        <w:rPr>
          <w:sz w:val="16"/>
        </w:rPr>
        <w:t>—or, perhaps, even primarily, anymore, as Nyong’o suggests—</w:t>
      </w:r>
      <w:r w:rsidRPr="006370BD">
        <w:rPr>
          <w:rStyle w:val="StyleUnderline"/>
        </w:rPr>
        <w:t>stand in for gay and lesbian people.</w:t>
      </w:r>
      <w:r w:rsidRPr="00085065">
        <w:rPr>
          <w:sz w:val="16"/>
        </w:rPr>
        <w:t xml:space="preserve"> But, to return to my third modification, this also means that the child is not irrevocably tied to the existence, reproduction, or raising of “historical children.”35 In other words, even as the non- or anti-identity politics of Edelman’s figure of queerness is increasingly evident, he neglects to establish the similarly and necessarily nonidentitarian iconography of the future he inscribes (which also returns us to my first proposed modification, the distinction between futurism and reproductive futurism). The queer as homosexual and the Child as historical child may be concrete, daily exemplars of (certain ubiquitous if not exclusive versions of) heteronormativity. However, </w:t>
      </w:r>
      <w:r w:rsidRPr="006370BD">
        <w:rPr>
          <w:rStyle w:val="StyleUnderline"/>
        </w:rPr>
        <w:t>understood as a specific form of a more generalized futurist logic, it becomes clear that the child cannot simply be equated with reproduction, child-bearing, and child-rearing, just as the “queer” cannot simply mean “homosexual” in Edelman’s temporal sense.</w:t>
      </w:r>
      <w:r w:rsidRPr="00085065">
        <w:rPr>
          <w:sz w:val="16"/>
        </w:rPr>
        <w:t xml:space="preserve"> The child, along with the queer, is a crucial space for political and historical concretization of Edelman’s radical but otherwise unduly narrow political project. Puar: Terrorism, Homonationalism, and US Sexual Exceptionalism </w:t>
      </w:r>
      <w:r w:rsidRPr="006370BD">
        <w:rPr>
          <w:rStyle w:val="StyleUnderline"/>
        </w:rPr>
        <w:t>The</w:t>
      </w:r>
      <w:r w:rsidRPr="00085065">
        <w:rPr>
          <w:sz w:val="16"/>
        </w:rPr>
        <w:t xml:space="preserve"> HRC’s </w:t>
      </w:r>
      <w:r w:rsidRPr="006370BD">
        <w:rPr>
          <w:rStyle w:val="StyleUnderline"/>
        </w:rPr>
        <w:t xml:space="preserve">language of nationhood and the non-exclusivity of the child as futurist icon are the places to begin pushing Edelman’s queer theory toward an explicit engagement with the politics of race, nation, </w:t>
      </w:r>
      <w:r w:rsidRPr="00CB3C66">
        <w:rPr>
          <w:rStyle w:val="StyleUnderline"/>
        </w:rPr>
        <w:t>and US empire</w:t>
      </w:r>
      <w:r w:rsidRPr="00085065">
        <w:rPr>
          <w:sz w:val="16"/>
        </w:rPr>
        <w:t xml:space="preserve">. For Solmonese’s statement is not simply the rhetoric of reproductive futurism. It is also the language of homonationalism, a term Jasbir Puar has coined to document </w:t>
      </w:r>
      <w:r w:rsidRPr="00CB3C66">
        <w:rPr>
          <w:rStyle w:val="StyleUnderline"/>
        </w:rPr>
        <w:t>the “transition under way in how queer subjects are relating to nation-states</w:t>
      </w:r>
      <w:r w:rsidRPr="00085065">
        <w:rPr>
          <w:sz w:val="16"/>
        </w:rPr>
        <w:t xml:space="preserve">, particularly the United States, </w:t>
      </w:r>
      <w:r w:rsidRPr="00CB3C66">
        <w:rPr>
          <w:rStyle w:val="StyleUnderline"/>
        </w:rPr>
        <w:t>from being figures of death</w:t>
      </w:r>
      <w:r w:rsidRPr="00085065">
        <w:rPr>
          <w:sz w:val="16"/>
        </w:rPr>
        <w:t xml:space="preserve"> (in other words, the AIDS epidemic) </w:t>
      </w:r>
      <w:r w:rsidRPr="00CB3C66">
        <w:rPr>
          <w:rStyle w:val="StyleUnderline"/>
        </w:rPr>
        <w:t>to becoming tied to ideas of life and productivity</w:t>
      </w:r>
      <w:r w:rsidRPr="00085065">
        <w:rPr>
          <w:sz w:val="16"/>
        </w:rPr>
        <w:t xml:space="preserve"> (in other words, gay marriage and families).”36 Homonationalism is an abbreviated combination of the words “homonormative” and “nationalism,” the former term borrowed from Lisa Duggan, who describes “the new homonormativity” as a political realignment of the late 1990s/early 2000s in which gay rights became compatible with certain neoliberal, anti-statist, conservative, American nationalist viewpoints.37 Combining homonormativity with nationalism, then, Puar augments Nyong’o’s critique, arguing that </w:t>
      </w:r>
      <w:r w:rsidRPr="00CB3C66">
        <w:rPr>
          <w:rStyle w:val="StyleUnderline"/>
        </w:rPr>
        <w:t>the assimilation of certain gay and lesbian subjects into the mainstream of American</w:t>
      </w:r>
      <w:r w:rsidRPr="00085065">
        <w:rPr>
          <w:sz w:val="16"/>
        </w:rPr>
        <w:t xml:space="preserve"> normalcy, respectability, and </w:t>
      </w:r>
      <w:r w:rsidRPr="00CB3C66">
        <w:rPr>
          <w:rStyle w:val="StyleUnderline"/>
        </w:rPr>
        <w:t>citizenship has entailed the “fleeting sanctioning of a national homosexual subject”</w:t>
      </w:r>
      <w:r w:rsidRPr="00085065">
        <w:rPr>
          <w:sz w:val="16"/>
        </w:rPr>
        <w:t xml:space="preserve">38 who is </w:t>
      </w:r>
      <w:r w:rsidRPr="00CB3C66">
        <w:rPr>
          <w:rStyle w:val="StyleUnderline"/>
        </w:rPr>
        <w:t>“complicit with heterosexual nationalist formations rather than</w:t>
      </w:r>
      <w:r w:rsidRPr="00085065">
        <w:rPr>
          <w:sz w:val="16"/>
        </w:rPr>
        <w:t xml:space="preserve"> inherently or </w:t>
      </w:r>
      <w:r w:rsidRPr="00CB3C66">
        <w:rPr>
          <w:rStyle w:val="StyleUnderline"/>
        </w:rPr>
        <w:t>automatically excluded from</w:t>
      </w:r>
      <w:r w:rsidRPr="00085065">
        <w:rPr>
          <w:sz w:val="16"/>
        </w:rPr>
        <w:t xml:space="preserve"> or opposed to </w:t>
      </w:r>
      <w:r w:rsidRPr="00CB3C66">
        <w:rPr>
          <w:rStyle w:val="StyleUnderline"/>
        </w:rPr>
        <w:t>them</w:t>
      </w:r>
      <w:r w:rsidRPr="00085065">
        <w:rPr>
          <w:sz w:val="16"/>
        </w:rPr>
        <w:t xml:space="preserve">.”39 </w:t>
      </w:r>
      <w:r w:rsidRPr="00CB3C66">
        <w:rPr>
          <w:rStyle w:val="StyleUnderline"/>
        </w:rPr>
        <w:t xml:space="preserve">One </w:t>
      </w:r>
      <w:r w:rsidRPr="00CB3C66">
        <w:rPr>
          <w:rStyle w:val="StyleUnderline"/>
        </w:rPr>
        <w:lastRenderedPageBreak/>
        <w:t>effect of homonationalism</w:t>
      </w:r>
      <w:r w:rsidRPr="00085065">
        <w:rPr>
          <w:sz w:val="16"/>
        </w:rPr>
        <w:t xml:space="preserve"> in the post-9/11 context of the “War on Terror” </w:t>
      </w:r>
      <w:r w:rsidRPr="00CB3C66">
        <w:rPr>
          <w:rStyle w:val="StyleUnderline"/>
        </w:rPr>
        <w:t>is the perverse</w:t>
      </w:r>
      <w:r w:rsidRPr="00085065">
        <w:rPr>
          <w:sz w:val="16"/>
        </w:rPr>
        <w:t xml:space="preserve"> sexualization or </w:t>
      </w:r>
      <w:r w:rsidRPr="00CB3C66">
        <w:rPr>
          <w:rStyle w:val="StyleUnderline"/>
        </w:rPr>
        <w:t>“queering” of Arabs and Muslims</w:t>
      </w:r>
      <w:r w:rsidRPr="00085065">
        <w:rPr>
          <w:sz w:val="16"/>
        </w:rPr>
        <w:t xml:space="preserve"> (and all those held to be such) </w:t>
      </w:r>
      <w:r w:rsidRPr="00CB3C66">
        <w:rPr>
          <w:rStyle w:val="StyleUnderline"/>
        </w:rPr>
        <w:t>in the figure of the “terrorist,”</w:t>
      </w:r>
      <w:r w:rsidRPr="00085065">
        <w:rPr>
          <w:sz w:val="16"/>
        </w:rPr>
        <w:t xml:space="preserve"> a figure of </w:t>
      </w:r>
      <w:r w:rsidRPr="00CB3C66">
        <w:rPr>
          <w:rStyle w:val="StyleUnderline"/>
        </w:rPr>
        <w:t>monstrosity</w:t>
      </w:r>
      <w:r w:rsidRPr="00085065">
        <w:rPr>
          <w:sz w:val="16"/>
        </w:rPr>
        <w:t xml:space="preserve">, excess, savagery, and perversion. To be clear, Puar is not suggesting that the “terrorist” is the new queer. Rather, she is arguing that “queerness is always already installed in the project of naming the terrorist; the terrorist does not appear as such without the concurrent entrance of perversion, deviance.”40 Neither an identity nor a defining behavioral activity (for example, homosexuality), </w:t>
      </w:r>
      <w:r w:rsidRPr="00CB3C66">
        <w:rPr>
          <w:rStyle w:val="StyleUnderline"/>
        </w:rPr>
        <w:t>Puar elaborates queerness as a biopolitical tactic that functions to define and divide populations through processes of racialization, a “management of queer life at the expense of sexually and racially perverse death in relation to the contemporary politics of securitization, Orientalism, terrorism, torture, and the articulation of Muslim, Arab, Sikh, and South Asian sexualities</w:t>
      </w:r>
      <w:r w:rsidRPr="00085065">
        <w:rPr>
          <w:sz w:val="16"/>
        </w:rPr>
        <w:t xml:space="preserve">.”41 In this view, “the contemporary U.S. heteronormative nation actually relies on and benefits from the proliferation of queerness.”42 </w:t>
      </w:r>
      <w:r w:rsidRPr="00CB3C66">
        <w:rPr>
          <w:rStyle w:val="StyleUnderline"/>
        </w:rPr>
        <w:t>Homonationalism, as a biopolitics of queerness, functions to discipline and (re)produce homosexuality as white, American, patriotic, and upwardly mobile while designating people of color, immigrants, and Arabs and Muslims as both heterosexual and yet dangerously “queer”—</w:t>
      </w:r>
      <w:r w:rsidRPr="00085065">
        <w:rPr>
          <w:sz w:val="16"/>
        </w:rPr>
        <w:t xml:space="preserve">as “terrorists” or “failed and perverse” bodies that “always have femininity as their reference point of malfunction, and are metonymically tied to all sorts of pathologies of the mind and body—homosexuality, incest, pedophilia, madness, and disease.”43 As is evident, queerness in Puar’s account veers from any simple conflation with gay and lesbian subjectivity; as she says, </w:t>
      </w:r>
      <w:r w:rsidRPr="00CB3C66">
        <w:rPr>
          <w:rStyle w:val="StyleUnderline"/>
        </w:rPr>
        <w:t>“Race, ethnicity, nation, gender, class, and sexuality disaggregate gay, homosexual, and queer national subjects who align themselves with U.S. imperial interests from forms of illegitimate queerness that</w:t>
      </w:r>
      <w:r w:rsidRPr="00085065">
        <w:rPr>
          <w:sz w:val="16"/>
        </w:rPr>
        <w:t xml:space="preserve"> name and ultimately </w:t>
      </w:r>
      <w:r w:rsidRPr="00CB3C66">
        <w:rPr>
          <w:rStyle w:val="StyleUnderline"/>
        </w:rPr>
        <w:t>propel populations into extinction.</w:t>
      </w:r>
      <w:r w:rsidRPr="00085065">
        <w:rPr>
          <w:sz w:val="16"/>
        </w:rPr>
        <w:t xml:space="preserve">”44 The happily married couples that populate the HRC’s literature and website, then, would be the homonational, or properly queer; the “monster terrorist fag” abjected into existence through torture at Abu Ghraib or Guanta´namo, detained indefinitely in any of the US’s many illegal prisons, surveilled incessantly in mosques and cafes, and stigmatized as suffering from arrested development by the psychologizing literature of security studies, would be the improperly queer.45 </w:t>
      </w:r>
      <w:r w:rsidRPr="00CB3C66">
        <w:rPr>
          <w:rStyle w:val="StyleUnderline"/>
        </w:rPr>
        <w:t>Puar’s point is that these queernesses go together and require one another, much as</w:t>
      </w:r>
      <w:r w:rsidRPr="00085065">
        <w:rPr>
          <w:sz w:val="16"/>
        </w:rPr>
        <w:t xml:space="preserve">, I think, </w:t>
      </w:r>
      <w:r w:rsidRPr="00CB3C66">
        <w:rPr>
          <w:rStyle w:val="StyleUnderline"/>
        </w:rPr>
        <w:t>Edelman can be seen to be arguing that the child and the queer go together and require one another.</w:t>
      </w:r>
      <w:r w:rsidRPr="00085065">
        <w:rPr>
          <w:sz w:val="16"/>
        </w:rPr>
        <w:t xml:space="preserve"> What Puar concretizes, however, in theorizing queerness as a “process of racialization”46 is not simply the analytic point that “queer” and “homosexual” are distinct but, more importantly, the urgently political point that the abjected or improper queer who stands outside the social order and is in effect antagonistic to it is, in this contemporary moment, much more likely to be a Muslim or someone perceived as “looking like” a Muslim to the American gaze than, let us admit it, the newly engaged same-sex couples thronging state houses in Minnesota, Connecticut, and Colorado (much less the “homosexual” figure of queerness in No Future). </w:t>
      </w:r>
      <w:r w:rsidRPr="00F15161">
        <w:rPr>
          <w:rStyle w:val="Emphasis"/>
        </w:rPr>
        <w:t>Understanding queerness as a process of nationalization and racialization also concretizes and expands the understanding of heteronormativity or</w:t>
      </w:r>
      <w:r w:rsidRPr="00085065">
        <w:rPr>
          <w:sz w:val="16"/>
        </w:rPr>
        <w:t xml:space="preserve">, in Edelman’s words, </w:t>
      </w:r>
      <w:r w:rsidRPr="00F15161">
        <w:rPr>
          <w:rStyle w:val="Emphasis"/>
        </w:rPr>
        <w:t>the future</w:t>
      </w:r>
      <w:r w:rsidRPr="00085065">
        <w:rPr>
          <w:sz w:val="16"/>
        </w:rPr>
        <w:t xml:space="preserve">. For </w:t>
      </w:r>
      <w:r w:rsidRPr="00F15161">
        <w:rPr>
          <w:rStyle w:val="StyleUnderline"/>
        </w:rPr>
        <w:t>the terrorist in Puar’s analysis</w:t>
      </w:r>
      <w:r w:rsidRPr="00085065">
        <w:rPr>
          <w:sz w:val="16"/>
        </w:rPr>
        <w:t xml:space="preserve"> resists or </w:t>
      </w:r>
      <w:r w:rsidRPr="00F15161">
        <w:rPr>
          <w:rStyle w:val="StyleUnderline"/>
        </w:rPr>
        <w:t>denies a future that is symbolized and defined not only or simply by the child, but also by the American nation and secular Christianity</w:t>
      </w:r>
      <w:r w:rsidRPr="00085065">
        <w:rPr>
          <w:sz w:val="16"/>
        </w:rPr>
        <w:t xml:space="preserve">. As she says, “In the political imagination, the terrorist serves as the monstrous excess of the nation-state.”47 Post-9/11, Puar notes that this terrorist threat is undeniably linked with Islam, which often serves as its “explanation.”48 As she observes, Islam signifies, to the ostensibly secular and modern US, both “excess” and “savagery”: “Religious belief is thus cast, in relation to other factors fueling terrorism, as the overflow, the final excess that impels monstrosity—the ‘different attitude toward violence’ signaling these uncivilizable forces.”49 </w:t>
      </w:r>
      <w:r w:rsidRPr="00F15161">
        <w:rPr>
          <w:rStyle w:val="StyleUnderline"/>
        </w:rPr>
        <w:t>Puar’s reading suggests that Islam threatens the futurist temporality of American empire. Cast as retrograde, backward, and frozen in pre-modern religiosity, Islam threatens the progress narrative of US imperial wars which are alleged to bring ever-greater freedom, not only to women and homosexuals, but also to uncivilized, savage, and undemocratic people(s)</w:t>
      </w:r>
      <w:r w:rsidRPr="00085065">
        <w:rPr>
          <w:sz w:val="16"/>
        </w:rPr>
        <w:t xml:space="preserve"> and nations around the world.50 Finally, then, it is important to note that as Islam has been queered or come to signify queerness, it does so in two ways: first, through the phobic association of Islam with terrorism; and, second, through the racist and Orientalist conflation of Islam with homophobia, anti-feminism, and sexual backwardness more generally. Putting Puar’s analysis in an Edelman-esque frame, we might say that the figure of the “terrorist” who threatens national goals, progress, hope—indeed, the nation’s very existence—can be cast as the excessive, anti-social, future-denying figure of the “queer” in Edelman. Or, we might say that just as the domain of normativity has expanded to include some gay people, correspondingly, the domain of (inassimilable) queerness also has shifted. Puar’s analysis of the collusion “between homosexuality and U.S. nationalism”51 as producing two figures, the homonormative patriot and the queer terrorist, notes them as, on the one hand, the embodiment and normative achievement of the social order and, on the other hand, the dissolution and destruction of that social order.52 No longer designating “the homosexual” per se, “queer” names the monstrously raced and perversely sexualized Arab/Muslim/terrorist Other that threatens the American social and political order, an order that (some) properly gay and lesbian subjects can now, through their incorporation into normative American national life, inhabit and reproduce. In sum, we have a theorization of “queer” wherein the sexually backward Muslim is led by the irrationality and violence of her/his religion to annihilate those who serve and protect freedom for all. In this analysis of “the sexually exceptional homonational and its evil counterpart, the queer terrorist of elsewhere,”53 the “terrorist” is to the HRC what, in Edelman’s analysis, the queer is to the child.54 Edelman and Puar: Theorizing Resistance Puar’s theorization of </w:t>
      </w:r>
      <w:r w:rsidRPr="00F15161">
        <w:rPr>
          <w:rStyle w:val="StyleUnderline"/>
        </w:rPr>
        <w:t>homonationalism is</w:t>
      </w:r>
      <w:r w:rsidRPr="00085065">
        <w:rPr>
          <w:sz w:val="16"/>
        </w:rPr>
        <w:t xml:space="preserve"> a significant contribution to queer </w:t>
      </w:r>
      <w:r w:rsidRPr="00085065">
        <w:rPr>
          <w:sz w:val="16"/>
        </w:rPr>
        <w:lastRenderedPageBreak/>
        <w:t xml:space="preserve">theory and an essential </w:t>
      </w:r>
      <w:r w:rsidRPr="00F15161">
        <w:rPr>
          <w:rStyle w:val="StyleUnderline"/>
        </w:rPr>
        <w:t>corrective to Edelman’s</w:t>
      </w:r>
      <w:r w:rsidRPr="00085065">
        <w:rPr>
          <w:sz w:val="16"/>
        </w:rPr>
        <w:t xml:space="preserve"> otherwise historically and racially unmarked </w:t>
      </w:r>
      <w:r w:rsidRPr="00F15161">
        <w:rPr>
          <w:rStyle w:val="StyleUnderline"/>
        </w:rPr>
        <w:t>analysis of (reproductive) futurism</w:t>
      </w:r>
      <w:r w:rsidRPr="00085065">
        <w:rPr>
          <w:sz w:val="16"/>
        </w:rPr>
        <w:t xml:space="preserve">. Her work allows us to critique futurism in ways that are responsive to the specificities of its racial and national workings, consequences gapingly unattended to by him. While Edelman deftly parses the logic of power in terms of futurism’s hegemony, he fails fully to unpack its coercive force by focusing solely on futurism’s relationship to an exceedingly narrow version of non-reproductive homosexuality. Although he claims that the theory of politics he explicates in No Future is indifferent to race, arguing that “the fascism of the baby’s face ... subjects us to its sovereign authority as the figure of politics itself ... whatever the face a particular politics gives that baby to wear— Aryan or multicultural, that of the thirty-thousand-year Reich or of an ever expanding horizon of democratic inclusivity,”55 what is clear is that the reproductive futurism he critiques is symptomatic of a very specific bourgeois class culture within the imperial US, a culture that garners his criticism only insofar as it is bound up with heteronormativity.56 By contrast, Puar’s demand that we focus our attention on the racial and nationalized logics of queerness(es) and the unexpected complicities between queers, nationalism, and empire remains only suggestive of futurism’s determinative role, never naming it specifically. Now, this is likely because Puar neither endorses nor conceptualizes futurism as a useful diagnosis of modern politics, just as Edelman may very much wish to privilege (white male homo) sexuality in his psychoanalysis of futurism. However, I suggest that authorial intentions—both Puar’s and Edelman’s—be respectfully disregarded, not only because we have become savvy to the multiple begged questions inherent in any invocation of authorial intention, but also because more than our scholarly work is at stake when it comes to forging critical resistance to US imperial power. Indeed, while the net effect of Edelman’s analysis is that only white gay men are considered the deathly threat portended by queerness in No Future, 57 if we return to his definition of “queer” and insist on distinguishing between futurism and reproductive futurism, we note that </w:t>
      </w:r>
      <w:r w:rsidRPr="00F15161">
        <w:rPr>
          <w:rStyle w:val="StyleUnderline"/>
        </w:rPr>
        <w:t>“queer” designates anyone who fails to abide by the rules of social temporality</w:t>
      </w:r>
      <w:r w:rsidRPr="00085065">
        <w:rPr>
          <w:sz w:val="16"/>
        </w:rPr>
        <w:t xml:space="preserve">—that is, </w:t>
      </w:r>
      <w:r w:rsidRPr="00F15161">
        <w:rPr>
          <w:rStyle w:val="StyleUnderline"/>
        </w:rPr>
        <w:t>anyone who sacrifices the future for the sake of the present</w:t>
      </w:r>
      <w:r w:rsidRPr="00F15161">
        <w:rPr>
          <w:rStyle w:val="Emphasis"/>
        </w:rPr>
        <w:t>. As such, futurism’s ruthless machinations stigmatize all sorts of populations as emblematic of the death and destruction of the social order.</w:t>
      </w:r>
      <w:r w:rsidRPr="00085065">
        <w:rPr>
          <w:sz w:val="16"/>
        </w:rPr>
        <w:t xml:space="preserve"> This broad array of misfits and perverts may include some gay, lesbian, and queer people. It necessarily also includes the “terrorist” and “Muslim” whom Puar argues are biopolitical targets of abjected queerness. This analysis also suggests that </w:t>
      </w:r>
      <w:r w:rsidRPr="00F15161">
        <w:rPr>
          <w:rStyle w:val="StyleUnderline"/>
        </w:rPr>
        <w:t>temporality is a crucial axis of determination regarding all “enemies” of the social order,</w:t>
      </w:r>
      <w:r w:rsidRPr="00085065">
        <w:rPr>
          <w:sz w:val="16"/>
        </w:rPr>
        <w:t xml:space="preserve"> a notion that links Edelman’s political theory to other important work in radical queer politics. For example, in her definitive essay, “Punks, Bulldaggers, and Welfare Queens: The Radical Potential of Queer Politics?,” Cathy Cohen argues for a re-thinking of marginal positionality in terms of one’s relation to power rather than in terms of a binary categorization of queer vs straight. She cites the examples of the prohibition of slave marriages and the long history of obsession with black women’s reproductive choices in the US as examples of ostensibly heterosexual people inhabiting positions outside the bounds of normative sexuality because of race, class, and property status. In arguing for a more capacious, intersectional queer politics that is accountable not simply to the question of who is and is not heterosexual but, more broadly, to the question of what each of our relationships with and proximity to power may be, Cohen writes: As we stand on the verge of watching those in power dismantle the welfare system through a process of demonizing the poor and young—primarily poor and young women of color, many of whom have existed for their entire lives outside the white, middle-class heterosexual norm—we have to ask if these women do not fit into society’s categories of marginal, deviant, and “queer.” As we watch the explosion of prison construction and the disproportionate incarceration rates of young men and women of color, often as part of the economic development of poor white rural communities, we have to ask if these individuals do not fit society’s definition of “queer” and expendable. </w:t>
      </w:r>
      <w:r w:rsidRPr="00F15161">
        <w:rPr>
          <w:rStyle w:val="StyleUnderline"/>
        </w:rPr>
        <w:t>Cohen’s understanding of “queer” as a kind of non- or anti-normativity based on one’s proximity to power might also be understood in terms of futurism and its flouting by “deviants.”</w:t>
      </w:r>
      <w:r w:rsidRPr="00085065">
        <w:rPr>
          <w:sz w:val="16"/>
        </w:rPr>
        <w:t xml:space="preserve"> For, </w:t>
      </w:r>
      <w:r w:rsidRPr="00F15161">
        <w:rPr>
          <w:rStyle w:val="StyleUnderline"/>
        </w:rPr>
        <w:t>if the key characteristic of queerness is a temporal one, then having “too many” babies is just as much a threat to America’s future as not having any at all</w:t>
      </w:r>
      <w:r w:rsidRPr="00085065">
        <w:rPr>
          <w:sz w:val="16"/>
        </w:rPr>
        <w:t>—</w:t>
      </w:r>
      <w:r w:rsidRPr="00F15161">
        <w:rPr>
          <w:rStyle w:val="StyleUnderline"/>
        </w:rPr>
        <w:t>it just depends on which queers we are talking about</w:t>
      </w:r>
      <w:r w:rsidRPr="00085065">
        <w:rPr>
          <w:sz w:val="16"/>
        </w:rPr>
        <w:t xml:space="preserve"> (not only Reagan’s welfare queen, but also recall the manufactured election-year discourse about “anchor babies”).59 Naming these explicitly makes futurism a useful tool to diagnose the contemporary political moment from a radical queer perspective that does not fetishize sexuality as either the primary domain of subordination or the sole focus of political struggle and resistance.</w:t>
      </w:r>
    </w:p>
    <w:p w:rsidR="0068462F" w:rsidRDefault="0068462F" w:rsidP="0068462F">
      <w:pPr>
        <w:pStyle w:val="Heading4"/>
      </w:pPr>
      <w:r>
        <w:t xml:space="preserve">The alternative is to embrace the queer negativity of education—disconnecting learning from futurity inhabits the gaps within the social to explore queer possibilities </w:t>
      </w:r>
    </w:p>
    <w:p w:rsidR="0068462F" w:rsidRDefault="0068462F" w:rsidP="0068462F">
      <w:r w:rsidRPr="00A71B72">
        <w:rPr>
          <w:rStyle w:val="Author-Date"/>
        </w:rPr>
        <w:t>Greteman &amp; Wojcikiewicz 2014</w:t>
      </w:r>
      <w:r>
        <w:t xml:space="preserve"> [ Adam J., Adjunct Assistant Professor of Art Education at the School of the Art Institute of Chicago; Steven K., Assistant Professor in the College of Education at Western Oregon University | “The Problems with the Future: Educational Futurism and the Figural Child” Journal of Philosophy of Education, Vol. 48, No. 4, 2014]</w:t>
      </w:r>
    </w:p>
    <w:p w:rsidR="0068462F" w:rsidRDefault="0068462F" w:rsidP="0068462F">
      <w:pPr>
        <w:rPr>
          <w:rStyle w:val="StyleUnderline"/>
        </w:rPr>
      </w:pPr>
      <w:r w:rsidRPr="00A71B72">
        <w:rPr>
          <w:sz w:val="16"/>
        </w:rPr>
        <w:t xml:space="preserve">This may seem to lay out a solution for educational futurism in the name of what might be called educational present-ism, but it is not so. </w:t>
      </w:r>
      <w:r w:rsidRPr="009A6725">
        <w:rPr>
          <w:rStyle w:val="StyleUnderline"/>
        </w:rPr>
        <w:t xml:space="preserve">It would be a mistake, when viewing educational futurism and the Child in terms of their roles in creating poor educational practice, to respond merely by calling for an education for the present. Such a call would fall into dualistic thinking that sets the present against the future and demands </w:t>
      </w:r>
      <w:r w:rsidRPr="009A6725">
        <w:rPr>
          <w:rStyle w:val="StyleUnderline"/>
        </w:rPr>
        <w:lastRenderedPageBreak/>
        <w:t xml:space="preserve">allegiance to one side or the other. </w:t>
      </w:r>
      <w:r w:rsidRPr="00A71B72">
        <w:rPr>
          <w:sz w:val="16"/>
        </w:rPr>
        <w:t xml:space="preserve">Both Dewey and Edelman warn against such a step, Edelman by making a queer argument centred on the death drive, and Dewey by pointing out the dangers of boiling complex ideas down to either-or propositions. </w:t>
      </w:r>
      <w:r w:rsidRPr="009A6725">
        <w:rPr>
          <w:rStyle w:val="StyleUnderline"/>
        </w:rPr>
        <w:t>Seeing the disruptive potential of the embracing the ‘negativity’ of queerness, Edelman utilises Lacan’s theorisation of the death drive.</w:t>
      </w:r>
      <w:r w:rsidRPr="00A71B72">
        <w:rPr>
          <w:sz w:val="16"/>
        </w:rPr>
        <w:t xml:space="preserve"> He notes that ‘the death drive marks the excess embedded within the Symbolic through the loss, the Real loss, that the advent of the signifier effects’ (2004, p. 9). </w:t>
      </w:r>
      <w:r w:rsidRPr="009A6725">
        <w:rPr>
          <w:rStyle w:val="StyleUnderline"/>
        </w:rPr>
        <w:t>The death drive becomes the moment of undoing, of constantly seeking to disrupt and destroy the signifier for ‘the queer insists that politics is always a politics of the signifier’</w:t>
      </w:r>
      <w:r w:rsidRPr="00A71B72">
        <w:rPr>
          <w:sz w:val="16"/>
        </w:rPr>
        <w:t xml:space="preserve"> (p. 6). Queerness makes possible a constant disruption or ‘the violent undoing of meaning, the loss of identity and coherence’ (p. 132). </w:t>
      </w:r>
      <w:r w:rsidRPr="009A6725">
        <w:rPr>
          <w:rStyle w:val="StyleUnderline"/>
        </w:rPr>
        <w:t>Edelman’s embrace of the death drive thus challenges the story of the Child’s innocence. In this challenge however, he notes that,</w:t>
      </w:r>
      <w:r w:rsidRPr="00A71B72">
        <w:rPr>
          <w:sz w:val="16"/>
        </w:rPr>
        <w:t xml:space="preserve"> . . . </w:t>
      </w:r>
      <w:r w:rsidRPr="009A6725">
        <w:rPr>
          <w:rStyle w:val="StyleUnderline"/>
        </w:rPr>
        <w:t>to intervene in the reproduction of such a reality</w:t>
      </w:r>
      <w:r w:rsidRPr="00A71B72">
        <w:rPr>
          <w:sz w:val="16"/>
        </w:rPr>
        <w:t>—an intervention that may well take the form of figuring that reality’s abortion—</w:t>
      </w:r>
      <w:r w:rsidRPr="009A6725">
        <w:rPr>
          <w:rStyle w:val="StyleUnderline"/>
        </w:rPr>
        <w:t>queer theory must always insist on its connection to the vicissitudes of the sign</w:t>
      </w:r>
      <w:r w:rsidRPr="00A71B72">
        <w:rPr>
          <w:sz w:val="16"/>
        </w:rPr>
        <w:t xml:space="preserve">, to the tension between the signifier’s collapse into the letter’s cadaverous materiality and its participation in a system of reference wherein it generates meaning itself (p. 7). Edelman, as such, is following a broader theme in queer theory. Eve </w:t>
      </w:r>
      <w:r w:rsidRPr="009A6725">
        <w:rPr>
          <w:rStyle w:val="StyleUnderline"/>
        </w:rPr>
        <w:t>Sedgwick</w:t>
      </w:r>
      <w:r w:rsidRPr="00A71B72">
        <w:rPr>
          <w:sz w:val="16"/>
        </w:rPr>
        <w:t xml:space="preserve"> (1993) </w:t>
      </w:r>
      <w:r w:rsidRPr="009A6725">
        <w:rPr>
          <w:rStyle w:val="StyleUnderline"/>
        </w:rPr>
        <w:t>suggests queer ‘can refer to: the mesh of possibilities, of gaps, overlaps, dissonances, and resonances, lapses and excesses of meaning when the constituent elements of anyone’s gender, of anyone’s sexuality aren’t made (</w:t>
      </w:r>
      <w:r w:rsidRPr="00A71B72">
        <w:rPr>
          <w:sz w:val="16"/>
        </w:rPr>
        <w:t xml:space="preserve">or can’t be made) </w:t>
      </w:r>
      <w:r w:rsidRPr="009A6725">
        <w:rPr>
          <w:rStyle w:val="StyleUnderline"/>
        </w:rPr>
        <w:t>to signify monolithically’</w:t>
      </w:r>
      <w:r w:rsidRPr="00A71B72">
        <w:rPr>
          <w:sz w:val="16"/>
        </w:rPr>
        <w:t xml:space="preserve"> (p. 8). </w:t>
      </w:r>
      <w:r w:rsidRPr="009A6725">
        <w:rPr>
          <w:rStyle w:val="StyleUnderline"/>
        </w:rPr>
        <w:t>The social order, under modernity</w:t>
      </w:r>
      <w:r w:rsidRPr="00A71B72">
        <w:rPr>
          <w:sz w:val="16"/>
        </w:rPr>
        <w:t xml:space="preserve">, is fantasised to be coherent, to seek consistency, completeness, and unity. It </w:t>
      </w:r>
      <w:r w:rsidRPr="009A6725">
        <w:rPr>
          <w:rStyle w:val="StyleUnderline"/>
        </w:rPr>
        <w:t>seeks to tell a story that does not fail,</w:t>
      </w:r>
      <w:r w:rsidRPr="00A71B72">
        <w:rPr>
          <w:sz w:val="16"/>
        </w:rPr>
        <w:t xml:space="preserve"> even as it always must. </w:t>
      </w:r>
      <w:r w:rsidRPr="009A6725">
        <w:rPr>
          <w:rStyle w:val="StyleUnderline"/>
        </w:rPr>
        <w:t>It is this failure that queerness embraces.</w:t>
      </w:r>
      <w:r w:rsidRPr="00A71B72">
        <w:rPr>
          <w:sz w:val="16"/>
        </w:rPr>
        <w:t xml:space="preserve"> As Edelman notes ‘queer theory marks the “other” side of politics: the “side” where narrative realization and derealization overlap . . . the “side” outside of all political sides’ (p. 7). While some may seek to tame queer theory so as to imply troubling—eliminating the queers association with (homo)sexuality—such a move is problematic as it ‘dematerialize[s] any possibility of queerness itself’ because homosexuality is a piece of the queers ‘definitional center’ (Sedgwick, 1993, p. 8). Such a move ignores the role of sexual orientation in queerness. And as Ahmed notes </w:t>
      </w:r>
      <w:r w:rsidRPr="009A6725">
        <w:rPr>
          <w:rStyle w:val="StyleUnderline"/>
        </w:rPr>
        <w:t>‘being oriented in different ways does matter, precisely because of how spaces are already oriented</w:t>
      </w:r>
      <w:r w:rsidRPr="00A71B72">
        <w:rPr>
          <w:sz w:val="16"/>
        </w:rPr>
        <w:t xml:space="preserve"> . . </w:t>
      </w:r>
      <w:r w:rsidRPr="009A6725">
        <w:rPr>
          <w:rStyle w:val="StyleUnderline"/>
        </w:rPr>
        <w:t>. Orientations affect what bodies can do’</w:t>
      </w:r>
      <w:r w:rsidRPr="00A71B72">
        <w:rPr>
          <w:sz w:val="16"/>
        </w:rPr>
        <w:t xml:space="preserve"> (2006, p. 563). </w:t>
      </w:r>
      <w:r w:rsidRPr="009A6725">
        <w:rPr>
          <w:rStyle w:val="StyleUnderline"/>
        </w:rPr>
        <w:t>As such, orientation impacts the ability to think of the future and to what ends one is oriented toward.</w:t>
      </w:r>
      <w:r>
        <w:rPr>
          <w:rStyle w:val="StyleUnderline"/>
        </w:rPr>
        <w:t xml:space="preserve"> </w:t>
      </w:r>
      <w:r w:rsidRPr="009A6725">
        <w:rPr>
          <w:rStyle w:val="StyleUnderline"/>
        </w:rPr>
        <w:t>The task in part is the embrace of the negative in order to challenge the social reality and its fantasy of coherence to orient in new ways. The incompleteness of children</w:t>
      </w:r>
      <w:r w:rsidRPr="00A71B72">
        <w:rPr>
          <w:sz w:val="16"/>
        </w:rPr>
        <w:t xml:space="preserve">, much maligned, </w:t>
      </w:r>
      <w:r w:rsidRPr="009A6725">
        <w:rPr>
          <w:rStyle w:val="StyleUnderline"/>
        </w:rPr>
        <w:t>emerges then as a site for such a challenge whereby the incompleteness is embraced so that coherence is always in question.</w:t>
      </w:r>
      <w:r w:rsidRPr="00A71B72">
        <w:rPr>
          <w:sz w:val="16"/>
        </w:rPr>
        <w:t xml:space="preserve"> The social reality is constantly under threat of disintegration and as such seeks to regulate those bodies that cause such threats. </w:t>
      </w:r>
      <w:r w:rsidRPr="000C322C">
        <w:rPr>
          <w:rStyle w:val="StyleUnderline"/>
        </w:rPr>
        <w:t>The queerness of children produces different ways to do and be in the world, hidden by the regulatory subject in the form of the Child. To employ a queer perspective in the examination of educational futurism is not solely to carry out a simple act of negation</w:t>
      </w:r>
      <w:r w:rsidRPr="00A71B72">
        <w:rPr>
          <w:sz w:val="16"/>
        </w:rPr>
        <w:t xml:space="preserve"> (i.e. negating the Child), </w:t>
      </w:r>
      <w:r w:rsidRPr="000C322C">
        <w:rPr>
          <w:rStyle w:val="StyleUnderline"/>
        </w:rPr>
        <w:t>but to recognise how that negation is, in part, how the future is figured and how different futures might become thinkable.</w:t>
      </w:r>
      <w:r>
        <w:rPr>
          <w:rStyle w:val="StyleUnderline"/>
        </w:rPr>
        <w:t xml:space="preserve"> </w:t>
      </w:r>
      <w:r w:rsidRPr="00A71B72">
        <w:rPr>
          <w:sz w:val="16"/>
        </w:rPr>
        <w:t xml:space="preserve">For Edelman this embrace occurs through his theorisation around the death drive, which ‘names what the queer, in the order of the social, is called forth to figure: the negativity opposed to every form of social viability’ (2004, p. 9). </w:t>
      </w:r>
      <w:r w:rsidRPr="00E53BCC">
        <w:rPr>
          <w:rStyle w:val="StyleUnderline"/>
        </w:rPr>
        <w:t>Queerness challenges the world and opposes the norms that structure the logic of the social. It is not reproductive and within the realm of the social, unintelligible. It works against stability at all times, seeking its own death.</w:t>
      </w:r>
      <w:r w:rsidRPr="00A71B72">
        <w:rPr>
          <w:sz w:val="16"/>
        </w:rPr>
        <w:t xml:space="preserve"> In doing so, queerness challenges identity politics: [w]here the political interventions of identitarian minorities— including those who seek to substantialize the identities of lesbians, gay men, and bisexuals—may properly take shape as oppositional, affording the dominant order a reassuringly symmetrical, if inverted, depiction of its own ostensibly coherent identity, queer theory’s opposition is precisely to any such logic of opposition, its proper task the ceaseless disappropriation of every propriety. (p. 24) </w:t>
      </w:r>
      <w:r w:rsidRPr="00C50218">
        <w:rPr>
          <w:rStyle w:val="StyleUnderline"/>
        </w:rPr>
        <w:t>Yet, this death, this negation, is not to deny existence, but to push for alternative possibilities</w:t>
      </w:r>
      <w:r w:rsidRPr="00A71B72">
        <w:rPr>
          <w:sz w:val="16"/>
        </w:rPr>
        <w:t>—</w:t>
      </w:r>
      <w:r w:rsidRPr="00C50218">
        <w:rPr>
          <w:rStyle w:val="Emphasis"/>
        </w:rPr>
        <w:t>it is</w:t>
      </w:r>
      <w:r w:rsidRPr="00A71B72">
        <w:rPr>
          <w:sz w:val="16"/>
        </w:rPr>
        <w:t xml:space="preserve">, one might say, </w:t>
      </w:r>
      <w:r w:rsidRPr="00C50218">
        <w:rPr>
          <w:rStyle w:val="Emphasis"/>
        </w:rPr>
        <w:t>productive but never reproductive in producing new orientations to the world</w:t>
      </w:r>
      <w:r w:rsidRPr="00C50218">
        <w:rPr>
          <w:rStyle w:val="StyleUnderline"/>
        </w:rPr>
        <w:t>. It is creative in its destructive intentions, as it must never cease its negation within any given normative framework.</w:t>
      </w:r>
      <w:r>
        <w:rPr>
          <w:rStyle w:val="StyleUnderline"/>
        </w:rPr>
        <w:t xml:space="preserve"> </w:t>
      </w:r>
      <w:r w:rsidRPr="00A71B72">
        <w:rPr>
          <w:sz w:val="16"/>
        </w:rPr>
        <w:t xml:space="preserve">Dewey follows a parallel course here, in that he does not seek to create an essential, normative position. Rather, in his conception of both life and of education as growth for its own sake, he denies essential identities. Essentialising, in any form, would clearly disrupt Dewey’s insistence on the connection between life, growth, and education, and the self-justifying nature of the latter two. </w:t>
      </w:r>
      <w:r w:rsidRPr="00C50218">
        <w:rPr>
          <w:rStyle w:val="StyleUnderline"/>
        </w:rPr>
        <w:t>If the death drive appears here, as Edelman has used it, it appears as the constant disrupter of the static, the destroyer of identity, the social, which makes constant growth and learning possible.</w:t>
      </w:r>
      <w:r w:rsidRPr="00A71B72">
        <w:rPr>
          <w:sz w:val="16"/>
        </w:rPr>
        <w:t xml:space="preserve"> When Dewey warns about the danger of placing the adult above the child, he does not propose that the answer is the placement of the child above the adult. Rather, Dewey seeks to deny the duality itself. ‘The relation of the present and the future’, he writes, ‘is not an Either-Or affair’ (1938, p. 30). Arguably then, </w:t>
      </w:r>
      <w:r w:rsidRPr="00C50218">
        <w:rPr>
          <w:rStyle w:val="StyleUnderline"/>
        </w:rPr>
        <w:t xml:space="preserve">Dewey challenges the Child as Edelman </w:t>
      </w:r>
      <w:r w:rsidRPr="00C50218">
        <w:rPr>
          <w:rStyle w:val="StyleUnderline"/>
        </w:rPr>
        <w:lastRenderedPageBreak/>
        <w:t>does, writing against a politics that fantasises about coherence and recognisable forms proposing rather a subject that is contingent, particular and unable to be fully articulated.</w:t>
      </w:r>
    </w:p>
    <w:p w:rsidR="00735F9D" w:rsidRPr="00735F9D" w:rsidRDefault="00735F9D" w:rsidP="00735F9D"/>
    <w:p w:rsidR="00162C2D" w:rsidRDefault="00162C2D" w:rsidP="00DE5E47">
      <w:pPr>
        <w:pStyle w:val="Heading3"/>
      </w:pPr>
      <w:bookmarkStart w:id="11" w:name="_Toc489138907"/>
      <w:r>
        <w:lastRenderedPageBreak/>
        <w:t>1NC: Economies of Pedagogy</w:t>
      </w:r>
      <w:bookmarkEnd w:id="11"/>
      <w:r>
        <w:t xml:space="preserve"> </w:t>
      </w:r>
    </w:p>
    <w:p w:rsidR="001D300A" w:rsidRPr="00DD7BD6" w:rsidRDefault="001D300A" w:rsidP="001D300A">
      <w:pPr>
        <w:pStyle w:val="Heading4"/>
        <w:rPr>
          <w:rStyle w:val="Style13ptBold"/>
          <w:b/>
        </w:rPr>
      </w:pPr>
      <w:r>
        <w:rPr>
          <w:rStyle w:val="Style13ptBold"/>
          <w:b/>
        </w:rPr>
        <w:t>The aff’s fragmentary politics recoheres the human community on multiple scales—their interpretive project is a colonization of all imagination by a humanist political project.</w:t>
      </w:r>
    </w:p>
    <w:p w:rsidR="001D300A" w:rsidRPr="00DD7BD6" w:rsidRDefault="001D300A" w:rsidP="001D300A">
      <w:pPr>
        <w:rPr>
          <w:rStyle w:val="Style13ptBold"/>
          <w:b w:val="0"/>
          <w:i/>
        </w:rPr>
      </w:pPr>
      <w:r>
        <w:rPr>
          <w:rStyle w:val="Style13ptBold"/>
        </w:rPr>
        <w:t xml:space="preserve">Edelman 13 </w:t>
      </w:r>
      <w:r w:rsidRPr="00DD7BD6">
        <w:rPr>
          <w:rStyle w:val="Style13ptBold"/>
          <w:b w:val="0"/>
          <w:sz w:val="16"/>
          <w:szCs w:val="16"/>
        </w:rPr>
        <w:t xml:space="preserve">[Lee. professor of English at Tufts University. “Occupy Wall Street: “Bartleby” Against the Humanities.” </w:t>
      </w:r>
      <w:r w:rsidRPr="00DD7BD6">
        <w:rPr>
          <w:rStyle w:val="Style13ptBold"/>
          <w:b w:val="0"/>
          <w:i/>
          <w:sz w:val="16"/>
          <w:szCs w:val="16"/>
        </w:rPr>
        <w:t>History of the Present</w:t>
      </w:r>
      <w:r w:rsidRPr="00DD7BD6">
        <w:rPr>
          <w:rStyle w:val="Style13ptBold"/>
          <w:b w:val="0"/>
          <w:sz w:val="16"/>
          <w:szCs w:val="16"/>
        </w:rPr>
        <w:t>, Vol. 3, No. 1 (Spring 2013), pp. 99-118. SH]</w:t>
      </w:r>
    </w:p>
    <w:p w:rsidR="001D300A" w:rsidRDefault="001D300A" w:rsidP="001D300A">
      <w:pPr>
        <w:rPr>
          <w:rStyle w:val="StyleUnderline"/>
        </w:rPr>
      </w:pPr>
      <w:r w:rsidRPr="00D9384F">
        <w:rPr>
          <w:sz w:val="16"/>
        </w:rPr>
        <w:t xml:space="preserve">And that, for Occupy Wall Street, is the end of the story in more ways than one. In an article published a week and a half after the public reading of “Bartleby,” Lauren Klein quotes H. Bruce Franklin, a prominent Melville scholar, as follows: “we can never know who or what Bartleby is, but . . . </w:t>
      </w:r>
      <w:r w:rsidRPr="00B22272">
        <w:rPr>
          <w:rStyle w:val="StyleUnderline"/>
        </w:rPr>
        <w:t>we are continually asked to guess who or what he might be.”</w:t>
      </w:r>
      <w:r w:rsidRPr="00D9384F">
        <w:rPr>
          <w:sz w:val="16"/>
        </w:rPr>
        <w:t xml:space="preserve">13 Klein tells us that this is the “function of the story” and the “obligation of its readers” and aligns this obligation </w:t>
      </w:r>
      <w:r w:rsidRPr="00B22272">
        <w:rPr>
          <w:rStyle w:val="StyleUnderline"/>
        </w:rPr>
        <w:t>with the politics of Occupy Wall Street</w:t>
      </w:r>
      <w:r w:rsidRPr="00D9384F">
        <w:rPr>
          <w:sz w:val="16"/>
        </w:rPr>
        <w:t xml:space="preserve">: “to extend this from the literary to the political realm, </w:t>
      </w:r>
      <w:r w:rsidRPr="00B22272">
        <w:rPr>
          <w:rStyle w:val="StyleUnderline"/>
        </w:rPr>
        <w:t>when presented with a person’s resistance—passive or otherwise—it is the obligation of observers—indeed of all in a democratic society—to think about the possibilities of what that person might stand for, even if we cannot pinpoint a single issue, meaning, or demand</w:t>
      </w:r>
      <w:r w:rsidRPr="00D9384F">
        <w:rPr>
          <w:sz w:val="16"/>
        </w:rPr>
        <w:t xml:space="preserve">.”14 </w:t>
      </w:r>
      <w:r w:rsidRPr="00B22272">
        <w:rPr>
          <w:rStyle w:val="StyleUnderline"/>
        </w:rPr>
        <w:t>Could anything speak more clearly to our sense of the purpose and the value of the humanities</w:t>
      </w:r>
      <w:r w:rsidRPr="00D9384F">
        <w:rPr>
          <w:sz w:val="16"/>
        </w:rPr>
        <w:t xml:space="preserve">—to their value, that is, </w:t>
      </w:r>
      <w:r w:rsidRPr="00B22272">
        <w:rPr>
          <w:rStyle w:val="Emphasis"/>
        </w:rPr>
        <w:t>in helping us know ourselves and each other more fully by insisting that even what resists comprehension can be colonized by imagination</w:t>
      </w:r>
      <w:r w:rsidRPr="00D9384F">
        <w:rPr>
          <w:sz w:val="16"/>
        </w:rPr>
        <w:t xml:space="preserve">? </w:t>
      </w:r>
      <w:r w:rsidRPr="00B22272">
        <w:rPr>
          <w:rStyle w:val="StyleUnderline"/>
        </w:rPr>
        <w:t>Consider</w:t>
      </w:r>
      <w:r w:rsidRPr="00D9384F">
        <w:rPr>
          <w:sz w:val="16"/>
        </w:rPr>
        <w:t>, for example</w:t>
      </w:r>
      <w:r w:rsidRPr="00B22272">
        <w:rPr>
          <w:rStyle w:val="StyleUnderline"/>
        </w:rPr>
        <w:t>, these words from</w:t>
      </w:r>
      <w:r w:rsidRPr="00D9384F">
        <w:rPr>
          <w:sz w:val="16"/>
        </w:rPr>
        <w:t xml:space="preserve"> the 1980 report produced by </w:t>
      </w:r>
      <w:r w:rsidRPr="00B22272">
        <w:rPr>
          <w:rStyle w:val="StyleUnderline"/>
        </w:rPr>
        <w:t>the Rockefeller Foundation’s Commission on the Humanities: “by awakening a sense of what it might be like to be someone else or to live in another time or culture, [the humanities] tell us about ourselves, stretch our imagination, and enrich our experience</w:t>
      </w:r>
      <w:r w:rsidRPr="00B22272">
        <w:rPr>
          <w:rStyle w:val="Emphasis"/>
        </w:rPr>
        <w:t>. They increase our distinctively human potential</w:t>
      </w:r>
      <w:r w:rsidRPr="00D9384F">
        <w:rPr>
          <w:sz w:val="16"/>
        </w:rPr>
        <w:t xml:space="preserve">.”15 Yet </w:t>
      </w:r>
      <w:r w:rsidRPr="00B22272">
        <w:rPr>
          <w:rStyle w:val="StyleUnderline"/>
        </w:rPr>
        <w:t>this value</w:t>
      </w:r>
      <w:r w:rsidRPr="00D9384F">
        <w:rPr>
          <w:sz w:val="16"/>
        </w:rPr>
        <w:t xml:space="preserve"> emanates in Melville’s tale from the well-to-do Wall Street lawyer and </w:t>
      </w:r>
      <w:r w:rsidRPr="00B22272">
        <w:rPr>
          <w:rStyle w:val="StyleUnderline"/>
        </w:rPr>
        <w:t>gets reinforced by the corporate managers of the United States today who shape the institutions, including the academy and the various foundations</w:t>
      </w:r>
      <w:r w:rsidRPr="00D9384F">
        <w:rPr>
          <w:sz w:val="16"/>
        </w:rPr>
        <w:t xml:space="preserve"> (Rockefeller, Carnegie, Mellon, Ford), </w:t>
      </w:r>
      <w:r w:rsidRPr="00B22272">
        <w:rPr>
          <w:rStyle w:val="StyleUnderline"/>
        </w:rPr>
        <w:t>on which the humanities depend. For the task of the humanities</w:t>
      </w:r>
      <w:r w:rsidRPr="00D9384F">
        <w:rPr>
          <w:sz w:val="16"/>
        </w:rPr>
        <w:t xml:space="preserve">, in such a light, </w:t>
      </w:r>
      <w:r w:rsidRPr="00B22272">
        <w:rPr>
          <w:rStyle w:val="StyleUnderline"/>
        </w:rPr>
        <w:t xml:space="preserve">remains </w:t>
      </w:r>
      <w:r w:rsidRPr="00B22272">
        <w:rPr>
          <w:rStyle w:val="Emphasis"/>
        </w:rPr>
        <w:t>to affirm the human</w:t>
      </w:r>
      <w:r w:rsidRPr="00B22272">
        <w:rPr>
          <w:rStyle w:val="StyleUnderline"/>
        </w:rPr>
        <w:t xml:space="preserve"> and so to reproduce the </w:t>
      </w:r>
      <w:r w:rsidRPr="00B22272">
        <w:rPr>
          <w:rStyle w:val="Emphasis"/>
        </w:rPr>
        <w:t>ideological fantasy</w:t>
      </w:r>
      <w:r w:rsidRPr="00B22272">
        <w:rPr>
          <w:rStyle w:val="StyleUnderline"/>
        </w:rPr>
        <w:t xml:space="preserve"> that the human as concept sustains. The work of that concept</w:t>
      </w:r>
      <w:r w:rsidRPr="00D9384F">
        <w:rPr>
          <w:sz w:val="16"/>
        </w:rPr>
        <w:t xml:space="preserve">, in no small part, </w:t>
      </w:r>
      <w:r w:rsidRPr="00B22272">
        <w:rPr>
          <w:rStyle w:val="StyleUnderline"/>
        </w:rPr>
        <w:t xml:space="preserve">is to produce a </w:t>
      </w:r>
      <w:r w:rsidRPr="00B22272">
        <w:rPr>
          <w:rStyle w:val="Emphasis"/>
        </w:rPr>
        <w:t>fiction of community</w:t>
      </w:r>
      <w:r w:rsidRPr="00D9384F">
        <w:rPr>
          <w:rStyle w:val="StyleUnderline"/>
        </w:rPr>
        <w:t>, however large or small its scale, that rests on the constant aesthetic demonstration of the sameness at the core of the human</w:t>
      </w:r>
      <w:r w:rsidRPr="00D9384F">
        <w:rPr>
          <w:sz w:val="16"/>
        </w:rPr>
        <w:t xml:space="preserve">: the sameness </w:t>
      </w:r>
      <w:r w:rsidRPr="00D9384F">
        <w:rPr>
          <w:rStyle w:val="StyleUnderline"/>
        </w:rPr>
        <w:t>that makes us</w:t>
      </w:r>
      <w:r w:rsidRPr="00D9384F">
        <w:rPr>
          <w:sz w:val="16"/>
        </w:rPr>
        <w:t xml:space="preserve">, in one fell swoop, </w:t>
      </w:r>
      <w:r w:rsidRPr="00D9384F">
        <w:rPr>
          <w:rStyle w:val="StyleUnderline"/>
        </w:rPr>
        <w:t>comprehensible in our opacity and collectivizable in our singularity. That fantasy may be put to progressive ends by reducing our fear or anxiety about what could seem,</w:t>
      </w:r>
      <w:r w:rsidRPr="00D9384F">
        <w:rPr>
          <w:sz w:val="16"/>
        </w:rPr>
        <w:t xml:space="preserve"> at first glance, </w:t>
      </w:r>
      <w:r w:rsidRPr="00D9384F">
        <w:rPr>
          <w:rStyle w:val="StyleUnderline"/>
        </w:rPr>
        <w:t>wholly foreign, and permitting us</w:t>
      </w:r>
      <w:r w:rsidRPr="00D9384F">
        <w:rPr>
          <w:sz w:val="16"/>
        </w:rPr>
        <w:t xml:space="preserve">, instead, </w:t>
      </w:r>
      <w:r w:rsidRPr="00D9384F">
        <w:rPr>
          <w:rStyle w:val="StyleUnderline"/>
        </w:rPr>
        <w:t>to see ourselves in what presents itself as different. But it works in the other direction too by maintaining that only such sameness to ourselves could make those differences tolerable</w:t>
      </w:r>
      <w:r w:rsidRPr="00D9384F">
        <w:rPr>
          <w:sz w:val="16"/>
        </w:rPr>
        <w:t xml:space="preserve">. The progressive insistence that we’re all alike is </w:t>
      </w:r>
      <w:r w:rsidRPr="00D9384F">
        <w:rPr>
          <w:rStyle w:val="Emphasis"/>
        </w:rPr>
        <w:t>not that far from the reactionary claim that what’s valuable is what’s like us</w:t>
      </w:r>
      <w:r w:rsidRPr="00D9384F">
        <w:rPr>
          <w:sz w:val="16"/>
        </w:rPr>
        <w:t xml:space="preserve">. In both cases </w:t>
      </w:r>
      <w:r w:rsidRPr="00D9384F">
        <w:rPr>
          <w:rStyle w:val="StyleUnderline"/>
        </w:rPr>
        <w:t>whatever holds fast to its difference, resisting appropriation to sameness, resisting even sameness to itself, gets read as the radical threat of an otherness essentially inhuman. When we “think about the possibilities of what [a] person might stand for</w:t>
      </w:r>
      <w:r w:rsidRPr="00D9384F">
        <w:rPr>
          <w:sz w:val="16"/>
        </w:rPr>
        <w:t xml:space="preserve">,” to quote Klein on the political imperative of reading Bartleby’s resistance, </w:t>
      </w:r>
      <w:r w:rsidRPr="00D9384F">
        <w:rPr>
          <w:rStyle w:val="StyleUnderline"/>
        </w:rPr>
        <w:t>we may extend our capacity to know the world through sympathetic imagination,</w:t>
      </w:r>
      <w:r w:rsidRPr="00D9384F">
        <w:rPr>
          <w:sz w:val="16"/>
        </w:rPr>
        <w:t xml:space="preserve"> </w:t>
      </w:r>
      <w:r w:rsidRPr="00D9384F">
        <w:rPr>
          <w:rStyle w:val="Emphasis"/>
        </w:rPr>
        <w:t>but by making a person stand for something, by making her or him a figure for whatever we project</w:t>
      </w:r>
      <w:r w:rsidRPr="00D9384F">
        <w:rPr>
          <w:sz w:val="16"/>
        </w:rPr>
        <w:t xml:space="preserve">, </w:t>
      </w:r>
      <w:r w:rsidRPr="00D9384F">
        <w:rPr>
          <w:rStyle w:val="StyleUnderline"/>
        </w:rPr>
        <w:t>we make that person a screen on which, like the lawyer, we see no more than what we’re predisposed to imagine</w:t>
      </w:r>
      <w:r w:rsidRPr="00D9384F">
        <w:rPr>
          <w:sz w:val="16"/>
        </w:rPr>
        <w:t xml:space="preserve">. Such a person, therefore, like the corporation, is an artificial being. Or to carry this one step further, </w:t>
      </w:r>
      <w:r w:rsidRPr="00D9384F">
        <w:rPr>
          <w:rStyle w:val="StyleUnderline"/>
        </w:rPr>
        <w:t>while the Occupy movement may resist the equation of artificial beings with natural persons, “Bartleby” reminds us that natural persons are artificially constructed, that both “natural” and “person” operate as ideological fictions</w:t>
      </w:r>
      <w:r w:rsidRPr="00D9384F">
        <w:rPr>
          <w:sz w:val="16"/>
        </w:rPr>
        <w:t xml:space="preserve">. We need only remember our nation’s own history and Justice Curtis’s dissent in the Dred Scott case in which he quotes Judge Gaston on the status of the enslaved in the colonies before the Revolution: “Slaves were not in legal parlance persons, but property,” he observed.17 From what we call a humanistic perspective, we affirm that the personhood of those enslaved ought never to have been in question because </w:t>
      </w:r>
      <w:r w:rsidRPr="00D9384F">
        <w:rPr>
          <w:sz w:val="16"/>
        </w:rPr>
        <w:lastRenderedPageBreak/>
        <w:t xml:space="preserve">personhood, like the foundational claim that “all men are created equal,” ought to have been, as the Declaration of Independence puts it, “self-evident.” But whatever we call “self-evident” reflects the biases of the self; hence the personhood historically denied to the enslaved can now be extended to corporations not because truth’s selfevidence is either forgotten or denied, but rather because the ever-elastic category of personhood, like everything to which we attach the performative claim of its self-evidence, retains the literary provenance that marks it as a fiction. Even the framers of the Declaration, after all, had to “hold” their truths “self-evident,” had to assert them at the outset to render self-evident what hadn’t been before. When Justice Taney, writing the decision for the majority in Dred Scott, denied that the phrase “all men are created equal” could possibly have been intended by its authors to refer to those being kept as slaves, he made clear that whatever else it might be, that phrase was not self-evident. </w:t>
      </w:r>
      <w:r w:rsidRPr="00D9384F">
        <w:rPr>
          <w:rStyle w:val="StyleUnderline"/>
        </w:rPr>
        <w:t>The labor of creating self-evidence, of making the “natural” seem intuitively obvious and therefore unexceptionable, occupies politics and the humanities both, even when they explicitly resist it. Every deconstruction of humanism relies on a logic whose structuring principles appeal to self-evidence in the end. And the queerest politics will base its claims on natural rights that emerge from the shifting fictions of social bonds.</w:t>
      </w:r>
    </w:p>
    <w:p w:rsidR="001D300A" w:rsidRDefault="001D300A" w:rsidP="001D300A">
      <w:pPr>
        <w:rPr>
          <w:rStyle w:val="StyleUnderline"/>
        </w:rPr>
      </w:pPr>
    </w:p>
    <w:p w:rsidR="001D300A" w:rsidRDefault="001D300A" w:rsidP="001D300A">
      <w:pPr>
        <w:rPr>
          <w:rStyle w:val="StyleUnderline"/>
        </w:rPr>
      </w:pPr>
    </w:p>
    <w:p w:rsidR="001D300A" w:rsidRPr="00572969" w:rsidRDefault="001D300A" w:rsidP="001D300A">
      <w:pPr>
        <w:pStyle w:val="Heading4"/>
        <w:rPr>
          <w:rStyle w:val="Style13ptBold"/>
          <w:b/>
        </w:rPr>
      </w:pPr>
      <w:r>
        <w:rPr>
          <w:rStyle w:val="Style13ptBold"/>
          <w:b/>
        </w:rPr>
        <w:t xml:space="preserve">The aff reinvests in the same myth of human community that provides legibility to the Right—the construction of a new multitude and social fabric is enacted through the assimilation of queerness’s radical negativity. </w:t>
      </w:r>
    </w:p>
    <w:p w:rsidR="001D300A" w:rsidRPr="00DD7BD6" w:rsidRDefault="001D300A" w:rsidP="001D300A">
      <w:pPr>
        <w:rPr>
          <w:rStyle w:val="Style13ptBold"/>
          <w:b w:val="0"/>
          <w:i/>
        </w:rPr>
      </w:pPr>
      <w:r>
        <w:rPr>
          <w:rStyle w:val="Style13ptBold"/>
        </w:rPr>
        <w:t xml:space="preserve">Edelman 13 </w:t>
      </w:r>
      <w:r w:rsidRPr="00DD7BD6">
        <w:rPr>
          <w:rStyle w:val="Style13ptBold"/>
          <w:b w:val="0"/>
          <w:sz w:val="16"/>
          <w:szCs w:val="16"/>
        </w:rPr>
        <w:t xml:space="preserve">[Lee. professor of English at Tufts University. “Occupy Wall Street: “Bartleby” Against the Humanities.” </w:t>
      </w:r>
      <w:r w:rsidRPr="00DD7BD6">
        <w:rPr>
          <w:rStyle w:val="Style13ptBold"/>
          <w:b w:val="0"/>
          <w:i/>
          <w:sz w:val="16"/>
          <w:szCs w:val="16"/>
        </w:rPr>
        <w:t>History of the Present</w:t>
      </w:r>
      <w:r w:rsidRPr="00DD7BD6">
        <w:rPr>
          <w:rStyle w:val="Style13ptBold"/>
          <w:b w:val="0"/>
          <w:sz w:val="16"/>
          <w:szCs w:val="16"/>
        </w:rPr>
        <w:t>, Vol. 3, No. 1 (Spring 2013), pp. 99-118. SH]</w:t>
      </w:r>
    </w:p>
    <w:p w:rsidR="001D300A" w:rsidRPr="00572969" w:rsidRDefault="001D300A" w:rsidP="001D300A">
      <w:pPr>
        <w:rPr>
          <w:rStyle w:val="StyleUnderline"/>
        </w:rPr>
      </w:pPr>
      <w:r w:rsidRPr="00572969">
        <w:rPr>
          <w:sz w:val="16"/>
        </w:rPr>
        <w:t xml:space="preserve">This verbal contagion that saps the sovereignty of meaning in linguistic exchange defines the queerness of the word that comes to epitomize Bartleby’s queerness, a queerness the story disposes us to see in its illegible materialty as a dangerous textual preference. Perhaps that explains why at one point the lawyer describes the effects produced by Bartleby’s phrase in terms that explicitly frame it in Sodomitical terms: “For a few moments I was turned into a pillar of salt” (69). In The Gift of Death, Jacques Derrida touches briefly on Melville’s tale. After noting that the scrivener’s famous phrase “says nothing, promises nothing, neither refuses nor accepts anything,” he calls it a “singularly insignificant statement [that] reminds one of a nonlanguage.”21 </w:t>
      </w:r>
      <w:r w:rsidRPr="00B83B60">
        <w:rPr>
          <w:rStyle w:val="StyleUnderline"/>
        </w:rPr>
        <w:t xml:space="preserve">In this context the word “insignificant” denotes a resistance to signification that makes Bartleby’s phrase, from the vantage point of the social order of meaning, </w:t>
      </w:r>
      <w:r w:rsidRPr="00B83B60">
        <w:rPr>
          <w:rStyle w:val="Emphasis"/>
        </w:rPr>
        <w:t>an affront to the notion of value</w:t>
      </w:r>
      <w:r w:rsidRPr="00B83B60">
        <w:rPr>
          <w:rStyle w:val="StyleUnderline"/>
        </w:rPr>
        <w:t xml:space="preserve">. Infecting linguistic communication with this element of “nonlanguage,” it reifies the queerness of language as iterative machine and in doing so it gestures toward something else at work in language, </w:t>
      </w:r>
      <w:r w:rsidRPr="00B83B60">
        <w:rPr>
          <w:rStyle w:val="Emphasis"/>
        </w:rPr>
        <w:t>something that communal norms of meaning and value seek to foreclose</w:t>
      </w:r>
      <w:r w:rsidRPr="00B83B60">
        <w:rPr>
          <w:rStyle w:val="StyleUnderline"/>
        </w:rPr>
        <w:t>: the queerness that every regime of “what is” must construe as what is not, as the nothing, the negativity, or the preference for negation that threatens the normative order, whose name is always human community</w:t>
      </w:r>
      <w:r w:rsidRPr="00572969">
        <w:rPr>
          <w:sz w:val="16"/>
        </w:rPr>
        <w:t xml:space="preserve">. And </w:t>
      </w:r>
      <w:r w:rsidRPr="00B83B60">
        <w:rPr>
          <w:rStyle w:val="StyleUnderline"/>
        </w:rPr>
        <w:t xml:space="preserve">it’s not just the Right that </w:t>
      </w:r>
      <w:r w:rsidRPr="00B83B60">
        <w:rPr>
          <w:rStyle w:val="Emphasis"/>
        </w:rPr>
        <w:t xml:space="preserve">pits human community </w:t>
      </w:r>
      <w:r w:rsidRPr="00B83B60">
        <w:rPr>
          <w:rStyle w:val="StyleUnderline"/>
        </w:rPr>
        <w:t>against the queer threat to its future; the Left, and many who call themselves “queer,” embrace that position too. That’s how Left and Right acquire political legibility and come to share the political terrain; it’s even what makes them</w:t>
      </w:r>
      <w:r w:rsidRPr="00572969">
        <w:rPr>
          <w:sz w:val="16"/>
        </w:rPr>
        <w:t xml:space="preserve">, in this sense at least, </w:t>
      </w:r>
      <w:r w:rsidRPr="00B83B60">
        <w:rPr>
          <w:rStyle w:val="StyleUnderline"/>
        </w:rPr>
        <w:t>effectively interchangeable</w:t>
      </w:r>
      <w:r w:rsidRPr="00572969">
        <w:rPr>
          <w:sz w:val="16"/>
        </w:rPr>
        <w:t xml:space="preserve">. Though each has a different vision of the human community it aims to procure, </w:t>
      </w:r>
      <w:r w:rsidRPr="00B83B60">
        <w:rPr>
          <w:rStyle w:val="StyleUnderline"/>
        </w:rPr>
        <w:t>both aspire to realize the coherence of a social collectivity.</w:t>
      </w:r>
      <w:r w:rsidRPr="00572969">
        <w:rPr>
          <w:sz w:val="16"/>
        </w:rPr>
        <w:t xml:space="preserve"> Thus Michael Hardt and Antonio Negri, writing from the Left in Empire, the global bestseller they published in 2000, see in Bartleby what they characterize as “the absoluteness of refusal,” which they then align with the “hatred of authority” and the “refusal of voluntary servitude.” But their admiration for this queer refusal of the norm can only go so far. Such </w:t>
      </w:r>
      <w:r w:rsidRPr="00B83B60">
        <w:rPr>
          <w:rStyle w:val="StyleUnderline"/>
        </w:rPr>
        <w:t>refusal may be, as they put it, “the beginning of a liberatory politics</w:t>
      </w:r>
      <w:r w:rsidRPr="00572969">
        <w:rPr>
          <w:sz w:val="16"/>
        </w:rPr>
        <w:t xml:space="preserve">, but it is only a beginning. . . . What we need is </w:t>
      </w:r>
      <w:r w:rsidRPr="00B83B60">
        <w:rPr>
          <w:rStyle w:val="StyleUnderline"/>
        </w:rPr>
        <w:t>to create a new social body,</w:t>
      </w:r>
      <w:r w:rsidRPr="00572969">
        <w:rPr>
          <w:sz w:val="16"/>
        </w:rPr>
        <w:t xml:space="preserve"> which is a project that goes well beyond refusal. . . . Beyond the simple refusal, or as part of that refusal, we need also to construct a new mode of life and above all a new community.”22 </w:t>
      </w:r>
      <w:r w:rsidRPr="00B83B60">
        <w:rPr>
          <w:rStyle w:val="StyleUnderline"/>
        </w:rPr>
        <w:t xml:space="preserve">Here sounds the doxa whose chorus aspires to incorporate us all: </w:t>
      </w:r>
      <w:r w:rsidRPr="00572969">
        <w:rPr>
          <w:rStyle w:val="Emphasis"/>
        </w:rPr>
        <w:t xml:space="preserve">wealthy sponsors of the corporate humanities and neo-Marxist critics of global empire; the protestors of Occupy Wall Street and Wall Street’s CEOs alike. </w:t>
      </w:r>
      <w:r w:rsidRPr="00572969">
        <w:rPr>
          <w:rStyle w:val="StyleUnderline"/>
        </w:rPr>
        <w:t>Bartleby, in his utter refusal to mean for communitarian ends, can possess no value except as a proof of negativity’s insufficiency</w:t>
      </w:r>
      <w:r w:rsidRPr="00572969">
        <w:rPr>
          <w:sz w:val="16"/>
        </w:rPr>
        <w:t xml:space="preserve">. Hence the lawyer who authors Bartleby’s tale, unlike Melville who authors the lawyer’s, must conscript the copyist to the </w:t>
      </w:r>
      <w:r w:rsidRPr="00572969">
        <w:rPr>
          <w:sz w:val="16"/>
        </w:rPr>
        <w:lastRenderedPageBreak/>
        <w:t xml:space="preserve">cause of the human by making his resistance make sense. </w:t>
      </w:r>
      <w:r w:rsidRPr="00572969">
        <w:rPr>
          <w:rStyle w:val="StyleUnderline"/>
        </w:rPr>
        <w:t>His distance from community and his absence of anything “ordinarily human” must prove in the end his hypersensitivity to the pathos of the human and even his longing for a utopian “community” where “good tidings” and “hope” on their “errands of life” can neither be errant nor erring</w:t>
      </w:r>
      <w:r w:rsidRPr="00572969">
        <w:rPr>
          <w:sz w:val="16"/>
        </w:rPr>
        <w:t xml:space="preserve">. Like Hardt and Negri, the lawyer, that is, must refuse “the absoluteness of refusal,” </w:t>
      </w:r>
      <w:r w:rsidRPr="00572969">
        <w:rPr>
          <w:rStyle w:val="StyleUnderline"/>
        </w:rPr>
        <w:t>forcibly wrenching Bartleby from the queerness of preferring not to accede to normative reason and sense</w:t>
      </w:r>
      <w:r w:rsidRPr="00572969">
        <w:rPr>
          <w:sz w:val="16"/>
        </w:rPr>
        <w:t xml:space="preserve">. To appreciate the complex politics of these multiple negations of the queer as negation, and to conclude this discussion by bringing it back to the Occupy movement once more, let me place beside Hardt and Negri’s text an editorial from the politically conservative Daily Oklahoman of Oklahoma City. Published in the Sunday edition of the paper on November 6, 2011, the editorial, which bore the title “Goal Remains Fuzzy for Occupy Protestors,” appeared four days before the public reading of “Bartleby” on Wall Street. But this editorial identified Bartleby with the Occupy movement in advance, intending that identification to discredit the movement and Bartleby both. Allow me to quote at length: “I would prefer not to.” So sayeth Bartleby, the intransigent copyist in a classic Herman Melville short story. To every request to earn his pay, to move on, to do something—anything— Bartleby would reply, “I would prefer not to.” . . . “Bartleby, the Scrivener: A Story of Wall Street” is a study in petulant behavior met with inexplicable patience by Bartleby’s employer. The story of Wall Street today is one of petulance met with inexplicable patience by authorities dealing with the “Occupy This” movement that’s spread from lower Manhattan around the country. Ask the occupiers what they hope to accomplish. They’d prefer not to tell you. Perhaps they don’t really know. Who’s in charge? They’d prefer not to tell you. Everyone is in charge. Nobody is. What good does it do to hang around a park, beat drums and occasionally march to a designated site? They’d prefer not to say. It’s the doing, not the point of it, that matters. Some occupiers have done their best to incite police reaction to their doings, all the better for news footage of how The Man is cracking the heads of the innocent. . . . . . . The “Occupy This” movement’s story is still being written. The childish and sometimes violent behavior of its participants is still being met with inexplicable patience. . . . The people will express their intolerance for lawlessness at the ballot box. That’s exactly where the movement could have beaten its drums, in the way the tea party did. It preferred not to. Ah anarchy! Ah enough already! 23 </w:t>
      </w:r>
      <w:r w:rsidRPr="00572969">
        <w:rPr>
          <w:rStyle w:val="Emphasis"/>
        </w:rPr>
        <w:t>The specter of anarchy, of radical lawlessness, of acts that have no point</w:t>
      </w:r>
      <w:r w:rsidRPr="00572969">
        <w:rPr>
          <w:sz w:val="16"/>
        </w:rPr>
        <w:t>, however little connection it bears to the Occupy protests themselves</w:t>
      </w:r>
      <w:r w:rsidRPr="00572969">
        <w:rPr>
          <w:rStyle w:val="StyleUnderline"/>
        </w:rPr>
        <w:t>, is refused in defense of an implicit ideal of the integrated “social body,” the harmonious community</w:t>
      </w:r>
      <w:r w:rsidRPr="00572969">
        <w:rPr>
          <w:sz w:val="16"/>
        </w:rPr>
        <w:t xml:space="preserve"> endorsed by Hardt and Negri’s text as well. Unlike Hardt and Negri, though, the author of the editorial fully acknowledges the force of Bartleby’s queerness and draws a reasonable conclusion about where resistance to reason must lead. </w:t>
      </w:r>
      <w:r w:rsidRPr="00572969">
        <w:rPr>
          <w:rStyle w:val="StyleUnderline"/>
        </w:rPr>
        <w:t>If the Left would normalize Bartleby as a crucial step toward a “new community,” then the Right perceives, correctly, his threat to community as such. And it recognizes something else that the Left too frequently ignores as well: that the Bartlebys of the world don’t ask to be liked and the queer remains whatever a given order cannot accept. All progressivism in politics, all gradualist normalization, aspires,</w:t>
      </w:r>
      <w:r w:rsidRPr="00572969">
        <w:rPr>
          <w:sz w:val="16"/>
        </w:rPr>
        <w:t xml:space="preserve"> in the end, </w:t>
      </w:r>
      <w:r w:rsidRPr="00572969">
        <w:rPr>
          <w:rStyle w:val="StyleUnderline"/>
        </w:rPr>
        <w:t>to the very same thing that moves the radical Right</w:t>
      </w:r>
      <w:r w:rsidRPr="00572969">
        <w:rPr>
          <w:rStyle w:val="Emphasis"/>
        </w:rPr>
        <w:t>: the elimination of the queer</w:t>
      </w:r>
      <w:r w:rsidRPr="00572969">
        <w:rPr>
          <w:sz w:val="16"/>
        </w:rPr>
        <w:t xml:space="preserve">; not, however, by resorting to the violence of or outside the law, but </w:t>
      </w:r>
      <w:r w:rsidRPr="00572969">
        <w:rPr>
          <w:rStyle w:val="Emphasis"/>
        </w:rPr>
        <w:t>by constructing a community from whose total embrace no one would be excluded</w:t>
      </w:r>
      <w:r w:rsidRPr="00572969">
        <w:rPr>
          <w:rStyle w:val="StyleUnderline"/>
        </w:rPr>
        <w:t>. No one except those Bartlebys excluded through forcible inclusion, eliminated by being turned into pillars of the collectivity they resist</w:t>
      </w:r>
      <w:r w:rsidRPr="00572969">
        <w:rPr>
          <w:sz w:val="16"/>
        </w:rPr>
        <w:t xml:space="preserve">. Consider, in this context, “Occupy Bartleby,” a post that appeared on a left-leaning blog in response to the Oklahoman’s editorial. With the intention of defending the Occupy movement and Bartleby at once, the author of the blog post offers a rival interpretation of the tale: “The point the editorial seems to make is that the protestors are as strange as Bartleby, but that misses the main message of the story. It’s a simplistic reading. The real point is that Bartleby’s protest, like the Occupier’s protest, actually represents a sane and human reaction to an indifferent world dictated by the greed of Wall Street.”24 For all the difference in their political viewpoints and their approaches to Melville’s story, the editorial and the blog post pray side-byside to the gods of the “sane” and the “human.” The left-wing blogger denies Bartleby’s strangeness to enshrine him at the heart of community, while the right-wing author, alert to that strangeness, rejects him for the community’s good. </w:t>
      </w:r>
      <w:r w:rsidRPr="00572969">
        <w:rPr>
          <w:rStyle w:val="Emphasis"/>
        </w:rPr>
        <w:t>Both would eliminate the queerness that doesn’t worship the gods of the polis</w:t>
      </w:r>
      <w:r w:rsidRPr="00572969">
        <w:rPr>
          <w:sz w:val="16"/>
        </w:rPr>
        <w:t xml:space="preserve">, recalling the indictment of Socrates that led to his date with a hemlock cocktail for “refusing to recognize the gods recognized by the state” and “corrupting the youth.”25 </w:t>
      </w:r>
      <w:r w:rsidRPr="00572969">
        <w:rPr>
          <w:rStyle w:val="StyleUnderline"/>
        </w:rPr>
        <w:t>The corporate humanities, by contrast, serve the gods of the state quite well, transforming Socrates and Bartleby into poster boys for democracy, social responsibility, the triumph of the human spirit, until the humanities classroom can start to seem like a Unitarian church</w:t>
      </w:r>
      <w:r w:rsidRPr="00572969">
        <w:rPr>
          <w:sz w:val="16"/>
        </w:rPr>
        <w:t xml:space="preserve">. But </w:t>
      </w:r>
      <w:r w:rsidRPr="00572969">
        <w:rPr>
          <w:rStyle w:val="Emphasis"/>
        </w:rPr>
        <w:t>another relation to the humanities persists by virtue of preferring not to</w:t>
      </w:r>
      <w:r w:rsidRPr="00572969">
        <w:rPr>
          <w:rStyle w:val="StyleUnderline"/>
        </w:rPr>
        <w:t xml:space="preserve">. Operating not for the good of the state or the cohesion of any community, this queerness dwells on the fractures that make the social a site of dissension and attends to the discontinuities that turn the aesthetic against itself. </w:t>
      </w:r>
      <w:r w:rsidRPr="00572969">
        <w:rPr>
          <w:sz w:val="16"/>
        </w:rPr>
        <w:t>Rather than affirming the putative “richness” and plurality of meaning</w:t>
      </w:r>
      <w:r w:rsidRPr="00572969">
        <w:rPr>
          <w:rStyle w:val="StyleUnderline"/>
        </w:rPr>
        <w:t>, it empties meaning of authority without, in the process, denying its power. Power without authority, in fact, is its object of analysis, even when it focuses on its own analytic force</w:t>
      </w:r>
      <w:r w:rsidRPr="00572969">
        <w:rPr>
          <w:sz w:val="16"/>
        </w:rPr>
        <w:t xml:space="preserve">. This queerness, </w:t>
      </w:r>
      <w:r w:rsidRPr="00572969">
        <w:rPr>
          <w:rStyle w:val="StyleUnderline"/>
        </w:rPr>
        <w:t>this materiality that never resolves into relation, bespeaks the nonhumanity inseparable from the assertion of the human and the “nonlanguage,” the negativity, that linguistic sense drowns out</w:t>
      </w:r>
      <w:r w:rsidRPr="00572969">
        <w:rPr>
          <w:sz w:val="16"/>
        </w:rPr>
        <w:t xml:space="preserve">. If it teaches, </w:t>
      </w:r>
      <w:r w:rsidRPr="00572969">
        <w:rPr>
          <w:rStyle w:val="StyleUnderline"/>
        </w:rPr>
        <w:t>it teaches us nothing—</w:t>
      </w:r>
      <w:r w:rsidRPr="00572969">
        <w:rPr>
          <w:rStyle w:val="StyleUnderline"/>
        </w:rPr>
        <w:lastRenderedPageBreak/>
        <w:t>or, more precisely, the place of that nothing, that non, in the politics of the human and, therefore, the place of the humanities in the performance of every politics</w:t>
      </w:r>
      <w:r w:rsidRPr="00572969">
        <w:rPr>
          <w:sz w:val="16"/>
        </w:rPr>
        <w:t xml:space="preserve">. Like the poet, in Sir Philip Sidney’s words, this humanities “nothing affirmeth,” but </w:t>
      </w:r>
      <w:r w:rsidRPr="00572969">
        <w:rPr>
          <w:rStyle w:val="StyleUnderline"/>
        </w:rPr>
        <w:t>its queerness inheres in the force with which it stubbornly affirms this nothing, insisting</w:t>
      </w:r>
      <w:r w:rsidRPr="00572969">
        <w:rPr>
          <w:sz w:val="16"/>
        </w:rPr>
        <w:t xml:space="preserve">, thereby, with Bartleby, </w:t>
      </w:r>
      <w:r w:rsidRPr="00572969">
        <w:rPr>
          <w:rStyle w:val="StyleUnderline"/>
        </w:rPr>
        <w:t>on its preference for the negative,</w:t>
      </w:r>
      <w:r w:rsidRPr="00572969">
        <w:rPr>
          <w:sz w:val="16"/>
        </w:rPr>
        <w:t xml:space="preserve"> which is also to say, </w:t>
      </w:r>
      <w:r w:rsidRPr="00572969">
        <w:rPr>
          <w:rStyle w:val="StyleUnderline"/>
        </w:rPr>
        <w:t>its preference for what the governing orders, the circuits of opinion, the frameworks of collective reality make invisible, impossible, and, to that extent, unthinkable.</w:t>
      </w:r>
    </w:p>
    <w:p w:rsidR="0068462F" w:rsidRDefault="0068462F" w:rsidP="0068462F">
      <w:pPr>
        <w:pStyle w:val="Heading4"/>
      </w:pPr>
      <w:r>
        <w:t>Reproductive futurism culminates in a homonationalist consolidation of empire where imperial wars secure the future through the extermination of deviant communities of color</w:t>
      </w:r>
    </w:p>
    <w:p w:rsidR="0068462F" w:rsidRDefault="0068462F" w:rsidP="0068462F">
      <w:r w:rsidRPr="00085065">
        <w:rPr>
          <w:rStyle w:val="Heading4Char"/>
        </w:rPr>
        <w:t xml:space="preserve">Schotten 2015 </w:t>
      </w:r>
      <w:r>
        <w:t>[C. Heike, Associate Professor of Political Science and an affiliated faculty in Women's and Gender Studies at the University of Massachusetts Boston "Homonationalist Futurism:“Terrorism” and (Other) Queer Resistance to Empire." New Political Science 37.1 (2015): 71-90.]</w:t>
      </w:r>
    </w:p>
    <w:p w:rsidR="0068462F" w:rsidRDefault="0068462F" w:rsidP="0068462F">
      <w:r w:rsidRPr="00085065">
        <w:rPr>
          <w:sz w:val="16"/>
        </w:rPr>
        <w:t xml:space="preserve">In queer theory, No Future has largely been read as making an argument regarding the constitutive heteronormativity of the social order. Edelman names this heteronormativity “reproductive futurism” and argues that it inevitably dooms homosexuals—branded as non-reproductive sexual nihilists—to instantiating society’s death drive. I contend, however, that No Future can be understood more generically as a work of political theory, especially given that Edelman explicitly describes its subject matter—reproductive futurism—as “the logic within which the political itself must be thought.”14 Identifying this political theory, however, requires some appropriation, given that, ultimately, Edelman is more concerned with Lacan than politics. Reading with and into the text, then, I propose three modifications of the psychoanalytic politics Edelman advances in No Future in order to more fully appropriate it for political theorizing.15 The first is to insert a distinction between the “futurism” and “reproductive futurism” he discusses, the latter being understood as a specific version of the former. Put simply, </w:t>
      </w:r>
      <w:r w:rsidRPr="007E3C0D">
        <w:rPr>
          <w:rStyle w:val="StyleUnderline"/>
        </w:rPr>
        <w:t>futurism is synopsized by the “presupposition that the body politic must survive,”</w:t>
      </w:r>
      <w:r w:rsidRPr="00085065">
        <w:rPr>
          <w:sz w:val="16"/>
        </w:rPr>
        <w:t xml:space="preserve">16 </w:t>
      </w:r>
      <w:r w:rsidRPr="007E3C0D">
        <w:rPr>
          <w:rStyle w:val="StyleUnderline"/>
        </w:rPr>
        <w:t>the</w:t>
      </w:r>
      <w:r w:rsidRPr="00085065">
        <w:rPr>
          <w:sz w:val="16"/>
        </w:rPr>
        <w:t xml:space="preserve"> putatively apolitical article of </w:t>
      </w:r>
      <w:r w:rsidRPr="007E3C0D">
        <w:rPr>
          <w:rStyle w:val="StyleUnderline"/>
        </w:rPr>
        <w:t>faith in the</w:t>
      </w:r>
      <w:r w:rsidRPr="00085065">
        <w:rPr>
          <w:sz w:val="16"/>
        </w:rPr>
        <w:t xml:space="preserve"> necessary </w:t>
      </w:r>
      <w:r w:rsidRPr="007E3C0D">
        <w:rPr>
          <w:rStyle w:val="StyleUnderline"/>
        </w:rPr>
        <w:t>continuity of politics as such.</w:t>
      </w:r>
      <w:r w:rsidRPr="00085065">
        <w:rPr>
          <w:sz w:val="16"/>
        </w:rPr>
        <w:t xml:space="preserve"> “[E]very political vision,” Edelman claims, is “a vision of futurity.”17 More specifically, reproductive futurism is characterized by “a set of values widely thought of as extrapolitical: values that center on the family, to be sure, but that focus on the protection of children.”18 The iconographic signifier of reproductive futurism is the child; its mantra, “Whitney Houston’s rendition of the secular hymn, ‘I believe that children are our future,’ a hymn we might as well simply declare our national anthem and be done with it.”19 Reproductive futurism is the apolitical imperative that the present be held in service to the children’s future adulthood: [W]e are no more able to conceive of a politics without a fantasy of a future than we are able to conceive of a future without the figure of the Child. That figural Child alone embodies the citizen as an ideal, entitled to claim full rights to its future share in the nation’s good, though always at the cost of limiting the rights “real” citizens are allowed. </w:t>
      </w:r>
      <w:r w:rsidRPr="00085065">
        <w:rPr>
          <w:rStyle w:val="StyleUnderline"/>
        </w:rPr>
        <w:t>For the</w:t>
      </w:r>
      <w:r w:rsidRPr="007E3C0D">
        <w:rPr>
          <w:rStyle w:val="StyleUnderline"/>
        </w:rPr>
        <w:t xml:space="preserve"> social order exists to preserve for this universalized subject, this fantasmatic Child, a notional freedom more highly valued than the actuality of freedom itself</w:t>
      </w:r>
      <w:r w:rsidRPr="00085065">
        <w:rPr>
          <w:sz w:val="16"/>
        </w:rPr>
        <w:t xml:space="preserve">, which might, after all, put at risk the Child to whom such a freedom falls due.20 Whether discussing the survival of the body politic (futurism) or the future as symbolized by the child (reproductive futurism), Edelman is clear that the presuppositions of both are deemed apolitical, although that is precisely what makes them “so oppressively political.”21 For the presuppositions of (reproductive) futurism are the very terms of politics as such. To participate in politics at all, even in protest or dissent, requires that one “submit to the framing of political debate—and, indeed, of the political field—as defined by the terms of ...reproductive futurism: terms that impose an ideological limit on political discourse as such.”22 This is how and why Edelman says that there is no future for queers: politics itself designates “queers” as futureless. </w:t>
      </w:r>
      <w:r w:rsidRPr="007E3C0D">
        <w:rPr>
          <w:rStyle w:val="StyleUnderline"/>
        </w:rPr>
        <w:t>By definition, politics seeks to install an order of sameness through the ideological (re)production of a future that promises a</w:t>
      </w:r>
      <w:r w:rsidRPr="00085065">
        <w:rPr>
          <w:sz w:val="16"/>
        </w:rPr>
        <w:t xml:space="preserve"> seamless </w:t>
      </w:r>
      <w:r w:rsidRPr="007E3C0D">
        <w:rPr>
          <w:rStyle w:val="StyleUnderline"/>
        </w:rPr>
        <w:t>plenitude of meaning</w:t>
      </w:r>
      <w:r w:rsidRPr="00085065">
        <w:rPr>
          <w:sz w:val="16"/>
        </w:rPr>
        <w:t xml:space="preserve">. Rather than acknowledge the impossibility of such an achievement, however, </w:t>
      </w:r>
      <w:r w:rsidRPr="007E3C0D">
        <w:rPr>
          <w:rStyle w:val="StyleUnderline"/>
        </w:rPr>
        <w:t>this failing is</w:t>
      </w:r>
      <w:r w:rsidRPr="00085065">
        <w:rPr>
          <w:sz w:val="16"/>
        </w:rPr>
        <w:t xml:space="preserve"> instead </w:t>
      </w:r>
      <w:r w:rsidRPr="007E3C0D">
        <w:rPr>
          <w:rStyle w:val="StyleUnderline"/>
        </w:rPr>
        <w:t>foisted onto a</w:t>
      </w:r>
      <w:r w:rsidRPr="00085065">
        <w:rPr>
          <w:sz w:val="16"/>
        </w:rPr>
        <w:t xml:space="preserve"> person, </w:t>
      </w:r>
      <w:r w:rsidRPr="007E3C0D">
        <w:rPr>
          <w:rStyle w:val="StyleUnderline"/>
        </w:rPr>
        <w:t>people</w:t>
      </w:r>
      <w:r w:rsidRPr="00085065">
        <w:rPr>
          <w:sz w:val="16"/>
        </w:rPr>
        <w:t>, or set of forces that instantiate that impossibility in their very existence. These unforgivable obstacles to futurism’s achievement are “queers”: “</w:t>
      </w:r>
      <w:r w:rsidRPr="007E3C0D">
        <w:rPr>
          <w:rStyle w:val="StyleUnderline"/>
        </w:rPr>
        <w:t>the queer dispossesses the social order of the ground on which it rests</w:t>
      </w:r>
      <w:r w:rsidRPr="002F3242">
        <w:rPr>
          <w:rStyle w:val="StyleUnderline"/>
        </w:rPr>
        <w:t>: a faith in the consistent reality of the social ... a faith that politics, whether of the left or of the right, implicitly affirms.”</w:t>
      </w:r>
      <w:r w:rsidRPr="00085065">
        <w:rPr>
          <w:sz w:val="16"/>
        </w:rPr>
        <w:t>23 Defined as non-reproductive sexual nihilists</w:t>
      </w:r>
      <w:r w:rsidRPr="002F3242">
        <w:rPr>
          <w:rStyle w:val="StyleUnderline"/>
        </w:rPr>
        <w:t>, the positioning of queers as culture’s self-indulgent, sex-obsessed death drive thus functions to secure the health, happiness, and adult normality of heterosexually reproducing humanity.</w:t>
      </w:r>
      <w:r w:rsidRPr="00085065">
        <w:rPr>
          <w:sz w:val="16"/>
        </w:rPr>
        <w:t xml:space="preserve"> While this persuasive reading of heteronormativity and homophobia has generated the most critical enthusiasm for No Future, I want to argue that reproductive futurism is neither exhaustive of the political nor futurism’s exclusive form. However hegemonic, reproductive futurism is only “one of the forms” this “calamity” might take.24 For clearly one can invest in the future as signified by any number of possible oppressive and unattainable ideals: not only the child, but also, for example, Christ, security (for example Hobbes), or the American way. </w:t>
      </w:r>
      <w:r w:rsidRPr="002F3242">
        <w:rPr>
          <w:rStyle w:val="StyleUnderline"/>
        </w:rPr>
        <w:t>As Edelman himself observes, “The Child, in the historical epoch of our current epistemological regime, is the figure for this compulsory investment in the misrecognition of figure.”</w:t>
      </w:r>
      <w:r w:rsidRPr="00085065">
        <w:rPr>
          <w:sz w:val="16"/>
        </w:rPr>
        <w:t xml:space="preserve">25 Futurism itself, however, he calls “the substrate of politics.”26 My second proposed modification follows from the first, its mandate being to situate Edelman’s political theory more </w:t>
      </w:r>
      <w:r w:rsidRPr="00085065">
        <w:rPr>
          <w:sz w:val="16"/>
        </w:rPr>
        <w:lastRenderedPageBreak/>
        <w:t>distinctly within history.27 In this regard, suspicious reader John Brenkman helpfully provides the political theory references missing from No Future, noting that “modern critical social discourse, whether among the Enlightenment’s philosophes, French revolutionaries, Marxists, social democrats, or contemporary socialists and democrats” all engage in the kind of future-wagering Edelman describes as definitively political.28 Historically, Brenkman is correct—</w:t>
      </w:r>
      <w:r w:rsidRPr="006370BD">
        <w:rPr>
          <w:rStyle w:val="StyleUnderline"/>
        </w:rPr>
        <w:t>futurism is a distinctively modern phenomenon that must be tethered to, among other things, the advent of industrial capitalism, colonialism, and the rise of the nation-state.</w:t>
      </w:r>
      <w:r w:rsidRPr="00085065">
        <w:rPr>
          <w:sz w:val="16"/>
        </w:rPr>
        <w:t xml:space="preserve"> This second modification makes clear that, in naming futurism, Edelman has identified a fundamental baseline of modernity and the workings of modern politics. However, Brenkman’s concern is less with history than the fact that Edelman seems to foreclose the possibility of such critical discourse by consigning it to the same status as the discourse of the Catholic Church and the religious Right. While Brenkman’s point is well-taken, it is already Edelman’s. For, whether liberal or conservative, Left or Right, communist or fascist, every modern political theory is invested in the repetition and reproduction of the social order, cast as a future aspirational ideal, to which the present is held hostage. This is as true of conservative movements as of radical or revolutionary ones—modern politics as such is defined by its investment in reproducing an order of sameness at the expense of the difference of now.29 Tavia Nyong’o has argued that Edelman’s reading of homophobia operates as a kind of nostalgia for a political moment already past, a moment when homosexuality really did pose an ominous and spectral threat to the social order, but does so no longer.30 However—and this is the third modification I wish to assert—the “queer” of No Future is by no means a crudely identitarian homosexual subject, nor is the child solely emblematic of procreation and childrearing. Edelman would agree with at least part of this point. He insists there is “nothing intrinsic to the constitution of those identifying as lesbian, gay, bisexual, transgendered, transsexual, or queer” that “predisposes them to resist the appeal of futurity, to refuse the temptation to reproduce, or to place themselves outside or against the acculturating logic of the Symbolic.”31 And indeed, it is not difficult to find examples of gay reproductive futurism, the most obvious being the movement for “marriage equality.” As former Human Rights Campaign (HRC) President Joe Solmonese puts it: “The fight for marriage equality for samesex couples is quite possibly the most conventional, family-friendly equal rights struggle ever.” He continues, “History bends not only toward fairness and equality, but also toward common sense. Marriage strengthens couples and families, who in turn help strengthen their communities, one at a time—leading ultimately to a stronger, more robust nation.”32 Mixing nationalism into a gay progress narrative of ever-expanding equality and familial inclusion, Solmonese here writes the playbook for reproductive futurism’s political palatability. Tellingly, Andrew Sullivan’s earlier praise of gay marriage is even more explicit on this count, invoking the importance of the future’s promise not just in the name of the children, but more specifically for gay children, who must be saved from having otherwise been born into futurelessness: More important, perhaps ... its [marriage’s] influence would be felt quietly but deeply among gay children. For them, at last, there would be some kind of future; some older faces to apply to their unfolding lives, some language in which their identity could be properly discussed, some rubric by which it could be explained— not in terms of sex, or sexual practices, or bars, or subterranean activity, but in terms of their future life stories, their potential loves, their eventual chance at some kind of constructive happiness. They would be able to feel by the intimation of a myriad examples that in this respect their emotional orientation was not merely about pleasure, or sin, or shame, or otherness (although it might always be involved in many of those things), but about the ability to love and be loved as complete, imperfect human beings. Until gay marriage is legalized, this fundamental element of personal dignity will be denied a whole segment of humanity. No other change can achieve it.33 As we can see, even when the Child is gay, its salvific promise is neither diverted nor diluted. It simply straightens out the queer threat potentially posed by bent children.34 Dangling the lure of “constructive happiness” before the eyes of youths for whom not sugarplums but sex parties dance in their heads, Sullivan here offers up the gay version of reproductive futurism, paternalistically reassuring us that a life of sex for sex’s sake is the meaningless, self-indulgent, anti-civilizational existence every good moralizer ever told us it was. Taken together, Sullivan and Solmonese helpfully illustrate the fact that Edelman’s argument is, in the end, not really about identity and not even about gay people (or, for that matter, straight people). </w:t>
      </w:r>
      <w:r w:rsidRPr="006370BD">
        <w:rPr>
          <w:rStyle w:val="StyleUnderline"/>
        </w:rPr>
        <w:t>Futurism is a logic that transcends the specifics of heterosexuality and homosexuality, and “queer” in Edelman’s vocabulary does not necessarily</w:t>
      </w:r>
      <w:r w:rsidRPr="00085065">
        <w:rPr>
          <w:sz w:val="16"/>
        </w:rPr>
        <w:t>—or, perhaps, even primarily, anymore, as Nyong’o suggests—</w:t>
      </w:r>
      <w:r w:rsidRPr="006370BD">
        <w:rPr>
          <w:rStyle w:val="StyleUnderline"/>
        </w:rPr>
        <w:t>stand in for gay and lesbian people.</w:t>
      </w:r>
      <w:r w:rsidRPr="00085065">
        <w:rPr>
          <w:sz w:val="16"/>
        </w:rPr>
        <w:t xml:space="preserve"> But, to return to my third modification, this also means that the child is not irrevocably tied to the existence, reproduction, or raising of “historical children.”35 In other words, even as the non- or anti-identity politics of Edelman’s figure of queerness is increasingly evident, he neglects to establish the similarly and necessarily nonidentitarian iconography of the future he inscribes (which also returns us to my first proposed modification, the distinction between futurism and reproductive futurism). The queer as homosexual and the Child as historical child may be concrete, daily exemplars of (certain ubiquitous if not exclusive versions of) heteronormativity. However, </w:t>
      </w:r>
      <w:r w:rsidRPr="006370BD">
        <w:rPr>
          <w:rStyle w:val="StyleUnderline"/>
        </w:rPr>
        <w:t>understood as a specific form of a more generalized futurist logic, it becomes clear that the child cannot simply be equated with reproduction, child-bearing, and child-rearing, just as the “queer” cannot simply mean “homosexual” in Edelman’s temporal sense.</w:t>
      </w:r>
      <w:r w:rsidRPr="00085065">
        <w:rPr>
          <w:sz w:val="16"/>
        </w:rPr>
        <w:t xml:space="preserve"> The child, along with the queer, is a crucial space for political and historical concretization of Edelman’s radical but otherwise unduly narrow political project. Puar: Terrorism, Homonationalism, and US Sexual Exceptionalism </w:t>
      </w:r>
      <w:r w:rsidRPr="006370BD">
        <w:rPr>
          <w:rStyle w:val="StyleUnderline"/>
        </w:rPr>
        <w:t>The</w:t>
      </w:r>
      <w:r w:rsidRPr="00085065">
        <w:rPr>
          <w:sz w:val="16"/>
        </w:rPr>
        <w:t xml:space="preserve"> HRC’s </w:t>
      </w:r>
      <w:r w:rsidRPr="006370BD">
        <w:rPr>
          <w:rStyle w:val="StyleUnderline"/>
        </w:rPr>
        <w:t xml:space="preserve">language of nationhood and the non-exclusivity of the child as futurist icon are the places to begin pushing Edelman’s queer theory toward an explicit engagement with the politics of race, nation, </w:t>
      </w:r>
      <w:r w:rsidRPr="00CB3C66">
        <w:rPr>
          <w:rStyle w:val="StyleUnderline"/>
        </w:rPr>
        <w:t>and US empire</w:t>
      </w:r>
      <w:r w:rsidRPr="00085065">
        <w:rPr>
          <w:sz w:val="16"/>
        </w:rPr>
        <w:t xml:space="preserve">. For Solmonese’s statement is not simply the rhetoric of reproductive futurism. It is also the language of homonationalism, a term Jasbir Puar has coined to document </w:t>
      </w:r>
      <w:r w:rsidRPr="00CB3C66">
        <w:rPr>
          <w:rStyle w:val="StyleUnderline"/>
        </w:rPr>
        <w:t>the “transition under way in how queer subjects are relating to nation-states</w:t>
      </w:r>
      <w:r w:rsidRPr="00085065">
        <w:rPr>
          <w:sz w:val="16"/>
        </w:rPr>
        <w:t xml:space="preserve">, particularly the United States, </w:t>
      </w:r>
      <w:r w:rsidRPr="00CB3C66">
        <w:rPr>
          <w:rStyle w:val="StyleUnderline"/>
        </w:rPr>
        <w:t>from being figures of death</w:t>
      </w:r>
      <w:r w:rsidRPr="00085065">
        <w:rPr>
          <w:sz w:val="16"/>
        </w:rPr>
        <w:t xml:space="preserve"> (in other words, the AIDS epidemic) </w:t>
      </w:r>
      <w:r w:rsidRPr="00CB3C66">
        <w:rPr>
          <w:rStyle w:val="StyleUnderline"/>
        </w:rPr>
        <w:t>to becoming tied to ideas of life and productivity</w:t>
      </w:r>
      <w:r w:rsidRPr="00085065">
        <w:rPr>
          <w:sz w:val="16"/>
        </w:rPr>
        <w:t xml:space="preserve"> (in other words, gay marriage and families).”36 Homonationalism is an abbreviated combination of the words “homonormative” and “nationalism,” the former term borrowed from Lisa Duggan, who describes “the new homonormativity” as a political realignment of the late 1990s/early 2000s in which gay rights became compatible with certain neoliberal, anti-statist, conservative, American nationalist viewpoints.37 Combining homonormativity with nationalism, then, Puar augments Nyong’o’s critique, arguing that </w:t>
      </w:r>
      <w:r w:rsidRPr="00CB3C66">
        <w:rPr>
          <w:rStyle w:val="StyleUnderline"/>
        </w:rPr>
        <w:t>the assimilation of certain gay and lesbian subjects into the mainstream of American</w:t>
      </w:r>
      <w:r w:rsidRPr="00085065">
        <w:rPr>
          <w:sz w:val="16"/>
        </w:rPr>
        <w:t xml:space="preserve"> normalcy, respectability, and </w:t>
      </w:r>
      <w:r w:rsidRPr="00CB3C66">
        <w:rPr>
          <w:rStyle w:val="StyleUnderline"/>
        </w:rPr>
        <w:t xml:space="preserve">citizenship has entailed the </w:t>
      </w:r>
      <w:r w:rsidRPr="00CB3C66">
        <w:rPr>
          <w:rStyle w:val="StyleUnderline"/>
        </w:rPr>
        <w:lastRenderedPageBreak/>
        <w:t>“fleeting sanctioning of a national homosexual subject”</w:t>
      </w:r>
      <w:r w:rsidRPr="00085065">
        <w:rPr>
          <w:sz w:val="16"/>
        </w:rPr>
        <w:t xml:space="preserve">38 who is </w:t>
      </w:r>
      <w:r w:rsidRPr="00CB3C66">
        <w:rPr>
          <w:rStyle w:val="StyleUnderline"/>
        </w:rPr>
        <w:t>“complicit with heterosexual nationalist formations rather than</w:t>
      </w:r>
      <w:r w:rsidRPr="00085065">
        <w:rPr>
          <w:sz w:val="16"/>
        </w:rPr>
        <w:t xml:space="preserve"> inherently or </w:t>
      </w:r>
      <w:r w:rsidRPr="00CB3C66">
        <w:rPr>
          <w:rStyle w:val="StyleUnderline"/>
        </w:rPr>
        <w:t>automatically excluded from</w:t>
      </w:r>
      <w:r w:rsidRPr="00085065">
        <w:rPr>
          <w:sz w:val="16"/>
        </w:rPr>
        <w:t xml:space="preserve"> or opposed to </w:t>
      </w:r>
      <w:r w:rsidRPr="00CB3C66">
        <w:rPr>
          <w:rStyle w:val="StyleUnderline"/>
        </w:rPr>
        <w:t>them</w:t>
      </w:r>
      <w:r w:rsidRPr="00085065">
        <w:rPr>
          <w:sz w:val="16"/>
        </w:rPr>
        <w:t xml:space="preserve">.”39 </w:t>
      </w:r>
      <w:r w:rsidRPr="00CB3C66">
        <w:rPr>
          <w:rStyle w:val="StyleUnderline"/>
        </w:rPr>
        <w:t>One effect of homonationalism</w:t>
      </w:r>
      <w:r w:rsidRPr="00085065">
        <w:rPr>
          <w:sz w:val="16"/>
        </w:rPr>
        <w:t xml:space="preserve"> in the post-9/11 context of the “War on Terror” </w:t>
      </w:r>
      <w:r w:rsidRPr="00CB3C66">
        <w:rPr>
          <w:rStyle w:val="StyleUnderline"/>
        </w:rPr>
        <w:t>is the perverse</w:t>
      </w:r>
      <w:r w:rsidRPr="00085065">
        <w:rPr>
          <w:sz w:val="16"/>
        </w:rPr>
        <w:t xml:space="preserve"> sexualization or </w:t>
      </w:r>
      <w:r w:rsidRPr="00CB3C66">
        <w:rPr>
          <w:rStyle w:val="StyleUnderline"/>
        </w:rPr>
        <w:t>“queering” of Arabs and Muslims</w:t>
      </w:r>
      <w:r w:rsidRPr="00085065">
        <w:rPr>
          <w:sz w:val="16"/>
        </w:rPr>
        <w:t xml:space="preserve"> (and all those held to be such) </w:t>
      </w:r>
      <w:r w:rsidRPr="00CB3C66">
        <w:rPr>
          <w:rStyle w:val="StyleUnderline"/>
        </w:rPr>
        <w:t>in the figure of the “terrorist,”</w:t>
      </w:r>
      <w:r w:rsidRPr="00085065">
        <w:rPr>
          <w:sz w:val="16"/>
        </w:rPr>
        <w:t xml:space="preserve"> a figure of </w:t>
      </w:r>
      <w:r w:rsidRPr="00CB3C66">
        <w:rPr>
          <w:rStyle w:val="StyleUnderline"/>
        </w:rPr>
        <w:t>monstrosity</w:t>
      </w:r>
      <w:r w:rsidRPr="00085065">
        <w:rPr>
          <w:sz w:val="16"/>
        </w:rPr>
        <w:t xml:space="preserve">, excess, savagery, and perversion. To be clear, Puar is not suggesting that the “terrorist” is the new queer. Rather, she is arguing that “queerness is always already installed in the project of naming the terrorist; the terrorist does not appear as such without the concurrent entrance of perversion, deviance.”40 Neither an identity nor a defining behavioral activity (for example, homosexuality), </w:t>
      </w:r>
      <w:r w:rsidRPr="00CB3C66">
        <w:rPr>
          <w:rStyle w:val="StyleUnderline"/>
        </w:rPr>
        <w:t>Puar elaborates queerness as a biopolitical tactic that functions to define and divide populations through processes of racialization, a “management of queer life at the expense of sexually and racially perverse death in relation to the contemporary politics of securitization, Orientalism, terrorism, torture, and the articulation of Muslim, Arab, Sikh, and South Asian sexualities</w:t>
      </w:r>
      <w:r w:rsidRPr="00085065">
        <w:rPr>
          <w:sz w:val="16"/>
        </w:rPr>
        <w:t xml:space="preserve">.”41 In this view, “the contemporary U.S. heteronormative nation actually relies on and benefits from the proliferation of queerness.”42 </w:t>
      </w:r>
      <w:r w:rsidRPr="00CB3C66">
        <w:rPr>
          <w:rStyle w:val="StyleUnderline"/>
        </w:rPr>
        <w:t>Homonationalism, as a biopolitics of queerness, functions to discipline and (re)produce homosexuality as white, American, patriotic, and upwardly mobile while designating people of color, immigrants, and Arabs and Muslims as both heterosexual and yet dangerously “queer”—</w:t>
      </w:r>
      <w:r w:rsidRPr="00085065">
        <w:rPr>
          <w:sz w:val="16"/>
        </w:rPr>
        <w:t xml:space="preserve">as “terrorists” or “failed and perverse” bodies that “always have femininity as their reference point of malfunction, and are metonymically tied to all sorts of pathologies of the mind and body—homosexuality, incest, pedophilia, madness, and disease.”43 As is evident, queerness in Puar’s account veers from any simple conflation with gay and lesbian subjectivity; as she says, </w:t>
      </w:r>
      <w:r w:rsidRPr="00CB3C66">
        <w:rPr>
          <w:rStyle w:val="StyleUnderline"/>
        </w:rPr>
        <w:t>“Race, ethnicity, nation, gender, class, and sexuality disaggregate gay, homosexual, and queer national subjects who align themselves with U.S. imperial interests from forms of illegitimate queerness that</w:t>
      </w:r>
      <w:r w:rsidRPr="00085065">
        <w:rPr>
          <w:sz w:val="16"/>
        </w:rPr>
        <w:t xml:space="preserve"> name and ultimately </w:t>
      </w:r>
      <w:r w:rsidRPr="00CB3C66">
        <w:rPr>
          <w:rStyle w:val="StyleUnderline"/>
        </w:rPr>
        <w:t>propel populations into extinction.</w:t>
      </w:r>
      <w:r w:rsidRPr="00085065">
        <w:rPr>
          <w:sz w:val="16"/>
        </w:rPr>
        <w:t xml:space="preserve">”44 The happily married couples that populate the HRC’s literature and website, then, would be the homonational, or properly queer; the “monster terrorist fag” abjected into existence through torture at Abu Ghraib or Guanta´namo, detained indefinitely in any of the US’s many illegal prisons, surveilled incessantly in mosques and cafes, and stigmatized as suffering from arrested development by the psychologizing literature of security studies, would be the improperly queer.45 </w:t>
      </w:r>
      <w:r w:rsidRPr="00CB3C66">
        <w:rPr>
          <w:rStyle w:val="StyleUnderline"/>
        </w:rPr>
        <w:t>Puar’s point is that these queernesses go together and require one another, much as</w:t>
      </w:r>
      <w:r w:rsidRPr="00085065">
        <w:rPr>
          <w:sz w:val="16"/>
        </w:rPr>
        <w:t xml:space="preserve">, I think, </w:t>
      </w:r>
      <w:r w:rsidRPr="00CB3C66">
        <w:rPr>
          <w:rStyle w:val="StyleUnderline"/>
        </w:rPr>
        <w:t>Edelman can be seen to be arguing that the child and the queer go together and require one another.</w:t>
      </w:r>
      <w:r w:rsidRPr="00085065">
        <w:rPr>
          <w:sz w:val="16"/>
        </w:rPr>
        <w:t xml:space="preserve"> What Puar concretizes, however, in theorizing queerness as a “process of racialization”46 is not simply the analytic point that “queer” and “homosexual” are distinct but, more importantly, the urgently political point that the abjected or improper queer who stands outside the social order and is in effect antagonistic to it is, in this contemporary moment, much more likely to be a Muslim or someone perceived as “looking like” a Muslim to the American gaze than, let us admit it, the newly engaged same-sex couples thronging state houses in Minnesota, Connecticut, and Colorado (much less the “homosexual” figure of queerness in No Future). </w:t>
      </w:r>
      <w:r w:rsidRPr="00F15161">
        <w:rPr>
          <w:rStyle w:val="Emphasis"/>
        </w:rPr>
        <w:t>Understanding queerness as a process of nationalization and racialization also concretizes and expands the understanding of heteronormativity or</w:t>
      </w:r>
      <w:r w:rsidRPr="00085065">
        <w:rPr>
          <w:sz w:val="16"/>
        </w:rPr>
        <w:t xml:space="preserve">, in Edelman’s words, </w:t>
      </w:r>
      <w:r w:rsidRPr="00F15161">
        <w:rPr>
          <w:rStyle w:val="Emphasis"/>
        </w:rPr>
        <w:t>the future</w:t>
      </w:r>
      <w:r w:rsidRPr="00085065">
        <w:rPr>
          <w:sz w:val="16"/>
        </w:rPr>
        <w:t xml:space="preserve">. For </w:t>
      </w:r>
      <w:r w:rsidRPr="00F15161">
        <w:rPr>
          <w:rStyle w:val="StyleUnderline"/>
        </w:rPr>
        <w:t>the terrorist in Puar’s analysis</w:t>
      </w:r>
      <w:r w:rsidRPr="00085065">
        <w:rPr>
          <w:sz w:val="16"/>
        </w:rPr>
        <w:t xml:space="preserve"> resists or </w:t>
      </w:r>
      <w:r w:rsidRPr="00F15161">
        <w:rPr>
          <w:rStyle w:val="StyleUnderline"/>
        </w:rPr>
        <w:t>denies a future that is symbolized and defined not only or simply by the child, but also by the American nation and secular Christianity</w:t>
      </w:r>
      <w:r w:rsidRPr="00085065">
        <w:rPr>
          <w:sz w:val="16"/>
        </w:rPr>
        <w:t xml:space="preserve">. As she says, “In the political imagination, the terrorist serves as the monstrous excess of the nation-state.”47 Post-9/11, Puar notes that this terrorist threat is undeniably linked with Islam, which often serves as its “explanation.”48 As she observes, Islam signifies, to the ostensibly secular and modern US, both “excess” and “savagery”: “Religious belief is thus cast, in relation to other factors fueling terrorism, as the overflow, the final excess that impels monstrosity—the ‘different attitude toward violence’ signaling these uncivilizable forces.”49 </w:t>
      </w:r>
      <w:r w:rsidRPr="00F15161">
        <w:rPr>
          <w:rStyle w:val="StyleUnderline"/>
        </w:rPr>
        <w:t>Puar’s reading suggests that Islam threatens the futurist temporality of American empire. Cast as retrograde, backward, and frozen in pre-modern religiosity, Islam threatens the progress narrative of US imperial wars which are alleged to bring ever-greater freedom, not only to women and homosexuals, but also to uncivilized, savage, and undemocratic people(s)</w:t>
      </w:r>
      <w:r w:rsidRPr="00085065">
        <w:rPr>
          <w:sz w:val="16"/>
        </w:rPr>
        <w:t xml:space="preserve"> and nations around the world.50 Finally, then, it is important to note that as Islam has been queered or come to signify queerness, it does so in two ways: first, through the phobic association of Islam with terrorism; and, second, through the racist and Orientalist conflation of Islam with homophobia, anti-feminism, and sexual backwardness more generally. Putting Puar’s analysis in an Edelman-esque frame, we might say that the figure of the “terrorist” who threatens national goals, progress, hope—indeed, the nation’s very existence—can be cast as the excessive, anti-social, future-denying figure of the “queer” in Edelman. Or, we might say that just as the domain of normativity has expanded to include some gay people, correspondingly, the domain of (inassimilable) queerness also has shifted. Puar’s analysis of the collusion “between homosexuality and U.S. nationalism”51 as producing two figures, the homonormative patriot and the queer terrorist, notes them as, on the one hand, the embodiment and normative achievement of the social order and, on the other hand, the dissolution and destruction of that social order.52 No longer designating “the homosexual” per se, “queer” names the monstrously raced and perversely sexualized Arab/Muslim/terrorist Other that threatens the American social and political order, an order that (some) properly gay and lesbian subjects can now, through their incorporation into normative American national life, inhabit and reproduce. In sum, we have a theorization of “queer” wherein the sexually backward Muslim is led by the irrationality and violence of her/his religion to annihilate those who serve and protect freedom for all. In this analysis of “the sexually exceptional </w:t>
      </w:r>
      <w:r w:rsidRPr="00085065">
        <w:rPr>
          <w:sz w:val="16"/>
        </w:rPr>
        <w:lastRenderedPageBreak/>
        <w:t xml:space="preserve">homonational and its evil counterpart, the queer terrorist of elsewhere,”53 the “terrorist” is to the HRC what, in Edelman’s analysis, the queer is to the child.54 Edelman and Puar: Theorizing Resistance Puar’s theorization of </w:t>
      </w:r>
      <w:r w:rsidRPr="00F15161">
        <w:rPr>
          <w:rStyle w:val="StyleUnderline"/>
        </w:rPr>
        <w:t>homonationalism is</w:t>
      </w:r>
      <w:r w:rsidRPr="00085065">
        <w:rPr>
          <w:sz w:val="16"/>
        </w:rPr>
        <w:t xml:space="preserve"> a significant contribution to queer theory and an essential </w:t>
      </w:r>
      <w:r w:rsidRPr="00F15161">
        <w:rPr>
          <w:rStyle w:val="StyleUnderline"/>
        </w:rPr>
        <w:t>corrective to Edelman’s</w:t>
      </w:r>
      <w:r w:rsidRPr="00085065">
        <w:rPr>
          <w:sz w:val="16"/>
        </w:rPr>
        <w:t xml:space="preserve"> otherwise historically and racially unmarked </w:t>
      </w:r>
      <w:r w:rsidRPr="00F15161">
        <w:rPr>
          <w:rStyle w:val="StyleUnderline"/>
        </w:rPr>
        <w:t>analysis of (reproductive) futurism</w:t>
      </w:r>
      <w:r w:rsidRPr="00085065">
        <w:rPr>
          <w:sz w:val="16"/>
        </w:rPr>
        <w:t xml:space="preserve">. Her work allows us to critique futurism in ways that are responsive to the specificities of its racial and national workings, consequences gapingly unattended to by him. While Edelman deftly parses the logic of power in terms of futurism’s hegemony, he fails fully to unpack its coercive force by focusing solely on futurism’s relationship to an exceedingly narrow version of non-reproductive homosexuality. Although he claims that the theory of politics he explicates in No Future is indifferent to race, arguing that “the fascism of the baby’s face ... subjects us to its sovereign authority as the figure of politics itself ... whatever the face a particular politics gives that baby to wear— Aryan or multicultural, that of the thirty-thousand-year Reich or of an ever expanding horizon of democratic inclusivity,”55 what is clear is that the reproductive futurism he critiques is symptomatic of a very specific bourgeois class culture within the imperial US, a culture that garners his criticism only insofar as it is bound up with heteronormativity.56 By contrast, Puar’s demand that we focus our attention on the racial and nationalized logics of queerness(es) and the unexpected complicities between queers, nationalism, and empire remains only suggestive of futurism’s determinative role, never naming it specifically. Now, this is likely because Puar neither endorses nor conceptualizes futurism as a useful diagnosis of modern politics, just as Edelman may very much wish to privilege (white male homo) sexuality in his psychoanalysis of futurism. However, I suggest that authorial intentions—both Puar’s and Edelman’s—be respectfully disregarded, not only because we have become savvy to the multiple begged questions inherent in any invocation of authorial intention, but also because more than our scholarly work is at stake when it comes to forging critical resistance to US imperial power. Indeed, while the net effect of Edelman’s analysis is that only white gay men are considered the deathly threat portended by queerness in No Future, 57 if we return to his definition of “queer” and insist on distinguishing between futurism and reproductive futurism, we note that </w:t>
      </w:r>
      <w:r w:rsidRPr="00F15161">
        <w:rPr>
          <w:rStyle w:val="StyleUnderline"/>
        </w:rPr>
        <w:t>“queer” designates anyone who fails to abide by the rules of social temporality</w:t>
      </w:r>
      <w:r w:rsidRPr="00085065">
        <w:rPr>
          <w:sz w:val="16"/>
        </w:rPr>
        <w:t xml:space="preserve">—that is, </w:t>
      </w:r>
      <w:r w:rsidRPr="00F15161">
        <w:rPr>
          <w:rStyle w:val="StyleUnderline"/>
        </w:rPr>
        <w:t>anyone who sacrifices the future for the sake of the present</w:t>
      </w:r>
      <w:r w:rsidRPr="00F15161">
        <w:rPr>
          <w:rStyle w:val="Emphasis"/>
        </w:rPr>
        <w:t>. As such, futurism’s ruthless machinations stigmatize all sorts of populations as emblematic of the death and destruction of the social order.</w:t>
      </w:r>
      <w:r w:rsidRPr="00085065">
        <w:rPr>
          <w:sz w:val="16"/>
        </w:rPr>
        <w:t xml:space="preserve"> This broad array of misfits and perverts may include some gay, lesbian, and queer people. It necessarily also includes the “terrorist” and “Muslim” whom Puar argues are biopolitical targets of abjected queerness. This analysis also suggests that </w:t>
      </w:r>
      <w:r w:rsidRPr="00F15161">
        <w:rPr>
          <w:rStyle w:val="StyleUnderline"/>
        </w:rPr>
        <w:t>temporality is a crucial axis of determination regarding all “enemies” of the social order,</w:t>
      </w:r>
      <w:r w:rsidRPr="00085065">
        <w:rPr>
          <w:sz w:val="16"/>
        </w:rPr>
        <w:t xml:space="preserve"> a notion that links Edelman’s political theory to other important work in radical queer politics. For example, in her definitive essay, “Punks, Bulldaggers, and Welfare Queens: The Radical Potential of Queer Politics?,” Cathy Cohen argues for a re-thinking of marginal positionality in terms of one’s relation to power rather than in terms of a binary categorization of queer vs straight. She cites the examples of the prohibition of slave marriages and the long history of obsession with black women’s reproductive choices in the US as examples of ostensibly heterosexual people inhabiting positions outside the bounds of normative sexuality because of race, class, and property status. In arguing for a more capacious, intersectional queer politics that is accountable not simply to the question of who is and is not heterosexual but, more broadly, to the question of what each of our relationships with and proximity to power may be, Cohen writes: As we stand on the verge of watching those in power dismantle the welfare system through a process of demonizing the poor and young—primarily poor and young women of color, many of whom have existed for their entire lives outside the white, middle-class heterosexual norm—we have to ask if these women do not fit into society’s categories of marginal, deviant, and “queer.” As we watch the explosion of prison construction and the disproportionate incarceration rates of young men and women of color, often as part of the economic development of poor white rural communities, we have to ask if these individuals do not fit society’s definition of “queer” and expendable. </w:t>
      </w:r>
      <w:r w:rsidRPr="00F15161">
        <w:rPr>
          <w:rStyle w:val="StyleUnderline"/>
        </w:rPr>
        <w:t>Cohen’s understanding of “queer” as a kind of non- or anti-normativity based on one’s proximity to power might also be understood in terms of futurism and its flouting by “deviants.”</w:t>
      </w:r>
      <w:r w:rsidRPr="00085065">
        <w:rPr>
          <w:sz w:val="16"/>
        </w:rPr>
        <w:t xml:space="preserve"> For, </w:t>
      </w:r>
      <w:r w:rsidRPr="00F15161">
        <w:rPr>
          <w:rStyle w:val="StyleUnderline"/>
        </w:rPr>
        <w:t>if the key characteristic of queerness is a temporal one, then having “too many” babies is just as much a threat to America’s future as not having any at all</w:t>
      </w:r>
      <w:r w:rsidRPr="00085065">
        <w:rPr>
          <w:sz w:val="16"/>
        </w:rPr>
        <w:t>—</w:t>
      </w:r>
      <w:r w:rsidRPr="00F15161">
        <w:rPr>
          <w:rStyle w:val="StyleUnderline"/>
        </w:rPr>
        <w:t>it just depends on which queers we are talking about</w:t>
      </w:r>
      <w:r w:rsidRPr="00085065">
        <w:rPr>
          <w:sz w:val="16"/>
        </w:rPr>
        <w:t xml:space="preserve"> (not only Reagan’s welfare queen, but also recall the manufactured election-year discourse about “anchor babies”).59 Naming these explicitly makes futurism a useful tool to diagnose the contemporary political moment from a radical queer perspective that does not fetishize sexuality as either the primary domain of subordination or the sole focus of political struggle and resistance.</w:t>
      </w:r>
    </w:p>
    <w:p w:rsidR="0068462F" w:rsidRDefault="0068462F" w:rsidP="0068462F">
      <w:pPr>
        <w:pStyle w:val="Heading4"/>
      </w:pPr>
      <w:r>
        <w:t xml:space="preserve">The alternative is to embrace the queer negativity of education—disconnecting learning from futurity inhabits the gaps within the social to explore queer possibilities </w:t>
      </w:r>
    </w:p>
    <w:p w:rsidR="0068462F" w:rsidRDefault="0068462F" w:rsidP="0068462F">
      <w:r w:rsidRPr="00A71B72">
        <w:rPr>
          <w:rStyle w:val="Author-Date"/>
        </w:rPr>
        <w:t>Greteman &amp; Wojcikiewicz 2014</w:t>
      </w:r>
      <w:r>
        <w:t xml:space="preserve"> [ Adam J., Adjunct Assistant Professor of Art Education at the School of the Art Institute of Chicago; Steven K., Assistant Professor in the College of Education at Western Oregon University | “The Problems with the Future: Educational Futurism and the Figural Child” Journal of Philosophy of Education, Vol. 48, No. 4, 2014]</w:t>
      </w:r>
    </w:p>
    <w:p w:rsidR="0068462F" w:rsidRDefault="0068462F" w:rsidP="0068462F">
      <w:pPr>
        <w:rPr>
          <w:rStyle w:val="StyleUnderline"/>
        </w:rPr>
      </w:pPr>
      <w:r w:rsidRPr="00A71B72">
        <w:rPr>
          <w:sz w:val="16"/>
        </w:rPr>
        <w:t xml:space="preserve">This may seem to lay out a solution for educational futurism in the name of what might be called educational present-ism, but it is not so. </w:t>
      </w:r>
      <w:r w:rsidRPr="009A6725">
        <w:rPr>
          <w:rStyle w:val="StyleUnderline"/>
        </w:rPr>
        <w:t xml:space="preserve">It would be a mistake, when viewing educational futurism and the Child in terms of their roles in </w:t>
      </w:r>
      <w:r w:rsidRPr="009A6725">
        <w:rPr>
          <w:rStyle w:val="StyleUnderline"/>
        </w:rPr>
        <w:lastRenderedPageBreak/>
        <w:t xml:space="preserve">creating poor educational practice, to respond merely by calling for an education for the present. Such a call would fall into dualistic thinking that sets the present against the future and demands allegiance to one side or the other. </w:t>
      </w:r>
      <w:r w:rsidRPr="00A71B72">
        <w:rPr>
          <w:sz w:val="16"/>
        </w:rPr>
        <w:t xml:space="preserve">Both Dewey and Edelman warn against such a step, Edelman by making a queer argument centred on the death drive, and Dewey by pointing out the dangers of boiling complex ideas down to either-or propositions. </w:t>
      </w:r>
      <w:r w:rsidRPr="009A6725">
        <w:rPr>
          <w:rStyle w:val="StyleUnderline"/>
        </w:rPr>
        <w:t>Seeing the disruptive potential of the embracing the ‘negativity’ of queerness, Edelman utilises Lacan’s theorisation of the death drive.</w:t>
      </w:r>
      <w:r w:rsidRPr="00A71B72">
        <w:rPr>
          <w:sz w:val="16"/>
        </w:rPr>
        <w:t xml:space="preserve"> He notes that ‘the death drive marks the excess embedded within the Symbolic through the loss, the Real loss, that the advent of the signifier effects’ (2004, p. 9). </w:t>
      </w:r>
      <w:r w:rsidRPr="009A6725">
        <w:rPr>
          <w:rStyle w:val="StyleUnderline"/>
        </w:rPr>
        <w:t>The death drive becomes the moment of undoing, of constantly seeking to disrupt and destroy the signifier for ‘the queer insists that politics is always a politics of the signifier’</w:t>
      </w:r>
      <w:r w:rsidRPr="00A71B72">
        <w:rPr>
          <w:sz w:val="16"/>
        </w:rPr>
        <w:t xml:space="preserve"> (p. 6). Queerness makes possible a constant disruption or ‘the violent undoing of meaning, the loss of identity and coherence’ (p. 132). </w:t>
      </w:r>
      <w:r w:rsidRPr="009A6725">
        <w:rPr>
          <w:rStyle w:val="StyleUnderline"/>
        </w:rPr>
        <w:t>Edelman’s embrace of the death drive thus challenges the story of the Child’s innocence. In this challenge however, he notes that,</w:t>
      </w:r>
      <w:r w:rsidRPr="00A71B72">
        <w:rPr>
          <w:sz w:val="16"/>
        </w:rPr>
        <w:t xml:space="preserve"> . . . </w:t>
      </w:r>
      <w:r w:rsidRPr="009A6725">
        <w:rPr>
          <w:rStyle w:val="StyleUnderline"/>
        </w:rPr>
        <w:t>to intervene in the reproduction of such a reality</w:t>
      </w:r>
      <w:r w:rsidRPr="00A71B72">
        <w:rPr>
          <w:sz w:val="16"/>
        </w:rPr>
        <w:t>—an intervention that may well take the form of figuring that reality’s abortion—</w:t>
      </w:r>
      <w:r w:rsidRPr="009A6725">
        <w:rPr>
          <w:rStyle w:val="StyleUnderline"/>
        </w:rPr>
        <w:t>queer theory must always insist on its connection to the vicissitudes of the sign</w:t>
      </w:r>
      <w:r w:rsidRPr="00A71B72">
        <w:rPr>
          <w:sz w:val="16"/>
        </w:rPr>
        <w:t xml:space="preserve">, to the tension between the signifier’s collapse into the letter’s cadaverous materiality and its participation in a system of reference wherein it generates meaning itself (p. 7). Edelman, as such, is following a broader theme in queer theory. Eve </w:t>
      </w:r>
      <w:r w:rsidRPr="009A6725">
        <w:rPr>
          <w:rStyle w:val="StyleUnderline"/>
        </w:rPr>
        <w:t>Sedgwick</w:t>
      </w:r>
      <w:r w:rsidRPr="00A71B72">
        <w:rPr>
          <w:sz w:val="16"/>
        </w:rPr>
        <w:t xml:space="preserve"> (1993) </w:t>
      </w:r>
      <w:r w:rsidRPr="009A6725">
        <w:rPr>
          <w:rStyle w:val="StyleUnderline"/>
        </w:rPr>
        <w:t>suggests queer ‘can refer to: the mesh of possibilities, of gaps, overlaps, dissonances, and resonances, lapses and excesses of meaning when the constituent elements of anyone’s gender, of anyone’s sexuality aren’t made (</w:t>
      </w:r>
      <w:r w:rsidRPr="00A71B72">
        <w:rPr>
          <w:sz w:val="16"/>
        </w:rPr>
        <w:t xml:space="preserve">or can’t be made) </w:t>
      </w:r>
      <w:r w:rsidRPr="009A6725">
        <w:rPr>
          <w:rStyle w:val="StyleUnderline"/>
        </w:rPr>
        <w:t>to signify monolithically’</w:t>
      </w:r>
      <w:r w:rsidRPr="00A71B72">
        <w:rPr>
          <w:sz w:val="16"/>
        </w:rPr>
        <w:t xml:space="preserve"> (p. 8). </w:t>
      </w:r>
      <w:r w:rsidRPr="009A6725">
        <w:rPr>
          <w:rStyle w:val="StyleUnderline"/>
        </w:rPr>
        <w:t>The social order, under modernity</w:t>
      </w:r>
      <w:r w:rsidRPr="00A71B72">
        <w:rPr>
          <w:sz w:val="16"/>
        </w:rPr>
        <w:t xml:space="preserve">, is fantasised to be coherent, to seek consistency, completeness, and unity. It </w:t>
      </w:r>
      <w:r w:rsidRPr="009A6725">
        <w:rPr>
          <w:rStyle w:val="StyleUnderline"/>
        </w:rPr>
        <w:t>seeks to tell a story that does not fail,</w:t>
      </w:r>
      <w:r w:rsidRPr="00A71B72">
        <w:rPr>
          <w:sz w:val="16"/>
        </w:rPr>
        <w:t xml:space="preserve"> even as it always must. </w:t>
      </w:r>
      <w:r w:rsidRPr="009A6725">
        <w:rPr>
          <w:rStyle w:val="StyleUnderline"/>
        </w:rPr>
        <w:t>It is this failure that queerness embraces.</w:t>
      </w:r>
      <w:r w:rsidRPr="00A71B72">
        <w:rPr>
          <w:sz w:val="16"/>
        </w:rPr>
        <w:t xml:space="preserve"> As Edelman notes ‘queer theory marks the “other” side of politics: the “side” where narrative realization and derealization overlap . . . the “side” outside of all political sides’ (p. 7). While some may seek to tame queer theory so as to imply troubling—eliminating the queers association with (homo)sexuality—such a move is problematic as it ‘dematerialize[s] any possibility of queerness itself’ because homosexuality is a piece of the queers ‘definitional center’ (Sedgwick, 1993, p. 8). Such a move ignores the role of sexual orientation in queerness. And as Ahmed notes </w:t>
      </w:r>
      <w:r w:rsidRPr="009A6725">
        <w:rPr>
          <w:rStyle w:val="StyleUnderline"/>
        </w:rPr>
        <w:t>‘being oriented in different ways does matter, precisely because of how spaces are already oriented</w:t>
      </w:r>
      <w:r w:rsidRPr="00A71B72">
        <w:rPr>
          <w:sz w:val="16"/>
        </w:rPr>
        <w:t xml:space="preserve"> . . </w:t>
      </w:r>
      <w:r w:rsidRPr="009A6725">
        <w:rPr>
          <w:rStyle w:val="StyleUnderline"/>
        </w:rPr>
        <w:t>. Orientations affect what bodies can do’</w:t>
      </w:r>
      <w:r w:rsidRPr="00A71B72">
        <w:rPr>
          <w:sz w:val="16"/>
        </w:rPr>
        <w:t xml:space="preserve"> (2006, p. 563). </w:t>
      </w:r>
      <w:r w:rsidRPr="009A6725">
        <w:rPr>
          <w:rStyle w:val="StyleUnderline"/>
        </w:rPr>
        <w:t>As such, orientation impacts the ability to think of the future and to what ends one is oriented toward.</w:t>
      </w:r>
      <w:r>
        <w:rPr>
          <w:rStyle w:val="StyleUnderline"/>
        </w:rPr>
        <w:t xml:space="preserve"> </w:t>
      </w:r>
      <w:r w:rsidRPr="009A6725">
        <w:rPr>
          <w:rStyle w:val="StyleUnderline"/>
        </w:rPr>
        <w:t>The task in part is the embrace of the negative in order to challenge the social reality and its fantasy of coherence to orient in new ways. The incompleteness of children</w:t>
      </w:r>
      <w:r w:rsidRPr="00A71B72">
        <w:rPr>
          <w:sz w:val="16"/>
        </w:rPr>
        <w:t xml:space="preserve">, much maligned, </w:t>
      </w:r>
      <w:r w:rsidRPr="009A6725">
        <w:rPr>
          <w:rStyle w:val="StyleUnderline"/>
        </w:rPr>
        <w:t>emerges then as a site for such a challenge whereby the incompleteness is embraced so that coherence is always in question.</w:t>
      </w:r>
      <w:r w:rsidRPr="00A71B72">
        <w:rPr>
          <w:sz w:val="16"/>
        </w:rPr>
        <w:t xml:space="preserve"> The social reality is constantly under threat of disintegration and as such seeks to regulate those bodies that cause such threats. </w:t>
      </w:r>
      <w:r w:rsidRPr="000C322C">
        <w:rPr>
          <w:rStyle w:val="StyleUnderline"/>
        </w:rPr>
        <w:t>The queerness of children produces different ways to do and be in the world, hidden by the regulatory subject in the form of the Child. To employ a queer perspective in the examination of educational futurism is not solely to carry out a simple act of negation</w:t>
      </w:r>
      <w:r w:rsidRPr="00A71B72">
        <w:rPr>
          <w:sz w:val="16"/>
        </w:rPr>
        <w:t xml:space="preserve"> (i.e. negating the Child), </w:t>
      </w:r>
      <w:r w:rsidRPr="000C322C">
        <w:rPr>
          <w:rStyle w:val="StyleUnderline"/>
        </w:rPr>
        <w:t>but to recognise how that negation is, in part, how the future is figured and how different futures might become thinkable.</w:t>
      </w:r>
      <w:r>
        <w:rPr>
          <w:rStyle w:val="StyleUnderline"/>
        </w:rPr>
        <w:t xml:space="preserve"> </w:t>
      </w:r>
      <w:r w:rsidRPr="00A71B72">
        <w:rPr>
          <w:sz w:val="16"/>
        </w:rPr>
        <w:t xml:space="preserve">For Edelman this embrace occurs through his theorisation around the death drive, which ‘names what the queer, in the order of the social, is called forth to figure: the negativity opposed to every form of social viability’ (2004, p. 9). </w:t>
      </w:r>
      <w:r w:rsidRPr="00E53BCC">
        <w:rPr>
          <w:rStyle w:val="StyleUnderline"/>
        </w:rPr>
        <w:t>Queerness challenges the world and opposes the norms that structure the logic of the social. It is not reproductive and within the realm of the social, unintelligible. It works against stability at all times, seeking its own death.</w:t>
      </w:r>
      <w:r w:rsidRPr="00A71B72">
        <w:rPr>
          <w:sz w:val="16"/>
        </w:rPr>
        <w:t xml:space="preserve"> In doing so, queerness challenges identity politics: [w]here the political interventions of identitarian minorities— including those who seek to substantialize the identities of lesbians, gay men, and bisexuals—may properly take shape as oppositional, affording the dominant order a reassuringly symmetrical, if inverted, depiction of its own ostensibly coherent identity, queer theory’s opposition is precisely to any such logic of opposition, its proper task the ceaseless disappropriation of every propriety. (p. 24) </w:t>
      </w:r>
      <w:r w:rsidRPr="00C50218">
        <w:rPr>
          <w:rStyle w:val="StyleUnderline"/>
        </w:rPr>
        <w:t>Yet, this death, this negation, is not to deny existence, but to push for alternative possibilities</w:t>
      </w:r>
      <w:r w:rsidRPr="00A71B72">
        <w:rPr>
          <w:sz w:val="16"/>
        </w:rPr>
        <w:t>—</w:t>
      </w:r>
      <w:r w:rsidRPr="00C50218">
        <w:rPr>
          <w:rStyle w:val="Emphasis"/>
        </w:rPr>
        <w:t>it is</w:t>
      </w:r>
      <w:r w:rsidRPr="00A71B72">
        <w:rPr>
          <w:sz w:val="16"/>
        </w:rPr>
        <w:t xml:space="preserve">, one might say, </w:t>
      </w:r>
      <w:r w:rsidRPr="00C50218">
        <w:rPr>
          <w:rStyle w:val="Emphasis"/>
        </w:rPr>
        <w:t>productive but never reproductive in producing new orientations to the world</w:t>
      </w:r>
      <w:r w:rsidRPr="00C50218">
        <w:rPr>
          <w:rStyle w:val="StyleUnderline"/>
        </w:rPr>
        <w:t>. It is creative in its destructive intentions, as it must never cease its negation within any given normative framework.</w:t>
      </w:r>
      <w:r>
        <w:rPr>
          <w:rStyle w:val="StyleUnderline"/>
        </w:rPr>
        <w:t xml:space="preserve"> </w:t>
      </w:r>
      <w:r w:rsidRPr="00A71B72">
        <w:rPr>
          <w:sz w:val="16"/>
        </w:rPr>
        <w:t xml:space="preserve">Dewey follows a parallel course here, in that he does not seek to create an essential, normative position. Rather, in his conception of both life and of education as growth for its own sake, he denies essential identities. Essentialising, in any form, would clearly disrupt Dewey’s insistence on the connection between life, growth, and education, and the self-justifying nature of the latter two. </w:t>
      </w:r>
      <w:r w:rsidRPr="00C50218">
        <w:rPr>
          <w:rStyle w:val="StyleUnderline"/>
        </w:rPr>
        <w:t xml:space="preserve">If the death drive appears here, as Edelman has used it, it appears as the constant disrupter of the static, the destroyer of identity, the social, which makes </w:t>
      </w:r>
      <w:r w:rsidRPr="00C50218">
        <w:rPr>
          <w:rStyle w:val="StyleUnderline"/>
        </w:rPr>
        <w:lastRenderedPageBreak/>
        <w:t>constant growth and learning possible.</w:t>
      </w:r>
      <w:r w:rsidRPr="00A71B72">
        <w:rPr>
          <w:sz w:val="16"/>
        </w:rPr>
        <w:t xml:space="preserve"> When Dewey warns about the danger of placing the adult above the child, he does not propose that the answer is the placement of the child above the adult. Rather, Dewey seeks to deny the duality itself. ‘The relation of the present and the future’, he writes, ‘is not an Either-Or affair’ (1938, p. 30). Arguably then, </w:t>
      </w:r>
      <w:r w:rsidRPr="00C50218">
        <w:rPr>
          <w:rStyle w:val="StyleUnderline"/>
        </w:rPr>
        <w:t>Dewey challenges the Child as Edelman does, writing against a politics that fantasises about coherence and recognisable forms proposing rather a subject that is contingent, particular and unable to be fully articulated.</w:t>
      </w:r>
    </w:p>
    <w:p w:rsidR="00162C2D" w:rsidRDefault="00162C2D" w:rsidP="00162C2D"/>
    <w:p w:rsidR="00580CBF" w:rsidRDefault="00580CBF" w:rsidP="00580CBF">
      <w:pPr>
        <w:pStyle w:val="Heading4"/>
      </w:pPr>
      <w:r>
        <w:t>Only negativity can help escape the violence placed upon the queer body in existing power structures.</w:t>
      </w:r>
    </w:p>
    <w:p w:rsidR="00580CBF" w:rsidRDefault="00580CBF" w:rsidP="00580CBF">
      <w:r>
        <w:rPr>
          <w:b/>
          <w:sz w:val="26"/>
          <w:szCs w:val="26"/>
        </w:rPr>
        <w:t xml:space="preserve">Baedan 12’ </w:t>
      </w:r>
      <w:r>
        <w:t>[baedan, 2012, “baedan”, The Anarchist Library, 7-8] ER</w:t>
      </w:r>
    </w:p>
    <w:p w:rsidR="00580CBF" w:rsidRPr="00DD17AF" w:rsidRDefault="00580CBF" w:rsidP="00580CBF">
      <w:pPr>
        <w:rPr>
          <w:sz w:val="16"/>
        </w:rPr>
      </w:pPr>
      <w:r w:rsidRPr="00DD17AF">
        <w:rPr>
          <w:sz w:val="16"/>
        </w:rPr>
        <w:t xml:space="preserve">Edelman’s project, insofar as we can imagine it as a starting point, is intriguing because for him </w:t>
      </w:r>
      <w:r w:rsidRPr="00DD17AF">
        <w:rPr>
          <w:rStyle w:val="Emphasis"/>
        </w:rPr>
        <w:t>queerness is fundamentally negative.</w:t>
      </w:r>
      <w:r w:rsidRPr="00DD17AF">
        <w:rPr>
          <w:rStyle w:val="StyleUnderline"/>
        </w:rPr>
        <w:t xml:space="preserve"> Whether in the form of gay assimilation, identity politics, or ‘radical queer’ subculture, </w:t>
      </w:r>
      <w:r w:rsidRPr="00DD17AF">
        <w:rPr>
          <w:rStyle w:val="Emphasis"/>
        </w:rPr>
        <w:t>any contemporary engagement with queerness must reckon with decades of capitalist integration into society and its state</w:t>
      </w:r>
      <w:r w:rsidRPr="00DD17AF">
        <w:rPr>
          <w:rStyle w:val="StyleUnderline"/>
        </w:rPr>
        <w:t>.</w:t>
      </w:r>
      <w:r w:rsidRPr="00DD17AF">
        <w:rPr>
          <w:sz w:val="16"/>
        </w:rPr>
        <w:t xml:space="preserve"> These varying forms are joined together through positive queer identity as a shared content. If we read Edelman with a great sense of catharsis, it is because his conception of </w:t>
      </w:r>
      <w:r w:rsidRPr="00DD17AF">
        <w:rPr>
          <w:rStyle w:val="Emphasis"/>
        </w:rPr>
        <w:t>negative queerness allows us to discard all the identitarian baggage which accompanies queerness</w:t>
      </w:r>
      <w:r w:rsidRPr="00DD17AF">
        <w:rPr>
          <w:rStyle w:val="StyleUnderline"/>
        </w:rPr>
        <w:t>. This move against a positive queer projects is a crucial one</w:t>
      </w:r>
      <w:r w:rsidRPr="00DD17AF">
        <w:rPr>
          <w:sz w:val="16"/>
        </w:rPr>
        <w:t xml:space="preserve">; it illustrates one truth about capital. Capital is predicated on accumulating value—any value—for its own self-reproduction. Capital is in a constant process of revolt against itself. Subjects which were once marginalized or annihilated by the civilized order are absorbed into its circuitry, positions that could mark an outside are moved inward. </w:t>
      </w:r>
      <w:r w:rsidRPr="00DD17AF">
        <w:rPr>
          <w:rStyle w:val="Emphasis"/>
        </w:rPr>
        <w:t>There is no positive queerness that isn’t already a site of society’s reproduction</w:t>
      </w:r>
      <w:r w:rsidRPr="00DD17AF">
        <w:rPr>
          <w:sz w:val="16"/>
        </w:rPr>
        <w:t xml:space="preserve">. The positivist institutions of queerness—its dance parties, community projects, activist groups, social networks, fashion, literature, art, festivals—form the material structure of civilization. Whatever antagonism or difference these forms possess is thoroughly re-made in capital’s image; all value extracted, all danger neutralized. To our horror, queerness becomes the avant-garde of marketplaces and the dynamic lifeblood of the advanced postmodern economy. </w:t>
      </w:r>
      <w:r w:rsidRPr="00DD17AF">
        <w:rPr>
          <w:rStyle w:val="StyleUnderline"/>
        </w:rPr>
        <w:t xml:space="preserve">This analysis of positivism is not particular to queerness. </w:t>
      </w:r>
      <w:r w:rsidRPr="00DD17AF">
        <w:rPr>
          <w:rStyle w:val="Emphasis"/>
        </w:rPr>
        <w:t>One can as easily point to</w:t>
      </w:r>
      <w:r w:rsidRPr="00DD17AF">
        <w:rPr>
          <w:rStyle w:val="StyleUnderline"/>
        </w:rPr>
        <w:t xml:space="preserve"> any number </w:t>
      </w:r>
      <w:r w:rsidRPr="00DD17AF">
        <w:rPr>
          <w:rStyle w:val="Emphasis"/>
        </w:rPr>
        <w:t>of anarchist projects and expose the ways in which they reproduce the very alienation they aim to overcome</w:t>
      </w:r>
      <w:r w:rsidRPr="00DD17AF">
        <w:rPr>
          <w:rStyle w:val="StyleUnderline"/>
        </w:rPr>
        <w:t xml:space="preserve">. </w:t>
      </w:r>
      <w:r w:rsidRPr="00DD17AF">
        <w:rPr>
          <w:sz w:val="16"/>
        </w:rPr>
        <w:t xml:space="preserve">Cooperative business, radical commodities, independent media, social spaces, Food Not Bombs: when positive anarchist projects aren’t doing social work to stave off collapse or upheaval, they are developing the innovations (self-management, decentralized production, crowd-sourcing, social networking) that will help to extend capital’s reign into the next century. </w:t>
      </w:r>
      <w:r w:rsidRPr="00DD17AF">
        <w:rPr>
          <w:rStyle w:val="StyleUnderline"/>
        </w:rPr>
        <w:t>The departure from these forms is the elaboration of queerness in the negative. In this linking of queerness and negativity, we join Edelman, who defines queerness thus: [Q</w:t>
      </w:r>
      <w:r w:rsidRPr="00DD17AF">
        <w:rPr>
          <w:rStyle w:val="Emphasis"/>
        </w:rPr>
        <w:t>]ueerness, irreducibly linked to the “aberrant or atypical,” to what chafes against “normalization</w:t>
      </w:r>
      <w:r w:rsidRPr="00DD17AF">
        <w:rPr>
          <w:rStyle w:val="StyleUnderline"/>
        </w:rPr>
        <w:t>,” finds its value not in a good susceptible to generalization, but only in the stubborn particularity that voids every notion of a general good</w:t>
      </w:r>
      <w:r w:rsidRPr="00DD17AF">
        <w:rPr>
          <w:sz w:val="16"/>
        </w:rPr>
        <w:t xml:space="preserve">. </w:t>
      </w:r>
      <w:r w:rsidRPr="00DD17AF">
        <w:rPr>
          <w:rStyle w:val="Emphasis"/>
        </w:rPr>
        <w:t>The embrace of queer negativity, then, can have no justification if justification requires it to reinforce some positive social value; its value, instead, resides in its challenge to value as defined by the social, and thus in its radical challenge to the very value of the social itself.</w:t>
      </w:r>
      <w:r w:rsidRPr="00DD17AF">
        <w:rPr>
          <w:sz w:val="16"/>
        </w:rPr>
        <w:t xml:space="preserve"> Put another way, we are not interested in a social project of queerness, in queer contributions to society, in carving out our own ghettos within the material and symbolic structures of capitalist life. </w:t>
      </w:r>
      <w:r w:rsidRPr="00DD17AF">
        <w:rPr>
          <w:rStyle w:val="Emphasis"/>
        </w:rPr>
        <w:t>Rather, our engagement with queer theory must be attuned to locating the moments which reveal the potential undoing of society, its structures and its relations</w:t>
      </w:r>
      <w:r w:rsidRPr="00DD17AF">
        <w:rPr>
          <w:sz w:val="16"/>
        </w:rPr>
        <w:t xml:space="preserve">. For Edelman, a theory of queer negativity begins from an exploration of the fantastic position of queers within society’s collective imaginary. His methodology is to navigate the discourses and nightmares of right-wing heteronormativity. Citing one fundamentalist pundit after another, he fleshes out the terror with which the anti-queer establishment imagines the threat of queerness. </w:t>
      </w:r>
      <w:r w:rsidRPr="00DD17AF">
        <w:rPr>
          <w:rStyle w:val="StyleUnderline"/>
        </w:rPr>
        <w:t>A thread persists through history into the present which imagines queers as the destroyers of social cohesion, the ‘gravediggers of society,’ the repudiation of the values of hard work and family</w:t>
      </w:r>
      <w:r w:rsidRPr="00DD17AF">
        <w:rPr>
          <w:sz w:val="16"/>
        </w:rPr>
        <w:t xml:space="preserve">, the </w:t>
      </w:r>
      <w:r w:rsidRPr="00DD17AF">
        <w:rPr>
          <w:sz w:val="16"/>
        </w:rPr>
        <w:lastRenderedPageBreak/>
        <w:t>persistent wave which erodes the bedrock of the monetary and libidinal economies, thieves, tricksters, hustlers, sinners, murderers, deviants, and perverts</w:t>
      </w:r>
      <w:r w:rsidRPr="00DD17AF">
        <w:rPr>
          <w:rStyle w:val="Emphasis"/>
        </w:rPr>
        <w:t>. Queers are not just damned, they are the proof of society’s fundamental damnation as well.</w:t>
      </w:r>
      <w:r w:rsidRPr="00DD17AF">
        <w:rPr>
          <w:sz w:val="16"/>
        </w:rPr>
        <w:t xml:space="preserve"> Sodomites, after all, are named for their symbolic position as the sexual symbol of civilization’s decadence and imminent annihilation. </w:t>
      </w:r>
    </w:p>
    <w:p w:rsidR="00580CBF" w:rsidRPr="00162C2D" w:rsidRDefault="00580CBF" w:rsidP="00162C2D"/>
    <w:p w:rsidR="00DE5E47" w:rsidRDefault="00DE5E47" w:rsidP="00DE5E47">
      <w:pPr>
        <w:pStyle w:val="Heading3"/>
      </w:pPr>
      <w:bookmarkStart w:id="12" w:name="_Toc489138908"/>
      <w:r>
        <w:lastRenderedPageBreak/>
        <w:t>***</w:t>
      </w:r>
      <w:r w:rsidR="000B7636">
        <w:t>Other</w:t>
      </w:r>
      <w:r>
        <w:t xml:space="preserve"> 1NC Modules***</w:t>
      </w:r>
      <w:bookmarkEnd w:id="12"/>
    </w:p>
    <w:p w:rsidR="00DE5E47" w:rsidRDefault="0090145D" w:rsidP="00DE5E47">
      <w:pPr>
        <w:pStyle w:val="Heading3"/>
      </w:pPr>
      <w:bookmarkStart w:id="13" w:name="_Toc489138909"/>
      <w:r>
        <w:lastRenderedPageBreak/>
        <w:t>1NC: Biocapitalist</w:t>
      </w:r>
      <w:r w:rsidR="00DE5E47">
        <w:t xml:space="preserve"> Futu</w:t>
      </w:r>
      <w:r>
        <w:t>rism</w:t>
      </w:r>
      <w:bookmarkEnd w:id="13"/>
    </w:p>
    <w:p w:rsidR="00AF0A13" w:rsidRPr="00AF0A13" w:rsidRDefault="00AF0A13" w:rsidP="00AF0A13">
      <w:pPr>
        <w:pStyle w:val="Heading4"/>
      </w:pPr>
      <w:bookmarkStart w:id="14" w:name="_Hlk489088230"/>
      <w:r>
        <w:t xml:space="preserve">The aff participates in the fantasy of neoliberal reproductive futurism which forwards biocapitalist futures </w:t>
      </w:r>
      <w:r w:rsidR="00976DFD">
        <w:t>that posits the able-bodied Child as the privileged subject of politics</w:t>
      </w:r>
    </w:p>
    <w:p w:rsidR="00DE5E47" w:rsidRPr="0090145D" w:rsidRDefault="00DE5E47" w:rsidP="00DE5E47">
      <w:r>
        <w:rPr>
          <w:rStyle w:val="Style13ptBold"/>
        </w:rPr>
        <w:t xml:space="preserve">Fritsch 16 </w:t>
      </w:r>
      <w:r w:rsidRPr="0090145D">
        <w:t>[Kelly Fritsch, Banting Postdoctoral Fellow at the Women and Gender Studies Institute and Technoscience Research Unit, University of Toronto. Fritsch holds a doctorate in Social and Political Thought from York University and is co-editor of Keywords for Radicals: The Contested Vocabulary of Late Capitalist Struggle, “Cripping Neoliberal Futurity: Marking the Elsewhere and Elsewhen of Desiring Otherwise”, Feral Feminisims Untimely Bodies: Futurity Resistance, and Non-Normative Embodiment, Issue 5, Spring 2016]</w:t>
      </w:r>
    </w:p>
    <w:bookmarkEnd w:id="14"/>
    <w:p w:rsidR="00DE5E47" w:rsidRDefault="00DE5E47" w:rsidP="00DE5E47">
      <w:pPr>
        <w:rPr>
          <w:sz w:val="12"/>
        </w:rPr>
      </w:pPr>
      <w:r w:rsidRPr="0046215B">
        <w:rPr>
          <w:sz w:val="12"/>
        </w:rPr>
        <w:t xml:space="preserve"> “My future is written on my body,” Alison Kafer writes on the opening page of Feminist, Queer, Crip (2013, 1). Resisting the way in which her wheelchair, burn scars, and gnarled hands enable some to mark her future as a life of “pain and isolation,” “a life not worth living,” and “a future no one wants,” Kafer instead offers a “politics of crip futurity” as a way of imagining and orienting to her future otherwise, one that is “ripe with opportunities” (1-3). If, as Rosemarie Garland-Thomson argues, disability remains unexpected in our world because we do not imagine disabled people as having tractable futures (2012, 351), then crip futurity becomes an important site to both imagine and materialize tractable disabled futures. Pushing against this lack of future, Kafer yearns for an “elsewhere” and “elsewhen” (3) of crip futurity—of desiring disabled futures otherwise—while remaining aware, following Nirmala Erevelles (2011), of the inequitable social and material conditions under which the desire for crip futurities is produced, circulated, and celebrated. That is, through practices of neoliberal biocapitalism, the lack of tractable futures for some disabled people works alongside the tractable futures of enhanced or capacitated disabled people, embedding crip futurities within the inequitable inclusion practices of neoliberalism. It is precisely at this juncture that I wish to consider the contemporary social, political, and economic constraints of desiring disabled futures otherwise by tracing the ways in which some disabled futures have already gained traction, albeit at the expense of others. In other words, I argue that the material discursive practices of neoliberal biocapitalism have enabled the tractability and flourishing of particular disabled futures while other disabled futures remain unanticipated, unexpected, and undesired. In this article, then, I argue that </w:t>
      </w:r>
      <w:r w:rsidRPr="00B76FD0">
        <w:rPr>
          <w:rStyle w:val="StyleUnderline"/>
        </w:rPr>
        <w:t>it is necessary to crip neoliberal futurity so as to enable the flourishing of critical practices of an elsewhere and elsewhen of disability</w:t>
      </w:r>
      <w:r w:rsidRPr="0046215B">
        <w:rPr>
          <w:sz w:val="12"/>
        </w:rPr>
        <w:t xml:space="preserve">. The withering of some disabled lives and the capacitation of others result from </w:t>
      </w:r>
      <w:r w:rsidRPr="00B76FD0">
        <w:rPr>
          <w:rStyle w:val="StyleUnderline"/>
        </w:rPr>
        <w:t>neoliberal material and discursive processes that orient and imagine disability as a life without a future unless capacitated through such biocapitalist practices as cures or body/mind enhancement technologies and procedures</w:t>
      </w:r>
      <w:r w:rsidRPr="0046215B">
        <w:rPr>
          <w:sz w:val="12"/>
        </w:rPr>
        <w:t xml:space="preserve"> (see Fritsch 2015</w:t>
      </w:r>
      <w:r w:rsidRPr="00B76FD0">
        <w:rPr>
          <w:rStyle w:val="StyleUnderline"/>
        </w:rPr>
        <w:t>). Neoliberal futurity organizes disability in such a way so as to make disability intelligible through the suffering disabled child who is never imagined or anticipated to grow up or have a life worth living. Through neoliberal futurity, this suffering disabled child is figured as the negation of the future, or as a subject with no future. At the same time, however, neoliberal futurity also speaks to the difference of the futures imagined for some disabled children: biocapitalist futures, premised on the hope of overcoming disability through cure or body/mind enhancement.</w:t>
      </w:r>
      <w:r>
        <w:rPr>
          <w:rStyle w:val="StyleUnderline"/>
        </w:rPr>
        <w:t xml:space="preserve"> </w:t>
      </w:r>
      <w:r w:rsidRPr="0046215B">
        <w:rPr>
          <w:sz w:val="12"/>
        </w:rPr>
        <w:t>Building on Lee Edelman’s (2004) critique of “</w:t>
      </w:r>
      <w:r w:rsidRPr="00B76FD0">
        <w:rPr>
          <w:rStyle w:val="StyleUnderline"/>
        </w:rPr>
        <w:t>reproductive futurity</w:t>
      </w:r>
      <w:r w:rsidRPr="0046215B">
        <w:rPr>
          <w:sz w:val="12"/>
        </w:rPr>
        <w:t xml:space="preserve">” that </w:t>
      </w:r>
      <w:r w:rsidRPr="00B76FD0">
        <w:rPr>
          <w:rStyle w:val="StyleUnderline"/>
        </w:rPr>
        <w:t>privileges</w:t>
      </w:r>
      <w:r w:rsidRPr="0046215B">
        <w:rPr>
          <w:sz w:val="12"/>
        </w:rPr>
        <w:t xml:space="preserve"> </w:t>
      </w:r>
      <w:r w:rsidRPr="00B76FD0">
        <w:rPr>
          <w:rStyle w:val="StyleUnderline"/>
        </w:rPr>
        <w:t>the Child as the image of the future</w:t>
      </w:r>
      <w:r w:rsidRPr="0046215B">
        <w:rPr>
          <w:sz w:val="12"/>
        </w:rPr>
        <w:t xml:space="preserve">, I contend that </w:t>
      </w:r>
      <w:r w:rsidRPr="00B76FD0">
        <w:rPr>
          <w:rStyle w:val="StyleUnderline"/>
        </w:rPr>
        <w:t>neoliberal futurity produces the figure of the disabled child that is productive</w:t>
      </w:r>
      <w:r w:rsidRPr="0046215B">
        <w:rPr>
          <w:sz w:val="12"/>
        </w:rPr>
        <w:t xml:space="preserve">—as far it creates varied discursive and affective economies aimed at preventing life, ending lives, capacitating some bodies, and re-investing a caring public in biocapitalism—and also re-inscribes the hope for a future without disability or, at least, a future in which disability no longer seems to be a difference that matters. That is, I show that it is at the confluence of </w:t>
      </w:r>
      <w:r w:rsidRPr="00B76FD0">
        <w:rPr>
          <w:rStyle w:val="StyleUnderline"/>
        </w:rPr>
        <w:t>this double lack-of-futurity—disabled children without futures and a future without disability—that some disabled adults become unanticipated lives left to wither while others become capacitated as inspirational, hopeful, and progressive success stories of neoliberal inclusion</w:t>
      </w:r>
      <w:r w:rsidRPr="0046215B">
        <w:rPr>
          <w:sz w:val="12"/>
        </w:rPr>
        <w:t xml:space="preserve">. By reading across a number of discursive and material sites, I show through a breadth of examples the recurring logic of neoliberal futurity in its variance and repetition, marking neoliberal futurity not as a project of homogenous actions and desires, but rather as productively diverse in the ways in which it participates in a double lack-of-futurity for disability. I explicate how </w:t>
      </w:r>
      <w:r w:rsidRPr="00B76FD0">
        <w:rPr>
          <w:rStyle w:val="Emphasis"/>
        </w:rPr>
        <w:t>some disabled people flourish in the future precisely because their futures gain traction through neoliberal biocapitalist practices and that these tractable futures demand that others have no future.</w:t>
      </w:r>
      <w:r w:rsidRPr="0046215B">
        <w:rPr>
          <w:sz w:val="12"/>
        </w:rPr>
        <w:t xml:space="preserve"> In No Future: Queer Theory and the Death Drive, Lee Edelman (2004) argues that the contemporary political order privileges heteronormativity by inciting the Child as the image of the future (2-3). Edelman calls this child-centered “ideological limit” and “organizing principle” of social relations “reproductive futurism,” a cultural and political way of investing in a better future for the sake of our children (2). For Edelman, the field of politics is steeped in the figure of the Child, so much so that “the image of the Child invariably shapes the logic within which the political itself must be thought” (2) and is the “fantasmatic beneficiary of every political intervention” (3). He notes: “We are no more able to conceive of a politics without a fantasy of the future than we are able to conceive of a future without the figure of the Child” (11). Thus, within this heteronormative logic, </w:t>
      </w:r>
      <w:r w:rsidRPr="00131FB7">
        <w:rPr>
          <w:rStyle w:val="StyleUnderline"/>
        </w:rPr>
        <w:t>a better future is always a better future for the Child</w:t>
      </w:r>
      <w:r w:rsidRPr="0046215B">
        <w:rPr>
          <w:sz w:val="12"/>
        </w:rPr>
        <w:t xml:space="preserve">. Edelman comments that refusing this mandate made by political institutions to compel the collective reproduction of the Child must “appear as a threat not only to the organization of a given social order but also, and far more ominously, to social order as such, insofar as it threatens the logic of futurism on which meaning always depends” (11). The ever “lengthening shadow” of the Child “terroristically holds us all in check and determines that political discourse conform to the logic of a narrative wherein history unfolds as the future envisioned for a Child who must never grow up” (21). While Edelman is largely interested in the ways in which reproductive futurism figures the Child within contemporary American political discourse, my work builds on Edelman’s critique to mark the ways in which </w:t>
      </w:r>
      <w:r w:rsidRPr="00131FB7">
        <w:rPr>
          <w:rStyle w:val="StyleUnderline"/>
        </w:rPr>
        <w:t>neoliberal futurity mobilizes the suffering disabled child to create a future in which the child never grows up, or only grows up through the practices of biocapitalism.</w:t>
      </w:r>
      <w:r>
        <w:rPr>
          <w:rStyle w:val="StyleUnderline"/>
        </w:rPr>
        <w:t xml:space="preserve"> </w:t>
      </w:r>
      <w:r w:rsidRPr="0046215B">
        <w:rPr>
          <w:sz w:val="12"/>
        </w:rPr>
        <w:t xml:space="preserve">Thinking through Edelman’s critique of reproductive futurism, it is important to consider how </w:t>
      </w:r>
      <w:r w:rsidRPr="00131FB7">
        <w:rPr>
          <w:rStyle w:val="StyleUnderline"/>
        </w:rPr>
        <w:t xml:space="preserve">the figure of the suffering disabled child organizes the way in which the future of </w:t>
      </w:r>
      <w:r w:rsidRPr="00131FB7">
        <w:rPr>
          <w:rStyle w:val="StyleUnderline"/>
        </w:rPr>
        <w:lastRenderedPageBreak/>
        <w:t xml:space="preserve">disability and disabled people are imagined within the ongoing neoliberalization of psychic and material life </w:t>
      </w:r>
      <w:r w:rsidRPr="0046215B">
        <w:rPr>
          <w:sz w:val="12"/>
        </w:rPr>
        <w:t xml:space="preserve">in North America. That is, it is important to consider the role played by the figure of the suffering disabled child within what can be called neoliberal futurity. Rather than a temporal direction of time, </w:t>
      </w:r>
      <w:r w:rsidRPr="00131FB7">
        <w:rPr>
          <w:rStyle w:val="StyleUnderline"/>
        </w:rPr>
        <w:t>neoliberal futurity speaks to a shared social imaginary of progress that underwrites capitalist relations, a frame of thinking made possible by the mode of production and the ongoing pursuit of surplus value.</w:t>
      </w:r>
      <w:r w:rsidRPr="0046215B">
        <w:rPr>
          <w:sz w:val="12"/>
        </w:rPr>
        <w:t xml:space="preserve"> Franco Berardi terms this imaginary of progress—that the future will be better than the present—the “myth of the future,” a myth that is not “a natural idea” but rather is “rooted in modern capitalism” and the “bourgeois production model” (2011, 18). Neoliberal futurity—based on an economy of always more surplus value to extract, always new markets to develop, always new ways to download social responsibilities onto individuals, always evermore ways to exploit the many in order to benefit the few—requires a child that will overcome the odds and rise up to meet the new demands of the economy. Neoliberal futurity, then, inspires parents to invest—and go into debt—to produce an entrepreneurial kindergartener that eats the right food, goes to the right school, and has all the right opportunities available to them so as to best prepare them for the hypercompetitive, individualistic future (for example, see Webb 2013). Turning to Berardi’s myth of a better future highlights the role of biocapitalism in the production of neoliberal futurity. </w:t>
      </w:r>
      <w:r w:rsidRPr="00131FB7">
        <w:rPr>
          <w:rStyle w:val="StyleUnderline"/>
        </w:rPr>
        <w:t>Biocapitalism marks the ways in whic</w:t>
      </w:r>
      <w:r w:rsidRPr="0046215B">
        <w:rPr>
          <w:sz w:val="12"/>
        </w:rPr>
        <w:t xml:space="preserve">h, since the 1970s, </w:t>
      </w:r>
      <w:r w:rsidRPr="00131FB7">
        <w:rPr>
          <w:rStyle w:val="StyleUnderline"/>
        </w:rPr>
        <w:t>the neoliberalization of the economy and social relations emerged alongside developments in the life sciences and biotechnological industries, promising a new and healthier future that could overcome the market-growth limitations of both the Earth’s finite resources and Keynesian economic and social policies</w:t>
      </w:r>
      <w:r w:rsidRPr="0046215B">
        <w:rPr>
          <w:sz w:val="12"/>
        </w:rPr>
        <w:t xml:space="preserve"> (Fritsch 2015). </w:t>
      </w:r>
      <w:r w:rsidRPr="00131FB7">
        <w:rPr>
          <w:rStyle w:val="StyleUnderline"/>
        </w:rPr>
        <w:t>As biocapitalism organizes the life sciences, it depends upon neoliberal practices of deregulation, privatization, managing risk, and financial speculation that mobilize hope for a better future</w:t>
      </w:r>
      <w:r w:rsidRPr="0046215B">
        <w:rPr>
          <w:sz w:val="12"/>
        </w:rPr>
        <w:t xml:space="preserve">. In this way, </w:t>
      </w:r>
      <w:r w:rsidRPr="00131FB7">
        <w:rPr>
          <w:rStyle w:val="Emphasis"/>
        </w:rPr>
        <w:t>biocapitalism signifies the ways in which scientific knowledge is co-produced materially and discursively alongside the political and economic practices of neoliberal capitalism</w:t>
      </w:r>
      <w:r w:rsidRPr="0046215B">
        <w:rPr>
          <w:sz w:val="12"/>
        </w:rPr>
        <w:t xml:space="preserve"> (Sunder Rajan 2007). Biocapitalism invests in life at both the micro and macro levels to produce neoliberal political subjects. Biocapitalism extends Michel Foucault’s concept of biopolitics as a practice of governance that brings “life and its mechanisms into the realm of explicit calculations” (1978, 143), engaging not just with individuals or populations, but with all aspects of life itself, including cells, molecules, genomes, and genes (Helmreich 2008). Bringing “life and its mechanisms into the realm of explicit calculations” (Foucault 1978, 143), happens in part through ongoing developments in pharmacogenomics, or “personalized medicine.” Pharmacogenomics enables the individualization of “risk” as an embodied biomarker that can be used to target individuals for ongoing therapeutic interventions (Dumit 2012, Fritsch 2015, Sunder Rajan 2007). </w:t>
      </w:r>
      <w:r w:rsidRPr="00131FB7">
        <w:rPr>
          <w:rStyle w:val="Emphasis"/>
        </w:rPr>
        <w:t xml:space="preserve">Children can be enhanced and capacitated </w:t>
      </w:r>
      <w:r w:rsidRPr="00131FB7">
        <w:rPr>
          <w:rStyle w:val="StyleUnderline"/>
        </w:rPr>
        <w:t xml:space="preserve">not only through an array of extracurricular activities and technologies, but also </w:t>
      </w:r>
      <w:r w:rsidRPr="00131FB7">
        <w:rPr>
          <w:rStyle w:val="Emphasis"/>
        </w:rPr>
        <w:t>through individualized forms of pharmacogenomics and risk surveillance that enhances their bodies</w:t>
      </w:r>
      <w:r w:rsidRPr="00131FB7">
        <w:rPr>
          <w:rStyle w:val="StyleUnderline"/>
        </w:rPr>
        <w:t xml:space="preserve"> through</w:t>
      </w:r>
      <w:r w:rsidRPr="0046215B">
        <w:rPr>
          <w:sz w:val="12"/>
        </w:rPr>
        <w:t xml:space="preserve">, for example, </w:t>
      </w:r>
      <w:r w:rsidRPr="00131FB7">
        <w:rPr>
          <w:rStyle w:val="StyleUnderline"/>
        </w:rPr>
        <w:t>tailored drug regimes that ensure an optimal microbiodome and gut health and improved brain performance.</w:t>
      </w:r>
      <w:r w:rsidRPr="0046215B">
        <w:rPr>
          <w:sz w:val="12"/>
        </w:rPr>
        <w:t xml:space="preserve"> </w:t>
      </w:r>
      <w:r w:rsidRPr="00131FB7">
        <w:rPr>
          <w:rStyle w:val="Emphasis"/>
        </w:rPr>
        <w:t>These practices are future oriented</w:t>
      </w:r>
      <w:r w:rsidRPr="0046215B">
        <w:rPr>
          <w:sz w:val="12"/>
        </w:rPr>
        <w:t xml:space="preserve">, </w:t>
      </w:r>
      <w:r w:rsidRPr="00131FB7">
        <w:rPr>
          <w:rStyle w:val="StyleUnderline"/>
        </w:rPr>
        <w:t>for not only does biocapitalism promote technoscientific innovation as a way to overcome the limits of vulnerable bodies, but its material and discursive practices also incite a child that can be enhanced and capacitated in such a way as to meet the current and future demands of the neoliberal economy.</w:t>
      </w:r>
      <w:r>
        <w:rPr>
          <w:rStyle w:val="StyleUnderline"/>
        </w:rPr>
        <w:t xml:space="preserve"> </w:t>
      </w:r>
      <w:r w:rsidRPr="0046215B">
        <w:rPr>
          <w:sz w:val="12"/>
        </w:rPr>
        <w:t xml:space="preserve">While Edelman (2004) accounts for the ways in which the Child as the image of the future is central to the notion of progress, what he does not account for is how </w:t>
      </w:r>
      <w:r w:rsidRPr="00131FB7">
        <w:rPr>
          <w:rStyle w:val="StyleUnderline"/>
        </w:rPr>
        <w:t>this Child relies on an economy of disability that is deeply entrenched in neoliberal practices of biocapitalism</w:t>
      </w:r>
      <w:r w:rsidRPr="0046215B">
        <w:rPr>
          <w:sz w:val="12"/>
        </w:rPr>
        <w:t xml:space="preserve">. That is, neoliberal practices not only produce disability or are complicit in rising rates of disabling conditions through unsafe labour practices, war, and the systematic dismantling of the welfare state, but neoliberal practices also demand that some succeed at the expense of others. In this way, </w:t>
      </w:r>
      <w:r w:rsidRPr="0083510B">
        <w:rPr>
          <w:rStyle w:val="Emphasis"/>
        </w:rPr>
        <w:t>we cannot account for neoliberal futurity without addressing disability</w:t>
      </w:r>
      <w:r w:rsidRPr="0046215B">
        <w:rPr>
          <w:sz w:val="12"/>
        </w:rPr>
        <w:t xml:space="preserve">. Thus, while Edelman (2004) is correct in asserting that the contemporary political order favours heteronormativity in the ways in which </w:t>
      </w:r>
      <w:r w:rsidRPr="0083510B">
        <w:rPr>
          <w:rStyle w:val="StyleUnderline"/>
        </w:rPr>
        <w:t>it incites the heterosexual Child as the image of the future</w:t>
      </w:r>
      <w:r w:rsidRPr="0046215B">
        <w:rPr>
          <w:sz w:val="12"/>
        </w:rPr>
        <w:t xml:space="preserve">, I argue that this image of the Child as the future also continuously incites compulsory enhanced-bodiediness/mindedness, as </w:t>
      </w:r>
      <w:r w:rsidRPr="0083510B">
        <w:rPr>
          <w:rStyle w:val="StyleUnderline"/>
        </w:rPr>
        <w:t>the child of reproductive futurism is not only able-bodied, but must also be better than able-bodied or able-minded</w:t>
      </w:r>
      <w:r w:rsidRPr="0046215B">
        <w:rPr>
          <w:sz w:val="12"/>
        </w:rPr>
        <w:t xml:space="preserve">. As Robert McRuer points out, “‘everybody,’ after all, or so the saying goes, ‘wants a healthy baby’” (2008). Edelman’s sharp and scathing critique of reproductive futurity is important, as is McRuer’s argument that Edelman’s Child is able-bodied. Yet what neither Edelman or McRuer elucidate is how reproductive futurity relies on both a capacitated and enhanced Child and also for some disabled children to grow up at the expense of others whom dominant structures never intend to grow up. While McRuer is right to point out that no child can fully embody the desirable able-bodied child and, thus, sets up disability as the impediment to a desirable future, I argue that the better-than-able-bodied-and-minded Child requires some capacitated disabled children to flourish at the expense of other disabled children in order to give meaning to the figure of the Child. There is, then, an important ambivalent tension within neoliberal futurity; the disabled child is at once a figure with no future while at the same time also a figure of neoliberal futurity mobilized through biocapitalism, cure, and enhancement. Therefore, I argue that we are deeply invested in narratives of suffering children, but some of those children are always supposed to remain children, never growing up, while others are celebrated, enhanced, and capacitated precisely because they can be made to fit into the neoliberal biocapitalist promise of the future. </w:t>
      </w:r>
    </w:p>
    <w:p w:rsidR="00182B0C" w:rsidRDefault="00182B0C" w:rsidP="0061490D"/>
    <w:p w:rsidR="0061490D" w:rsidRPr="0061490D" w:rsidRDefault="0061490D" w:rsidP="0061490D">
      <w:pPr>
        <w:pStyle w:val="Heading4"/>
      </w:pPr>
      <w:r>
        <w:t>[INSERT SPECIFIC LINKS]</w:t>
      </w:r>
    </w:p>
    <w:p w:rsidR="0061490D" w:rsidRPr="0061490D" w:rsidRDefault="0061490D" w:rsidP="0061490D"/>
    <w:p w:rsidR="006E6AE4" w:rsidRPr="00D1238B" w:rsidRDefault="006E6AE4" w:rsidP="006E6AE4">
      <w:pPr>
        <w:pStyle w:val="Heading4"/>
        <w:rPr>
          <w:sz w:val="28"/>
        </w:rPr>
      </w:pPr>
      <w:r w:rsidRPr="00D1238B">
        <w:rPr>
          <w:sz w:val="28"/>
        </w:rPr>
        <w:lastRenderedPageBreak/>
        <w:t>This reproductive futurity forwards contradictory narratives of disability as vector for incapacity and opportunity for biocapitalist intervention. The impact is the pathologization, withering and abandonment of queer kids of color</w:t>
      </w:r>
    </w:p>
    <w:p w:rsidR="006E6AE4" w:rsidRPr="00D1238B" w:rsidRDefault="006E6AE4" w:rsidP="006E6AE4">
      <w:pPr>
        <w:rPr>
          <w:sz w:val="18"/>
        </w:rPr>
      </w:pPr>
      <w:r w:rsidRPr="00D1238B">
        <w:rPr>
          <w:rStyle w:val="Style13ptBold"/>
          <w:sz w:val="28"/>
        </w:rPr>
        <w:t xml:space="preserve">Fritsch 16 </w:t>
      </w:r>
      <w:r w:rsidRPr="00D1238B">
        <w:rPr>
          <w:sz w:val="18"/>
        </w:rPr>
        <w:t>[Kelly Fritsch, Banting Postdoctoral Fellow at the Women and Gender Studies Institute and Technoscience Research Unit, University of Toronto. Fritsch holds a doctorate in Social and Political Thought from York University and is co-editor of Keywords for Radicals: The Contested Vocabulary of Late Capitalist Struggle, “Cripping Neoliberal Futurity: Marking the Elsewhere and Elsewhen of Desiring Otherwise”, Feral Feminisims Untimely Bodies: Futurity Resistance, and Non-Normative Embodiment, Issue 5, Spring 2016]</w:t>
      </w:r>
    </w:p>
    <w:p w:rsidR="006E6AE4" w:rsidRDefault="006E6AE4" w:rsidP="006E6AE4">
      <w:pPr>
        <w:rPr>
          <w:rStyle w:val="Emphasis"/>
        </w:rPr>
      </w:pPr>
      <w:r w:rsidRPr="00D1238B">
        <w:rPr>
          <w:sz w:val="16"/>
          <w:szCs w:val="20"/>
        </w:rPr>
        <w:t xml:space="preserve">Fighting for the Children Edelman’s contention is that </w:t>
      </w:r>
      <w:r w:rsidRPr="00D1238B">
        <w:rPr>
          <w:rStyle w:val="StyleUnderline"/>
        </w:rPr>
        <w:t>reproductive futurism disavows all that threatens to end the future, particularly emphasizing the role of the queer as that which “names the side of those not ‘fighting for the children,’ the side outside of the consensus by which all politics confirms the absolute value of reproductive futurism</w:t>
      </w:r>
      <w:r w:rsidRPr="00D1238B">
        <w:rPr>
          <w:sz w:val="16"/>
          <w:szCs w:val="20"/>
        </w:rPr>
        <w:t xml:space="preserve">” (2004, 3). While </w:t>
      </w:r>
      <w:r w:rsidRPr="00D1238B">
        <w:rPr>
          <w:rStyle w:val="StyleUnderline"/>
        </w:rPr>
        <w:t>the Child represents the heteronormative future, the queer can only signify “the negativity opposed to every form of social viability”</w:t>
      </w:r>
      <w:r w:rsidRPr="00D1238B">
        <w:rPr>
          <w:sz w:val="16"/>
          <w:szCs w:val="20"/>
        </w:rPr>
        <w:t xml:space="preserve"> (2004, 9) and thereby threatens the social order because the queer “raises the spectre of, not just a worse future, but precisely ‘no future’” (White 2013, 23). Edelman calls on queers to embrace the negative and to “fuck the social order and the Child in whose name we’re collectively terrorized” (2004, 29), suggesting that the ethical value of queerness is precisely in “accepting its figural status as resistance to the viability of the social” (2004, 3). For Edelman, queers who seek gay marriage, military service, or adoption thus “jump on the bandwagon of reproductive futurism” (McRuer 2008) and reproduce “the conditions of queer abjection” (White 2013, 23). Instead, Edelman calls on queers to “acquiesce to the charge that we are society’s worst nightmare and to embrace our figuration as the negative force working against the social order” (McRuer 2008), for “</w:t>
      </w:r>
      <w:r w:rsidRPr="00D1238B">
        <w:rPr>
          <w:rStyle w:val="StyleUnderline"/>
        </w:rPr>
        <w:t>queerness can never define an identity; it can only disturb one” (</w:t>
      </w:r>
      <w:r w:rsidRPr="00D1238B">
        <w:rPr>
          <w:sz w:val="16"/>
          <w:szCs w:val="20"/>
        </w:rPr>
        <w:t xml:space="preserve">Edelman 2004, 17). Edelman thus provocatively asks: “while not seeking to refute the lies that pervade [...] familiar right-wing diatribes [about our capacity to destroy society], do we also have the courage to acknowledge, and even embrace, their correlative truths?” (2004, 22). While asserting that his anti-social strategy “promises, in more than one sense of the phrase, absolutely nothing” (2004, 5) and further noting that his project is “impossible” (2004, 4), he does argue that </w:t>
      </w:r>
      <w:r w:rsidRPr="00D1238B">
        <w:rPr>
          <w:sz w:val="16"/>
        </w:rPr>
        <w:t>embracing queer negativity “can have no justification if justification requires it to reinforce some positive social value; its value, instead, resides in its challenge to value as defined by the social, and thus in its radical challenge to the very value of the social itself” (</w:t>
      </w:r>
      <w:r w:rsidRPr="00D1238B">
        <w:rPr>
          <w:sz w:val="16"/>
          <w:szCs w:val="20"/>
        </w:rPr>
        <w:t xml:space="preserve">2004, 6). For “queerness exposes the obliquity of our relation to what we experience in and as social reality, alerting us to the fantasies structurally necessary in order to sustain it and engaging those fantasies through the figural logics, the linguistic structures, that shape them” (2004, 6-7). Edelman suggests that </w:t>
      </w:r>
      <w:r w:rsidRPr="00D1238B">
        <w:rPr>
          <w:rStyle w:val="StyleUnderline"/>
        </w:rPr>
        <w:t>queerness is what can challenge “futurism’s unquestioned good”</w:t>
      </w:r>
      <w:r w:rsidRPr="00D1238B">
        <w:rPr>
          <w:sz w:val="16"/>
          <w:szCs w:val="20"/>
        </w:rPr>
        <w:t xml:space="preserve"> (2004, 7) and also resist the idea that if there is no baby there is no future, and that without a future, social organization, collective reality, and life itself is undone (2004, 13). Edelman asserts “that we do not intend a new politics, a better society, a brighter tomorrow” and choose instead to “not choose the Child” and “insist that the future stop here,” for the future is “is mere repetition and just as lethal as the past” (2004, 31). </w:t>
      </w:r>
      <w:r w:rsidRPr="00D1238B">
        <w:rPr>
          <w:sz w:val="16"/>
        </w:rPr>
        <w:t>Commenting on Edelman’s negation of the future, Jose Esteban Muñoz writes in Cruising Utopia: The Then and There of Queer Futurity: “When I negotiate the ever-increasing sidewalk obstacles produced by oversized baby strollers on parade in the city in which I live, the sheer magnitude of the vehicles that flaunt the incredible mandate of reproduction as world- historical virtue, I could not be more hailed” (2009, 92) by the queer imperative to not fight for the children. Yet Muñoz also notes: “As strongly as I reject reproductive futurity, I nonetheless refuse to give up on concepts such as politics, hope, and a future that is not kid stuff” (2009, 92), for “</w:t>
      </w:r>
      <w:r w:rsidRPr="00D1238B">
        <w:rPr>
          <w:rStyle w:val="StyleUnderline"/>
        </w:rPr>
        <w:t>all children are not the privileged white babies to whom contemporary society caters</w:t>
      </w:r>
      <w:r w:rsidRPr="00D1238B">
        <w:rPr>
          <w:sz w:val="16"/>
        </w:rPr>
        <w:t>” (2009, 94). Muñoz further elucidates: “</w:t>
      </w:r>
      <w:r w:rsidRPr="00D1238B">
        <w:rPr>
          <w:rStyle w:val="StyleUnderline"/>
        </w:rPr>
        <w:t xml:space="preserve">Racialized kids, queer kids, are not the sovereign princes of futurity. </w:t>
      </w:r>
      <w:r w:rsidRPr="00D1238B">
        <w:rPr>
          <w:sz w:val="16"/>
        </w:rPr>
        <w:t xml:space="preserve">Although Edelman does indicate that </w:t>
      </w:r>
      <w:r w:rsidRPr="00D1238B">
        <w:rPr>
          <w:rStyle w:val="StyleUnderline"/>
        </w:rPr>
        <w:t xml:space="preserve">the future of the child as futurity is different from the future of actual children, </w:t>
      </w:r>
      <w:r w:rsidRPr="00D1238B">
        <w:rPr>
          <w:sz w:val="16"/>
        </w:rPr>
        <w:t>his framing nonetheless accepts and reproduces this monolithic figure of the child that is indeed always already white” (2009, 95). In addition to McRuer’s critique of the Child as always already able-bodied, other queer and disability studies scholars have echoed Munoz’s critique. For example, Kafer writes that “</w:t>
      </w:r>
      <w:r w:rsidRPr="00D1238B">
        <w:rPr>
          <w:rStyle w:val="Emphasis"/>
        </w:rPr>
        <w:t>this always already whiteness is a whiteness framed by and understood through regimes of health and hygiene” whereby racialized and queer kids cast out of reproductive futurity “have been and continue to be framed as sick, as pathological, as contagious,” marking the co-constitution of race, class, and disability as delimiting reproductive futurity</w:t>
      </w:r>
      <w:r w:rsidRPr="00D1238B">
        <w:rPr>
          <w:sz w:val="16"/>
        </w:rPr>
        <w:t xml:space="preserve"> (2013, 32). This conclusion is also echoed in the work of Mel Chen (2011) and Deborah Cohler (2014). Kafer and Muñoz agree that “it is important not to hand over futurity to normative white reproductive futurity” (Muñoz 2009, 95), for “[t]he dominant model of futurity is indeed ‘winning,’ but that is all the more reason to call on a utopian political imagination that will enable us to glimpse another time and place: a ‘not-yet’ where queer youths of colour actually get to grow up” (96). Indeed, Muñoz comments that “[t]he way to deal with the asymmetries and violent frenzies that mark the present is not to forget the future. The here-and-now is simply not enough” (2009, 96), leading Kafer to suggest that the task at hand is to “imagine disability and disability futures otherwise” (2013, 34). Following Muñoz (2009) and Kafer (2013), it is important to fight for the future, but to do so requires addressing the ways by which neoliberal futurity depends </w:t>
      </w:r>
      <w:r w:rsidRPr="00D1238B">
        <w:rPr>
          <w:sz w:val="16"/>
        </w:rPr>
        <w:lastRenderedPageBreak/>
        <w:t xml:space="preserve">upon both negating the futures of disability while also promoting particular inclusions of disability. Thus, while the ableism that underlies the ways in which Kafer’s future is written on her body and the ways in which disabled lives are not tractable, these accounts do not mark the ways in which neoliberal futurity promotes and capacitates certain disabled lives so as to affirm particular forms of biocapitalism and inclusion that have implications for the way in which disability can become in the world. It is not enough then, to invest in the neoliberal biocapitalist forms of enhanced futures of disabled people. Rather, it is imperative to turn away from the myth of the future that forecloses the possibility of other worlds. In 2014, Kristin Nelson’s radio documentary told the story of Paige Cunliffe, a 21-year- old woman living in Ontario, Canada who became developmentally disabled after a bout of meningitis at the age of 13 months. For most of Paige’s life her mother Pam was her primary caregiver, but Pam found that she was no longer able to care fulltime for Paige once Paige became an adult. After waiting on a list to be placed in a group home for over 10 years, Paige was instead placed in a long-term nursing care home. Paige was not alone in this placement; between 2008-2012 in Ontario, over 5000 people with developmental disabilities under the age of 65 were admitted to long-term care homes. While long-term care is designed for people who require 24/7 care, most of the residents of long-term care facilities are elderly patients who are not ideal peers for a social and energetic 21-year-old such as Paige. Within the care home, there are few activities available that suit Paige’s needs and interests and, with a caretaker-to-resident ratio of 1:11, Pam notes that Paige is often left sitting alone in soiled clothing for hours. The waiting list for a group home in Ontario includes over 12,000 developmentally disabled people. In a group-home setting, Paige would be with peers, engaged in activities, and have a worker-to-resident ratio of 1:3. With such a long list, Nelson notes that Paige may be living with the very sick and the elderly for up to 20 years. However, Paige’s withering, like the withering experienced by many disabled people, is not simply a story about a lack of material resources that would allow for the flourishing of disabled lives. Rather, withering and flourishing are not simply a matter of resources (personal or state) but also invoke forms of futurity that privilege only certain forms of the future for disability and disabled people. Disabled people who can be easily accommodated, included, enhanced, and capacitated by forms of biocapitalism are much more likely to thrive. Such thriving, however, must still contend with the way in which neoliberal futurity is embedded within the logic of the suffering disabled child who is not expected to grow up. Paige’s withering, then, is related to the enhancement of others; simply capacitating Paige within the context of neoliberal futurity does not address the myriad ways in which disability functions within neoliberal economies. </w:t>
      </w:r>
      <w:r w:rsidRPr="00D1238B">
        <w:rPr>
          <w:rStyle w:val="StyleUnderline"/>
        </w:rPr>
        <w:t>The ambiguity by which neoliberal futurity mobilizes the suffering disabled child as both a site of no future and a site of enhancement marks disability as contested terrain</w:t>
      </w:r>
      <w:r w:rsidRPr="00D1238B">
        <w:rPr>
          <w:sz w:val="16"/>
        </w:rPr>
        <w:t xml:space="preserve">. Through the examples traced in this article, neoliberal futurity is deployed slightly differently. For Clarence, there can be no future for her disabled children. For Cure SMA, </w:t>
      </w:r>
      <w:r w:rsidRPr="00D1238B">
        <w:rPr>
          <w:rStyle w:val="StyleUnderline"/>
        </w:rPr>
        <w:t>disability produces only a diminishing and dependent child with no future, so it is imperative to invest in a biocapitalist future that can overcome</w:t>
      </w:r>
      <w:r w:rsidRPr="00D1238B">
        <w:rPr>
          <w:sz w:val="16"/>
        </w:rPr>
        <w:t xml:space="preserve"> SMA. Jerry’s Kids are presented as having no future, even when confronted with grown-up renegades. The telethon and contemporary fundraising initiatives encourage a hope and investment in processes of enhancement and cure as the only possible future for disability. For Rapp, there is no future for particular disabled children, but there is hope in having another child. The MWF marks disabled children as having no future, but gives the child hope for life today, which is utilized for medical compliance that might prolong the child’s life. With all this focus on the child, it is no wonder that Paige is an unanticipated adult: while there now exists a vaccine to prevent Paige’s condition, it is too late for Paige to receive the future promised by this vaccine (Nelson 2014). Paige is not asking for anything that the telethon, fundraisers, or the MWF can provide—Paige did not die and Paige cannot overcome her condition. There are compelling reasons to follow Edelman towards negating the Child and the future when thinking through the forms of neoliberal futurity open to disability. Consider, for example, if embracing the withering of Paige opens possibilities that are not readily apparent when advocating for a future, especially a future that is entrenched in cure and enhancement? Is there a way to read Paige as failure, dysfunction, loss, tragedy, or suffering so as to avoid turning her into a form of difference that can be capacitated or simply left to wither? There are good reasons to embrace Paige’s suffering as a way of affirming that the tractable futures available to some disabled adults are not enough. Suffering can be mobilized as a way to highlight the ways in which not all forms of disability can be easily accommodated or adapted by neoliberal forms of capacitation. Using suffering to draw attention to forms of withering that some disabled people experience can be a helpful political strategy, but must be used with caution given the historical mobilization of suffering as a way to mark disabled lives as those not worth living. A politics of suffering is one way to bridge queer and crip theory to highlight the differential ways in which not all disabled people suffer equally, thus exposing the structural forces at play in the capacitation and withering of disabled bodies.</w:t>
      </w:r>
      <w:r w:rsidRPr="00D1238B">
        <w:rPr>
          <w:rStyle w:val="StyleUnderline"/>
        </w:rPr>
        <w:t xml:space="preserve"> </w:t>
      </w:r>
      <w:r w:rsidRPr="00D1238B">
        <w:rPr>
          <w:sz w:val="16"/>
        </w:rPr>
        <w:t>Some disabled people are capacitated in ways that are counterproductive to radically refiguring the world, whereas others are debilitated through violent processes that should not be celebrated. There is no one way to experience suffering, nor can we reduce or trivialize particular instances of suffering. Although it is not possible to entirely escape the frame in which disability-related suffering has been historically shaped and mobilized to render lives as not worth living, shared social experiences of suffering can push us to think more critically about the ways in which suffering is mobilized and to whose benefit.</w:t>
      </w:r>
      <w:r w:rsidRPr="00D1238B">
        <w:rPr>
          <w:rStyle w:val="StyleUnderline"/>
        </w:rPr>
        <w:t xml:space="preserve"> </w:t>
      </w:r>
      <w:r w:rsidRPr="00D1238B">
        <w:rPr>
          <w:sz w:val="16"/>
        </w:rPr>
        <w:t xml:space="preserve">However, as this article has shown, disability cannot operate in a full negation of the figure of the Child or unequivocally embrace “no future,” as disability is always already embedded in the production of the future as a future of technological and medical advances—a future to be found through the saving grace of biocapitalism. The future is accessible, happy, hopeful, and inclusive, even when it is not (Fritsch 2013). </w:t>
      </w:r>
      <w:r w:rsidRPr="00D1238B">
        <w:rPr>
          <w:rStyle w:val="Emphasis"/>
        </w:rPr>
        <w:t>Disability, through neoliberal biocapitalist processes of capacitation and withering, participates in the formation of the figure of the Child, and is thus an important site of contestation.</w:t>
      </w:r>
    </w:p>
    <w:p w:rsidR="00182B0C" w:rsidRDefault="00182B0C" w:rsidP="00182B0C">
      <w:pPr>
        <w:pStyle w:val="Heading4"/>
      </w:pPr>
      <w:r>
        <w:t xml:space="preserve">The alternative is to embrace the queer negativity of education—disconnecting learning from futurity inhabits the gaps within the social to explore queer possibilities </w:t>
      </w:r>
    </w:p>
    <w:p w:rsidR="00182B0C" w:rsidRDefault="00182B0C" w:rsidP="00182B0C">
      <w:r w:rsidRPr="00A71B72">
        <w:rPr>
          <w:rStyle w:val="Author-Date"/>
        </w:rPr>
        <w:t>Greteman &amp; Wojcikiewicz 2014</w:t>
      </w:r>
      <w:r>
        <w:t xml:space="preserve"> [ Adam J., Adjunct Assistant Professor of Art Education at the School of the Art Institute of Chicago; Steven K., Assistant Professor in the College of Education at </w:t>
      </w:r>
      <w:r>
        <w:lastRenderedPageBreak/>
        <w:t>Western Oregon University | “The Problems with the Future: Educational Futurism and the Figural Child” Journal of Philosophy of Education, Vol. 48, No. 4, 2014]</w:t>
      </w:r>
    </w:p>
    <w:p w:rsidR="00182B0C" w:rsidRDefault="00182B0C" w:rsidP="00182B0C">
      <w:pPr>
        <w:rPr>
          <w:rStyle w:val="StyleUnderline"/>
        </w:rPr>
      </w:pPr>
      <w:r w:rsidRPr="00A71B72">
        <w:rPr>
          <w:sz w:val="16"/>
        </w:rPr>
        <w:t xml:space="preserve">This may seem to lay out a solution for educational futurism in the name of what might be called educational present-ism, but it is not so. </w:t>
      </w:r>
      <w:r w:rsidRPr="009A6725">
        <w:rPr>
          <w:rStyle w:val="StyleUnderline"/>
        </w:rPr>
        <w:t xml:space="preserve">It would be a mistake, when viewing educational futurism and the Child in terms of their roles in creating poor educational practice, to respond merely by calling for an education for the present. Such a call would fall into dualistic thinking that sets the present against the future and demands allegiance to one side or the other. </w:t>
      </w:r>
      <w:r w:rsidRPr="00A71B72">
        <w:rPr>
          <w:sz w:val="16"/>
        </w:rPr>
        <w:t xml:space="preserve">Both Dewey and Edelman warn against such a step, Edelman by making a queer argument centred on the death drive, and Dewey by pointing out the dangers of boiling complex ideas down to either-or propositions. </w:t>
      </w:r>
      <w:r w:rsidRPr="009A6725">
        <w:rPr>
          <w:rStyle w:val="StyleUnderline"/>
        </w:rPr>
        <w:t>Seeing the disruptive potential of the embracing the ‘negativity’ of queerness, Edelman utilises Lacan’s theorisation of the death drive.</w:t>
      </w:r>
      <w:r w:rsidRPr="00A71B72">
        <w:rPr>
          <w:sz w:val="16"/>
        </w:rPr>
        <w:t xml:space="preserve"> He notes that ‘the death drive marks the excess embedded within the Symbolic through the loss, the Real loss, that the advent of the signifier effects’ (2004, p. 9). </w:t>
      </w:r>
      <w:r w:rsidRPr="009A6725">
        <w:rPr>
          <w:rStyle w:val="StyleUnderline"/>
        </w:rPr>
        <w:t>The death drive becomes the moment of undoing, of constantly seeking to disrupt and destroy the signifier for ‘the queer insists that politics is always a politics of the signifier’</w:t>
      </w:r>
      <w:r w:rsidRPr="00A71B72">
        <w:rPr>
          <w:sz w:val="16"/>
        </w:rPr>
        <w:t xml:space="preserve"> (p. 6). Queerness makes possible a constant disruption or ‘the violent undoing of meaning, the loss of identity and coherence’ (p. 132). </w:t>
      </w:r>
      <w:r w:rsidRPr="009A6725">
        <w:rPr>
          <w:rStyle w:val="StyleUnderline"/>
        </w:rPr>
        <w:t>Edelman’s embrace of the death drive thus challenges the story of the Child’s innocence. In this challenge however, he notes that,</w:t>
      </w:r>
      <w:r w:rsidRPr="00A71B72">
        <w:rPr>
          <w:sz w:val="16"/>
        </w:rPr>
        <w:t xml:space="preserve"> . . . </w:t>
      </w:r>
      <w:r w:rsidRPr="009A6725">
        <w:rPr>
          <w:rStyle w:val="StyleUnderline"/>
        </w:rPr>
        <w:t>to intervene in the reproduction of such a reality</w:t>
      </w:r>
      <w:r w:rsidRPr="00A71B72">
        <w:rPr>
          <w:sz w:val="16"/>
        </w:rPr>
        <w:t>—an intervention that may well take the form of figuring that reality’s abortion—</w:t>
      </w:r>
      <w:r w:rsidRPr="009A6725">
        <w:rPr>
          <w:rStyle w:val="StyleUnderline"/>
        </w:rPr>
        <w:t>queer theory must always insist on its connection to the vicissitudes of the sign</w:t>
      </w:r>
      <w:r w:rsidRPr="00A71B72">
        <w:rPr>
          <w:sz w:val="16"/>
        </w:rPr>
        <w:t xml:space="preserve">, to the tension between the signifier’s collapse into the letter’s cadaverous materiality and its participation in a system of reference wherein it generates meaning itself (p. 7). Edelman, as such, is following a broader theme in queer theory. Eve </w:t>
      </w:r>
      <w:r w:rsidRPr="009A6725">
        <w:rPr>
          <w:rStyle w:val="StyleUnderline"/>
        </w:rPr>
        <w:t>Sedgwick</w:t>
      </w:r>
      <w:r w:rsidRPr="00A71B72">
        <w:rPr>
          <w:sz w:val="16"/>
        </w:rPr>
        <w:t xml:space="preserve"> (1993) </w:t>
      </w:r>
      <w:r w:rsidRPr="009A6725">
        <w:rPr>
          <w:rStyle w:val="StyleUnderline"/>
        </w:rPr>
        <w:t>suggests queer ‘can refer to: the mesh of possibilities, of gaps, overlaps, dissonances, and resonances, lapses and excesses of meaning when the constituent elements of anyone’s gender, of anyone’s sexuality aren’t made (</w:t>
      </w:r>
      <w:r w:rsidRPr="00A71B72">
        <w:rPr>
          <w:sz w:val="16"/>
        </w:rPr>
        <w:t xml:space="preserve">or can’t be made) </w:t>
      </w:r>
      <w:r w:rsidRPr="009A6725">
        <w:rPr>
          <w:rStyle w:val="StyleUnderline"/>
        </w:rPr>
        <w:t>to signify monolithically’</w:t>
      </w:r>
      <w:r w:rsidRPr="00A71B72">
        <w:rPr>
          <w:sz w:val="16"/>
        </w:rPr>
        <w:t xml:space="preserve"> (p. 8). </w:t>
      </w:r>
      <w:r w:rsidRPr="009A6725">
        <w:rPr>
          <w:rStyle w:val="StyleUnderline"/>
        </w:rPr>
        <w:t>The social order, under modernity</w:t>
      </w:r>
      <w:r w:rsidRPr="00A71B72">
        <w:rPr>
          <w:sz w:val="16"/>
        </w:rPr>
        <w:t xml:space="preserve">, is fantasised to be coherent, to seek consistency, completeness, and unity. It </w:t>
      </w:r>
      <w:r w:rsidRPr="009A6725">
        <w:rPr>
          <w:rStyle w:val="StyleUnderline"/>
        </w:rPr>
        <w:t>seeks to tell a story that does not fail,</w:t>
      </w:r>
      <w:r w:rsidRPr="00A71B72">
        <w:rPr>
          <w:sz w:val="16"/>
        </w:rPr>
        <w:t xml:space="preserve"> even as it always must. </w:t>
      </w:r>
      <w:r w:rsidRPr="009A6725">
        <w:rPr>
          <w:rStyle w:val="StyleUnderline"/>
        </w:rPr>
        <w:t>It is this failure that queerness embraces.</w:t>
      </w:r>
      <w:r w:rsidRPr="00A71B72">
        <w:rPr>
          <w:sz w:val="16"/>
        </w:rPr>
        <w:t xml:space="preserve"> As Edelman notes ‘queer theory marks the “other” side of politics: the “side” where narrative realization and derealization overlap . . . the “side” outside of all political sides’ (p. 7). While some may seek to tame queer theory so as to imply troubling—eliminating the queers association with (homo)sexuality—such a move is problematic as it ‘dematerialize[s] any possibility of queerness itself’ because homosexuality is a piece of the queers ‘definitional center’ (Sedgwick, 1993, p. 8). Such a move ignores the role of sexual orientation in queerness. And as Ahmed notes </w:t>
      </w:r>
      <w:r w:rsidRPr="009A6725">
        <w:rPr>
          <w:rStyle w:val="StyleUnderline"/>
        </w:rPr>
        <w:t>‘being oriented in different ways does matter, precisely because of how spaces are already oriented</w:t>
      </w:r>
      <w:r w:rsidRPr="00A71B72">
        <w:rPr>
          <w:sz w:val="16"/>
        </w:rPr>
        <w:t xml:space="preserve"> . . </w:t>
      </w:r>
      <w:r w:rsidRPr="009A6725">
        <w:rPr>
          <w:rStyle w:val="StyleUnderline"/>
        </w:rPr>
        <w:t>. Orientations affect what bodies can do’</w:t>
      </w:r>
      <w:r w:rsidRPr="00A71B72">
        <w:rPr>
          <w:sz w:val="16"/>
        </w:rPr>
        <w:t xml:space="preserve"> (2006, p. 563). </w:t>
      </w:r>
      <w:r w:rsidRPr="009A6725">
        <w:rPr>
          <w:rStyle w:val="StyleUnderline"/>
        </w:rPr>
        <w:t>As such, orientation impacts the ability to think of the future and to what ends one is oriented toward.</w:t>
      </w:r>
      <w:r>
        <w:rPr>
          <w:rStyle w:val="StyleUnderline"/>
        </w:rPr>
        <w:t xml:space="preserve"> </w:t>
      </w:r>
      <w:r w:rsidRPr="009A6725">
        <w:rPr>
          <w:rStyle w:val="StyleUnderline"/>
        </w:rPr>
        <w:t>The task in part is the embrace of the negative in order to challenge the social reality and its fantasy of coherence to orient in new ways. The incompleteness of children</w:t>
      </w:r>
      <w:r w:rsidRPr="00A71B72">
        <w:rPr>
          <w:sz w:val="16"/>
        </w:rPr>
        <w:t xml:space="preserve">, much maligned, </w:t>
      </w:r>
      <w:r w:rsidRPr="009A6725">
        <w:rPr>
          <w:rStyle w:val="StyleUnderline"/>
        </w:rPr>
        <w:t>emerges then as a site for such a challenge whereby the incompleteness is embraced so that coherence is always in question.</w:t>
      </w:r>
      <w:r w:rsidRPr="00A71B72">
        <w:rPr>
          <w:sz w:val="16"/>
        </w:rPr>
        <w:t xml:space="preserve"> The social reality is constantly under threat of disintegration and as such seeks to regulate those bodies that cause such threats. </w:t>
      </w:r>
      <w:r w:rsidRPr="000C322C">
        <w:rPr>
          <w:rStyle w:val="StyleUnderline"/>
        </w:rPr>
        <w:t>The queerness of children produces different ways to do and be in the world, hidden by the regulatory subject in the form of the Child. To employ a queer perspective in the examination of educational futurism is not solely to carry out a simple act of negation</w:t>
      </w:r>
      <w:r w:rsidRPr="00A71B72">
        <w:rPr>
          <w:sz w:val="16"/>
        </w:rPr>
        <w:t xml:space="preserve"> (i.e. negating the Child), </w:t>
      </w:r>
      <w:r w:rsidRPr="000C322C">
        <w:rPr>
          <w:rStyle w:val="StyleUnderline"/>
        </w:rPr>
        <w:t>but to recognise how that negation is, in part, how the future is figured and how different futures might become thinkable.</w:t>
      </w:r>
      <w:r>
        <w:rPr>
          <w:rStyle w:val="StyleUnderline"/>
        </w:rPr>
        <w:t xml:space="preserve"> </w:t>
      </w:r>
      <w:r w:rsidRPr="00A71B72">
        <w:rPr>
          <w:sz w:val="16"/>
        </w:rPr>
        <w:t xml:space="preserve">For Edelman this embrace occurs through his theorisation around the death drive, which ‘names what the queer, in the order of the social, is called forth to figure: the negativity opposed to every form of social viability’ (2004, p. 9). </w:t>
      </w:r>
      <w:r w:rsidRPr="00E53BCC">
        <w:rPr>
          <w:rStyle w:val="StyleUnderline"/>
        </w:rPr>
        <w:t>Queerness challenges the world and opposes the norms that structure the logic of the social. It is not reproductive and within the realm of the social, unintelligible. It works against stability at all times, seeking its own death.</w:t>
      </w:r>
      <w:r w:rsidRPr="00A71B72">
        <w:rPr>
          <w:sz w:val="16"/>
        </w:rPr>
        <w:t xml:space="preserve"> In doing so, queerness challenges identity politics: [w]here the political interventions of identitarian minorities— including those who seek to substantialize the identities of lesbians, gay men, and bisexuals—may properly take shape as oppositional, affording the dominant order a reassuringly symmetrical, if inverted, depiction of its own ostensibly coherent identity, queer theory’s opposition is precisely to any such logic of opposition, its proper task the ceaseless disappropriation of every propriety. (p. 24) </w:t>
      </w:r>
      <w:r w:rsidRPr="00C50218">
        <w:rPr>
          <w:rStyle w:val="StyleUnderline"/>
        </w:rPr>
        <w:t>Yet, this death, this negation, is not to deny existence, but to push for alternative possibilities</w:t>
      </w:r>
      <w:r w:rsidRPr="00A71B72">
        <w:rPr>
          <w:sz w:val="16"/>
        </w:rPr>
        <w:t>—</w:t>
      </w:r>
      <w:r w:rsidRPr="00C50218">
        <w:rPr>
          <w:rStyle w:val="Emphasis"/>
        </w:rPr>
        <w:t>it is</w:t>
      </w:r>
      <w:r w:rsidRPr="00A71B72">
        <w:rPr>
          <w:sz w:val="16"/>
        </w:rPr>
        <w:t xml:space="preserve">, one might say, </w:t>
      </w:r>
      <w:r w:rsidRPr="00C50218">
        <w:rPr>
          <w:rStyle w:val="Emphasis"/>
        </w:rPr>
        <w:t>productive but never reproductive in producing new orientations to the world</w:t>
      </w:r>
      <w:r w:rsidRPr="00C50218">
        <w:rPr>
          <w:rStyle w:val="StyleUnderline"/>
        </w:rPr>
        <w:t xml:space="preserve">. It is creative in its destructive intentions, as it must </w:t>
      </w:r>
      <w:r w:rsidRPr="00C50218">
        <w:rPr>
          <w:rStyle w:val="StyleUnderline"/>
        </w:rPr>
        <w:lastRenderedPageBreak/>
        <w:t>never cease its negation within any given normative framework.</w:t>
      </w:r>
      <w:r>
        <w:rPr>
          <w:rStyle w:val="StyleUnderline"/>
        </w:rPr>
        <w:t xml:space="preserve"> </w:t>
      </w:r>
      <w:r w:rsidRPr="00A71B72">
        <w:rPr>
          <w:sz w:val="16"/>
        </w:rPr>
        <w:t xml:space="preserve">Dewey follows a parallel course here, in that he does not seek to create an essential, normative position. Rather, in his conception of both life and of education as growth for its own sake, he denies essential identities. Essentialising, in any form, would clearly disrupt Dewey’s insistence on the connection between life, growth, and education, and the self-justifying nature of the latter two. </w:t>
      </w:r>
      <w:r w:rsidRPr="00C50218">
        <w:rPr>
          <w:rStyle w:val="StyleUnderline"/>
        </w:rPr>
        <w:t>If the death drive appears here, as Edelman has used it, it appears as the constant disrupter of the static, the destroyer of identity, the social, which makes constant growth and learning possible.</w:t>
      </w:r>
      <w:r w:rsidRPr="00A71B72">
        <w:rPr>
          <w:sz w:val="16"/>
        </w:rPr>
        <w:t xml:space="preserve"> When Dewey warns about the danger of placing the adult above the child, he does not propose that the answer is the placement of the child above the adult. Rather, Dewey seeks to deny the duality itself. ‘The relation of the present and the future’, he writes, ‘is not an Either-Or affair’ (1938, p. 30). Arguably then, </w:t>
      </w:r>
      <w:r w:rsidRPr="00C50218">
        <w:rPr>
          <w:rStyle w:val="StyleUnderline"/>
        </w:rPr>
        <w:t>Dewey challenges the Child as Edelman does, writing against a politics that fantasises about coherence and recognisable forms proposing rather a subject that is contingent, particular and unable to be fully articulated.</w:t>
      </w:r>
    </w:p>
    <w:p w:rsidR="00976DFD" w:rsidRDefault="00976DFD" w:rsidP="00182B0C"/>
    <w:p w:rsidR="00182B0C" w:rsidRDefault="006E6AE4" w:rsidP="006E6AE4">
      <w:pPr>
        <w:pStyle w:val="Heading4"/>
      </w:pPr>
      <w:r>
        <w:t xml:space="preserve">Queer negativity turns away from futurity which forecloses the possibilities of other worlds. Contesting the figural Child as a site of biocapitalist investment bridges queer and crip theory </w:t>
      </w:r>
    </w:p>
    <w:p w:rsidR="00182B0C" w:rsidRPr="00182B0C" w:rsidRDefault="00182B0C" w:rsidP="00182B0C">
      <w:r>
        <w:rPr>
          <w:rStyle w:val="Style13ptBold"/>
        </w:rPr>
        <w:t xml:space="preserve">Fritsch 16 </w:t>
      </w:r>
      <w:r w:rsidRPr="00B76FD0">
        <w:t>[Kelly Fritsch, Banting Postdoctoral Fellow at the Women and Gender Studies Institute and Technoscience Research Unit, University of Toronto. Fritsch holds a doctorate in Social and Political Thought from York University and is co-editor of Keywords for Radicals: The Contested Vocabulary of Late Capitalist Struggle, “Cripping Neoliberal Futurity: Marking the Elsewhere and Elsewhen of Desiring Otherwise”, Feral Feminisims Untimely Bodies: Futurity Resistance, and Non-Normative Embodiment, Issue 5, Spring 2016]</w:t>
      </w:r>
    </w:p>
    <w:p w:rsidR="00182B0C" w:rsidRDefault="00182B0C" w:rsidP="00182B0C">
      <w:pPr>
        <w:rPr>
          <w:sz w:val="12"/>
        </w:rPr>
      </w:pPr>
      <w:r w:rsidRPr="00713895">
        <w:rPr>
          <w:rStyle w:val="StyleUnderline"/>
        </w:rPr>
        <w:t>The ambiguity by which neoliberal futurity mobilizes the suffering disabled child as both a site of no future and a site of enhancement marks disability as contested terrain</w:t>
      </w:r>
      <w:r w:rsidRPr="0046215B">
        <w:rPr>
          <w:sz w:val="12"/>
        </w:rPr>
        <w:t xml:space="preserve">. Through the examples traced in this article, neoliberal futurity is deployed slightly differently. For Clarence, </w:t>
      </w:r>
      <w:r w:rsidRPr="00713895">
        <w:rPr>
          <w:rStyle w:val="StyleUnderline"/>
        </w:rPr>
        <w:t>there can be no future for her disabled children</w:t>
      </w:r>
      <w:r w:rsidRPr="0046215B">
        <w:rPr>
          <w:sz w:val="12"/>
        </w:rPr>
        <w:t xml:space="preserve">. For Cure SMA, </w:t>
      </w:r>
      <w:r w:rsidRPr="00713895">
        <w:rPr>
          <w:rStyle w:val="StyleUnderline"/>
        </w:rPr>
        <w:t>disability produces only a diminishing and dependent child with no future, so it is imperative to invest in a biocapitalist future that can overcome</w:t>
      </w:r>
      <w:r w:rsidRPr="0046215B">
        <w:rPr>
          <w:sz w:val="12"/>
        </w:rPr>
        <w:t xml:space="preserve"> SMA. Jerry’s Kids are presented as having no future, even when confronted with grown-up renegades. The telethon and contemporary fundraising initiatives encourage a hope and investment in processes of enhancement and cure as the only possible future for disability. For Rapp, there is no future for particular disabled children, but there is hope in having another child. The MWF marks disabled children as having no future, but gives the child hope for life today, which is utilized for medical compliance that might prolong the child’s life. With all this focus on the child, it is no wonder that Paige is an unanticipated adult: while there now exists a vaccine to prevent Paige’s condition, it is too late for Paige to receive the future promised by this vaccine (Nelson 2014). Paige is not asking for anything that the telethon, fundraisers, or the MWF can provide—Paige did not die and Paige cannot overcome her condition. </w:t>
      </w:r>
      <w:r w:rsidRPr="00713895">
        <w:rPr>
          <w:rStyle w:val="StyleUnderline"/>
        </w:rPr>
        <w:t>There are compelling reasons to follow Edelman towards negating the Child and the future when thinking through the forms of neoliberal futurity open to disability.</w:t>
      </w:r>
      <w:r w:rsidRPr="0046215B">
        <w:rPr>
          <w:sz w:val="12"/>
        </w:rPr>
        <w:t xml:space="preserve"> Consider, for example, if embracing the withering of Paige opens possibilities that are not readily apparent when advocating for a future, especially a future that is entrenched in cure and enhancement? Is there a way to read Paige as failure, dysfunction, loss, tragedy, or suffering so as to avoid turning her into a form of difference that can be capacitated or simply left to wither? There are good reasons to embrace Paige’s suffering as a way of affirming that the tractable futures available to some disabled adults are not enough. Suffering can be mobilized as a way to highlight the ways in which not all forms of disability can be easily accommodated or adapted by neoliberal forms of capacitation. Using suffering to draw attention to forms of withering that some disabled people experience can be a helpful political strategy, but must be used with caution given the historical mobilization of suffering as a way to mark disabled lives as those not worth living. </w:t>
      </w:r>
      <w:r w:rsidRPr="00713895">
        <w:rPr>
          <w:rStyle w:val="Emphasis"/>
        </w:rPr>
        <w:t>A politics of suffering is one way to bridge queer and crip theory</w:t>
      </w:r>
      <w:r w:rsidRPr="00713895">
        <w:rPr>
          <w:rStyle w:val="StyleUnderline"/>
        </w:rPr>
        <w:t xml:space="preserve"> to highlight the differential ways in which not all disabled people suffer equally, thus exposing the structural forces at play in the capacitation and withering of disabled bodies. Some disabled people are capacitated in ways that are counterproductive to radically refiguring the world, whereas others</w:t>
      </w:r>
      <w:r w:rsidRPr="00713895">
        <w:rPr>
          <w:rStyle w:val="StyleUnderline"/>
        </w:rPr>
        <w:cr/>
      </w:r>
      <w:r>
        <w:rPr>
          <w:rStyle w:val="StyleUnderline"/>
        </w:rPr>
        <w:t xml:space="preserve"> </w:t>
      </w:r>
      <w:r w:rsidRPr="00713895">
        <w:rPr>
          <w:rStyle w:val="StyleUnderline"/>
        </w:rPr>
        <w:t>are debilitated through violent processes that should not be celebrated</w:t>
      </w:r>
      <w:r w:rsidRPr="0046215B">
        <w:rPr>
          <w:sz w:val="12"/>
        </w:rPr>
        <w:t xml:space="preserve">. </w:t>
      </w:r>
      <w:r w:rsidRPr="00713895">
        <w:rPr>
          <w:rStyle w:val="Emphasis"/>
        </w:rPr>
        <w:t>There is no one way to experience suffering, nor can we reduce or trivialize particular instances of suffering</w:t>
      </w:r>
      <w:r w:rsidRPr="0046215B">
        <w:rPr>
          <w:sz w:val="12"/>
        </w:rPr>
        <w:t xml:space="preserve">. Although </w:t>
      </w:r>
      <w:r w:rsidRPr="00713895">
        <w:rPr>
          <w:rStyle w:val="StyleUnderline"/>
        </w:rPr>
        <w:t>it is not possible to entirely escape the frame in which disability-related suffering has been historically shaped and mobilized to render lives as not worth living, shared social experiences of suffering can push us to think more critically about the ways in which suffering is mobilized and to whose benefit.</w:t>
      </w:r>
      <w:r>
        <w:rPr>
          <w:rStyle w:val="StyleUnderline"/>
        </w:rPr>
        <w:t xml:space="preserve"> </w:t>
      </w:r>
      <w:r w:rsidRPr="0046215B">
        <w:rPr>
          <w:sz w:val="12"/>
        </w:rPr>
        <w:t xml:space="preserve">However, as this article has shown, disability cannot operate in a full negation of the figure of the Child or unequivocally embrace “no future,” as disability is always already embedded in the production of the future as a future of technological and medical advances—a future to be found through the saving grace of biocapitalism. The future is accessible, happy, hopeful, and inclusive, even when it is not (Fritsch 2013). </w:t>
      </w:r>
      <w:r w:rsidRPr="00713895">
        <w:rPr>
          <w:rStyle w:val="Emphasis"/>
        </w:rPr>
        <w:t xml:space="preserve">Disability, through neoliberal biocapitalist processes of </w:t>
      </w:r>
      <w:r w:rsidRPr="00713895">
        <w:rPr>
          <w:rStyle w:val="Emphasis"/>
        </w:rPr>
        <w:lastRenderedPageBreak/>
        <w:t>capacitation and withering, participates in the formation of the figure of the Child, and is thus an important site of contestation.</w:t>
      </w:r>
      <w:r>
        <w:rPr>
          <w:rStyle w:val="Emphasis"/>
        </w:rPr>
        <w:t xml:space="preserve"> </w:t>
      </w:r>
      <w:r w:rsidRPr="0046215B">
        <w:rPr>
          <w:sz w:val="12"/>
        </w:rPr>
        <w:t xml:space="preserve">In contrast to Edelman (2004), I am interested in </w:t>
      </w:r>
      <w:r w:rsidRPr="0046215B">
        <w:rPr>
          <w:rStyle w:val="Emphasis"/>
        </w:rPr>
        <w:t>negating reproductive futurism not only to reject the social order that relies on the Child, but rather to invest otherwise in social relations that complicate both the horizon of futurity and that of neoliberal biocapitalism that underlies our current interest in the future</w:t>
      </w:r>
      <w:r w:rsidRPr="0046215B">
        <w:rPr>
          <w:sz w:val="12"/>
        </w:rPr>
        <w:t xml:space="preserve">. The fight then, </w:t>
      </w:r>
      <w:r w:rsidRPr="0046215B">
        <w:rPr>
          <w:rStyle w:val="StyleUnderline"/>
        </w:rPr>
        <w:t>is not an anti-social turn away from the future entirely, but a negative turn away from the future that currently forecloses the possibility of other worlds</w:t>
      </w:r>
      <w:r w:rsidRPr="0046215B">
        <w:rPr>
          <w:sz w:val="12"/>
        </w:rPr>
        <w:t xml:space="preserve">. </w:t>
      </w:r>
      <w:r w:rsidRPr="0046215B">
        <w:rPr>
          <w:rStyle w:val="StyleUnderline"/>
        </w:rPr>
        <w:t>It is a question of struggling for a better world and demanding a better future, not for our individual selves, or for our children, but as an ethical gesture of being of and within the world</w:t>
      </w:r>
      <w:r w:rsidRPr="0046215B">
        <w:rPr>
          <w:sz w:val="12"/>
        </w:rPr>
        <w:t>. Muñoz notes: “The act of accepting no future is dependent on renouncing politics and various principles of hope that are, by their very nature, relational” (2009, 94). If it is indeed within relations that disability emerges, then that is where the fight is to be had. Negating neoliberal reproductive futurity is thus not simply a question of fucking the child, but rather investing otherwise in social relations that complicate this horizon of futurity.</w:t>
      </w:r>
    </w:p>
    <w:p w:rsidR="00976DFD" w:rsidRPr="00976DFD" w:rsidRDefault="00976DFD" w:rsidP="00976DFD"/>
    <w:p w:rsidR="00CB05A4" w:rsidRDefault="000B7636" w:rsidP="00CB05A4">
      <w:pPr>
        <w:pStyle w:val="Heading3"/>
      </w:pPr>
      <w:bookmarkStart w:id="15" w:name="_Toc489138910"/>
      <w:r>
        <w:lastRenderedPageBreak/>
        <w:t xml:space="preserve">1NC: </w:t>
      </w:r>
      <w:r w:rsidR="00CB05A4">
        <w:t>Queer Wipeout</w:t>
      </w:r>
      <w:bookmarkEnd w:id="15"/>
    </w:p>
    <w:p w:rsidR="000B7636" w:rsidRPr="004705A8" w:rsidRDefault="000B7636" w:rsidP="000B7636">
      <w:pPr>
        <w:pStyle w:val="Heading4"/>
        <w:rPr>
          <w:rStyle w:val="Style13ptBold"/>
          <w:b/>
        </w:rPr>
      </w:pPr>
      <w:r w:rsidRPr="004705A8">
        <w:rPr>
          <w:rStyle w:val="Style13ptBold"/>
          <w:b/>
        </w:rPr>
        <w:t>We are living in the end times—the 6</w:t>
      </w:r>
      <w:r w:rsidRPr="004705A8">
        <w:rPr>
          <w:rStyle w:val="Style13ptBold"/>
          <w:b/>
          <w:vertAlign w:val="superscript"/>
        </w:rPr>
        <w:t>th</w:t>
      </w:r>
      <w:r w:rsidRPr="004705A8">
        <w:rPr>
          <w:rStyle w:val="Style13ptBold"/>
          <w:b/>
        </w:rPr>
        <w:t xml:space="preserve"> mass extinction will end humanity and multiple forms of life. Only a form of belonging within queer negativity opens a form of witnessing that can attune to ethical possibilities for being and more than human possibilities. </w:t>
      </w:r>
    </w:p>
    <w:p w:rsidR="000B7636" w:rsidRPr="00EB3DBA" w:rsidRDefault="000B7636" w:rsidP="000B7636">
      <w:r w:rsidRPr="00EB3DBA">
        <w:rPr>
          <w:rStyle w:val="Style13ptBold"/>
        </w:rPr>
        <w:t>Haas 16</w:t>
      </w:r>
      <w:r w:rsidRPr="00EB3DBA">
        <w:t xml:space="preserve"> </w:t>
      </w:r>
      <w:r w:rsidRPr="003F6C51">
        <w:rPr>
          <w:sz w:val="16"/>
          <w:szCs w:val="16"/>
        </w:rPr>
        <w:t xml:space="preserve">[Benjamin. Benjamin Haas is an Assistant Professor of Speech, Communication, and Theatre Arts at Borough of Manhattan Community College, City University New York. “Hopeless Activism: Performance in the Anthropocene” </w:t>
      </w:r>
      <w:r w:rsidRPr="003F6C51">
        <w:rPr>
          <w:i/>
          <w:sz w:val="16"/>
          <w:szCs w:val="16"/>
        </w:rPr>
        <w:t>Text and Performance Quarterly</w:t>
      </w:r>
      <w:r w:rsidRPr="003F6C51">
        <w:rPr>
          <w:sz w:val="16"/>
          <w:szCs w:val="16"/>
        </w:rPr>
        <w:t xml:space="preserve"> Vol. 36, Issue 4, 2016, 279-296.DOI: </w:t>
      </w:r>
      <w:hyperlink r:id="rId8" w:history="1">
        <w:r w:rsidRPr="003F6C51">
          <w:rPr>
            <w:rStyle w:val="Hyperlink"/>
            <w:sz w:val="16"/>
            <w:szCs w:val="16"/>
          </w:rPr>
          <w:t>http://dx.doi.org/10.1080/10462937.2016.1230678</w:t>
        </w:r>
      </w:hyperlink>
      <w:r w:rsidRPr="003F6C51">
        <w:rPr>
          <w:sz w:val="16"/>
          <w:szCs w:val="16"/>
        </w:rPr>
        <w:t>. SH]</w:t>
      </w:r>
    </w:p>
    <w:p w:rsidR="000B7636" w:rsidRPr="003F6C51" w:rsidRDefault="000B7636" w:rsidP="000B7636">
      <w:pPr>
        <w:rPr>
          <w:sz w:val="16"/>
        </w:rPr>
      </w:pPr>
      <w:r w:rsidRPr="00EB3DBA">
        <w:rPr>
          <w:rStyle w:val="StyleUnderline"/>
        </w:rPr>
        <w:t>Naming the Anthropocene</w:t>
      </w:r>
      <w:r w:rsidRPr="003F6C51">
        <w:rPr>
          <w:sz w:val="16"/>
        </w:rPr>
        <w:t xml:space="preserve"> isn’t wholly sufficient to articulate the causes of hopelessness that reside in scholars, activists, or me, today. It </w:t>
      </w:r>
      <w:r w:rsidRPr="00EB3DBA">
        <w:rPr>
          <w:rStyle w:val="StyleUnderline"/>
        </w:rPr>
        <w:t>does mark a way of referencing an anxiety</w:t>
      </w:r>
      <w:r>
        <w:rPr>
          <w:rStyle w:val="StyleUnderline"/>
        </w:rPr>
        <w:t xml:space="preserve"> </w:t>
      </w:r>
      <w:r w:rsidRPr="00EB3DBA">
        <w:rPr>
          <w:rStyle w:val="StyleUnderline"/>
        </w:rPr>
        <w:t>of the time-space we currently inhabit, but it doesn’t articulate the ways in which the event</w:t>
      </w:r>
      <w:r>
        <w:rPr>
          <w:rStyle w:val="StyleUnderline"/>
        </w:rPr>
        <w:t xml:space="preserve"> </w:t>
      </w:r>
      <w:r w:rsidRPr="00EB3DBA">
        <w:rPr>
          <w:rStyle w:val="StyleUnderline"/>
        </w:rPr>
        <w:t>horizon of our ceasing to be haunts us. In order to fully understand the actual stakes</w:t>
      </w:r>
      <w:r w:rsidRPr="003F6C51">
        <w:rPr>
          <w:sz w:val="16"/>
        </w:rPr>
        <w:t xml:space="preserve">, not just of naming, but of living today in the Anthropocene, </w:t>
      </w:r>
      <w:r w:rsidRPr="00EB3DBA">
        <w:rPr>
          <w:rStyle w:val="StyleUnderline"/>
        </w:rPr>
        <w:t>we must turn and look at the</w:t>
      </w:r>
      <w:r>
        <w:rPr>
          <w:rStyle w:val="StyleUnderline"/>
        </w:rPr>
        <w:t xml:space="preserve"> </w:t>
      </w:r>
      <w:r w:rsidRPr="00EB3DBA">
        <w:rPr>
          <w:rStyle w:val="StyleUnderline"/>
        </w:rPr>
        <w:t>scientific data that demonstrates the climate crisis at full-bore</w:t>
      </w:r>
      <w:r w:rsidRPr="003F6C51">
        <w:rPr>
          <w:sz w:val="16"/>
        </w:rPr>
        <w:t xml:space="preserve">. The notion of planetary boundaries may be the most useful and comprehensive way to frame these anxieties of the Anthropocene. The nine planetary boundaries were originally articulated in the paper by Johan Rockström from the Stockholm Resilience Centre and Will Steffen from the Australian National University: Here, we present a novel concept, planetary boundaries, for estimating a safe operating space for humanity with respect to the functioning of the Earth System. We make a first preliminary effort at identifying key Earth System processes and attempt to quantify for each process the boundary level that should not be transgressed if we are to avoid unacceptable global environmental change. Unacceptable change is here defined in relation to the risks humanity faces in the transition of the planet from the Holocene to the Anthropocene. The relatively stable environment of the Holocene, the current interglacial period that began about 10,000 years ago, allowed agriculture and complex societies, including the present, to develop and flourishrally speaking they codify nine thresholds below which various ecological conditions must remain for the long-term longevity of life on earth. (2) The concept of thresholds is inherent to the concept of the Anthropocene, for the question of the Anthropocene is, Have we done enough damage to the planet that we can name the time we live in for those scars? It is in the marking of these lines where hope resides. </w:t>
      </w:r>
      <w:r w:rsidRPr="00EB3DBA">
        <w:rPr>
          <w:rStyle w:val="StyleUnderline"/>
        </w:rPr>
        <w:t>Hope</w:t>
      </w:r>
      <w:r>
        <w:rPr>
          <w:rStyle w:val="StyleUnderline"/>
        </w:rPr>
        <w:t xml:space="preserve"> </w:t>
      </w:r>
      <w:r w:rsidRPr="00EB3DBA">
        <w:rPr>
          <w:rStyle w:val="StyleUnderline"/>
        </w:rPr>
        <w:t>for the continuation of the species exists in the space between the damage we have caused</w:t>
      </w:r>
      <w:r>
        <w:rPr>
          <w:rStyle w:val="StyleUnderline"/>
        </w:rPr>
        <w:t xml:space="preserve"> </w:t>
      </w:r>
      <w:r w:rsidRPr="00EB3DBA">
        <w:rPr>
          <w:rStyle w:val="StyleUnderline"/>
        </w:rPr>
        <w:t>to the planet and the amount to which that damage brings about our extinction</w:t>
      </w:r>
      <w:r w:rsidRPr="003F6C51">
        <w:rPr>
          <w:sz w:val="16"/>
        </w:rPr>
        <w:t xml:space="preserve">. However, the hopeless activist in me believes </w:t>
      </w:r>
      <w:r w:rsidRPr="00EB3DBA">
        <w:rPr>
          <w:rStyle w:val="StyleUnderline"/>
        </w:rPr>
        <w:t>we have crossed that line</w:t>
      </w:r>
      <w:r w:rsidRPr="003F6C51">
        <w:rPr>
          <w:sz w:val="16"/>
        </w:rPr>
        <w:t xml:space="preserve">, surpassing the hope embedded in it. Similarly, Frank </w:t>
      </w:r>
      <w:r w:rsidRPr="00EB3DBA">
        <w:rPr>
          <w:rStyle w:val="StyleUnderline"/>
        </w:rPr>
        <w:t>Fenner, emeritus professor of microbiology at the Australian</w:t>
      </w:r>
      <w:r>
        <w:rPr>
          <w:rStyle w:val="StyleUnderline"/>
        </w:rPr>
        <w:t xml:space="preserve"> </w:t>
      </w:r>
      <w:r w:rsidRPr="00EB3DBA">
        <w:rPr>
          <w:rStyle w:val="StyleUnderline"/>
        </w:rPr>
        <w:t>National University in Canberra, has said he suspects humans will not exist on</w:t>
      </w:r>
      <w:r>
        <w:rPr>
          <w:rStyle w:val="StyleUnderline"/>
        </w:rPr>
        <w:t xml:space="preserve"> </w:t>
      </w:r>
      <w:r w:rsidRPr="00EB3DBA">
        <w:rPr>
          <w:rStyle w:val="StyleUnderline"/>
        </w:rPr>
        <w:t>this planet in 100 years</w:t>
      </w:r>
      <w:r w:rsidRPr="003F6C51">
        <w:rPr>
          <w:sz w:val="16"/>
        </w:rPr>
        <w:t xml:space="preserve"> (11). In the original planetary boundaries study, </w:t>
      </w:r>
      <w:r w:rsidRPr="00EB3DBA">
        <w:rPr>
          <w:rStyle w:val="StyleUnderline"/>
        </w:rPr>
        <w:t>it is revealed we have already crossed three</w:t>
      </w:r>
      <w:r>
        <w:rPr>
          <w:rStyle w:val="StyleUnderline"/>
        </w:rPr>
        <w:t xml:space="preserve"> </w:t>
      </w:r>
      <w:r w:rsidRPr="00EB3DBA">
        <w:rPr>
          <w:rStyle w:val="StyleUnderline"/>
        </w:rPr>
        <w:t>planetary boundaries: climate change, rate of biodiversity loss, and rate of interference</w:t>
      </w:r>
      <w:r>
        <w:rPr>
          <w:rStyle w:val="StyleUnderline"/>
        </w:rPr>
        <w:t xml:space="preserve"> </w:t>
      </w:r>
      <w:r w:rsidRPr="00EB3DBA">
        <w:rPr>
          <w:rStyle w:val="StyleUnderline"/>
        </w:rPr>
        <w:t>with the nitrogen cycle</w:t>
      </w:r>
      <w:r w:rsidRPr="003F6C51">
        <w:rPr>
          <w:sz w:val="16"/>
        </w:rPr>
        <w:t xml:space="preserve">. However, as the scholars in this initial paper are quick to point out, these findings may not immediately mean we are doomed: There is significant uncertainty surrounding the duration over which boundaries can be transgressed before causing unacceptable environmental change and before triggering feedbacks that may result in crossing of thresholds that drastically reduce the ability to return within safe levels. (21) I will return to these already crossed boundaries in a moment, in particular the loss of biodiversity and the ways in which feedback loops construct a dark vision of our planetary future. But it is in the haze of the next line that I experience the greatest sense of finitude about our future: ocean acidification. Rockstrum et al. note the illegibility of this boundary means we may not know the crossing of it until it is too late (10). Essentially, a lowering of pH levels inside the ocean water dramatically impacts shell-protected organisms and coral reefs because it slowly dissolves the minerals (mostly calcium) that make up these organisms’ bodies. This threshold crossing occurs in the moment the rate of acidification outpaces organisms’ ability to adapt. A 2006 study published in Science by Boris Worm has argued that this moment of ocean acidification is likely to be achieved in the year 2048, if not sooner (790). These </w:t>
      </w:r>
      <w:r w:rsidRPr="00EB3DBA">
        <w:rPr>
          <w:rStyle w:val="StyleUnderline"/>
        </w:rPr>
        <w:t>deaths would not stop with mollusks and crustaceans who have</w:t>
      </w:r>
      <w:r>
        <w:rPr>
          <w:rStyle w:val="StyleUnderline"/>
        </w:rPr>
        <w:t xml:space="preserve"> </w:t>
      </w:r>
      <w:r w:rsidRPr="00EB3DBA">
        <w:rPr>
          <w:rStyle w:val="StyleUnderline"/>
        </w:rPr>
        <w:t>shells, but would extend to every ocean species currently used for human consumption:</w:t>
      </w:r>
      <w:r>
        <w:rPr>
          <w:rStyle w:val="StyleUnderline"/>
        </w:rPr>
        <w:t xml:space="preserve"> </w:t>
      </w:r>
      <w:r w:rsidRPr="00EB3DBA">
        <w:rPr>
          <w:rStyle w:val="StyleUnderline"/>
        </w:rPr>
        <w:t>This trend is of serious concern because it projects the global collapse of all taxa currently</w:t>
      </w:r>
      <w:r>
        <w:rPr>
          <w:rStyle w:val="StyleUnderline"/>
        </w:rPr>
        <w:t xml:space="preserve"> </w:t>
      </w:r>
      <w:r w:rsidRPr="00EB3DBA">
        <w:rPr>
          <w:rStyle w:val="StyleUnderline"/>
        </w:rPr>
        <w:t>fished by the mid–21st century</w:t>
      </w:r>
      <w:r w:rsidRPr="003F6C51">
        <w:rPr>
          <w:sz w:val="16"/>
        </w:rPr>
        <w:t>. Our findings further suggest that the elimination of locally adapted populations and species not only impairs the ability of marine ecosystems to feed a growing human population but also sabotages their stability and recovery potential in a rapidly changing marine environment. (790) Captain Paul Watson of the Sea Shepherd Conservation Society has said, “</w:t>
      </w:r>
      <w:r w:rsidRPr="00EB3DBA">
        <w:rPr>
          <w:rStyle w:val="StyleUnderline"/>
        </w:rPr>
        <w:t>when the oceans</w:t>
      </w:r>
      <w:r>
        <w:rPr>
          <w:rStyle w:val="StyleUnderline"/>
        </w:rPr>
        <w:t xml:space="preserve"> </w:t>
      </w:r>
      <w:r w:rsidRPr="00EB3DBA">
        <w:rPr>
          <w:rStyle w:val="StyleUnderline"/>
        </w:rPr>
        <w:t>die, we die.” In combination with the knowledge of the crossing of planetary thresholds</w:t>
      </w:r>
      <w:r>
        <w:rPr>
          <w:rStyle w:val="StyleUnderline"/>
        </w:rPr>
        <w:t xml:space="preserve"> </w:t>
      </w:r>
      <w:r w:rsidRPr="00EB3DBA">
        <w:rPr>
          <w:rStyle w:val="StyleUnderline"/>
        </w:rPr>
        <w:t>and the nearly crossed ocean acidification threshold, if Watson is correct, humanity currently</w:t>
      </w:r>
      <w:r>
        <w:rPr>
          <w:rStyle w:val="StyleUnderline"/>
        </w:rPr>
        <w:t xml:space="preserve"> </w:t>
      </w:r>
      <w:r w:rsidRPr="00EB3DBA">
        <w:rPr>
          <w:rStyle w:val="StyleUnderline"/>
        </w:rPr>
        <w:t>faces an event horizon moment in 2048</w:t>
      </w:r>
      <w:r w:rsidRPr="003F6C51">
        <w:rPr>
          <w:sz w:val="16"/>
        </w:rPr>
        <w:t xml:space="preserve">. Extinction and the posthuman world Taiji, Japan, is beautiful. There are miles of rocky coast that wiggle in and out of coves and thrusts. Standing on the beach at sunrise and sunset, there is a light I will never forget. In every account one can find about the small village, the contrast between the beauty of the place and the horror of dolphin killings bubbles just below the surface. In my second week in the area, I was positioned in a spot that required climbing on top of some rocks in front of a sea wall separating the cove from the marina and butcher house. I knew if the hunt was “successful” that day the hunters would bring the dolphins very close to the rocks I was to climb. Thus, the further out on the rocks I could get, the closer I would be to the hunters and dolphins. My campaign </w:t>
      </w:r>
      <w:r w:rsidRPr="003F6C51">
        <w:rPr>
          <w:sz w:val="16"/>
        </w:rPr>
        <w:lastRenderedPageBreak/>
        <w:t>partner that day wandered off, so I felt a certain level of pressure to take great photos of that day’s events. I ventured way out on the rocks and, because the dolphins put up such a fight that day, I spent more than four hours on top of a single rock. When the tide came in, I hardly noticed, so captivated was I by my work of taking photos. When I went to return home, almost all the rocks I had used to climb to the top had been covered with water – my only way back to shore involved making a jump of more than 6 feet across to a rock that was at least 4 feet higher than the one I was standing on. I had a heavy backpack full of equipment including my camera, three spare lenses, a tripod, food, water, and a winter coat. Wearing the backpack, I made the jump, catching the edge of the rock in my armpits and dragging myself up to the apex, while my fellow Cove Guardians watched from the shore. Derrida writes that when one dies the universe ends. To understand this idea more formally, I must turn to Ian Balfour in Late Derrida, where he explains the French version of the Work of Mourning, released as an expanded edition to the English, including an additional articulation of this statement: In the later French version, Derrida offers a brief reflection on the status of the world and worlds in relation to death. In a passage that, I believe, has not yet appeared in English, Derrida writes: “</w:t>
      </w:r>
      <w:r w:rsidRPr="00EB3DBA">
        <w:rPr>
          <w:rStyle w:val="StyleUnderline"/>
        </w:rPr>
        <w:t>Death declares each time the end of the world in totality, the end of every</w:t>
      </w:r>
      <w:r>
        <w:rPr>
          <w:rStyle w:val="StyleUnderline"/>
        </w:rPr>
        <w:t xml:space="preserve"> </w:t>
      </w:r>
      <w:r w:rsidRPr="00EB3DBA">
        <w:rPr>
          <w:rStyle w:val="StyleUnderline"/>
        </w:rPr>
        <w:t>world, and each time the end of the world as unique totality, thus irreplaceable and thus</w:t>
      </w:r>
      <w:r>
        <w:rPr>
          <w:rStyle w:val="StyleUnderline"/>
        </w:rPr>
        <w:t xml:space="preserve"> </w:t>
      </w:r>
      <w:r w:rsidRPr="00EB3DBA">
        <w:rPr>
          <w:rStyle w:val="StyleUnderline"/>
        </w:rPr>
        <w:t>infinite.”</w:t>
      </w:r>
      <w:r w:rsidRPr="003F6C51">
        <w:rPr>
          <w:sz w:val="16"/>
        </w:rPr>
        <w:t xml:space="preserve"> He goes on to resign himself to the possibility that each farewell [adieu] or salute [salut] to his dead friends must face the possibility of there being no return, and of the end of the world as the end of all and all resurrection. (216) </w:t>
      </w:r>
      <w:r w:rsidRPr="00EB3DBA">
        <w:rPr>
          <w:rStyle w:val="StyleUnderline"/>
        </w:rPr>
        <w:t>Death is extinction</w:t>
      </w:r>
      <w:r w:rsidRPr="003F6C51">
        <w:rPr>
          <w:sz w:val="16"/>
        </w:rPr>
        <w:t xml:space="preserve"> in Derrida’s language. Derrida is not being facetious in this moment, nor is he speaking metaphorically; he’s articulating the gravitational force of death. Death is </w:t>
      </w:r>
      <w:r w:rsidRPr="00EB3DBA">
        <w:rPr>
          <w:rStyle w:val="StyleUnderline"/>
        </w:rPr>
        <w:t>not merely the end of the universe, it is, very literally, the end of existence</w:t>
      </w:r>
      <w:r w:rsidRPr="003F6C51">
        <w:rPr>
          <w:sz w:val="16"/>
        </w:rPr>
        <w:t xml:space="preserve">. </w:t>
      </w:r>
      <w:r w:rsidRPr="00EB3DBA">
        <w:rPr>
          <w:rStyle w:val="StyleUnderline"/>
        </w:rPr>
        <w:t>This all-encompassing death is a totality, and it eliminates all from existence</w:t>
      </w:r>
      <w:r w:rsidRPr="003F6C51">
        <w:rPr>
          <w:sz w:val="16"/>
        </w:rPr>
        <w:t xml:space="preserve"> in the sweeping arc of an extinguished consciousness. However, it is the second statement about the responsibility of saying goodbye where I am truly stirred. Saying goodbye, for Derrida, is inherently </w:t>
      </w:r>
      <w:r w:rsidRPr="00EB3DBA">
        <w:rPr>
          <w:rStyle w:val="StyleUnderline"/>
        </w:rPr>
        <w:t>the recognition of this total loss</w:t>
      </w:r>
      <w:r w:rsidRPr="003F6C51">
        <w:rPr>
          <w:sz w:val="16"/>
        </w:rPr>
        <w:t xml:space="preserve">. There is no return at the end of this universe. There is no resurrection, no re-animating. This goodbye </w:t>
      </w:r>
      <w:r w:rsidRPr="00EB3DBA">
        <w:rPr>
          <w:rStyle w:val="StyleUnderline"/>
        </w:rPr>
        <w:t>is a recognition of the obligation and responsibility of absolute loss</w:t>
      </w:r>
      <w:r w:rsidRPr="003F6C51">
        <w:rPr>
          <w:sz w:val="16"/>
        </w:rPr>
        <w:t xml:space="preserve">. While Derrida is primarily speaking of the sense of losing his friends, the concept maps directly onto an ethical notion of </w:t>
      </w:r>
      <w:r w:rsidRPr="00EB3DBA">
        <w:rPr>
          <w:rStyle w:val="StyleUnderline"/>
        </w:rPr>
        <w:t>ecological responsibility</w:t>
      </w:r>
      <w:r w:rsidRPr="003F6C51">
        <w:rPr>
          <w:sz w:val="16"/>
        </w:rPr>
        <w:t xml:space="preserve">, </w:t>
      </w:r>
      <w:r w:rsidRPr="00EB3DBA">
        <w:rPr>
          <w:rStyle w:val="StyleUnderline"/>
        </w:rPr>
        <w:t>for the loss of individuals or an entire species carries the same weight of death</w:t>
      </w:r>
      <w:r w:rsidRPr="003F6C51">
        <w:rPr>
          <w:sz w:val="16"/>
        </w:rPr>
        <w:t xml:space="preserve">. </w:t>
      </w:r>
      <w:r w:rsidRPr="00EB3DBA">
        <w:rPr>
          <w:rStyle w:val="StyleUnderline"/>
        </w:rPr>
        <w:t xml:space="preserve">Extinction does not happen in an instant. The northern white rhino, of which there are only three remaining members left, will soon be extinct.1 All three currently find themselves in Ol Pejeta Conservancy in Kenya, where they are kept under armed guard due to the constant threat of poachers (Mcconnell). Sudan, the male, and the two females, Fatu and Najin, are all who are left of a species that once roamed throughout Northern Africa. Their brothers and sisters died at the hands of poachers and inside the confines of the prisons we call zoos. Even these three, the last of their kind, are not allowed to freely roam their own territory. This is what extinction looks like. We are helpless to do anything but watch. We have committed a grave crime against Sudan, Fatu, and Najin. We have failed them. </w:t>
      </w:r>
      <w:r w:rsidRPr="003F6C51">
        <w:rPr>
          <w:sz w:val="16"/>
        </w:rPr>
        <w:t xml:space="preserve">There are currently attempts in the works to try a variety of fertilization treatments to reverse what we have done, but I am hopeless. The crime has been committed. What kind of life can we offer a rhino today? One in a zoo or under constant armed guard? And why do we want to prevent this extinction so badly, when we know the likely future for a newly born rhino is to be killed at the hands of a poacher for her horn. It seems like the time for concern was 20 years ago. </w:t>
      </w:r>
      <w:r w:rsidRPr="00EB3DBA">
        <w:rPr>
          <w:rStyle w:val="StyleUnderline"/>
        </w:rPr>
        <w:t>Now, how do we begin to think about the fact that we, too, will soon become extinct</w:t>
      </w:r>
      <w:r w:rsidRPr="003F6C51">
        <w:rPr>
          <w:sz w:val="16"/>
        </w:rPr>
        <w:t xml:space="preserve">? </w:t>
      </w:r>
      <w:r w:rsidRPr="00EB3DBA">
        <w:rPr>
          <w:rStyle w:val="StyleUnderline"/>
        </w:rPr>
        <w:t>In this moment, the question I want to ask is: How do we begin thinking about a world after humans</w:t>
      </w:r>
      <w:r w:rsidRPr="003F6C51">
        <w:rPr>
          <w:sz w:val="16"/>
        </w:rPr>
        <w:t xml:space="preserve">? Do </w:t>
      </w:r>
      <w:r w:rsidRPr="00EB3DBA">
        <w:rPr>
          <w:rStyle w:val="StyleUnderline"/>
        </w:rPr>
        <w:t>we have the ability to even imagine a post-human world</w:t>
      </w:r>
      <w:r w:rsidRPr="003F6C51">
        <w:rPr>
          <w:sz w:val="16"/>
        </w:rPr>
        <w:t xml:space="preserve">, </w:t>
      </w:r>
      <w:r w:rsidRPr="00EB3DBA">
        <w:rPr>
          <w:rStyle w:val="StyleUnderline"/>
        </w:rPr>
        <w:t>and what could that world tell us about our ethical attachments?</w:t>
      </w:r>
      <w:r w:rsidRPr="003F6C51">
        <w:rPr>
          <w:sz w:val="16"/>
        </w:rPr>
        <w:t xml:space="preserve"> I have been on a lot of conference panels where the discussion of posthumanism briefly nods to the discussion of nonhuman animals, and then spends the majority of its energy talking about cybernetics and technology. Perhaps we have all seen Terminator too many times. As a thinker who remains truly dedicated to both the theoretical and practical concerns of a postmodern and posthuman world, I think we can do better. In particular, decentering the human from its position of privilege in philosophical thought, as theorized posthuman theory, is a commitment I’m deeply attached to as an offensive strategy to fight speciesism. What would it mean take seriously the “post” prefix attached to human, to literally think about a world after humans. It is in this temporal shift that I find the most fertile posthuman ground from which to work. Posthumanist scholar Cary Wolfe offers an account of such a temporal posthumanism: 290 B. HAAS My sense of posthumanism is thus analogous to Jean-François Lyotard’s paradoxical rendering of the postmodern: it comes both before and after humanism: before in the sense that it names the embodiment and embeddedness of the human being in not just its biological but also its technological world, the prosthetic coevolution of the human animal with the technicity of tools and external archival mechanisms(such as language and culture)…and all of which comes before that historically specific thing called “the human”…But it comes after in the sense that posthumanism names a historical moment in which the decentering of the human by its imbrication in technical, medical, informatic, and economic networks is increasingly impossible to ignore, a historical development that points toward the necessity of new theoretical paradigms (but also thrusts them on us), a new mode of thought that comes after the cultural repressions and fantasies, the philosophical protocols and evasions, of humanism as a historically specific phenomenon. (xv–xvi) Wolf’s situating of posthumanism in a temporal frame refers to a moment both before and after humanism. I make the additional extrapolation that if there is a pre- and posthumanism, there must be a pre- and posthuman, both as beings and as temporal demarcations</w:t>
      </w:r>
      <w:r w:rsidRPr="00EB3DBA">
        <w:rPr>
          <w:rStyle w:val="StyleUnderline"/>
        </w:rPr>
        <w:t>. The posthuman then refers to the time after extinction, which demonstrates that we as beings can consider our own demise</w:t>
      </w:r>
      <w:r w:rsidRPr="003F6C51">
        <w:rPr>
          <w:sz w:val="16"/>
        </w:rPr>
        <w:t xml:space="preserve">. Hopeless activism This essay is about the absence of hope I feel as an activist and the ways in which that loss eats at me. Because this lack of hope about the future, or for the human species, the planet, and democracy in America, is socially </w:t>
      </w:r>
      <w:r w:rsidRPr="003F6C51">
        <w:rPr>
          <w:sz w:val="16"/>
        </w:rPr>
        <w:lastRenderedPageBreak/>
        <w:t xml:space="preserve">unacceptable, I cannot help but wonder what brain chemical I have been cheated out of. The experiences I had in Japan tore out a piece of my ability to believe humans deserve any investment in hope. I cannot help but wonder, would the world be better off without us? In the dialogue cited earlier, Lisa Duggan and José Esteban Muñoz articulate a possible way forward for the hope-skeptical. Muñoz writes of a critical hope: It is not abstract hope. Abstract hope is ungrounded. It is a manifestation of Utopianism that is detached from what Bloch would understand as revolutionary consciousness. It is difficult to hold onto a phrase like ‘‘revolutionary consciousness.’’ It seems stark, out-moded, universalizing and prescriptive. Yet I nonetheless deploy it because I want to link it specifically to the world of affect and feeling. Feeling Revolutionary is feeling that our current situation is not enough, that something is indeed missing and we cannot live without it. Feeling revolutionary opens up the space to imagine a collective escape, an exodus, a ‘‘going-off script’’together. Practicing educated hope, participating in a mode of revolutionary consciousness, is not simply conforming to one group’s doxa at the expense of another’s. Practicing educated hope is the enactment of a critique function. </w:t>
      </w:r>
      <w:r w:rsidRPr="00EB3DBA">
        <w:rPr>
          <w:rStyle w:val="StyleUnderline"/>
        </w:rPr>
        <w:t>It is not about announcing the way things ought to be, but, instead, imagining what things could be</w:t>
      </w:r>
      <w:r w:rsidRPr="003F6C51">
        <w:rPr>
          <w:sz w:val="16"/>
        </w:rPr>
        <w:t xml:space="preserve">. (278) I am touched by Muñoz’s move toward utopia as an imagined alternative to the current reality. I feel in my bones that </w:t>
      </w:r>
      <w:r w:rsidRPr="00EB3DBA">
        <w:rPr>
          <w:rStyle w:val="StyleUnderline"/>
        </w:rPr>
        <w:t>the current path of the earth is complete annihilation</w:t>
      </w:r>
      <w:r w:rsidRPr="003F6C51">
        <w:rPr>
          <w:sz w:val="16"/>
        </w:rPr>
        <w:t xml:space="preserve">, </w:t>
      </w:r>
      <w:r w:rsidRPr="00EB3DBA">
        <w:rPr>
          <w:rStyle w:val="StyleUnderline"/>
        </w:rPr>
        <w:t>that there will be no life, that we will pick this planet clean and either die from a lack of resources or find a new planet to colonize</w:t>
      </w:r>
      <w:r w:rsidRPr="003F6C51">
        <w:rPr>
          <w:sz w:val="16"/>
        </w:rPr>
        <w:t xml:space="preserve">. A new form of hope that offers a critique of generic and abstract hope is helpful, but I remain unconvinced that this kind of critique is possible or even meaningful. It is not until Duggan writes that </w:t>
      </w:r>
      <w:r w:rsidRPr="00EB3DBA">
        <w:rPr>
          <w:rStyle w:val="Emphasis"/>
        </w:rPr>
        <w:t xml:space="preserve">hope and hopelessness </w:t>
      </w:r>
      <w:r w:rsidRPr="003F6C51">
        <w:rPr>
          <w:sz w:val="16"/>
        </w:rPr>
        <w:t>are dialectical that I begin to find the ability</w:t>
      </w:r>
      <w:r w:rsidRPr="00EB3DBA">
        <w:rPr>
          <w:rStyle w:val="Emphasis"/>
        </w:rPr>
        <w:t xml:space="preserve"> to move toward an ownership of my hopelessness as a position from which to advocate, a position that </w:t>
      </w:r>
      <w:r w:rsidRPr="003F6C51">
        <w:rPr>
          <w:sz w:val="16"/>
        </w:rPr>
        <w:t>is not without hope, but</w:t>
      </w:r>
      <w:r w:rsidRPr="00EB3DBA">
        <w:rPr>
          <w:rStyle w:val="Emphasis"/>
        </w:rPr>
        <w:t xml:space="preserve"> is simply hopeless</w:t>
      </w:r>
      <w:r w:rsidRPr="003F6C51">
        <w:rPr>
          <w:sz w:val="16"/>
        </w:rPr>
        <w:t xml:space="preserve">: This all leads me to postulate that hope and hopelessness exist in a dialectical rather than oppositional relation, and that the opposite of hope is complacency – a form of happiness that will not risk the consequences of its own suppressed hostility and pain. And complacency is the affect of homonormativity…This is to say that hopelessness and hope converge at a certain point. And we must then face reality in the form of an oftentimes disappointing world. Here is where we depart from some other queer writers and thinkers who write about abandonment to the negative and a subsequent rejection or evasion of politics. </w:t>
      </w:r>
      <w:r w:rsidRPr="00EB3DBA">
        <w:rPr>
          <w:rStyle w:val="StyleUnderline"/>
        </w:rPr>
        <w:t xml:space="preserve">Queerness might signal a certain belonging through and with negativity. Often experimental intimacies falter. But those failures and efforts to fail have a certain value despite their ends. In this way we are calling for a politics oriented towards means and not ends. (280) The queerness that signals belonging through </w:t>
      </w:r>
      <w:r w:rsidRPr="00EB3DBA">
        <w:rPr>
          <w:rStyle w:val="Emphasis"/>
        </w:rPr>
        <w:t xml:space="preserve">negativity </w:t>
      </w:r>
      <w:r w:rsidRPr="00EB3DBA">
        <w:rPr>
          <w:rStyle w:val="StyleUnderline"/>
        </w:rPr>
        <w:t xml:space="preserve">can echo my </w:t>
      </w:r>
      <w:r w:rsidRPr="00EB3DBA">
        <w:rPr>
          <w:rStyle w:val="Emphasis"/>
        </w:rPr>
        <w:t>hopeless attachment to extinction</w:t>
      </w:r>
      <w:r w:rsidRPr="00EB3DBA">
        <w:rPr>
          <w:rStyle w:val="StyleUnderline"/>
        </w:rPr>
        <w:t xml:space="preserve"> narratives</w:t>
      </w:r>
      <w:r w:rsidRPr="003F6C51">
        <w:rPr>
          <w:sz w:val="16"/>
        </w:rPr>
        <w:t xml:space="preserve">. </w:t>
      </w:r>
      <w:r w:rsidRPr="00EB3DBA">
        <w:rPr>
          <w:rStyle w:val="StyleUnderline"/>
        </w:rPr>
        <w:t>Thus, hopelessness can become a position of both identity and a mode of being, not because the ends of life are ever different – we all die – but because the means by which we reach that death define who we are in any given moment</w:t>
      </w:r>
      <w:r w:rsidRPr="003F6C51">
        <w:rPr>
          <w:sz w:val="16"/>
        </w:rPr>
        <w:t xml:space="preserve">. Thus, for Duggan, like Derrida, </w:t>
      </w:r>
      <w:r w:rsidRPr="00EB3DBA">
        <w:rPr>
          <w:rStyle w:val="Emphasis"/>
        </w:rPr>
        <w:t xml:space="preserve">we must face the disappointment of life and loss with our eyes open </w:t>
      </w:r>
      <w:r w:rsidRPr="003F6C51">
        <w:rPr>
          <w:rStyle w:val="StyleUnderline"/>
        </w:rPr>
        <w:t>and with an acceptance of responsibility to fight for something different while we are alive</w:t>
      </w:r>
      <w:r w:rsidRPr="003F6C51">
        <w:rPr>
          <w:sz w:val="16"/>
        </w:rPr>
        <w:t>, something that we can imagine through Muñoz’s revolutionary/ critical hope(lessness). In the end,</w:t>
      </w:r>
      <w:r w:rsidRPr="00EB3DBA">
        <w:rPr>
          <w:rStyle w:val="Emphasis"/>
        </w:rPr>
        <w:t xml:space="preserve"> we have an obligation to watch the world burn, to watch the extinction </w:t>
      </w:r>
      <w:r w:rsidRPr="003F6C51">
        <w:rPr>
          <w:sz w:val="16"/>
        </w:rPr>
        <w:t>of the northern white rhinoceros</w:t>
      </w:r>
      <w:r w:rsidRPr="00EB3DBA">
        <w:rPr>
          <w:rStyle w:val="Emphasis"/>
        </w:rPr>
        <w:t>, as practice for the witnessing of our own extinction</w:t>
      </w:r>
      <w:r w:rsidRPr="003F6C51">
        <w:rPr>
          <w:sz w:val="16"/>
        </w:rPr>
        <w:t xml:space="preserve">. Witnessing It’s difficult for me to pick a worst moment in my trip to Japan, but if I had to, I would say it was when I went to the Taiji Whale Museum on December 27th, 2014. The museum promotes both dolphin and whale history, including exhibits on the methods of hunting through the centuries, and “science” exhibits showcasing severed heads, fetus samples from every stage of development, and skeletons of a variety of cetacean species. The filthy museum also doubles as a dolphinarium, where visitors can watch Sea World-esque shows in which dolphins do jumps and other tricks for food. Families can 292 B. HAAS kayak inside dolphin feeding pools and pet and feed the dolphins. Visitors often purchase whale and dolphin meat to eat while watching other members of the same species perform tricks. It’s a horror. Every turn presents something worse than the last gut-wrenching experience. The prize of the Taiji Whale Museum is a dolphin they call “Angel.” She is an albino bottlenose dolphin that was captured one year before I arrived. She, along with six other dolphins, swam in a glass-bottomed tank that visitors could walk under. I took the photograph below while in the tunnel beneath the tank, which was rusty and covered with algae. I spent a long time listening to the dolphins cry. The dolphins would follow anyone who walked through with direct eye contact and would swim right up to any passers-by. It was at this museum where I shed my only public tears during the entire six weeks I spent in Japan. I sobbed privately in my room many nights, but never in view of another human. But there in the tunnel, I allowed myself to cry because I could hear the voice of a dolphin asking for my help to free her, and I was too cowardly to do what I knew she and the other dolphins deserved. </w:t>
      </w:r>
      <w:r w:rsidRPr="00EB3DBA">
        <w:rPr>
          <w:rStyle w:val="StyleUnderline"/>
        </w:rPr>
        <w:t xml:space="preserve">Witnessing may be all we have left. As a practice, it is the first step toward an ethical relationship to extinction and hopelessness. </w:t>
      </w:r>
      <w:r w:rsidRPr="003F6C51">
        <w:rPr>
          <w:sz w:val="16"/>
        </w:rPr>
        <w:t xml:space="preserve">We must begin to witness the pain we cause others. We must extend the category of others to include all nonhuman animals. To watch is not enough. Peggy Phelan, in the introduction to Tim Etchells’ Certain Fragments, articulates the ways in which witnessing pushes beyond the act of watching: “To witness an event is to be present at it in some fundamentally ethical way, to feel the weight of things and one’s place in them, even if that place is simply, for the moment, as an on-looker.” Such a notion suggests that ethical action might not be completely dependent upon empirical truths. Such truths, Etchells reminds us, can rarely be separated from the fictional; witnessing a shooting on the street is framed by our many rehearsals of witnessing shootings in the cinema, on the television news, and indeed, in theatre itself. (10) I feel that weight. I feel the weight of extinction on my shoulders, and I am angry about it. I identify myself in relation to that anger. I am hopeless, and yet I continue to fight. Phelan goes on to explain that performance offers us the opportunity to rehearse these ethical engagements, and so as performance scholars we have the obligation to take the first step toward ethical </w:t>
      </w:r>
      <w:r w:rsidRPr="003F6C51">
        <w:rPr>
          <w:sz w:val="16"/>
        </w:rPr>
        <w:lastRenderedPageBreak/>
        <w:t xml:space="preserve">witnessing as a means of action from positions of hopelessness: Performance employs the concept and experience of the live event as a way to rehearse our obligations to the scenes we witness in realms usually labeled the representational or the mediated.…For as we attempt to understand the violently repetitive genocides of the twentieth century, we come face to face with the challenge of witnessing traumas whose sources are both psychically and politically unbearable. The trauma that has been the consistent political performance of this century has proven to be extraordinarily resistant to the logic of the empirical. (9–10) The role of fiction as a way of telling the deeper truths, that performance has access to by virtue of its relationship to literature and narrative, engenders in practitioners the responsibility to wrestle with the most difficult questions and traumas of our time. And thus the Anthropocene as a narrative becomes fertile ground for performance scholarship, as I have demonstrated. Additionally, performance scholars bear some responsibility to prepare the world for our coming extinction. It is a large burden to lay at our feet, I know, but one that we have an obligation to pursue. In particular, as the popularity of the Anthropocene narrative grows, so, too, will the tendencies to slip into old ways of hopeful thinking. English scholar Roy Scranton articulates </w:t>
      </w:r>
      <w:r w:rsidRPr="003F6C51">
        <w:rPr>
          <w:rStyle w:val="StyleUnderline"/>
        </w:rPr>
        <w:t>the relationship of witnessing to the Anthropocene to be action that requires earnest confrontations with our finitude: The greatest challenge the Anthropocene poses isn’t how the Department</w:t>
      </w:r>
      <w:r w:rsidRPr="00EB3DBA">
        <w:rPr>
          <w:rStyle w:val="StyleUnderline"/>
        </w:rPr>
        <w:t xml:space="preserve"> of defense should plan for resource wars, whether we should put up seawalls to protect Manhattan, or when should we abandon Miami. It won’t be addressed by buying a Prius, turning off the air conditioning, or signing a treaty</w:t>
      </w:r>
      <w:r w:rsidRPr="003F6C51">
        <w:rPr>
          <w:sz w:val="16"/>
        </w:rPr>
        <w:t xml:space="preserve">. </w:t>
      </w:r>
      <w:r w:rsidRPr="00EB3DBA">
        <w:rPr>
          <w:rStyle w:val="Emphasis"/>
        </w:rPr>
        <w:t xml:space="preserve">The greatest challenge we face is a philosophical one: understanding that civilization is already dead. The sooner we confront the situation and realize there is nothing we can do to save ourselves, the sooner we can get down to </w:t>
      </w:r>
      <w:r w:rsidRPr="003F6C51">
        <w:rPr>
          <w:sz w:val="16"/>
        </w:rPr>
        <w:t>the difficult task of adapting, with mortal</w:t>
      </w:r>
      <w:r w:rsidRPr="00EB3DBA">
        <w:rPr>
          <w:rStyle w:val="Emphasis"/>
        </w:rPr>
        <w:t xml:space="preserve"> humility, to our new reality.</w:t>
      </w:r>
      <w:r w:rsidRPr="003F6C51">
        <w:rPr>
          <w:sz w:val="16"/>
        </w:rPr>
        <w:t xml:space="preserve"> (23) I</w:t>
      </w:r>
    </w:p>
    <w:p w:rsidR="000B7636" w:rsidRPr="00EB3DBA" w:rsidRDefault="000B7636" w:rsidP="000B7636"/>
    <w:p w:rsidR="000B7636" w:rsidRPr="00EB3DBA" w:rsidRDefault="000B7636" w:rsidP="000B7636">
      <w:pPr>
        <w:pStyle w:val="Heading4"/>
      </w:pPr>
      <w:r w:rsidRPr="00EB3DBA">
        <w:t xml:space="preserve">Lingering in the apocalyptic opens an attunement to other forms of life not structured by the tyranny of reproductive futurity </w:t>
      </w:r>
    </w:p>
    <w:p w:rsidR="000B7636" w:rsidRPr="00EB3DBA" w:rsidRDefault="000B7636" w:rsidP="000B7636">
      <w:r w:rsidRPr="00EB3DBA">
        <w:rPr>
          <w:rStyle w:val="Style13ptBold"/>
        </w:rPr>
        <w:t xml:space="preserve">Schildcrout 15 </w:t>
      </w:r>
      <w:r w:rsidRPr="00EB3DBA">
        <w:rPr>
          <w:sz w:val="16"/>
          <w:szCs w:val="16"/>
        </w:rPr>
        <w:t xml:space="preserve">[Jordan. Jordan Schildcrout is associate professor of theatre and performance at Purchase College, SUNY.” Refusing the Reproductive Imperative: Sex, Death, and the Queer Future in Peter Sinn Nachtrieb’s boom.” The Journal of American Drama and Theatre Volume 27, Number 1 (Winter 2015). </w:t>
      </w:r>
      <w:hyperlink r:id="rId9" w:history="1">
        <w:r w:rsidRPr="00EB3DBA">
          <w:rPr>
            <w:rStyle w:val="Hyperlink"/>
            <w:sz w:val="16"/>
            <w:szCs w:val="16"/>
          </w:rPr>
          <w:t>http://jadtjournal.org/2015/03/06/refusing-the-reproductive-imperative-sex-death-and-the-queer-future-in-peter-sinn-nachtriebs-boom/</w:t>
        </w:r>
      </w:hyperlink>
      <w:r w:rsidRPr="00EB3DBA">
        <w:rPr>
          <w:sz w:val="16"/>
          <w:szCs w:val="16"/>
        </w:rPr>
        <w:t>. SH]</w:t>
      </w:r>
    </w:p>
    <w:p w:rsidR="000B7636" w:rsidRPr="00AF056D" w:rsidRDefault="000B7636" w:rsidP="000B7636">
      <w:pPr>
        <w:rPr>
          <w:sz w:val="16"/>
        </w:rPr>
      </w:pPr>
      <w:r w:rsidRPr="00EB3DBA">
        <w:rPr>
          <w:sz w:val="16"/>
        </w:rPr>
        <w:t xml:space="preserve">Which raises the play’s trickier question: Why does Jo refuse to reproduce? Unlike Jules, she is heterosexual, but she won’t play the role assigned to her in the Darwinian scheme and instead takes on the role of Edelman’s anti-child queer. Jo bluntly states: “I hate babies. They bother me physically, philosophically, and symbolically” (33). In refusing motherhood, Jo embodies what Edelman calls “the negativity opposed to every form of social viability” or, in Freudian terms, the death drive.[31] </w:t>
      </w:r>
      <w:r w:rsidRPr="00EB3DBA">
        <w:rPr>
          <w:rStyle w:val="StyleUnderline"/>
        </w:rPr>
        <w:t>After the boom of the apocalypse, her death drive goes into overdrive</w:t>
      </w:r>
      <w:r w:rsidRPr="00EB3DBA">
        <w:rPr>
          <w:sz w:val="16"/>
        </w:rPr>
        <w:t xml:space="preserve">. </w:t>
      </w:r>
      <w:r w:rsidRPr="00EB3DBA">
        <w:rPr>
          <w:rStyle w:val="StyleUnderline"/>
        </w:rPr>
        <w:t>Against</w:t>
      </w:r>
      <w:r w:rsidRPr="00EB3DBA">
        <w:rPr>
          <w:sz w:val="16"/>
        </w:rPr>
        <w:t xml:space="preserve"> Jules’s insistence on </w:t>
      </w:r>
      <w:r w:rsidRPr="00EB3DBA">
        <w:rPr>
          <w:rStyle w:val="StyleUnderline"/>
        </w:rPr>
        <w:t>the continuation of the species</w:t>
      </w:r>
      <w:r w:rsidRPr="00EB3DBA">
        <w:rPr>
          <w:sz w:val="16"/>
        </w:rPr>
        <w:t>, Jo argues that “</w:t>
      </w:r>
      <w:r w:rsidRPr="00EB3DBA">
        <w:rPr>
          <w:rStyle w:val="StyleUnderline"/>
        </w:rPr>
        <w:t>Maybe it’s time to end our reign of terror and die and decay and become soil.… Look at all the acts humans commit across the planet with casual, unconscious cruelty. We deserve to be blown</w:t>
      </w:r>
      <w:r w:rsidRPr="00EB3DBA">
        <w:rPr>
          <w:sz w:val="16"/>
        </w:rPr>
        <w:t xml:space="preserve"> up” (34). Furthermore, faced with the end of the world, Jo actually wishes to die—but she has an over-developed self-preservation instinct that renders her unconscious whenever she is in physical danger, and therefore she cannot cause harm to herself. So Jules needs Jo to create life, and Jo needs Jules to end her life. In this fight between Jules and Jo, between reproductive futurity and the queer death drive, the audience can perhaps see the dramatization of an internal conflict. What is the role of the queer person in reproductive futurity? </w:t>
      </w:r>
      <w:r w:rsidRPr="00EB3DBA">
        <w:rPr>
          <w:rStyle w:val="StyleUnderline"/>
        </w:rPr>
        <w:t>If you are the last man or woman on earth, do you accept or refuse the imperative to reproduce? That imperative is supported by strong forces,</w:t>
      </w:r>
      <w:r w:rsidRPr="00EB3DBA">
        <w:rPr>
          <w:sz w:val="16"/>
        </w:rPr>
        <w:t xml:space="preserve"> including scientific, religious, and political discourses, and Jules represents the acceptance of that duty. Jo, on the other hand, represents what, as José Muñoz reminds us, Herbert Marcuse called “The Great Refusal,” the protest “against the repressive order of procreative sexuality.”[32] One of the ironies of the play is that the expected social roles have been reversed: the gay man sides with reproductive futurity, while the straight woman declares the Great Refusal. This </w:t>
      </w:r>
      <w:r w:rsidRPr="00EB3DBA">
        <w:rPr>
          <w:rStyle w:val="StyleUnderline"/>
        </w:rPr>
        <w:t>refusal to reproduce has long been a theme in Western culture, and even a cursory glance at a few key examples will show the wide range of possible significations that can be found in these repudiations, which might be sinful, mad, virtuous, or revolutionary</w:t>
      </w:r>
      <w:r w:rsidRPr="00EB3DBA">
        <w:rPr>
          <w:sz w:val="16"/>
        </w:rPr>
        <w:t xml:space="preserve">. God slew Onan because he “spilled his seed on the ground” in order to avoid impregnating his dead brother’s wife (Genesis 38:8-10), and many early Christians, certain that the End of the World was at hand, believed there was no point in producing children, preferring instead to focus on spiritual salvation.[33] The women of Aristophanes’s classical anti-war comedy Lysistrata (411 BCE) declare a sex strike, refusing to create children “borne but to perish afar and in vain” in the war.[34] The melancholy prince of Shakespeare’s Hamlet (1601) shuns Ophelia by telling her it would be better to be locked away in a nunnery than “be a breeder of sinners” (III.i.122). In modern drama, the heroine of Ibsen’s Hedda Gabler (1891) chooses suicide over motherhood, and Tennessee Williams’s Brick in Cat on a Hot Tin Roof (1955), despite his family’s desire for him to produce an heir, refuses to create new life with his wife, Maggie. </w:t>
      </w:r>
      <w:r w:rsidRPr="00EB3DBA">
        <w:rPr>
          <w:rStyle w:val="StyleUnderline"/>
        </w:rPr>
        <w:t xml:space="preserve">Resistance to “enforced motherhood” has been important throughout the history of the feminist movement, with many battles fought over </w:t>
      </w:r>
      <w:r w:rsidRPr="00EB3DBA">
        <w:rPr>
          <w:rStyle w:val="StyleUnderline"/>
        </w:rPr>
        <w:lastRenderedPageBreak/>
        <w:t>contraception, sex education, abortion rights, and women’s authority over their own bodies.</w:t>
      </w:r>
      <w:r w:rsidRPr="00EB3DBA">
        <w:rPr>
          <w:sz w:val="16"/>
        </w:rPr>
        <w:t xml:space="preserve"> But the significance of motherhood can be especially fraught within various feminisms. Some writers take an essentialist view of the ability to mother as a source of empowerment, often despite the oppressions of patriarchal “pronatalism,” while others have viewed pregnancy and child-rearing as enslavement within the patriarchy, as a hindrance to female agency and autonomy.[35] Scholar Joyce Meier illuminates this tension when she writes about the social conditions behind the refusal of motherhood in African-American drama and literature, from Angelina Grimke’s Rachel (1906) to Toni Morrison’s Beloved (1987). In these narratives, women choose “sexual abstinence, abortion, and infanticide as strategies of resistance” against a racist social order that subjects black children to slavery, lynching, and poverty.[36] Audiences attending boom may find their understanding of Jo’s refusal of motherhood shaped to some extent by their familiarity with the drama of non-reproduction as it has played out in history, religion, feminist theory, and fictional representations. Ultimately, the play validates Jo’s “queer” choice not to reproduce, and Jules relinquishes his agenda of reproductive coercion. Jules and Jo have spent the entire play fighting about their personal responsibility to perpetuate the species, and in the end Jo wins the argument. Knowing that they can survive for only so long on limited supplies, they open the lab door, letting in the floods created by the comet hitting the earth, and presumably they drown. The final twist of the play [spoiler alert] is that this suicidal act is what actually perpetuates the species. Those four fish, silently swimming in their bubbling tank throughout the whole play, are now liberated by the flood, becoming the ancestors of humans like Barbara, who will exist 65 million years later—which, not coincidentally, is the span of time between the extinction of the dinosaurs and the emergence of homo sapiens. So Jules and Jo did save the human race, each in their own inadvertent way, since he nurtured and cared for those fish, and she liberated them. But inadvertent is the key word here. Both Jules and Jo are Darwinian failures, but by chance their failures lead to Barbara’s future. This, then, is the play’s argument: </w:t>
      </w:r>
      <w:r w:rsidRPr="00EB3DBA">
        <w:rPr>
          <w:rStyle w:val="StyleUnderline"/>
        </w:rPr>
        <w:t>the future itself is queer, and the line from Point A to Point B is not a straight path</w:t>
      </w:r>
      <w:r w:rsidRPr="00EB3DBA">
        <w:rPr>
          <w:sz w:val="16"/>
        </w:rPr>
        <w:t xml:space="preserve">. In her final speech, Barbara reminds the audience that </w:t>
      </w:r>
      <w:r w:rsidRPr="00EB3DBA">
        <w:rPr>
          <w:rStyle w:val="StyleUnderline"/>
        </w:rPr>
        <w:t>the existence of humanity depends upon “millions and millions of lucky coincidences” and that “the world will just keep on spinning and moving and changing and adapting</w:t>
      </w:r>
      <w:r w:rsidRPr="00EB3DBA">
        <w:rPr>
          <w:sz w:val="16"/>
        </w:rPr>
        <w:t>” (52). Here Nachtrieb seems influenced by the evolutionary biologist Stephen Jay Gould, who argued in his best-selling book Wonderful Life (1989) that homo sapiens are “a tiny twig on an improbable branch of a contingent limb on a fortunate tree.”[37] Gould notes that “</w:t>
      </w:r>
      <w:r w:rsidRPr="00EB3DBA">
        <w:rPr>
          <w:rStyle w:val="StyleUnderline"/>
        </w:rPr>
        <w:t>small and apparently insignificant changes” can impact the future in substantial ways</w:t>
      </w:r>
      <w:r w:rsidRPr="00EB3DBA">
        <w:rPr>
          <w:sz w:val="16"/>
        </w:rPr>
        <w:t xml:space="preserve">,[38] </w:t>
      </w:r>
      <w:r w:rsidRPr="00EB3DBA">
        <w:rPr>
          <w:rStyle w:val="StyleUnderline"/>
        </w:rPr>
        <w:t>and his theory of contingency posits that evolution does not follow an inevitable path of “progress” but is instead the result of “a staggeringly improbable series of events… utterly unpredictable and quite unrepeatable</w:t>
      </w:r>
      <w:r w:rsidRPr="00EB3DBA">
        <w:rPr>
          <w:sz w:val="16"/>
        </w:rPr>
        <w:t xml:space="preserve">.”[39] Although finding the dramatic and ironic potential inherent in this contingent view of human existence, Nachtrieb also contradicts Gould’s thesis by creating a fantasy in which millions of years of evolution are, in fact, repeatable, resulting in human beings who create museums, play musical instruments, and tell stories about their origins. Endings and Beginnings </w:t>
      </w:r>
      <w:r w:rsidRPr="00EB3DBA">
        <w:rPr>
          <w:rStyle w:val="StyleUnderline"/>
        </w:rPr>
        <w:t>The play boom mocks our human arrogance for presuming that we could control the destiny of the species even if we tried, and while we are obsessing about the cataclysmic boom, it would be wiser to listen closely and appreciate the constant bubble of nature and life that either will or will not carry on, either with us or without us.</w:t>
      </w:r>
      <w:r w:rsidRPr="00EB3DBA">
        <w:rPr>
          <w:sz w:val="16"/>
        </w:rPr>
        <w:t xml:space="preserve"> Traditionally, tragedy wrestles with fate and ends in death, while comedy ends in (heterosexual) marriage and celebrates life. In its own way, </w:t>
      </w:r>
      <w:r w:rsidRPr="00EB3DBA">
        <w:rPr>
          <w:rStyle w:val="StyleUnderline"/>
        </w:rPr>
        <w:t>boom mashes the two genres together, finally accepting fate and death</w:t>
      </w:r>
      <w:r w:rsidRPr="00EB3DBA">
        <w:rPr>
          <w:sz w:val="16"/>
        </w:rPr>
        <w:t xml:space="preserve">, but also bringing together Jo and Jules as a non-reproductive “couple” who accidentally create new life. Nachtrieb crosses the fine line between tragedy and comedy by highlighting the slippage between endings and beginnings, and our inability, because we cannot know the future, to distinguish between them. Other plays about our fears of annihilation, including The Skin of Our Teeth and Endgame, are built with cyclical structures, ending as they began and promising, if not the hope for new life, at least the hope for one more day. One can also see the conflation of beginnings and endings in the popular misinterpretation of the Mayan calendar and its “prediction” of the apocalypse in 2012, which falsely imposed linearity on a cyclical system, seeing “the end” in what is actually a new beginning.[40] Similarly, that moment when Jules and Jo open the door is simultaneously the end of one world and the beginning of another. Barbara’s museum exhibit presents both a tragedy and a comedy, a tale of death and birth, of the end and the beginning.[41] Nachtrieb, who double majored in theatre and biology at Brown University, has written a play that tests conventional notions about the perpetuation of the species, and in doing so he also challenges the reproductive imperative that has often been used to hinder the social inclusion and political equality of LGBT people. Like much of the best science fiction, </w:t>
      </w:r>
      <w:r w:rsidRPr="00EB3DBA">
        <w:rPr>
          <w:rStyle w:val="StyleUnderline"/>
        </w:rPr>
        <w:t>boom</w:t>
      </w:r>
      <w:r w:rsidRPr="00EB3DBA">
        <w:rPr>
          <w:sz w:val="16"/>
        </w:rPr>
        <w:t xml:space="preserve"> does not directly address political issues but </w:t>
      </w:r>
      <w:r w:rsidRPr="00EB3DBA">
        <w:rPr>
          <w:rStyle w:val="StyleUnderline"/>
        </w:rPr>
        <w:t>creates an imaginary world that allows the audience to consider more clearly the ideology at work behind a defamiliarized reality</w:t>
      </w:r>
      <w:r w:rsidRPr="00EB3DBA">
        <w:rPr>
          <w:sz w:val="16"/>
        </w:rPr>
        <w:t xml:space="preserve">. While many plays provide depictions of good gay parents in response to the accusation that homosexuality is a biological dead end, boom challenges the very premise of that accusation. In the process, it also addresses the situation of anyone, regardless of sexuality, who may not comply with the reproductive imperative. Perhaps this is one reason why the play has been particularly successful at smaller “fringe” and university theatres that tend to attract younger audiences, who may be questioning how sex functions in their own lives and what they may or may not “owe” to the future. Of course people who choose to reproduce or raise children are contributing to the future, and I don’t believe that this play (or this essay) is meant to diminish the important role of parents, no matter the sexuality or the relationship status of the parent. Instead, I believe </w:t>
      </w:r>
      <w:r w:rsidRPr="00EB3DBA">
        <w:rPr>
          <w:rStyle w:val="StyleUnderline"/>
        </w:rPr>
        <w:t>the play expands our understanding of who contributes to the future, including those who do not biologically reproduce but may help to build the future in other ways</w:t>
      </w:r>
      <w:r w:rsidRPr="00EB3DBA">
        <w:rPr>
          <w:sz w:val="16"/>
        </w:rPr>
        <w:t xml:space="preserve">. Jules, for all of his neuroses, is not selfish, and we see him nurture the fish in his lab, caring for them even under the most dire circumstances. Jo’s radicalism and commitment to her own liberation ultimately lead to the liberation of those fish, too. So within the play’s fantasy, the ideal is a combination of responsibility to others (Jules) and a commitment to individual liberty (Jo), and when these two characters finally unite, they inadvertently fulfill their “destiny” as the new Adam and Eve. It’s also worth noting that Jo’s journalistic habit of writing down all of her experiences in Jules’s lab leads to the creation of the documents that will serve as the historical basis for Barbara’s </w:t>
      </w:r>
      <w:r w:rsidRPr="00EB3DBA">
        <w:rPr>
          <w:sz w:val="16"/>
        </w:rPr>
        <w:lastRenderedPageBreak/>
        <w:t xml:space="preserve">museum exhibit. Language, knowledge, and narrative are among the gifts that Jo gives to the future. Through this fantasy of apocalyptic doom and new beginnings, boom engages with arguments about the position of queer people in society and in the future, especially around the question of procreation. Nachtrieb’s play is ultimately a comedy because, </w:t>
      </w:r>
      <w:r w:rsidRPr="00EB3DBA">
        <w:rPr>
          <w:rStyle w:val="StyleUnderline"/>
        </w:rPr>
        <w:t>while it threatens its non-reproductive characters with doom, it also liberates them from the burden of the reproductive imperative and exonerates them for their “failure” to procreate. Seen from this perspective, Nachtrieb’s utopian fantasy aligns with Halberstam’s view that “under certain circumstances failing, losing, forgetting, unmaking, undoing, unbecoming, not knowing may in fact offer more creative, more cooperative, more surprising ways of being in the world</w:t>
      </w:r>
      <w:r w:rsidRPr="00EB3DBA">
        <w:rPr>
          <w:sz w:val="16"/>
        </w:rPr>
        <w:t xml:space="preserve">.”[42] </w:t>
      </w:r>
      <w:r w:rsidRPr="00EB3DBA">
        <w:rPr>
          <w:rStyle w:val="StyleUnderline"/>
        </w:rPr>
        <w:t>The play directly argues against the use of reproductive futurity as an ideological weapon to enforce conformity or oppress the non-conforming. If nature is indeed based on chaos and chance, then the burden of mandatory reproduction is lifted, and all our anxieties about our duties to Darwin and to the future vanish</w:t>
      </w:r>
      <w:r w:rsidRPr="00EB3DBA">
        <w:rPr>
          <w:sz w:val="16"/>
        </w:rPr>
        <w:t xml:space="preserve">. Once they accept their failure, Jules and Jo can finally embrace each other and face the end—which is actually a new beginning—together. </w:t>
      </w:r>
      <w:r w:rsidRPr="00EB3DBA">
        <w:rPr>
          <w:rStyle w:val="StyleUnderline"/>
        </w:rPr>
        <w:t>Unlike apocalyptic narratives that focus on the production or protection of a child, boom gives the stage to two non-reproductive characters who give voice to their fears and anxieties about reproduction, and then are ultimately relieved of them</w:t>
      </w:r>
      <w:r w:rsidRPr="00EB3DBA">
        <w:rPr>
          <w:sz w:val="16"/>
        </w:rPr>
        <w:t xml:space="preserve">. Nachtrieb’s play argues that 65 million years in the future, the rhetoric of the reproductive imperative, which says that queers have no role in creating the future, is just so much insignificant noise. </w:t>
      </w:r>
      <w:r w:rsidRPr="00EB3DBA">
        <w:rPr>
          <w:rStyle w:val="StyleUnderline"/>
        </w:rPr>
        <w:t>None of us can know our role in creating the future. The deafening boom of “the end” may not be as momentous as we imagine, perhaps not even meriting a capital B. Meanwhile, from the quiet but persistent bubbling, new worlds beyond our expectations may emerge</w:t>
      </w:r>
      <w:r w:rsidRPr="00EB3DBA">
        <w:rPr>
          <w:sz w:val="16"/>
        </w:rPr>
        <w:t>.[43]</w:t>
      </w:r>
    </w:p>
    <w:p w:rsidR="00DE5E47" w:rsidRDefault="00DE5E47" w:rsidP="00DE5E47">
      <w:pPr>
        <w:pStyle w:val="Heading2"/>
      </w:pPr>
      <w:bookmarkStart w:id="16" w:name="_Toc489138911"/>
      <w:r>
        <w:lastRenderedPageBreak/>
        <w:t>2NCs</w:t>
      </w:r>
      <w:bookmarkEnd w:id="16"/>
      <w:r>
        <w:t xml:space="preserve"> </w:t>
      </w:r>
    </w:p>
    <w:p w:rsidR="00F567B5" w:rsidRDefault="00F567B5" w:rsidP="00F567B5">
      <w:pPr>
        <w:pStyle w:val="Heading2"/>
      </w:pPr>
      <w:bookmarkStart w:id="17" w:name="_Toc489138912"/>
      <w:r>
        <w:lastRenderedPageBreak/>
        <w:t>***Block Answers***</w:t>
      </w:r>
      <w:bookmarkEnd w:id="17"/>
    </w:p>
    <w:p w:rsidR="00F567B5" w:rsidRDefault="00F567B5" w:rsidP="00F567B5">
      <w:pPr>
        <w:pStyle w:val="Heading3"/>
      </w:pPr>
      <w:bookmarkStart w:id="18" w:name="_Toc489138913"/>
      <w:r>
        <w:lastRenderedPageBreak/>
        <w:t>A2: Framework</w:t>
      </w:r>
      <w:bookmarkEnd w:id="18"/>
    </w:p>
    <w:p w:rsidR="00F567B5" w:rsidRPr="005224B2" w:rsidRDefault="00F567B5" w:rsidP="00F567B5">
      <w:pPr>
        <w:pStyle w:val="Heading4"/>
      </w:pPr>
      <w:r>
        <w:t xml:space="preserve">Reject their understanding of the political in favor of a practice of dissensus—their method substitutes politics for policing and disavows how queer negativity can repartition the sensible </w:t>
      </w:r>
    </w:p>
    <w:p w:rsidR="00F567B5" w:rsidRDefault="00F567B5" w:rsidP="00F567B5">
      <w:r w:rsidRPr="00A71B72">
        <w:rPr>
          <w:rStyle w:val="Author-Date"/>
        </w:rPr>
        <w:t>Greteman</w:t>
      </w:r>
      <w:r>
        <w:rPr>
          <w:rStyle w:val="Author-Date"/>
        </w:rPr>
        <w:t xml:space="preserve"> 2014</w:t>
      </w:r>
      <w:r w:rsidRPr="00A71B72">
        <w:rPr>
          <w:rStyle w:val="Author-Date"/>
        </w:rPr>
        <w:t xml:space="preserve"> </w:t>
      </w:r>
      <w:r>
        <w:t>[ Adam J., Adjunct Assistant Professor of Art Education at the School of the Art Institute of Chicago | “Dissenting with queer theory: reading Rancière queerly” Discourse: Studies in the Cultural Politics of Education 35.3 (2014): 419-432.]</w:t>
      </w:r>
    </w:p>
    <w:p w:rsidR="00F567B5" w:rsidRPr="005224B2" w:rsidRDefault="00F567B5" w:rsidP="00F567B5">
      <w:pPr>
        <w:rPr>
          <w:sz w:val="16"/>
        </w:rPr>
      </w:pPr>
      <w:r w:rsidRPr="005224B2">
        <w:rPr>
          <w:sz w:val="16"/>
        </w:rPr>
        <w:t xml:space="preserve">What this work also illustrates is the need to discontinue our reliance on queer predecessors, to be their disciplines or disciples, no longer. We have to, following one of the strands of “after” thinking, find new ways to be after or be in search of queer theory. Since Rancière’s the rage in some circles, and queers like to rage, Rancière’s theorization of dissensus might let us dissent from the respectable canon and the challenges queer theory faces in being institutionalized. </w:t>
      </w:r>
      <w:r w:rsidRPr="00D41B52">
        <w:rPr>
          <w:rStyle w:val="StyleUnderline"/>
        </w:rPr>
        <w:t>Dissent is a way to relate to or refuse relating to concepts</w:t>
      </w:r>
      <w:r w:rsidRPr="005224B2">
        <w:rPr>
          <w:sz w:val="16"/>
        </w:rPr>
        <w:t xml:space="preserve">, issues, or ideas. What, we might ask, have we consented to politically and ethically that might need dissenting from now? </w:t>
      </w:r>
      <w:r w:rsidRPr="00D41B52">
        <w:rPr>
          <w:rStyle w:val="StyleUnderline"/>
        </w:rPr>
        <w:t>What makes sense and can the sensible be made nonsensical? The individual in</w:t>
      </w:r>
      <w:r w:rsidRPr="005224B2">
        <w:rPr>
          <w:sz w:val="16"/>
        </w:rPr>
        <w:t xml:space="preserve"> joining (or </w:t>
      </w:r>
      <w:r w:rsidRPr="00D41B52">
        <w:rPr>
          <w:rStyle w:val="StyleUnderline"/>
        </w:rPr>
        <w:t>creating) a collective must dissent from consensus</w:t>
      </w:r>
      <w:r w:rsidRPr="005224B2">
        <w:rPr>
          <w:sz w:val="16"/>
        </w:rPr>
        <w:t xml:space="preserve">; the individual </w:t>
      </w:r>
      <w:r w:rsidRPr="00D41B52">
        <w:rPr>
          <w:rStyle w:val="StyleUnderline"/>
        </w:rPr>
        <w:t>and</w:t>
      </w:r>
      <w:r w:rsidRPr="005224B2">
        <w:rPr>
          <w:sz w:val="16"/>
        </w:rPr>
        <w:t xml:space="preserve"> the collective must disobey the rules to expose the violations of those rules – to </w:t>
      </w:r>
      <w:r w:rsidRPr="00D41B52">
        <w:rPr>
          <w:rStyle w:val="StyleUnderline"/>
        </w:rPr>
        <w:t>challenge the “distribution of the sensible”</w:t>
      </w:r>
      <w:r w:rsidRPr="005224B2">
        <w:rPr>
          <w:sz w:val="16"/>
        </w:rPr>
        <w:t xml:space="preserve"> (Rancière, 2004a). </w:t>
      </w:r>
      <w:r w:rsidRPr="00D41B52">
        <w:rPr>
          <w:rStyle w:val="Emphasis"/>
        </w:rPr>
        <w:t>The world of practical politics might say such things are not productive, but productivity is not a queer aim</w:t>
      </w:r>
      <w:r w:rsidRPr="005224B2">
        <w:rPr>
          <w:sz w:val="16"/>
        </w:rPr>
        <w:t xml:space="preserve"> (Edelman, 2004). </w:t>
      </w:r>
      <w:r w:rsidRPr="00D41B52">
        <w:rPr>
          <w:rStyle w:val="StyleUnderline"/>
        </w:rPr>
        <w:t>Productivity might</w:t>
      </w:r>
      <w:r w:rsidRPr="005224B2">
        <w:rPr>
          <w:sz w:val="16"/>
        </w:rPr>
        <w:t xml:space="preserve"> even </w:t>
      </w:r>
      <w:r w:rsidRPr="00D41B52">
        <w:rPr>
          <w:rStyle w:val="StyleUnderline"/>
        </w:rPr>
        <w:t>be a sign of the police order that Rancière distinguishes from politics</w:t>
      </w:r>
      <w:r w:rsidRPr="005224B2">
        <w:rPr>
          <w:sz w:val="16"/>
        </w:rPr>
        <w:t xml:space="preserve"> – as I will discuss below. If productivity is not a queer aim, what is an aim that might be queer? Dissent might be a possibility – it is already been seen and practiced by queer activists for decades – as it is or they seek to oppose or refuse to agree with prevailing ideas. Prevailing ideas change in the face of disagreement, meaning </w:t>
      </w:r>
      <w:r w:rsidRPr="00D41B52">
        <w:rPr>
          <w:rStyle w:val="StyleUnderline"/>
        </w:rPr>
        <w:t>dissent is an ever-present form of relating to ideas and bodies.</w:t>
      </w:r>
      <w:r w:rsidRPr="005224B2">
        <w:rPr>
          <w:sz w:val="16"/>
        </w:rPr>
        <w:t xml:space="preserve"> However, dissent is rarely loved, rather it is often hated for how it complicates, refuses to stay still, and always throws a wrench into the workings. While dissent is hated, so too for Rancière, is democracy in the twenty-first century (2009). In his view, “democracy is neither compromise between interests nor the formation of a common will. Its kind of dialogue is that of a divided community” (1995, p. 103). </w:t>
      </w:r>
      <w:r w:rsidRPr="00D41B52">
        <w:rPr>
          <w:rStyle w:val="StyleUnderline"/>
        </w:rPr>
        <w:t>Democracy</w:t>
      </w:r>
      <w:r w:rsidRPr="005224B2">
        <w:rPr>
          <w:sz w:val="16"/>
        </w:rPr>
        <w:t xml:space="preserve"> – in Rancière’s Hatred of Democracy (2009) – </w:t>
      </w:r>
      <w:r w:rsidRPr="00D41B52">
        <w:rPr>
          <w:rStyle w:val="StyleUnderline"/>
        </w:rPr>
        <w:t>exists in moments of dissensus. Division is central, heterogeneity is preferred, and disagreement is privileged.</w:t>
      </w:r>
      <w:r w:rsidRPr="005224B2">
        <w:rPr>
          <w:sz w:val="16"/>
        </w:rPr>
        <w:t xml:space="preserve"> For him, dissensus is an eruption of democracy where: Democracy does not exist simply because the law declares individuals equal and the collectivity master of itself. It still requires the force of the demos which is neither a sum of social partners nor a gathering together of differences, but quite the opposite—the power to undo all partnerships, gatherings and ordinations. (2009, p. 32) </w:t>
      </w:r>
      <w:r w:rsidRPr="00D41B52">
        <w:rPr>
          <w:rStyle w:val="StyleUnderline"/>
        </w:rPr>
        <w:t>The individual ability to</w:t>
      </w:r>
      <w:r w:rsidRPr="005224B2">
        <w:rPr>
          <w:sz w:val="16"/>
        </w:rPr>
        <w:t xml:space="preserve"> dissent, to disrupt, and to </w:t>
      </w:r>
      <w:r w:rsidRPr="00D41B52">
        <w:rPr>
          <w:rStyle w:val="StyleUnderline"/>
        </w:rPr>
        <w:t>create disorder not only speaks to the reality of democracy but also speaks to the hatred of democracy since such dissensus goes against the prevailing ideas about democracy</w:t>
      </w:r>
      <w:r w:rsidRPr="005224B2">
        <w:rPr>
          <w:sz w:val="16"/>
        </w:rPr>
        <w:t xml:space="preserve"> operating </w:t>
      </w:r>
      <w:r w:rsidRPr="00D41B52">
        <w:rPr>
          <w:rStyle w:val="StyleUnderline"/>
        </w:rPr>
        <w:t>as “unity”</w:t>
      </w:r>
      <w:r w:rsidRPr="005224B2">
        <w:rPr>
          <w:sz w:val="16"/>
        </w:rPr>
        <w:t xml:space="preserve"> or “consensus” or as a form of politics. Democracy, he writes, “is the action that constantly wrests the monopoly of public life from oligarchic governments and the omnipotence over lives from the power of wealth” (p. 96). “It is,” he continued, “only entrusted to the constancy of its specific acts” which “can provoke fear, and so hatred, among those who are used to exercising the magisterium of thought” (p. 97). Rancière continues, “But among those who know how to share with anybody and everybody the equal power of intelligence, it can conversely inspire courage, and hence joy” (p. 97). Democracy, like education, must be thought of not only as an “individual quest for happiness” nor as a form of governing the social body but also as a contingent, constant force, or action that disrupts the oligarchy that persists. Democracy is, as he notes, “irreducible to either a form of government or a mode of social life” (2011, p. 76). In this view of democracy as a force (not a form) that exists beyond “forms of government” cannot be lived in. Rather “we live in States of oligarchic law, in other words, in States where the power of the oligarchy is limited by a dual recognition of popular sovereignty and individual liberties” (p. 73). The freedoms that are gained or achieved in the oligarchic states we live in “were not gifts of oligarchs. They were won through democratic action and are only ever guaranteed through such action. The “rights of man and of the citizen are the rights of those who make them reality” (p. 74). </w:t>
      </w:r>
      <w:r w:rsidRPr="00D41B52">
        <w:rPr>
          <w:rStyle w:val="StyleUnderline"/>
        </w:rPr>
        <w:t xml:space="preserve">Queer politics in the days of ACT-UP, Queer Nation, and other queer political movements highlight this, but </w:t>
      </w:r>
      <w:r w:rsidRPr="00D41B52">
        <w:rPr>
          <w:rStyle w:val="Emphasis"/>
        </w:rPr>
        <w:t>the moment such politics win, democracy is lost to the grip of the state</w:t>
      </w:r>
      <w:r w:rsidRPr="005224B2">
        <w:rPr>
          <w:sz w:val="16"/>
        </w:rPr>
        <w:t xml:space="preserve"> – </w:t>
      </w:r>
      <w:r w:rsidRPr="00D41B52">
        <w:rPr>
          <w:rStyle w:val="Emphasis"/>
        </w:rPr>
        <w:t>to a better police order that has redistributed the sensible.</w:t>
      </w:r>
      <w:r w:rsidRPr="005224B2">
        <w:rPr>
          <w:sz w:val="16"/>
        </w:rPr>
        <w:t xml:space="preserve"> And this state may be better than before, but it is a state that polices and continues to construct hierarchies to maintain its control. Perhaps there is an argument that democracy must be done away with, that its time has come and gone. Certainly, if we see democracy as a form of government (a parliamentary system) or a mode of being (with constitutional liberties) this might be the case, particularly in the west and the current assault on the public (see Dean, 2009a; Nussbaum, 2010). Yet, we can see all kinds of democratic uprisings and stirrings throughout the global world (beyond those instances of “spreading” democracy through the US military interventions seen in Iraq and Afghanistan) where democracy visibly serves a “critical function,” such that “it is the wrench of equality jammed (objectively and subjectively) into the gears of domination” and “it’s what keeps politics from simply turning into law enforcement” (Rancière 2011, p. 79). Politics, for Rancière, becomes distinguished from the police order. </w:t>
      </w:r>
      <w:r w:rsidRPr="00D41B52">
        <w:rPr>
          <w:rStyle w:val="Emphasis"/>
        </w:rPr>
        <w:t>Most of what passes for politics</w:t>
      </w:r>
      <w:r w:rsidRPr="005224B2">
        <w:rPr>
          <w:sz w:val="16"/>
        </w:rPr>
        <w:t xml:space="preserve"> for </w:t>
      </w:r>
      <w:r w:rsidRPr="005224B2">
        <w:rPr>
          <w:sz w:val="16"/>
        </w:rPr>
        <w:lastRenderedPageBreak/>
        <w:t xml:space="preserve">Rancière </w:t>
      </w:r>
      <w:r w:rsidRPr="00D41B52">
        <w:rPr>
          <w:rStyle w:val="Emphasis"/>
        </w:rPr>
        <w:t>is not politics but policing.</w:t>
      </w:r>
      <w:r w:rsidRPr="005224B2">
        <w:rPr>
          <w:sz w:val="16"/>
        </w:rPr>
        <w:t xml:space="preserve"> As Chambers notes, “Rancière defines politics in contrast to all </w:t>
      </w:r>
      <w:r w:rsidRPr="00D41B52">
        <w:rPr>
          <w:rStyle w:val="StyleUnderline"/>
        </w:rPr>
        <w:t>the police order subsumes</w:t>
      </w:r>
      <w:r w:rsidRPr="005224B2">
        <w:rPr>
          <w:sz w:val="16"/>
        </w:rPr>
        <w:t xml:space="preserve">, and this includes </w:t>
      </w:r>
      <w:r w:rsidRPr="00D41B52">
        <w:rPr>
          <w:rStyle w:val="StyleUnderline"/>
        </w:rPr>
        <w:t>legislation, policymaking, and all of interest-group competition and compromise”</w:t>
      </w:r>
      <w:r w:rsidRPr="005224B2">
        <w:rPr>
          <w:sz w:val="16"/>
        </w:rPr>
        <w:t xml:space="preserve"> (2009, p. 12). “Politics,” he continues, “is the interruption of the police order through a declaration of a wrong; politics occurs when a logic of domination is confronted by a logic of reality” (italics in original, p. 12). “The political moment, in Rancière, is a queer moment,” Chambers concludes (p. 12).</w:t>
      </w:r>
    </w:p>
    <w:p w:rsidR="00F567B5" w:rsidRPr="005224B2" w:rsidRDefault="00F567B5" w:rsidP="00F567B5"/>
    <w:p w:rsidR="00F567B5" w:rsidRDefault="00F567B5" w:rsidP="00F567B5">
      <w:pPr>
        <w:pStyle w:val="Heading3"/>
      </w:pPr>
      <w:bookmarkStart w:id="19" w:name="_Toc489138914"/>
      <w:r>
        <w:lastRenderedPageBreak/>
        <w:t>A2: Perm</w:t>
      </w:r>
      <w:bookmarkEnd w:id="19"/>
    </w:p>
    <w:p w:rsidR="00F567B5" w:rsidRDefault="00F567B5" w:rsidP="00F567B5">
      <w:pPr>
        <w:pStyle w:val="Heading4"/>
      </w:pPr>
      <w:r>
        <w:t>Queer revolt must be antipolitical, notions of the Child is what the Social is built on and that means the perm fails.</w:t>
      </w:r>
    </w:p>
    <w:p w:rsidR="00F567B5" w:rsidRDefault="00F567B5" w:rsidP="00F567B5">
      <w:r>
        <w:rPr>
          <w:b/>
          <w:sz w:val="26"/>
          <w:szCs w:val="26"/>
        </w:rPr>
        <w:t xml:space="preserve">Baedan 12’ </w:t>
      </w:r>
      <w:r>
        <w:t>[baedan, 2012, “baedan”, The Anarchist Library, 13-15] ER</w:t>
      </w:r>
    </w:p>
    <w:p w:rsidR="00F567B5" w:rsidRDefault="00F567B5" w:rsidP="00F567B5">
      <w:pPr>
        <w:rPr>
          <w:sz w:val="16"/>
        </w:rPr>
      </w:pPr>
      <w:r w:rsidRPr="00BC0C26">
        <w:rPr>
          <w:sz w:val="16"/>
        </w:rPr>
        <w:t xml:space="preserve">Edelman’s critique of politics begins with the figure of the Child. </w:t>
      </w:r>
      <w:r w:rsidRPr="00BC0C26">
        <w:rPr>
          <w:rStyle w:val="StyleUnderline"/>
        </w:rPr>
        <w:t>All political positions, he argues, represent themselves as doing what is best for the children</w:t>
      </w:r>
      <w:r w:rsidRPr="00BC0C26">
        <w:rPr>
          <w:sz w:val="16"/>
        </w:rPr>
        <w:t>. Politicians, whatever their parties or leanings, universally frame their debates around the question of what policies are best for the children, who keeps the Child safest, or what type of world we want to be building for our children. The centrality of the Child in the field of the political is not limited to electoral politics or political parties. Nationalist groups organize themselves around a necessity to preserve a future for their children, while anarchist and communist revolutionaries concern themselves with revolutionary organizing meant to create a better world for future generations</w:t>
      </w:r>
      <w:r w:rsidRPr="00BC0C26">
        <w:rPr>
          <w:rStyle w:val="StyleUnderline"/>
        </w:rPr>
        <w:t xml:space="preserve">. Politicians concern themselves with different children depending on their varying from ideologies, but </w:t>
      </w:r>
      <w:r w:rsidRPr="00BC0C26">
        <w:rPr>
          <w:rStyle w:val="Emphasis"/>
        </w:rPr>
        <w:t>the Child stays constant as a universal Möbius strip, inverting itself and flipping so as to be the unquestioned and untouchable universal value of all politics. Politics, however supposedly radical, is simply the universal movement of submission to the ideal of the future</w:t>
      </w:r>
      <w:r w:rsidRPr="00BC0C26">
        <w:rPr>
          <w:rStyle w:val="StyleUnderline"/>
        </w:rPr>
        <w:t xml:space="preserve">—to preserve, maintain and upgrade the structures of society and to proliferate them through time all for the sake of the children. </w:t>
      </w:r>
      <w:r w:rsidRPr="00BC0C26">
        <w:rPr>
          <w:sz w:val="16"/>
        </w:rPr>
        <w:t xml:space="preserve">The Child must always name the horizon and the beneficiary of every political project. It is for this reason that </w:t>
      </w:r>
      <w:r w:rsidRPr="00BC0C26">
        <w:rPr>
          <w:rStyle w:val="Emphasis"/>
        </w:rPr>
        <w:t>Edelman contends that queerness finds itself missing from all political discourse</w:t>
      </w:r>
      <w:r w:rsidRPr="00BC0C26">
        <w:rPr>
          <w:rStyle w:val="StyleUnderline"/>
        </w:rPr>
        <w:t>: For the liberal’s view of society, which seems to accord the queer a place, endorses no more than the conservative right’s the queerness of resistance to futurism and thus the queerness of the queer.</w:t>
      </w:r>
      <w:r w:rsidRPr="00BC0C26">
        <w:rPr>
          <w:sz w:val="16"/>
        </w:rPr>
        <w:t xml:space="preserve"> While the right wing imagines the elimination of queers (or of the need to confront their existence), </w:t>
      </w:r>
      <w:r w:rsidRPr="00BC0C26">
        <w:rPr>
          <w:rStyle w:val="Emphasis"/>
        </w:rPr>
        <w:t>the left would eliminate queerness by shining the cool light of reason upon it, hoping thereby to expose it as merely a mode of sexual expression free of the all-pervasive coloring, the determining fantasy formation</w:t>
      </w:r>
      <w:r w:rsidRPr="00BC0C26">
        <w:rPr>
          <w:rStyle w:val="StyleUnderline"/>
        </w:rPr>
        <w:t>,</w:t>
      </w:r>
      <w:r w:rsidRPr="00BC0C26">
        <w:rPr>
          <w:sz w:val="16"/>
        </w:rPr>
        <w:t xml:space="preserve"> by means of which it can seem to portend, and not for the right alone, the undoing of the social order and its cynosure, the Child. Queerness thus comes to mean nothing for both: for the right wing, the nothingness always at war with the positivity of civil society; for the left, nothing more than a sexual practice in need of demystification. </w:t>
      </w:r>
      <w:r w:rsidRPr="00BC0C26">
        <w:rPr>
          <w:rStyle w:val="StyleUnderline"/>
        </w:rPr>
        <w:t xml:space="preserve">The Child, of course, has very little to do with real children. Like all people, children are enslaved under the political order of the state and capital, expected to bear the burden of being the innocent beneficiaries of political initiatives. No, rather </w:t>
      </w:r>
      <w:r w:rsidRPr="00BC0C26">
        <w:rPr>
          <w:rStyle w:val="Emphasis"/>
        </w:rPr>
        <w:t>the Child is the fantastic symbol for the eternal proliferation of class society</w:t>
      </w:r>
      <w:r w:rsidRPr="00BC0C26">
        <w:rPr>
          <w:sz w:val="16"/>
        </w:rPr>
        <w:t xml:space="preserve">. The Child represents the succession of generations and the continuation of this society beyond the lifespans of its living members. All </w:t>
      </w:r>
      <w:r w:rsidRPr="00BC0C26">
        <w:rPr>
          <w:rStyle w:val="StyleUnderline"/>
        </w:rPr>
        <w:t xml:space="preserve">politics, being concerned primarily with the Child, then reveal themselves to be only ever a process by which to manage and secure the continued existence of society. </w:t>
      </w:r>
      <w:r w:rsidRPr="00BC0C26">
        <w:rPr>
          <w:rStyle w:val="Emphasis"/>
        </w:rPr>
        <w:t>As enemies of society, we are also enemies of politics.</w:t>
      </w:r>
      <w:r w:rsidRPr="00BC0C26">
        <w:rPr>
          <w:sz w:val="16"/>
        </w:rPr>
        <w:t xml:space="preserve"> To quote Edelman: The fantasy subtending the image of the child invariably shapes the logic within which the political itself must be thought. That logic compels us, to the extent that we would register as politically responsible, to submit to the framing of political debate—and, indeed of the political field—as defined by the terms of what this book describes as reproductive futurism: terms that impose an ideological limit on political discourse as such, preserving in the process the absolute privilege of heteronormativity by rendering unthinkable, by casting outside the political domain, the possibility of a queer resistance to this organizing principle of communal relations. If the varying discourses of politics are only ever about the Child (as society’s future</w:t>
      </w:r>
      <w:r w:rsidRPr="00BC0C26">
        <w:rPr>
          <w:rStyle w:val="StyleUnderline"/>
        </w:rPr>
        <w:t xml:space="preserve">), </w:t>
      </w:r>
      <w:r w:rsidRPr="00BC0C26">
        <w:rPr>
          <w:rStyle w:val="Emphasis"/>
        </w:rPr>
        <w:t>queerness must be anti-political because it marks a fundamental interruption of the societal norms and apparatuses that exist to mandate the reproduction the Child.</w:t>
      </w:r>
      <w:r w:rsidRPr="00BC0C26">
        <w:rPr>
          <w:sz w:val="16"/>
        </w:rPr>
        <w:t xml:space="preserve"> Yes, queer sex can be non-reproductive sex, but we cannot define queerness through such overly-simple and naturalistic logics. Queerness, beyond being the negation of the heteronormative family matrix, must also be practiced as a willful refusal of the political imperative to reproduce class society. </w:t>
      </w:r>
      <w:r w:rsidRPr="000E4DA7">
        <w:rPr>
          <w:rStyle w:val="StyleUnderline"/>
        </w:rPr>
        <w:t xml:space="preserve">In a world where all social relations are enchanted by our obligation to the Child as the future of the social order, we must break those communal relations and break the stranglehold of politics over our daily lives. </w:t>
      </w:r>
      <w:r w:rsidRPr="00BC0C26">
        <w:rPr>
          <w:rStyle w:val="Emphasis"/>
        </w:rPr>
        <w:t>Queerness must be an outside to politics, an antagonism against the political, or it isn’t queer at all.</w:t>
      </w:r>
      <w:r w:rsidRPr="00BC0C26">
        <w:rPr>
          <w:sz w:val="16"/>
        </w:rPr>
        <w:t xml:space="preserve"> </w:t>
      </w:r>
    </w:p>
    <w:p w:rsidR="00F567B5" w:rsidRPr="00162C2D" w:rsidRDefault="00F567B5" w:rsidP="00F567B5"/>
    <w:p w:rsidR="00F567B5" w:rsidRDefault="00F567B5" w:rsidP="00F567B5">
      <w:pPr>
        <w:pStyle w:val="Heading3"/>
      </w:pPr>
      <w:bookmarkStart w:id="20" w:name="_Toc489138915"/>
      <w:r>
        <w:lastRenderedPageBreak/>
        <w:t>A2: Perm—Bareback Pedagogy</w:t>
      </w:r>
      <w:bookmarkEnd w:id="20"/>
    </w:p>
    <w:p w:rsidR="00F567B5" w:rsidRPr="00CA3E3C" w:rsidRDefault="00F567B5" w:rsidP="00F567B5">
      <w:pPr>
        <w:pStyle w:val="Heading4"/>
      </w:pPr>
      <w:r w:rsidRPr="00CA3E3C">
        <w:t>The permutation is a prophylactic—they envelope the inherently risky nature of sex education in normative discourse that regulates</w:t>
      </w:r>
      <w:r>
        <w:t xml:space="preserve"> the disruptive possibilities of queer excess</w:t>
      </w:r>
      <w:r w:rsidRPr="00CA3E3C">
        <w:t xml:space="preserve"> </w:t>
      </w:r>
    </w:p>
    <w:p w:rsidR="00F567B5" w:rsidRDefault="00F567B5" w:rsidP="00F567B5">
      <w:r w:rsidRPr="00CA3E3C">
        <w:rPr>
          <w:rStyle w:val="Author-Date"/>
        </w:rPr>
        <w:t>Greteman 2013</w:t>
      </w:r>
      <w:r>
        <w:t xml:space="preserve"> [Adam J., Adjunct Assistant Professor of Art Education at the School of the Art Institute of Chicago | “Fashioning a bareback pedagogy: towards a theory of risky (sex) education” </w:t>
      </w:r>
      <w:r w:rsidRPr="004F038D">
        <w:rPr>
          <w:i/>
        </w:rPr>
        <w:t>Sex Education</w:t>
      </w:r>
      <w:r>
        <w:t>, 2013]</w:t>
      </w:r>
    </w:p>
    <w:p w:rsidR="00F567B5" w:rsidRPr="000D3F1C" w:rsidRDefault="00F567B5" w:rsidP="00F567B5">
      <w:pPr>
        <w:rPr>
          <w:sz w:val="16"/>
        </w:rPr>
      </w:pPr>
      <w:r w:rsidRPr="00CA3E3C">
        <w:rPr>
          <w:rStyle w:val="StyleUnderline"/>
        </w:rPr>
        <w:t>Sex is inherently risky for it opens up one’s body to another.</w:t>
      </w:r>
      <w:r w:rsidRPr="000D3F1C">
        <w:rPr>
          <w:sz w:val="16"/>
        </w:rPr>
        <w:t xml:space="preserve"> To repeat the lesson from a public health campaign, ‘sex without risk, doesn’t exist’ </w:t>
      </w:r>
      <w:r w:rsidRPr="00CA3E3C">
        <w:rPr>
          <w:rStyle w:val="StyleUnderline"/>
        </w:rPr>
        <w:t>and therefore sex education cannot be safe, but must be risky. Sex education cannot wrap itself up in a prophylactic. Its knowledge and ignorance cannot save. But it can open itself up to the challenges of the other.</w:t>
      </w:r>
      <w:r w:rsidRPr="000D3F1C">
        <w:rPr>
          <w:sz w:val="16"/>
        </w:rPr>
        <w:t xml:space="preserve"> </w:t>
      </w:r>
      <w:r w:rsidRPr="00CA3E3C">
        <w:rPr>
          <w:rStyle w:val="StyleUnderline"/>
        </w:rPr>
        <w:t>Barebackers have by virtue of their challenges to current understandings of HIV been driven out, asked to remain on the fringe</w:t>
      </w:r>
      <w:r w:rsidRPr="000D3F1C">
        <w:rPr>
          <w:sz w:val="16"/>
        </w:rPr>
        <w:t xml:space="preserve">, on the margins. </w:t>
      </w:r>
      <w:r w:rsidRPr="00CA3E3C">
        <w:rPr>
          <w:rStyle w:val="StyleUnderline"/>
        </w:rPr>
        <w:t>They are</w:t>
      </w:r>
      <w:r w:rsidRPr="000D3F1C">
        <w:rPr>
          <w:sz w:val="16"/>
        </w:rPr>
        <w:t xml:space="preserve">, in a sense, </w:t>
      </w:r>
      <w:r w:rsidRPr="00CA3E3C">
        <w:rPr>
          <w:rStyle w:val="StyleUnderline"/>
        </w:rPr>
        <w:t>an impossibility edited out from being viewed as subjects deserving of just treatment.</w:t>
      </w:r>
      <w:r w:rsidRPr="000D3F1C">
        <w:rPr>
          <w:sz w:val="16"/>
        </w:rPr>
        <w:t xml:space="preserve"> Most, of course, do not seek to enter the mainstream nor do they embrace a political agenda or engage in identity politics (Dean 2009). </w:t>
      </w:r>
      <w:r w:rsidRPr="00CA3E3C">
        <w:rPr>
          <w:rStyle w:val="StyleUnderline"/>
        </w:rPr>
        <w:t>They appear</w:t>
      </w:r>
      <w:r w:rsidRPr="000D3F1C">
        <w:rPr>
          <w:sz w:val="16"/>
        </w:rPr>
        <w:t xml:space="preserve"> quite clearly (or queerly) </w:t>
      </w:r>
      <w:r w:rsidRPr="00CA3E3C">
        <w:rPr>
          <w:rStyle w:val="StyleUnderline"/>
        </w:rPr>
        <w:t>to offer queer theory and sex education a challenging example</w:t>
      </w:r>
      <w:r w:rsidRPr="000D3F1C">
        <w:rPr>
          <w:sz w:val="16"/>
        </w:rPr>
        <w:t xml:space="preserve"> of what it means to ‘come into presence’ (literally and figuratively). </w:t>
      </w:r>
      <w:r w:rsidRPr="000D3F1C">
        <w:rPr>
          <w:rStyle w:val="StyleUnderline"/>
        </w:rPr>
        <w:t>They ‘come into presence’ focused not on some essence</w:t>
      </w:r>
      <w:r w:rsidRPr="000D3F1C">
        <w:rPr>
          <w:sz w:val="16"/>
        </w:rPr>
        <w:t xml:space="preserve">, or belief in a unique difference, </w:t>
      </w:r>
      <w:r w:rsidRPr="000D3F1C">
        <w:rPr>
          <w:rStyle w:val="StyleUnderline"/>
        </w:rPr>
        <w:t>but rather on the moment(s) of transmission, of the event of the sexual encounter.</w:t>
      </w:r>
      <w:r w:rsidRPr="000D3F1C">
        <w:rPr>
          <w:sz w:val="16"/>
        </w:rPr>
        <w:t xml:space="preserve"> This was illuminated in Freeman’s article where he noted that Carlos is ‘reluctant to get a test. He might very well be positive already. But as long as he doesn’t know for sure, he can always hope that tonight is the night he gets the virus’. Carlos’ reluctance as read by Freeman illuminates the challenging premise that the virus (or the search for it) promises alternative ways of relating to the self and the other. This sexual subculture does not define itself by the mainstream ways, but embraces the possibilities that a virus offers to expose the limitations of and possibilities in countering the mainstream. Yet, this subculture seemingly exists anecdotally – in the moment and in the particularity of those practitioners. </w:t>
      </w:r>
      <w:r w:rsidRPr="000D3F1C">
        <w:rPr>
          <w:rStyle w:val="StyleUnderline"/>
        </w:rPr>
        <w:t>They poignantly offer a contemporary model within the heteronormative and homonormative educational spaces that</w:t>
      </w:r>
      <w:r w:rsidRPr="000D3F1C">
        <w:rPr>
          <w:sz w:val="16"/>
        </w:rPr>
        <w:t xml:space="preserve"> does what LGBT subjects did for the past few decades, which is to </w:t>
      </w:r>
      <w:r w:rsidRPr="000D3F1C">
        <w:rPr>
          <w:rStyle w:val="StyleUnderline"/>
        </w:rPr>
        <w:t>disrupt our conceptions of normal and continue to question the operations of individuals and institutions that ‘edit out’ subjects. Yet</w:t>
      </w:r>
      <w:r w:rsidRPr="000D3F1C">
        <w:rPr>
          <w:sz w:val="16"/>
        </w:rPr>
        <w:t xml:space="preserve">, as readers will note, </w:t>
      </w:r>
      <w:r w:rsidRPr="000D3F1C">
        <w:rPr>
          <w:rStyle w:val="StyleUnderline"/>
        </w:rPr>
        <w:t>it is difficult for the barebacker to speak. Spoken for by professionals who seek to understand their pathological desires or by activists who view the practices of barebacking as complex and transgressive, a barebacker ‘who yields the ideological imperative to speak about his desire betrays a defining tenet of that desire: its secrecy, its fugitive opposition to the norms of society</w:t>
      </w:r>
      <w:r w:rsidRPr="000D3F1C">
        <w:rPr>
          <w:sz w:val="16"/>
        </w:rPr>
        <w:t xml:space="preserve"> that media spectators represent’ (Gonzalez 2010, 90). To speak of barebacking and barebackers then is to speak via the discourses that have emerged around this diverse set of practices and practitioners. What do these discourses that ‘speak for’ allow education to do and think through? How might the anecdotal evidence on barebacking provide not only the ethical insights that Dean illuminates but also the pedagogical promises such practices offer?</w:t>
      </w:r>
    </w:p>
    <w:p w:rsidR="00F567B5" w:rsidRDefault="00F567B5" w:rsidP="00F567B5"/>
    <w:p w:rsidR="00F567B5" w:rsidRDefault="00F567B5" w:rsidP="00F567B5">
      <w:pPr>
        <w:pStyle w:val="Heading3"/>
      </w:pPr>
      <w:bookmarkStart w:id="21" w:name="_Toc489138916"/>
      <w:r>
        <w:lastRenderedPageBreak/>
        <w:t>A2: Materialism / Post-Fordism / Gill-Peterson</w:t>
      </w:r>
      <w:bookmarkEnd w:id="21"/>
      <w:r>
        <w:t xml:space="preserve"> </w:t>
      </w:r>
    </w:p>
    <w:p w:rsidR="00F567B5" w:rsidRPr="00E5287B" w:rsidRDefault="00F567B5" w:rsidP="00F567B5">
      <w:pPr>
        <w:pStyle w:val="Heading4"/>
      </w:pPr>
      <w:r>
        <w:t>The Child remains the symbolic, if not material, anchor of politics and the alternative can still theorize materiality through negativity</w:t>
      </w:r>
    </w:p>
    <w:p w:rsidR="00F567B5" w:rsidRPr="00E5287B" w:rsidRDefault="00F567B5" w:rsidP="00F567B5">
      <w:pPr>
        <w:rPr>
          <w:rStyle w:val="StyleUnderline"/>
          <w:b w:val="0"/>
          <w:u w:val="none"/>
        </w:rPr>
      </w:pPr>
      <w:r w:rsidRPr="00C54D46">
        <w:rPr>
          <w:rStyle w:val="Author-Date"/>
        </w:rPr>
        <w:t>Gill-Peterson 2015</w:t>
      </w:r>
      <w:r>
        <w:t xml:space="preserve"> [Julian, Assistant Professor of English and Children's Literature at the University of Pittsburgh | “The Value of the Future: The Child as Human Capital and the Neoliberal Labor of Race,” </w:t>
      </w:r>
      <w:r w:rsidRPr="00D622CD">
        <w:rPr>
          <w:i/>
        </w:rPr>
        <w:t>Women's Studies Quarterly</w:t>
      </w:r>
      <w:r>
        <w:t>, Vol. 43, No. 1/2, (Spring/Summer 2015)]</w:t>
      </w:r>
    </w:p>
    <w:p w:rsidR="00F567B5" w:rsidRPr="00397C5A" w:rsidRDefault="00F567B5" w:rsidP="00F567B5">
      <w:pPr>
        <w:rPr>
          <w:sz w:val="16"/>
        </w:rPr>
      </w:pPr>
      <w:r w:rsidRPr="00AC69C6">
        <w:rPr>
          <w:rStyle w:val="StyleUnderline"/>
        </w:rPr>
        <w:t>If the child as the Symbolic anchor of reproductive futurism typical of Fordism has been eclipsed by the precarious and volatile conditions of contemporary capitalism</w:t>
      </w:r>
      <w:r w:rsidRPr="00397C5A">
        <w:rPr>
          <w:sz w:val="16"/>
        </w:rPr>
        <w:t xml:space="preserve"> - a capitalism that does not need the slow, sheltered fantasy of childhood as deferral of labor - </w:t>
      </w:r>
      <w:r w:rsidRPr="00AC69C6">
        <w:rPr>
          <w:rStyle w:val="StyleUnderline"/>
        </w:rPr>
        <w:t xml:space="preserve">then the relation of the child to the value of the future might be better approached through the lenses of labor and materiality. </w:t>
      </w:r>
      <w:r w:rsidRPr="00E5287B">
        <w:rPr>
          <w:rStyle w:val="Emphasis"/>
        </w:rPr>
        <w:t>This does not exactly amount to a critique of No Future</w:t>
      </w:r>
      <w:r w:rsidRPr="00397C5A">
        <w:rPr>
          <w:sz w:val="16"/>
        </w:rPr>
        <w:t xml:space="preserve">. Edelman is clear that "the image of the Child" ought "not to be confused with the lived experiences of any historical children" (2004, 11). </w:t>
      </w:r>
      <w:r w:rsidRPr="00E5287B">
        <w:rPr>
          <w:rStyle w:val="Emphasis"/>
        </w:rPr>
        <w:t>The Symbolic function of the Child-with-a-capital-"C” precisely holds hostage the capacity to think otherwise about actually existing children.</w:t>
      </w:r>
      <w:r w:rsidRPr="00397C5A">
        <w:rPr>
          <w:sz w:val="16"/>
        </w:rPr>
        <w:t xml:space="preserve"> The problem is not the impulse of Edelmans analysis: </w:t>
      </w:r>
      <w:r w:rsidRPr="00AC69C6">
        <w:rPr>
          <w:rStyle w:val="StyleUnderline"/>
        </w:rPr>
        <w:t xml:space="preserve">there is no shortage of projective work being done by the child figure today. </w:t>
      </w:r>
      <w:r w:rsidRPr="00E5287B">
        <w:t>Yet vital though the child figure remains to the future, its value must nevertheless be calculated within the ambit of contemporary economic, ecological, and political catastrophes that threaten the viability of any future for humans in ways that override the optimistic ideology of American liberalism, how- ever facetious it may have been (see Sheldon 2013</w:t>
      </w:r>
      <w:r w:rsidRPr="00397C5A">
        <w:rPr>
          <w:sz w:val="16"/>
        </w:rPr>
        <w:t xml:space="preserve">). </w:t>
      </w:r>
      <w:r w:rsidRPr="00397C5A">
        <w:rPr>
          <w:rStyle w:val="StyleUnderline"/>
        </w:rPr>
        <w:t>The</w:t>
      </w:r>
      <w:r w:rsidRPr="00397C5A">
        <w:rPr>
          <w:sz w:val="16"/>
        </w:rPr>
        <w:t xml:space="preserve"> UNCF </w:t>
      </w:r>
      <w:r w:rsidRPr="00397C5A">
        <w:rPr>
          <w:rStyle w:val="StyleUnderline"/>
        </w:rPr>
        <w:t>stock option redefines</w:t>
      </w:r>
      <w:r w:rsidRPr="00397C5A">
        <w:rPr>
          <w:sz w:val="16"/>
        </w:rPr>
        <w:t xml:space="preserve"> college </w:t>
      </w:r>
      <w:r w:rsidRPr="00397C5A">
        <w:rPr>
          <w:rStyle w:val="StyleUnderline"/>
        </w:rPr>
        <w:t>education</w:t>
      </w:r>
      <w:r w:rsidRPr="00397C5A">
        <w:rPr>
          <w:sz w:val="16"/>
        </w:rPr>
        <w:t xml:space="preserve"> for children of color </w:t>
      </w:r>
      <w:r w:rsidRPr="00397C5A">
        <w:rPr>
          <w:rStyle w:val="StyleUnderline"/>
        </w:rPr>
        <w:t>as an investment activity, and</w:t>
      </w:r>
      <w:r w:rsidRPr="00397C5A">
        <w:rPr>
          <w:sz w:val="16"/>
        </w:rPr>
        <w:t xml:space="preserve"> in so doing it </w:t>
      </w:r>
      <w:r w:rsidRPr="00397C5A">
        <w:rPr>
          <w:rStyle w:val="StyleUnderline"/>
        </w:rPr>
        <w:t>judges educations value not as a liberal equalizer of opportunity but as a form of "human capital" that black and brown bodies cannot afford to pass up.</w:t>
      </w:r>
      <w:r>
        <w:rPr>
          <w:rStyle w:val="StyleUnderline"/>
        </w:rPr>
        <w:t xml:space="preserve"> </w:t>
      </w:r>
      <w:r w:rsidRPr="00397C5A">
        <w:rPr>
          <w:sz w:val="16"/>
        </w:rPr>
        <w:t xml:space="preserve">Following UNCF s proposition, this essay explores cinematic texts and media of contemporary American childhood to understand the economy of the future. The present calculation of the value of the future suggests that race, not only sexuality, might be understood as the coefficient that incorporates the laboring body from childhood. </w:t>
      </w:r>
      <w:r w:rsidRPr="00397C5A">
        <w:rPr>
          <w:rStyle w:val="StyleUnderline"/>
        </w:rPr>
        <w:t>If modern childhood, as</w:t>
      </w:r>
      <w:r w:rsidRPr="00397C5A">
        <w:rPr>
          <w:sz w:val="16"/>
        </w:rPr>
        <w:t xml:space="preserve"> Kathryn Bond </w:t>
      </w:r>
      <w:r w:rsidRPr="00397C5A">
        <w:rPr>
          <w:rStyle w:val="StyleUnderline"/>
        </w:rPr>
        <w:t>Stockton</w:t>
      </w:r>
      <w:r w:rsidRPr="00397C5A">
        <w:rPr>
          <w:sz w:val="16"/>
        </w:rPr>
        <w:t xml:space="preserve"> (2009, 13-16) carefully outlines, </w:t>
      </w:r>
      <w:r w:rsidRPr="00397C5A">
        <w:rPr>
          <w:rStyle w:val="StyleUnderline"/>
        </w:rPr>
        <w:t>is structured by a temporality of delay - delay of labor and delay of heteronormative sexuality - the queer problem of "growing sideways" that it generates is also</w:t>
      </w:r>
      <w:r w:rsidRPr="00397C5A">
        <w:rPr>
          <w:sz w:val="16"/>
        </w:rPr>
        <w:t xml:space="preserve">, as she explains, </w:t>
      </w:r>
      <w:r w:rsidRPr="00397C5A">
        <w:rPr>
          <w:rStyle w:val="StyleUnderline"/>
        </w:rPr>
        <w:t>more an expression of the twentieth century than of the twenty-first. What is at stake</w:t>
      </w:r>
      <w:r w:rsidRPr="00397C5A">
        <w:rPr>
          <w:sz w:val="16"/>
        </w:rPr>
        <w:t xml:space="preserve"> in this essay </w:t>
      </w:r>
      <w:r w:rsidRPr="00397C5A">
        <w:rPr>
          <w:rStyle w:val="StyleUnderline"/>
        </w:rPr>
        <w:t>is</w:t>
      </w:r>
      <w:r w:rsidRPr="00397C5A">
        <w:rPr>
          <w:sz w:val="16"/>
        </w:rPr>
        <w:t xml:space="preserve"> hence less a lateral growth than the circumstances surrounding the person Stockton calls "</w:t>
      </w:r>
      <w:r w:rsidRPr="00397C5A">
        <w:rPr>
          <w:rStyle w:val="StyleUnderline"/>
        </w:rPr>
        <w:t>the child queered by color": a child who, being nonwhite, is barely a child, unable to inhabit the scenography of innocence assigned to American childhood.</w:t>
      </w:r>
      <w:r w:rsidRPr="00397C5A">
        <w:rPr>
          <w:sz w:val="16"/>
        </w:rPr>
        <w:t xml:space="preserve"> If one cultural narrative designed to compensate for this debility, as Stockton reminds us, "is to endow those children with abuse" (33), then perhaps, in the film and media that follow, another narrative seeks to make those children work for it. </w:t>
      </w:r>
    </w:p>
    <w:p w:rsidR="00F567B5" w:rsidRDefault="00F567B5" w:rsidP="00F567B5">
      <w:pPr>
        <w:pStyle w:val="Heading3"/>
      </w:pPr>
      <w:bookmarkStart w:id="22" w:name="_Toc489138917"/>
      <w:r>
        <w:lastRenderedPageBreak/>
        <w:t>A2: Falsifiability</w:t>
      </w:r>
      <w:bookmarkEnd w:id="22"/>
      <w:r>
        <w:t xml:space="preserve"> </w:t>
      </w:r>
    </w:p>
    <w:p w:rsidR="00F567B5" w:rsidRPr="00533381" w:rsidRDefault="00F567B5" w:rsidP="00F567B5">
      <w:pPr>
        <w:pStyle w:val="Heading4"/>
      </w:pPr>
      <w:r w:rsidRPr="00533381">
        <w:t>Our rhetorical understanding of psychoanalysis resolves verifiability—analyzing the iteration of trope in rhetoric makes psychoanalysis a science</w:t>
      </w:r>
    </w:p>
    <w:p w:rsidR="00F567B5" w:rsidRPr="00533381" w:rsidRDefault="00F567B5" w:rsidP="00F567B5">
      <w:pPr>
        <w:rPr>
          <w:rFonts w:asciiTheme="majorHAnsi" w:hAnsiTheme="majorHAnsi"/>
        </w:rPr>
      </w:pPr>
      <w:r w:rsidRPr="00533381">
        <w:rPr>
          <w:rStyle w:val="Style13ptBold"/>
          <w:rFonts w:asciiTheme="majorHAnsi" w:hAnsiTheme="majorHAnsi"/>
        </w:rPr>
        <w:t>Lundberg ‘12</w:t>
      </w:r>
      <w:r w:rsidRPr="00533381">
        <w:rPr>
          <w:rFonts w:asciiTheme="majorHAnsi" w:hAnsiTheme="majorHAnsi"/>
        </w:rPr>
        <w:t xml:space="preserve"> (Christian O., Assoc. Prof. of Rhetoric @ U. of North Carolina-Chapel Hill, </w:t>
      </w:r>
      <w:r w:rsidRPr="00533381">
        <w:rPr>
          <w:rFonts w:asciiTheme="majorHAnsi" w:hAnsiTheme="majorHAnsi"/>
          <w:i/>
        </w:rPr>
        <w:t>Lacan in Public</w:t>
      </w:r>
      <w:r w:rsidRPr="00533381">
        <w:rPr>
          <w:rFonts w:asciiTheme="majorHAnsi" w:hAnsiTheme="majorHAnsi"/>
        </w:rPr>
        <w:t>)</w:t>
      </w:r>
    </w:p>
    <w:p w:rsidR="00F567B5" w:rsidRPr="00533381" w:rsidRDefault="00F567B5" w:rsidP="00F567B5">
      <w:pPr>
        <w:rPr>
          <w:rFonts w:asciiTheme="majorHAnsi" w:hAnsiTheme="majorHAnsi"/>
          <w:sz w:val="16"/>
        </w:rPr>
      </w:pPr>
      <w:r w:rsidRPr="00533381">
        <w:rPr>
          <w:rStyle w:val="StyleUnderline"/>
          <w:rFonts w:asciiTheme="majorHAnsi" w:hAnsiTheme="majorHAnsi"/>
        </w:rPr>
        <w:t>Lacan’s claims to the “science” of rhetoric respond to a number of critics who had framed psychoanalysis as an alchemical mix of unfounded theories, intuitions and inherited practices</w:t>
      </w:r>
      <w:r w:rsidRPr="00533381">
        <w:rPr>
          <w:rFonts w:asciiTheme="majorHAnsi" w:hAnsiTheme="majorHAnsi"/>
          <w:sz w:val="16"/>
        </w:rPr>
        <w:t xml:space="preserve">. Borrowing from Karl Popper’s philosophy of science, </w:t>
      </w:r>
      <w:r w:rsidRPr="00533381">
        <w:rPr>
          <w:rStyle w:val="StyleUnderline"/>
          <w:rFonts w:asciiTheme="majorHAnsi" w:hAnsiTheme="majorHAnsi"/>
        </w:rPr>
        <w:t>such critiques of psychoanalysis argued that analytic practice was non-falsifiable</w:t>
      </w:r>
      <w:r w:rsidRPr="00533381">
        <w:rPr>
          <w:rFonts w:asciiTheme="majorHAnsi" w:hAnsiTheme="majorHAnsi"/>
          <w:sz w:val="16"/>
        </w:rPr>
        <w:t>, resting on the idea that no empirical evidence could be mustered to refute it. Any claim to evidence to the contrary of Freudian theories could always be elided by generating another explanation with dubious empirical grounding to account for potential exceptions. In drawing on rhetoric as a systematic mode for theorizing the nature of the sign, representation, and the logic and social functions of discourse, Lacan rescues Freudian categories from non- falsifiability. Rhetoric, which is so squarely rooted in “art,” became one of Lacan’s most powerful allies in articulating psycho analy sis as a science, providing a vocabulary for attending to the repeatable elements of signification that might be held up to empirical verification.</w:t>
      </w:r>
      <w:r w:rsidRPr="00533381">
        <w:rPr>
          <w:rFonts w:asciiTheme="majorHAnsi" w:hAnsiTheme="majorHAnsi"/>
          <w:sz w:val="12"/>
        </w:rPr>
        <w:t>∂</w:t>
      </w:r>
      <w:r w:rsidRPr="00533381">
        <w:rPr>
          <w:rFonts w:asciiTheme="majorHAnsi" w:hAnsiTheme="majorHAnsi"/>
          <w:sz w:val="16"/>
        </w:rPr>
        <w:t xml:space="preserve"> Lacan vacillated at different points in his career on psycho analy sis’s status as a science, arguing at points that it was clearly a science, at others that it was not, and at others that it was a special kind of science.61 Generally, Lacan’s early career embodied the strongest claim for the scientific status of psychoanaly sis, while in his later career he became less invested in the idea, arguing that it need not attempt to assume scientific status to validate itself.62 What is most interesting about the ambivalence toward science in Lacan’s thought is that at each instance where the relationship between psychoanalysis and science is at stake, the question of rheto ric is never far from the conversation.</w:t>
      </w:r>
      <w:r w:rsidRPr="00533381">
        <w:rPr>
          <w:rFonts w:asciiTheme="majorHAnsi" w:hAnsiTheme="majorHAnsi"/>
          <w:sz w:val="12"/>
        </w:rPr>
        <w:t>∂</w:t>
      </w:r>
      <w:r w:rsidRPr="00533381">
        <w:rPr>
          <w:rFonts w:asciiTheme="majorHAnsi" w:hAnsiTheme="majorHAnsi"/>
          <w:sz w:val="16"/>
        </w:rPr>
        <w:t xml:space="preserve"> For example, in The Psychoses and The Four Fundamental Concepts of Psychoanaly sis, Lacan argues that </w:t>
      </w:r>
      <w:r w:rsidRPr="00533381">
        <w:rPr>
          <w:rStyle w:val="StyleUnderline"/>
          <w:rFonts w:asciiTheme="majorHAnsi" w:hAnsiTheme="majorHAnsi"/>
        </w:rPr>
        <w:t>psychoanalysis is a science on the basis of its attention to a set of repeatable logical forms, specifically to trope as a way of specifying the possible connections underwriting discursive and representational practices</w:t>
      </w:r>
      <w:r w:rsidRPr="00533381">
        <w:rPr>
          <w:rFonts w:asciiTheme="majorHAnsi" w:hAnsiTheme="majorHAnsi"/>
          <w:sz w:val="16"/>
        </w:rPr>
        <w:t xml:space="preserve">. Other accounts read Lacan as eventually giving up on the idea that psycho analysis is a science, but do so, once again, with explicit reference to rhetoric. For example, Stuart Schneiderman argues that by 1977 Lacan had given up the quest to prove psycho analysis as a science, that “after having posed the question of the scientific status of psycho analysis for so many years, he had come to the conclusion that it was not a science. The reason was one offered by Karl Popper, namely that psycho analysis was ‘irrefutable.’ Lacan said that analysis was closest to rhetoric. . . . Thus analysis seeks to persuade but not convince, to persuade the analysand to recognize things that he knows already and to act on his desire.”63 Of course, one might take issue with the account of rhetoric that is implicit in this claim, particularly on the grounds that the framing of rhetoric in Schneiderman’s account affirms an understanding of rhetoric exclusively through reference to persuasion, contingency, and probability—a conception that is, as I have been arguing, at odds with Lacan’s understanding of the work of rhetoric. More accurately, </w:t>
      </w:r>
      <w:r w:rsidRPr="00533381">
        <w:rPr>
          <w:rStyle w:val="StyleUnderline"/>
          <w:rFonts w:asciiTheme="majorHAnsi" w:hAnsiTheme="majorHAnsi"/>
        </w:rPr>
        <w:t>rhetoric affords Lacanian psychoanalysis a status as a special kind of science by providing it with a set of techniques for paying attention to the mathematical qualities of discourse. Regardless of how one understands the moniker “science,” rhetoric drives psychoanalysis toward a systematic account of the possible modes of connection that animate actually existing discourses, and toward an observation of the concrete functions of trope in the social life of the subject</w:t>
      </w:r>
      <w:r w:rsidRPr="00533381">
        <w:rPr>
          <w:rFonts w:asciiTheme="majorHAnsi" w:hAnsiTheme="majorHAnsi"/>
          <w:sz w:val="16"/>
        </w:rPr>
        <w:t>.</w:t>
      </w:r>
      <w:r w:rsidRPr="00533381">
        <w:rPr>
          <w:rFonts w:asciiTheme="majorHAnsi" w:hAnsiTheme="majorHAnsi"/>
          <w:sz w:val="12"/>
        </w:rPr>
        <w:t>∂</w:t>
      </w:r>
      <w:r w:rsidRPr="00533381">
        <w:rPr>
          <w:rFonts w:asciiTheme="majorHAnsi" w:hAnsiTheme="majorHAnsi"/>
          <w:sz w:val="16"/>
        </w:rPr>
        <w:t xml:space="preserve"> Lacan derives this understanding of psycho analysis as the systematic science of attending to discourse from Freud. For example, In The Interpretation of Dreams Freud argues for a practice of reading dreams that revised received methods for interpreting dreams. Prior to Freud’s intervention there was a long- standing tradition that held that an image in a dream correlated with an unconscious meaning in much the same way that a word in a dictionary correlates with a definition. In order to found his mode of dream interpretation, Freud dissents from a definitional understanding of dreams by distinguishing between manifest “dream content” and the underlying logic of a dream, or the “dream- thought.”64 Although the manifest content of a dream may seem utterly random, it is driven by the dream- thought expressed in it, investing the specific contents of the dream with a meaning dependent on the thought that articulates it. For Freud there is no universal protocol for the expression and interpretation of dream contents, but rather a set of associations unique to an individual which, although not uniform in content, are bound by a more universal logic of expression.</w:t>
      </w:r>
      <w:r w:rsidRPr="00533381">
        <w:rPr>
          <w:rFonts w:asciiTheme="majorHAnsi" w:hAnsiTheme="majorHAnsi"/>
          <w:sz w:val="12"/>
        </w:rPr>
        <w:t>∂</w:t>
      </w:r>
      <w:r w:rsidRPr="00533381">
        <w:rPr>
          <w:rFonts w:asciiTheme="majorHAnsi" w:hAnsiTheme="majorHAnsi"/>
          <w:sz w:val="16"/>
        </w:rPr>
        <w:t xml:space="preserve"> It is tempting to see in Freud’s presentation of the interpretation of dreams a cognitive semiotics that verges on a proto- presentation of Saussure’s conception of differential signification, albeit sixteen years prior to the publication of the Course in General Linguistics. Each element in a dream means something not because it has an intrinsic referent, but rather because it is defined by a relationship of difference to other elements in the dream content, and cumulatively the structure of differentially related signs allows for an interpretation of the underlying dream- thought. Naturally, this is the reading of Lacan’s employment of Freud’s Interpretation of Dreams by those who see Lacanian psycho analysis as an integration of Freud’s unconscious and the insights of Saussure.65 The difficulty arises when one tries to determine what exactly Lacan is attempting to do by reading the regularities of structure that animate dreams and, by extension, discourse. On one account, this reading produces a logic of dreams and discourse that emphasizes structure at the expense of the empirical. But </w:t>
      </w:r>
      <w:r w:rsidRPr="00533381">
        <w:rPr>
          <w:rStyle w:val="StyleUnderline"/>
          <w:rFonts w:asciiTheme="majorHAnsi" w:hAnsiTheme="majorHAnsi"/>
        </w:rPr>
        <w:t>a second account replaces the structuralist poetic account with a rhetorical conception of trope, inventing a science of rhetoric that forces attention to the interchange between form and its empirical manifestations</w:t>
      </w:r>
      <w:r w:rsidRPr="00533381">
        <w:rPr>
          <w:rFonts w:asciiTheme="majorHAnsi" w:hAnsiTheme="majorHAnsi"/>
          <w:sz w:val="16"/>
        </w:rPr>
        <w:t>. To instantiate a rhetorical relation between the logics and manifestation of dream contents, Lacan turns to a science of oratory that drives analytic labor toward the empirical life of discourses.66</w:t>
      </w:r>
      <w:r w:rsidRPr="00533381">
        <w:rPr>
          <w:rFonts w:asciiTheme="majorHAnsi" w:hAnsiTheme="majorHAnsi"/>
          <w:sz w:val="12"/>
        </w:rPr>
        <w:t>∂</w:t>
      </w:r>
      <w:r w:rsidRPr="00533381">
        <w:rPr>
          <w:rFonts w:asciiTheme="majorHAnsi" w:hAnsiTheme="majorHAnsi"/>
          <w:sz w:val="16"/>
        </w:rPr>
        <w:t xml:space="preserve"> “</w:t>
      </w:r>
      <w:r w:rsidRPr="00533381">
        <w:rPr>
          <w:rStyle w:val="StyleUnderline"/>
          <w:rFonts w:asciiTheme="majorHAnsi" w:hAnsiTheme="majorHAnsi"/>
        </w:rPr>
        <w:t>What specifies a science</w:t>
      </w:r>
      <w:r w:rsidRPr="00533381">
        <w:rPr>
          <w:rFonts w:asciiTheme="majorHAnsi" w:hAnsiTheme="majorHAnsi"/>
          <w:sz w:val="16"/>
        </w:rPr>
        <w:t>,” writes Lacan,” “</w:t>
      </w:r>
      <w:r w:rsidRPr="00533381">
        <w:rPr>
          <w:rStyle w:val="StyleUnderline"/>
          <w:rFonts w:asciiTheme="majorHAnsi" w:hAnsiTheme="majorHAnsi"/>
        </w:rPr>
        <w:t xml:space="preserve">is having an </w:t>
      </w:r>
      <w:r w:rsidRPr="00533381">
        <w:rPr>
          <w:rStyle w:val="StyleUnderline"/>
          <w:rFonts w:asciiTheme="majorHAnsi" w:hAnsiTheme="majorHAnsi"/>
        </w:rPr>
        <w:lastRenderedPageBreak/>
        <w:t>object</w:t>
      </w:r>
      <w:r w:rsidRPr="00533381">
        <w:rPr>
          <w:rFonts w:asciiTheme="majorHAnsi" w:hAnsiTheme="majorHAnsi"/>
          <w:sz w:val="16"/>
        </w:rPr>
        <w:t xml:space="preserve">.”67 To say that a science must have an object elicits an objection that specifying an “object” presumes a </w:t>
      </w:r>
      <w:r w:rsidRPr="00533381">
        <w:rPr>
          <w:rStyle w:val="StyleUnderline"/>
          <w:rFonts w:asciiTheme="majorHAnsi" w:hAnsiTheme="majorHAnsi"/>
        </w:rPr>
        <w:t>science engages something given in advance as opposed to contingently made. But approaching an object requires equal parts analytic rigor and prudence</w:t>
      </w:r>
      <w:r w:rsidRPr="00533381">
        <w:rPr>
          <w:rFonts w:asciiTheme="majorHAnsi" w:hAnsiTheme="majorHAnsi"/>
          <w:sz w:val="16"/>
        </w:rPr>
        <w:t xml:space="preserve">: “we must be very prudent, because this object changes . . . as the science develops. . . . [W]e cannot say that the object of modern physics is the same now as at its birth.”68 </w:t>
      </w:r>
      <w:r w:rsidRPr="00533381">
        <w:rPr>
          <w:rStyle w:val="StyleUnderline"/>
          <w:rFonts w:asciiTheme="majorHAnsi" w:hAnsiTheme="majorHAnsi"/>
        </w:rPr>
        <w:t>Attention to a changing object implies a relationship of mutual determination between the mode of inquiry and the objects that such a mode takes up. A science is not a general theory to be mapped onto reality because sciences are parasitic on the specific</w:t>
      </w:r>
      <w:r w:rsidRPr="00533381">
        <w:rPr>
          <w:rFonts w:asciiTheme="majorHAnsi" w:hAnsiTheme="majorHAnsi"/>
          <w:sz w:val="16"/>
        </w:rPr>
        <w:t>. As Lacan argues, science always begins with the particular: “To be sure, analysis as a science is always a science of the particular. The coming to fruition of an analysis is always a unique case, even if the unique cases lend themselves . . . to some generality. . . . [A]nalysis is an experience of the particular.”69</w:t>
      </w:r>
      <w:r w:rsidRPr="00533381">
        <w:rPr>
          <w:rFonts w:asciiTheme="majorHAnsi" w:hAnsiTheme="majorHAnsi"/>
          <w:sz w:val="12"/>
        </w:rPr>
        <w:t>∂</w:t>
      </w:r>
      <w:r w:rsidRPr="00533381">
        <w:rPr>
          <w:rFonts w:asciiTheme="majorHAnsi" w:hAnsiTheme="majorHAnsi"/>
          <w:sz w:val="16"/>
        </w:rPr>
        <w:t xml:space="preserve"> </w:t>
      </w:r>
      <w:r w:rsidRPr="00533381">
        <w:rPr>
          <w:rStyle w:val="StyleUnderline"/>
          <w:rFonts w:asciiTheme="majorHAnsi" w:hAnsiTheme="majorHAnsi"/>
        </w:rPr>
        <w:t>But what is the particular object around which a science of oratory might emerge?</w:t>
      </w:r>
      <w:r w:rsidRPr="00533381">
        <w:rPr>
          <w:rFonts w:asciiTheme="majorHAnsi" w:hAnsiTheme="majorHAnsi"/>
          <w:sz w:val="16"/>
        </w:rPr>
        <w:t xml:space="preserve"> The answer is </w:t>
      </w:r>
      <w:r w:rsidRPr="00533381">
        <w:rPr>
          <w:rStyle w:val="StyleUnderline"/>
          <w:rFonts w:asciiTheme="majorHAnsi" w:hAnsiTheme="majorHAnsi"/>
        </w:rPr>
        <w:t>the economy of trope and enjoyment</w:t>
      </w:r>
      <w:r w:rsidRPr="00533381">
        <w:rPr>
          <w:rFonts w:asciiTheme="majorHAnsi" w:hAnsiTheme="majorHAnsi"/>
          <w:sz w:val="16"/>
        </w:rPr>
        <w:t>. Claiming that Freud drew attention to a “fundamental” opposition between metaphor and metonymy in “mechanisms of dreams,” Lacan argues that “what Freud calls condensation is what in rhetoric one calls metaphor, what one calls displacement is metonymy.”70 That this reference to a rhetoric of trope frames Lacan’s application of the vocabulary of structural linguistics is clear from the concluding sentence of this paragraph: “It’s for this reason that in focusing attention back onto the signifier we are doing nothing other than returning to the starting point of the Freudian discovery.”71</w:t>
      </w:r>
      <w:r w:rsidRPr="00533381">
        <w:rPr>
          <w:rFonts w:asciiTheme="majorHAnsi" w:hAnsiTheme="majorHAnsi"/>
          <w:sz w:val="12"/>
        </w:rPr>
        <w:t>∂</w:t>
      </w:r>
      <w:r w:rsidRPr="00533381">
        <w:rPr>
          <w:rFonts w:asciiTheme="majorHAnsi" w:hAnsiTheme="majorHAnsi"/>
          <w:sz w:val="16"/>
        </w:rPr>
        <w:t xml:space="preserve"> In “The Function and Field of Speech and Language in Psychoanalysis,” Lacan argues that the core insight of The Interpretation of Dreams might be fruitfully applied to more than just unpacking dreams. The logic that inheres in dream work is the same logic that underwrites the function of speech generally. If, following Lacan’s reading of Interpretation of Dreams, one is inclined to agree that speech serves as a synecdoche for rhetorical processes generally; by extension one might conclude that speech offers privileged insight into the functioning of everyday discourses. Thus it is no surprise that Lacan recommends instruction in rhetoric as an indispensable component of analytic practice. According to Lacan, this realization should compel attention to the function of “rhetoric . . . ellipsis and pleonasm, hyperbaton or syllepsis, regression, repetition, apposition—these are the syntactical displacements; metaphor, catachresis, antonomasis, allegory, metonymy, and synecdoche— these are the semantic condensations in which Freud teaches us to read the intentions . . . out of which the subject modulates his oneiric discourse.”72</w:t>
      </w:r>
      <w:r w:rsidRPr="00533381">
        <w:rPr>
          <w:rFonts w:asciiTheme="majorHAnsi" w:hAnsiTheme="majorHAnsi"/>
          <w:sz w:val="12"/>
        </w:rPr>
        <w:t>∂</w:t>
      </w:r>
      <w:r w:rsidRPr="00533381">
        <w:rPr>
          <w:rFonts w:asciiTheme="majorHAnsi" w:hAnsiTheme="majorHAnsi"/>
          <w:sz w:val="16"/>
        </w:rPr>
        <w:t xml:space="preserve"> </w:t>
      </w:r>
      <w:r w:rsidRPr="00533381">
        <w:rPr>
          <w:rStyle w:val="StyleUnderline"/>
          <w:rFonts w:asciiTheme="majorHAnsi" w:hAnsiTheme="majorHAnsi"/>
        </w:rPr>
        <w:t>This extension of Freud’s</w:t>
      </w:r>
      <w:r w:rsidRPr="00533381">
        <w:rPr>
          <w:rFonts w:asciiTheme="majorHAnsi" w:hAnsiTheme="majorHAnsi"/>
          <w:sz w:val="16"/>
        </w:rPr>
        <w:t xml:space="preserve"> dream </w:t>
      </w:r>
      <w:r w:rsidRPr="00533381">
        <w:rPr>
          <w:rStyle w:val="StyleUnderline"/>
          <w:rFonts w:asciiTheme="majorHAnsi" w:hAnsiTheme="majorHAnsi"/>
        </w:rPr>
        <w:t>work to speech by means of a globalization of trope founds the possibility of psychoanalysis as a science, via recourse to the scientific properties of oratory</w:t>
      </w:r>
      <w:r w:rsidRPr="00533381">
        <w:rPr>
          <w:rFonts w:asciiTheme="majorHAnsi" w:hAnsiTheme="majorHAnsi"/>
          <w:sz w:val="16"/>
        </w:rPr>
        <w:t>:</w:t>
      </w:r>
      <w:r w:rsidRPr="00533381">
        <w:rPr>
          <w:rFonts w:asciiTheme="majorHAnsi" w:hAnsiTheme="majorHAnsi"/>
          <w:sz w:val="12"/>
        </w:rPr>
        <w:t>∂</w:t>
      </w:r>
      <w:r w:rsidRPr="00533381">
        <w:rPr>
          <w:rFonts w:asciiTheme="majorHAnsi" w:hAnsiTheme="majorHAnsi"/>
          <w:sz w:val="16"/>
        </w:rPr>
        <w:t xml:space="preserve"> At the bottom of the Freudian mechanism one rediscovers these old figures of rhetoric which over time have come to lose their sense for us but which for centuries elicited a prodigious degree of interest. Rhetoric, or the art of oration, was a science and not just an art. We now wonder, as if at an enigma, why these exercises could have captivated whole groups of men for such a long time. If this is an anomaly it’s analogous to the existence of psycho analysis, and it’s perhaps the same anomaly that’s involved in man’s relationships to language, returning over the course of history, recurrently, with different ramifications and now presenting itself to us from a scientific angle in Freud’s discovery.73</w:t>
      </w:r>
      <w:r w:rsidRPr="00533381">
        <w:rPr>
          <w:rFonts w:asciiTheme="majorHAnsi" w:hAnsiTheme="majorHAnsi"/>
          <w:sz w:val="12"/>
        </w:rPr>
        <w:t>∂</w:t>
      </w:r>
      <w:r w:rsidRPr="00533381">
        <w:rPr>
          <w:rFonts w:asciiTheme="majorHAnsi" w:hAnsiTheme="majorHAnsi"/>
          <w:sz w:val="16"/>
        </w:rPr>
        <w:t xml:space="preserve"> Why wonder at the “enigma” of a science of oratory and the “exercises” that constituted it? The “exercises” that Lacan is most likely referring to were the progymnasmata—the graduated sequence of somewhat formulaic pedagogical practices that introduced the student of oratory to the inventional moves one might make in composing and/or delivering a speech. This attention to form, embodied in both a theory of arrangement and delivery, attuned the budding orator to the regularities in speech that render inventional moves not only intelligible, but potentially eloquent. </w:t>
      </w:r>
      <w:r w:rsidRPr="00533381">
        <w:rPr>
          <w:rStyle w:val="StyleUnderline"/>
          <w:rFonts w:asciiTheme="majorHAnsi" w:hAnsiTheme="majorHAnsi"/>
        </w:rPr>
        <w:t>Oratorical practice had foreseen and, long in advance of contemporary linguistics, “discovered” the formal properties animating discursive practice</w:t>
      </w:r>
      <w:r w:rsidRPr="00533381">
        <w:rPr>
          <w:rFonts w:asciiTheme="majorHAnsi" w:hAnsiTheme="majorHAnsi"/>
          <w:sz w:val="16"/>
        </w:rPr>
        <w:t>.</w:t>
      </w:r>
      <w:r w:rsidRPr="00533381">
        <w:rPr>
          <w:rFonts w:asciiTheme="majorHAnsi" w:hAnsiTheme="majorHAnsi"/>
          <w:sz w:val="12"/>
        </w:rPr>
        <w:t>∂</w:t>
      </w:r>
      <w:r w:rsidRPr="00533381">
        <w:rPr>
          <w:rFonts w:asciiTheme="majorHAnsi" w:hAnsiTheme="majorHAnsi"/>
          <w:sz w:val="16"/>
        </w:rPr>
        <w:t xml:space="preserve"> There are two senses of the word “formal” for Lacan: one that relies on quantification and another that relies, if not on math as we typically understand it, then on the mathematizable, or that which can be symbolically rendered as a repeatable relation.74 A science is defined by mathematization, as opposed to quantification: “</w:t>
      </w:r>
      <w:r w:rsidRPr="00533381">
        <w:rPr>
          <w:rStyle w:val="StyleUnderline"/>
          <w:rFonts w:asciiTheme="majorHAnsi" w:hAnsiTheme="majorHAnsi"/>
        </w:rPr>
        <w:t>what is distinctive about positive science</w:t>
      </w:r>
      <w:r w:rsidRPr="00533381">
        <w:rPr>
          <w:rFonts w:asciiTheme="majorHAnsi" w:hAnsiTheme="majorHAnsi"/>
          <w:sz w:val="16"/>
        </w:rPr>
        <w:t xml:space="preserve">, modern science, </w:t>
      </w:r>
      <w:r w:rsidRPr="00533381">
        <w:rPr>
          <w:rStyle w:val="StyleUnderline"/>
          <w:rFonts w:asciiTheme="majorHAnsi" w:hAnsiTheme="majorHAnsi"/>
        </w:rPr>
        <w:t>isn’t quantification but</w:t>
      </w:r>
      <w:r w:rsidRPr="00533381">
        <w:rPr>
          <w:rFonts w:asciiTheme="majorHAnsi" w:hAnsiTheme="majorHAnsi"/>
          <w:sz w:val="16"/>
        </w:rPr>
        <w:t xml:space="preserve"> mathematization and specifically </w:t>
      </w:r>
      <w:r w:rsidRPr="00533381">
        <w:rPr>
          <w:rStyle w:val="StyleUnderline"/>
          <w:rFonts w:asciiTheme="majorHAnsi" w:hAnsiTheme="majorHAnsi"/>
        </w:rPr>
        <w:t>combinatory</w:t>
      </w:r>
      <w:r w:rsidRPr="00533381">
        <w:rPr>
          <w:rFonts w:asciiTheme="majorHAnsi" w:hAnsiTheme="majorHAnsi"/>
          <w:sz w:val="16"/>
        </w:rPr>
        <w:t xml:space="preserve">, that is to say linguistic, </w:t>
      </w:r>
      <w:r w:rsidRPr="00533381">
        <w:rPr>
          <w:rStyle w:val="StyleUnderline"/>
          <w:rFonts w:asciiTheme="majorHAnsi" w:hAnsiTheme="majorHAnsi"/>
        </w:rPr>
        <w:t>mathematization which includes series and iteration</w:t>
      </w:r>
      <w:r w:rsidRPr="00533381">
        <w:rPr>
          <w:rFonts w:asciiTheme="majorHAnsi" w:hAnsiTheme="majorHAnsi"/>
          <w:sz w:val="16"/>
        </w:rPr>
        <w:t xml:space="preserve">.” 75 </w:t>
      </w:r>
      <w:r w:rsidRPr="00533381">
        <w:rPr>
          <w:rStyle w:val="StyleUnderline"/>
          <w:rFonts w:asciiTheme="majorHAnsi" w:hAnsiTheme="majorHAnsi"/>
        </w:rPr>
        <w:t>The oratorical tradition discovered that rhetorical invention was scientific</w:t>
      </w:r>
      <w:r w:rsidRPr="00533381">
        <w:rPr>
          <w:rFonts w:asciiTheme="majorHAnsi" w:hAnsiTheme="majorHAnsi"/>
          <w:sz w:val="16"/>
        </w:rPr>
        <w:t xml:space="preserve">: in discovering the progymnasmata, the tradition articulated a conception of inventio (invention) as </w:t>
      </w:r>
      <w:r w:rsidRPr="00533381">
        <w:rPr>
          <w:rStyle w:val="StyleUnderline"/>
          <w:rFonts w:asciiTheme="majorHAnsi" w:hAnsiTheme="majorHAnsi"/>
        </w:rPr>
        <w:t xml:space="preserve">the discovery of repeatable symbolic forms. </w:t>
      </w:r>
      <w:r w:rsidRPr="00533381">
        <w:rPr>
          <w:rFonts w:asciiTheme="majorHAnsi" w:hAnsiTheme="majorHAnsi"/>
          <w:sz w:val="16"/>
        </w:rPr>
        <w:t xml:space="preserve">Lacan prefers the first sense of “formal” because it comports with oratorical pedagogy’s insight that language is mathematizable (amenable to a description of its repeatable formal properties), which is the condition of possibility for a science of oratory. </w:t>
      </w:r>
      <w:r w:rsidRPr="00533381">
        <w:rPr>
          <w:rStyle w:val="StyleUnderline"/>
          <w:rFonts w:asciiTheme="majorHAnsi" w:hAnsiTheme="majorHAnsi"/>
        </w:rPr>
        <w:t>The science of oratory discovers a mode of knowing that would eventually make “linguistics the most advanced of the human sciences” by specifying that which is formally repeatable in the life of the subject and its discourses</w:t>
      </w:r>
      <w:r w:rsidRPr="00533381">
        <w:rPr>
          <w:rFonts w:asciiTheme="majorHAnsi" w:hAnsiTheme="majorHAnsi"/>
          <w:sz w:val="16"/>
        </w:rPr>
        <w:t>.76</w:t>
      </w:r>
      <w:r w:rsidRPr="00533381">
        <w:rPr>
          <w:rFonts w:asciiTheme="majorHAnsi" w:hAnsiTheme="majorHAnsi"/>
          <w:sz w:val="12"/>
        </w:rPr>
        <w:t>∂</w:t>
      </w:r>
      <w:r w:rsidRPr="00533381">
        <w:rPr>
          <w:rFonts w:asciiTheme="majorHAnsi" w:hAnsiTheme="majorHAnsi"/>
          <w:sz w:val="16"/>
        </w:rPr>
        <w:t xml:space="preserve"> </w:t>
      </w:r>
      <w:r w:rsidRPr="00533381">
        <w:rPr>
          <w:rStyle w:val="StyleUnderline"/>
          <w:rFonts w:asciiTheme="majorHAnsi" w:hAnsiTheme="majorHAnsi"/>
        </w:rPr>
        <w:t>This understanding of rhetoric moves it from a prudential “art” of the intuitive intersubjective judgments to the symbolic science of forms</w:t>
      </w:r>
      <w:r w:rsidRPr="00533381">
        <w:rPr>
          <w:rFonts w:asciiTheme="majorHAnsi" w:hAnsiTheme="majorHAnsi"/>
          <w:sz w:val="16"/>
        </w:rPr>
        <w:t xml:space="preserve">. For Lacan, an art premised on the disciplining of criti cal intuition does not move beyond the Imaginary because “everything intuitive is far closer to the Imaginary than the Symbolic.”77 In place of the art of intersubjectively grounded intuition, Lacan calls for attention to the trans- subjective apparatus of the Symbolic: “the important thing here is to realize that the chain of possible combinations of the encounter can be studied as such, as an order which subsists in rigor, independently of all subjectivity. . . . [T]he symbol is embodied in an apparatus—with which it is not to be confused, the apparatus being just its support. And it is embodied in a literally trans- subjective way.”78 </w:t>
      </w:r>
      <w:r w:rsidRPr="00533381">
        <w:rPr>
          <w:rStyle w:val="StyleUnderline"/>
          <w:rFonts w:asciiTheme="majorHAnsi" w:hAnsiTheme="majorHAnsi"/>
        </w:rPr>
        <w:t xml:space="preserve">This understanding of rhetoric as science does not abandon the subject; rather, it decenters the subject as a taken-for-granted interpretive maxim, replacing attention to what goes on between </w:t>
      </w:r>
      <w:r w:rsidRPr="00533381">
        <w:rPr>
          <w:rStyle w:val="StyleUnderline"/>
          <w:rFonts w:asciiTheme="majorHAnsi" w:hAnsiTheme="majorHAnsi"/>
        </w:rPr>
        <w:lastRenderedPageBreak/>
        <w:t>subjects with the formal movement of tropes, a movement which is mathematizable, and therefore amenable to a formal scientific account of its effects</w:t>
      </w:r>
      <w:r w:rsidRPr="00533381">
        <w:rPr>
          <w:rFonts w:asciiTheme="majorHAnsi" w:hAnsiTheme="majorHAnsi"/>
          <w:sz w:val="16"/>
        </w:rPr>
        <w:t>:</w:t>
      </w:r>
      <w:r w:rsidRPr="00533381">
        <w:rPr>
          <w:rFonts w:asciiTheme="majorHAnsi" w:hAnsiTheme="majorHAnsi"/>
          <w:sz w:val="12"/>
        </w:rPr>
        <w:t>∂</w:t>
      </w:r>
      <w:r w:rsidRPr="00533381">
        <w:rPr>
          <w:rFonts w:asciiTheme="majorHAnsi" w:hAnsiTheme="majorHAnsi"/>
          <w:sz w:val="16"/>
        </w:rPr>
        <w:t xml:space="preserve"> In as much as he is committed to a play of [the Symbolic], to a symbolic world . . . man is a decentered subject. Well, it is with this same play, this same world, that the machine is built. </w:t>
      </w:r>
      <w:r w:rsidRPr="00533381">
        <w:rPr>
          <w:rStyle w:val="StyleUnderline"/>
          <w:rFonts w:asciiTheme="majorHAnsi" w:hAnsiTheme="majorHAnsi"/>
        </w:rPr>
        <w:t>The most complicated machines are made only with words</w:t>
      </w:r>
      <w:r w:rsidRPr="00533381">
        <w:rPr>
          <w:rFonts w:asciiTheme="majorHAnsi" w:hAnsiTheme="majorHAnsi"/>
          <w:sz w:val="16"/>
        </w:rPr>
        <w:t>.</w:t>
      </w:r>
      <w:r w:rsidRPr="00533381">
        <w:rPr>
          <w:rFonts w:asciiTheme="majorHAnsi" w:hAnsiTheme="majorHAnsi"/>
          <w:sz w:val="12"/>
        </w:rPr>
        <w:t>∂</w:t>
      </w:r>
      <w:r w:rsidRPr="00533381">
        <w:rPr>
          <w:rFonts w:asciiTheme="majorHAnsi" w:hAnsiTheme="majorHAnsi"/>
          <w:sz w:val="16"/>
        </w:rPr>
        <w:t xml:space="preserve"> Speech is first and foremost that object of exchange whereby we are reorganized. . . . That is how the circulation of speech begins, and it swells to the point of the symbol which makes algebraic calculations possible. The machine is the structure detached from the activity of the subject. The symbolic world is the world of the machine.79 </w:t>
      </w:r>
      <w:r w:rsidRPr="00533381">
        <w:rPr>
          <w:rStyle w:val="StyleUnderline"/>
          <w:rFonts w:asciiTheme="majorHAnsi" w:hAnsiTheme="majorHAnsi"/>
        </w:rPr>
        <w:t>The world of the symbolic is machinic in a very specific way: only insofar as it relies on the set of regularized, logically possible connections between words and other words. In other words, the Symbolic is machinic because it is tropologically constituted</w:t>
      </w:r>
      <w:r w:rsidRPr="00533381">
        <w:rPr>
          <w:rFonts w:asciiTheme="majorHAnsi" w:hAnsiTheme="majorHAnsi"/>
          <w:sz w:val="16"/>
        </w:rPr>
        <w:t>.</w:t>
      </w:r>
      <w:r w:rsidRPr="00533381">
        <w:rPr>
          <w:rStyle w:val="StyleUnderline"/>
          <w:rFonts w:asciiTheme="majorHAnsi" w:hAnsiTheme="majorHAnsi"/>
        </w:rPr>
        <w:t xml:space="preserve"> But because the Symbolic is tropologically constituted, its machinic nature is premised on the various failures in unicity that invite the trope as a compensatory function.</w:t>
      </w:r>
      <w:r w:rsidRPr="00533381">
        <w:rPr>
          <w:rFonts w:asciiTheme="majorHAnsi" w:hAnsiTheme="majorHAnsi"/>
          <w:sz w:val="16"/>
        </w:rPr>
        <w:t xml:space="preserve"> Thus, if the Symbolic is a machine, it is a machine that fails. In the next chapter, I take up the paradox of the failing machine by suggesting the metaphor of economy as a way of parsing the relationship between the machinic (or automatic) and its failure in the life of the Symbolic.</w:t>
      </w:r>
    </w:p>
    <w:p w:rsidR="00F567B5" w:rsidRPr="00533381" w:rsidRDefault="00F567B5" w:rsidP="00F567B5">
      <w:pPr>
        <w:rPr>
          <w:rFonts w:asciiTheme="majorHAnsi" w:hAnsiTheme="majorHAnsi"/>
        </w:rPr>
      </w:pPr>
    </w:p>
    <w:p w:rsidR="00F567B5" w:rsidRPr="00533381" w:rsidRDefault="00F567B5" w:rsidP="00F567B5">
      <w:pPr>
        <w:pStyle w:val="Heading4"/>
        <w:rPr>
          <w:rFonts w:asciiTheme="majorHAnsi" w:hAnsiTheme="majorHAnsi"/>
        </w:rPr>
      </w:pPr>
      <w:r w:rsidRPr="00533381">
        <w:rPr>
          <w:rFonts w:asciiTheme="majorHAnsi" w:hAnsiTheme="majorHAnsi"/>
        </w:rPr>
        <w:t>Lacanian psychoanalysis is falsifiable – none of their evidence assumes Lacan’s rigorous analysis of language and semiotics.</w:t>
      </w:r>
    </w:p>
    <w:p w:rsidR="00F567B5" w:rsidRPr="00533381" w:rsidRDefault="00F567B5" w:rsidP="00F567B5">
      <w:pPr>
        <w:rPr>
          <w:rFonts w:asciiTheme="majorHAnsi" w:hAnsiTheme="majorHAnsi"/>
        </w:rPr>
      </w:pPr>
      <w:r w:rsidRPr="00533381">
        <w:rPr>
          <w:rStyle w:val="Style13ptBold"/>
          <w:rFonts w:asciiTheme="majorHAnsi" w:hAnsiTheme="majorHAnsi"/>
        </w:rPr>
        <w:t>Lundberg 12</w:t>
      </w:r>
      <w:r w:rsidRPr="00533381">
        <w:rPr>
          <w:rFonts w:asciiTheme="majorHAnsi" w:hAnsiTheme="majorHAnsi"/>
        </w:rPr>
        <w:t xml:space="preserve"> (Christian, </w:t>
      </w:r>
      <w:r w:rsidRPr="00533381">
        <w:rPr>
          <w:rFonts w:asciiTheme="majorHAnsi" w:hAnsiTheme="majorHAnsi"/>
          <w:shd w:val="clear" w:color="auto" w:fill="FFFFFF"/>
        </w:rPr>
        <w:t>Assistant Professor of Rhetoric and Cultural Studies, Department of Communication Studies at the University of North Carolina. | “Lacan in Public: Psychoanalysis and the Science of Rhetoric”, University of Alabama Press 2012, pg. 67-68 *errors due to OCR)</w:t>
      </w:r>
    </w:p>
    <w:p w:rsidR="00F567B5" w:rsidRPr="00533381" w:rsidRDefault="00F567B5" w:rsidP="00F567B5">
      <w:pPr>
        <w:rPr>
          <w:rFonts w:asciiTheme="majorHAnsi" w:hAnsiTheme="majorHAnsi"/>
          <w:u w:val="single"/>
        </w:rPr>
      </w:pPr>
      <w:r w:rsidRPr="00533381">
        <w:rPr>
          <w:rFonts w:asciiTheme="majorHAnsi" w:hAnsiTheme="majorHAnsi"/>
          <w:u w:val="single"/>
        </w:rPr>
        <w:t>Lacan's claims to the "science" Of rhetoric respond to a number Of critics who had framed psychoanalysis as an alchemical mix of unfounded theories, intuitions and inherited practices.</w:t>
      </w:r>
      <w:r w:rsidRPr="00533381">
        <w:rPr>
          <w:rFonts w:asciiTheme="majorHAnsi" w:hAnsiTheme="majorHAnsi"/>
          <w:sz w:val="16"/>
        </w:rPr>
        <w:t xml:space="preserve"> Borrowing from Karl Popper's philosophy of science, </w:t>
      </w:r>
      <w:r w:rsidRPr="00533381">
        <w:rPr>
          <w:rFonts w:asciiTheme="majorHAnsi" w:hAnsiTheme="majorHAnsi"/>
          <w:u w:val="single"/>
        </w:rPr>
        <w:t>such critiques</w:t>
      </w:r>
      <w:r w:rsidRPr="00533381">
        <w:rPr>
          <w:rFonts w:asciiTheme="majorHAnsi" w:hAnsiTheme="majorHAnsi"/>
          <w:sz w:val="16"/>
        </w:rPr>
        <w:t xml:space="preserve"> of psychoanalysis </w:t>
      </w:r>
      <w:r w:rsidRPr="00533381">
        <w:rPr>
          <w:rFonts w:asciiTheme="majorHAnsi" w:hAnsiTheme="majorHAnsi"/>
          <w:u w:val="single"/>
        </w:rPr>
        <w:t>argued that analytic practice was non-falsifiable, resting on the idea that no empirical evidence could be mustered to refute lt.</w:t>
      </w:r>
      <w:r w:rsidRPr="00533381">
        <w:rPr>
          <w:rFonts w:asciiTheme="majorHAnsi" w:hAnsiTheme="majorHAnsi"/>
          <w:sz w:val="16"/>
        </w:rPr>
        <w:t xml:space="preserve"> Any claim to evidence to the contrary of Freudian theories could always be elided by generating another explanation with dubious empirical grounding to account for potential exceptions. </w:t>
      </w:r>
      <w:r w:rsidRPr="00533381">
        <w:rPr>
          <w:rFonts w:asciiTheme="majorHAnsi" w:hAnsiTheme="majorHAnsi"/>
          <w:u w:val="single"/>
        </w:rPr>
        <w:t>In drawing on rhetoric as a systematic mode for theorizing the nature of the sign, representation and the logic and social functions of discourse, Lacan rescues Freudian categories from non-falsifiability. Rhetoric</w:t>
      </w:r>
      <w:r w:rsidRPr="00533381">
        <w:rPr>
          <w:rFonts w:asciiTheme="majorHAnsi" w:hAnsiTheme="majorHAnsi"/>
          <w:sz w:val="16"/>
        </w:rPr>
        <w:t xml:space="preserve">, which is so squarely rooted in "art," </w:t>
      </w:r>
      <w:r w:rsidRPr="00533381">
        <w:rPr>
          <w:rFonts w:asciiTheme="majorHAnsi" w:hAnsiTheme="majorHAnsi"/>
          <w:u w:val="single"/>
        </w:rPr>
        <w:t xml:space="preserve">became one of Lacan's most powerful allies in articulating psychoanalysis as a science, providing </w:t>
      </w:r>
      <w:r w:rsidRPr="00533381">
        <w:rPr>
          <w:rFonts w:asciiTheme="majorHAnsi" w:hAnsiTheme="majorHAnsi"/>
          <w:sz w:val="16"/>
        </w:rPr>
        <w:t xml:space="preserve">a vocabulary for attending to the </w:t>
      </w:r>
      <w:r w:rsidRPr="00533381">
        <w:rPr>
          <w:rFonts w:asciiTheme="majorHAnsi" w:hAnsiTheme="majorHAnsi"/>
          <w:u w:val="single"/>
        </w:rPr>
        <w:t>repeatable elements</w:t>
      </w:r>
      <w:r w:rsidRPr="00533381">
        <w:rPr>
          <w:rFonts w:asciiTheme="majorHAnsi" w:hAnsiTheme="majorHAnsi"/>
          <w:sz w:val="16"/>
        </w:rPr>
        <w:t xml:space="preserve"> of signification </w:t>
      </w:r>
      <w:r w:rsidRPr="00533381">
        <w:rPr>
          <w:rFonts w:asciiTheme="majorHAnsi" w:hAnsiTheme="majorHAnsi"/>
          <w:u w:val="single"/>
        </w:rPr>
        <w:t xml:space="preserve">that might be held up to empirical verification. </w:t>
      </w:r>
      <w:r w:rsidRPr="00533381">
        <w:rPr>
          <w:rFonts w:asciiTheme="majorHAnsi" w:hAnsiTheme="majorHAnsi"/>
          <w:sz w:val="16"/>
        </w:rPr>
        <w:t xml:space="preserve">Lacan vacillated at different points in his career on psychoanalysis's status as a science, arguing at points that It was clearly a science, at others chat it was not, and at others that It was a special kind of science.61 Generally, </w:t>
      </w:r>
      <w:r w:rsidRPr="00533381">
        <w:rPr>
          <w:rFonts w:asciiTheme="majorHAnsi" w:hAnsiTheme="majorHAnsi"/>
          <w:u w:val="single"/>
        </w:rPr>
        <w:t>Lacan's earlv career embodied the strongest claim for the scientific status of psychoanalysis, while in his later career he became less invested in the idea,</w:t>
      </w:r>
      <w:r w:rsidRPr="00533381">
        <w:rPr>
          <w:rFonts w:asciiTheme="majorHAnsi" w:hAnsiTheme="majorHAnsi"/>
          <w:sz w:val="16"/>
        </w:rPr>
        <w:t xml:space="preserve"> arguing that it need not attempt to assume scientific status to validate Itself.62 What is most interesting about the ambivalence toward science in Lacan’s thought is that at each instance where the relationship between psychoanalysis and science is at stake, </w:t>
      </w:r>
      <w:r w:rsidRPr="00533381">
        <w:rPr>
          <w:rFonts w:asciiTheme="majorHAnsi" w:hAnsiTheme="majorHAnsi"/>
          <w:u w:val="single"/>
        </w:rPr>
        <w:t>the question of rhetoric is never far from the conversation. For example, in The Psychoses and The Four Fundamental Concepts of Psychoanalysis, Lacan argues that psychoanalysis is a science on the basis of its attention to a set of repeatable logical forms</w:t>
      </w:r>
      <w:r w:rsidRPr="00533381">
        <w:rPr>
          <w:rFonts w:asciiTheme="majorHAnsi" w:hAnsiTheme="majorHAnsi"/>
          <w:sz w:val="16"/>
        </w:rPr>
        <w:t xml:space="preserve">, specifically to trope as a way of specifying the possible connections underwriting discursive and representational practices. Other accounts read Lacan as eventually giving up on the idea that psychoanalysis is a science, but do so, once again, With explicit reference to rhetoric. For example, Stuart Schneiderman argues that by 1977 Lacan had given up the quest to prove psychoanalysis as a science, that "after having posed the question of the scientific status of psychoanalysis for so many years, he had come to the conclusion that it was not a science. The reason was one offered by Karl Popper, namely that psychoanalysis was 'irrefutable.' </w:t>
      </w:r>
      <w:r w:rsidRPr="00533381">
        <w:rPr>
          <w:rFonts w:asciiTheme="majorHAnsi" w:hAnsiTheme="majorHAnsi"/>
          <w:u w:val="single"/>
        </w:rPr>
        <w:t>Lacan said that analysis was closest to rhetoric.... Thus analysis seeks to persuade but not convince, to persuade the analysand to recognize things that he knows already and to act on his desire."</w:t>
      </w:r>
      <w:r w:rsidRPr="00533381">
        <w:rPr>
          <w:rFonts w:asciiTheme="majorHAnsi" w:hAnsiTheme="majorHAnsi"/>
          <w:sz w:val="16"/>
        </w:rPr>
        <w:t xml:space="preserve"> 63 Of course, one might take issue with the account of rhetoric that Is implicit in this claim, particularly on the grounds that the framing of rhetoric in Schneiderman's account affirms an understanding of rhetoric exclusively through reference to persuasion, contingency, and probability—a conception that is, as I have been arguing, at odds with Lacan's understanding of the work of rhetoric. More accurately, </w:t>
      </w:r>
      <w:r w:rsidRPr="00533381">
        <w:rPr>
          <w:rFonts w:asciiTheme="majorHAnsi" w:hAnsiTheme="majorHAnsi"/>
          <w:u w:val="single"/>
        </w:rPr>
        <w:t xml:space="preserve">rhetoric affords Lacanian psychoanalysis a status as a special kind of science by providing It with a set of </w:t>
      </w:r>
      <w:r w:rsidRPr="00533381">
        <w:rPr>
          <w:rFonts w:asciiTheme="majorHAnsi" w:hAnsiTheme="majorHAnsi"/>
          <w:u w:val="single"/>
        </w:rPr>
        <w:lastRenderedPageBreak/>
        <w:t>techniques for paying attention to the mathematical qualities of discourse. Regardless of how one understands the moniker "science," rhetoric drives psychoanalysis toward a systematic account of the possible modes of connection that animate actually existing discourses, and toward an observation of the concrete functions of trope in the social life of the subject.</w:t>
      </w:r>
    </w:p>
    <w:p w:rsidR="00F567B5" w:rsidRPr="00076778" w:rsidRDefault="00F567B5" w:rsidP="00F567B5"/>
    <w:p w:rsidR="00DE5E47" w:rsidRDefault="00DE5E47" w:rsidP="00F567B5">
      <w:pPr>
        <w:pStyle w:val="Heading2"/>
      </w:pPr>
      <w:bookmarkStart w:id="23" w:name="_Toc489138918"/>
      <w:r>
        <w:lastRenderedPageBreak/>
        <w:t>***Mechanism Links***</w:t>
      </w:r>
      <w:bookmarkEnd w:id="23"/>
    </w:p>
    <w:p w:rsidR="00D05C44" w:rsidRDefault="00D05C44" w:rsidP="00D05C44">
      <w:pPr>
        <w:pStyle w:val="Heading3"/>
      </w:pPr>
      <w:bookmarkStart w:id="24" w:name="_Toc489138919"/>
      <w:r>
        <w:lastRenderedPageBreak/>
        <w:t>Link: Equal Access / Desegregation</w:t>
      </w:r>
      <w:bookmarkEnd w:id="24"/>
    </w:p>
    <w:p w:rsidR="00DE5E47" w:rsidRDefault="00D05C44" w:rsidP="00DE5E47">
      <w:pPr>
        <w:pStyle w:val="Heading4"/>
      </w:pPr>
      <w:bookmarkStart w:id="25" w:name="_Hlk489013896"/>
      <w:r>
        <w:t>The aff’s equal access initiatives fashion children of color into objects of neoliberal speculation and manipulation—reproductive futurism maintains itself through these operations on the body</w:t>
      </w:r>
    </w:p>
    <w:p w:rsidR="00DE5E47" w:rsidRDefault="00DE5E47" w:rsidP="00DE5E47">
      <w:r w:rsidRPr="00C54D46">
        <w:rPr>
          <w:rStyle w:val="Author-Date"/>
        </w:rPr>
        <w:t>Gill-Peterson 2015</w:t>
      </w:r>
      <w:r>
        <w:t xml:space="preserve"> [Julian, Assistant Professor of English and Children's Literature at the University of Pittsburgh | “The Value of the Future: The Child as Human Capital and the Neoliberal Labor of Race,” </w:t>
      </w:r>
      <w:r w:rsidRPr="00D622CD">
        <w:rPr>
          <w:i/>
        </w:rPr>
        <w:t>Women's Studies Quarterly</w:t>
      </w:r>
      <w:r>
        <w:t>, Vol. 43, No. 1/2, (Spring/Summer 2015)]</w:t>
      </w:r>
    </w:p>
    <w:p w:rsidR="00DE5E47" w:rsidRPr="00397C5A" w:rsidRDefault="00DE5E47" w:rsidP="00DE5E47">
      <w:pPr>
        <w:rPr>
          <w:sz w:val="16"/>
        </w:rPr>
      </w:pPr>
      <w:r w:rsidRPr="00D26701">
        <w:rPr>
          <w:rStyle w:val="StyleUnderline"/>
        </w:rPr>
        <w:t>"A mind is a terrible thing to waste. But a wonderful thing to invest in." This slogan</w:t>
      </w:r>
      <w:r w:rsidRPr="00397C5A">
        <w:rPr>
          <w:sz w:val="16"/>
        </w:rPr>
        <w:t xml:space="preserve"> greeted pedestrians during a recent winter at a bus stop on Manhattans Upper West Side. The bus ad </w:t>
      </w:r>
      <w:r w:rsidRPr="00D26701">
        <w:rPr>
          <w:rStyle w:val="StyleUnderline"/>
        </w:rPr>
        <w:t>was for Better Futures, a simulated stock option that capitalizes on</w:t>
      </w:r>
      <w:r w:rsidRPr="00397C5A">
        <w:rPr>
          <w:sz w:val="16"/>
        </w:rPr>
        <w:t xml:space="preserve"> a meta-awareness of </w:t>
      </w:r>
      <w:r w:rsidRPr="00D26701">
        <w:rPr>
          <w:rStyle w:val="StyleUnderline"/>
        </w:rPr>
        <w:t>financial capitalisms role in the destruction of public education and the racialization of the achievement gap in the U</w:t>
      </w:r>
      <w:r w:rsidRPr="00397C5A">
        <w:rPr>
          <w:sz w:val="16"/>
        </w:rPr>
        <w:t xml:space="preserve">nited </w:t>
      </w:r>
      <w:r w:rsidRPr="00D26701">
        <w:rPr>
          <w:rStyle w:val="StyleUnderline"/>
        </w:rPr>
        <w:t>S</w:t>
      </w:r>
      <w:r w:rsidRPr="00397C5A">
        <w:rPr>
          <w:sz w:val="16"/>
        </w:rPr>
        <w:t xml:space="preserve">tates. The United Negro College Fund (UNCF), perhaps sensing a need to adapt to the dominant funding arrangement of the neoliberal market, has jumped into the sphere of finance - or its careful simulation. In an effort to solicit "investors/' passersby are asked to make donations to what is the latest version of UNCF s historically important college-funding program, one adapted for the era of information capitalism by a forecasting algorithm on its website that can tell potential investors exactly how many dollars of "social return" will be produced for each dollar spent. Suggesting, in turn, that investors imagine the viral proliferation of the campaign from bus stop to Internet, the ad asks "friends" to contribute through social media, so that the future dollars on the screen can multiply precisely and exponentially (United Negro College Fund 2013). Each "share" of Better Futures costs ten dollars and UNCF displays its simulated return value on its home page: 0.96% per dollar per annum. </w:t>
      </w:r>
      <w:r w:rsidRPr="00D26701">
        <w:rPr>
          <w:rStyle w:val="StyleUnderline"/>
        </w:rPr>
        <w:t>Despite a marketing strategy suggesting that the developing minds of children of color are really worth more "socially" than monetarily, the</w:t>
      </w:r>
      <w:r w:rsidRPr="00397C5A">
        <w:rPr>
          <w:sz w:val="16"/>
        </w:rPr>
        <w:t xml:space="preserve"> efficient </w:t>
      </w:r>
      <w:r w:rsidRPr="00D26701">
        <w:rPr>
          <w:rStyle w:val="StyleUnderline"/>
        </w:rPr>
        <w:t>conversion of those minds into dollars in the calculator undermines any final distinction</w:t>
      </w:r>
      <w:r w:rsidRPr="00397C5A">
        <w:rPr>
          <w:sz w:val="16"/>
        </w:rPr>
        <w:t xml:space="preserve">. The simulation achieved by UNCF coincides with Marx s (1978, 335) basic formula for capital accumulation, which financialization fully reflects: M-M', "money which begets money." The missing "C" here (M-C-M'), recall, is intentional. As Marx details in the first volume of Capital , the commodity can be removed to simplify the formula because its beginning and end is circulating money. Perhaps, though, the missing "C" might also be in this case the child. </w:t>
      </w:r>
      <w:r w:rsidRPr="00D26701">
        <w:rPr>
          <w:rStyle w:val="StyleUnderline"/>
        </w:rPr>
        <w:t>For Better Futures, the commodity is the cognitive capacity of children's neuroplasticity, their capacity to learn</w:t>
      </w:r>
      <w:r w:rsidRPr="00397C5A">
        <w:rPr>
          <w:sz w:val="16"/>
        </w:rPr>
        <w:t xml:space="preserve"> (the "mind" that is, according to UNCF s well-known slogan, "a terrible thing to waste"). </w:t>
      </w:r>
      <w:r w:rsidRPr="00AC69C6">
        <w:rPr>
          <w:rStyle w:val="StyleUnderline"/>
        </w:rPr>
        <w:t>This capacity is quantified by its projection into a probable future, stretched out as financial speculation across the life span of the child</w:t>
      </w:r>
      <w:r w:rsidRPr="00397C5A">
        <w:rPr>
          <w:sz w:val="16"/>
        </w:rPr>
        <w:t xml:space="preserve"> and divisible into discrete spheres by UNCF s calculator that include not only eventual salary but also "health savings," "crime savings," and the nebulous "other savings" (United Negro College Fund 2013). </w:t>
      </w:r>
      <w:r w:rsidRPr="00AC69C6">
        <w:rPr>
          <w:rStyle w:val="StyleUnderline"/>
        </w:rPr>
        <w:t>In speculating on the value of the future by monetizing the body and mind of the child of color</w:t>
      </w:r>
      <w:r w:rsidRPr="00397C5A">
        <w:rPr>
          <w:sz w:val="16"/>
        </w:rPr>
        <w:t xml:space="preserve">, UNCF suggests that the value of the child to neoliberal capital is not identical to the idealized modern concept of childhood as a shelter from the labor market, one that took root as whiteness in the Progressive Era (see Macleod 1998). If the orphan Annie incarnates this child figure of American industrial capitalism, the vulnerable, white, and feminine future citizen who must be saved by the nation from the dehumanizing and immoral dangers of the market, she has likewise become in recent years the avatar of the reproductive futurism diagnosed as endemic to the social, most famously according to Lee Edelman, who unceremoniously declares in No Future (2004, 29), "Fuck Annie." </w:t>
      </w:r>
      <w:r w:rsidRPr="00AC69C6">
        <w:rPr>
          <w:rStyle w:val="StyleUnderline"/>
        </w:rPr>
        <w:t>Reproductive futurism, for Edelman, signifies the centrality of the child figure to the social organization of time and its root value as political: the child is the emblem of the future in whose name the totality of society is contracted, a precious resource governing the parameters of public politics and private sociality to secure the welfare of tomorrow in a stable form (reproduction), consigning queerness to the purely negative.</w:t>
      </w:r>
      <w:r w:rsidRPr="00397C5A">
        <w:rPr>
          <w:sz w:val="16"/>
        </w:rPr>
        <w:t xml:space="preserve"> Edelman argues that only an affirmation of the fully negative, which would comprehend the annihilation of Annie and everything vouchsafed by her image, could possibly overcome the straitjacket of the future upon which she calls.1 </w:t>
      </w:r>
      <w:r w:rsidRPr="00AC69C6">
        <w:rPr>
          <w:rStyle w:val="StyleUnderline"/>
        </w:rPr>
        <w:t>The savvy logic of UNCF in Better Futures signals, however, how distant Annie is from the generation of children growing up in the aftermath of the 2008 financial crisis and its neoliberal antecedents</w:t>
      </w:r>
      <w:r w:rsidRPr="00397C5A">
        <w:rPr>
          <w:sz w:val="16"/>
        </w:rPr>
        <w:t xml:space="preserve">. Edelman’s Lacanian- Symbolic reading of the child under industrial capitalism, to be sure, obscures how labor was the norm for working-class and racialized children in the United States, especially girls, immigrants, and African Americans. </w:t>
      </w:r>
      <w:r w:rsidRPr="00AC69C6">
        <w:rPr>
          <w:rStyle w:val="StyleUnderline"/>
        </w:rPr>
        <w:t>Yet the catastrophic arrangement of today s generation is located in a different political economy from Annie s</w:t>
      </w:r>
      <w:r w:rsidRPr="00397C5A">
        <w:rPr>
          <w:sz w:val="16"/>
        </w:rPr>
        <w:t xml:space="preserve"> : alongside the persistence of industrial child labor is the simultaneity of high youth unemployment (United States Department of Labor 2014) </w:t>
      </w:r>
      <w:r w:rsidRPr="00AC69C6">
        <w:rPr>
          <w:rStyle w:val="StyleUnderline"/>
        </w:rPr>
        <w:t>with the unprecedented capitalization of children s bodies, near infinite student debt</w:t>
      </w:r>
      <w:r w:rsidRPr="00397C5A">
        <w:rPr>
          <w:sz w:val="16"/>
        </w:rPr>
        <w:t xml:space="preserve"> (Norris 2014), </w:t>
      </w:r>
      <w:r w:rsidRPr="00AC69C6">
        <w:rPr>
          <w:rStyle w:val="StyleUnderline"/>
        </w:rPr>
        <w:t>hyperconsumption, and declining health prospects in an age of biomedicine and the childhood obesity "epidemic"</w:t>
      </w:r>
      <w:r w:rsidRPr="00397C5A">
        <w:rPr>
          <w:sz w:val="16"/>
        </w:rPr>
        <w:t xml:space="preserve"> (Centers for Disease Control and Pre- vention 2014). The ideological structure of reproductive futurism reads too </w:t>
      </w:r>
      <w:r w:rsidRPr="00397C5A">
        <w:rPr>
          <w:sz w:val="16"/>
        </w:rPr>
        <w:lastRenderedPageBreak/>
        <w:t xml:space="preserve">narrowly for a generation now coming of age with globally lower life expectancies, diminished prospects for retirement, and a general precarious forecast compared with the correlative expectations of their parents. The future of these kids feels austere and diminishing because their present already is. </w:t>
      </w:r>
      <w:r w:rsidRPr="00AC69C6">
        <w:rPr>
          <w:rStyle w:val="StyleUnderline"/>
        </w:rPr>
        <w:t>If the child as the Symbolic anchor of reproductive futurism typical of Fordism has been eclipsed by the precarious and volatile conditions of contemporary capitalism</w:t>
      </w:r>
      <w:r w:rsidRPr="00397C5A">
        <w:rPr>
          <w:sz w:val="16"/>
        </w:rPr>
        <w:t xml:space="preserve"> - a capitalism that does not need the slow, sheltered fantasy of childhood as deferral of labor - </w:t>
      </w:r>
      <w:r w:rsidRPr="00AC69C6">
        <w:rPr>
          <w:rStyle w:val="StyleUnderline"/>
        </w:rPr>
        <w:t>then the relation of the child to the value of the future might be better approached through the lenses of labor and materiality. This does not</w:t>
      </w:r>
      <w:r w:rsidRPr="00397C5A">
        <w:rPr>
          <w:sz w:val="16"/>
        </w:rPr>
        <w:t xml:space="preserve"> exactly </w:t>
      </w:r>
      <w:r w:rsidRPr="00AC69C6">
        <w:rPr>
          <w:rStyle w:val="StyleUnderline"/>
        </w:rPr>
        <w:t>amount to a critique of No Future</w:t>
      </w:r>
      <w:r w:rsidRPr="00397C5A">
        <w:rPr>
          <w:sz w:val="16"/>
        </w:rPr>
        <w:t xml:space="preserve">. Edelman is clear that "the image of the Child" ought "not to be confused with the lived experiences of any historical children" (2004, 11). </w:t>
      </w:r>
      <w:r w:rsidRPr="00AC69C6">
        <w:rPr>
          <w:rStyle w:val="StyleUnderline"/>
        </w:rPr>
        <w:t>The Symbolic function of the Child-with-a-capital-"C</w:t>
      </w:r>
      <w:r w:rsidRPr="00397C5A">
        <w:rPr>
          <w:rStyle w:val="StyleUnderline"/>
        </w:rPr>
        <w:t>” precisely</w:t>
      </w:r>
      <w:r w:rsidRPr="00AC69C6">
        <w:rPr>
          <w:rStyle w:val="StyleUnderline"/>
        </w:rPr>
        <w:t xml:space="preserve"> holds hostage the capacity to think otherwis</w:t>
      </w:r>
      <w:r>
        <w:rPr>
          <w:rStyle w:val="StyleUnderline"/>
        </w:rPr>
        <w:t>e about actually existing chil</w:t>
      </w:r>
      <w:r w:rsidRPr="00AC69C6">
        <w:rPr>
          <w:rStyle w:val="StyleUnderline"/>
        </w:rPr>
        <w:t>dren.</w:t>
      </w:r>
      <w:r w:rsidRPr="00397C5A">
        <w:rPr>
          <w:sz w:val="16"/>
        </w:rPr>
        <w:t xml:space="preserve"> The problem is not the impulse of Edelmans analysis: </w:t>
      </w:r>
      <w:r w:rsidRPr="00AC69C6">
        <w:rPr>
          <w:rStyle w:val="StyleUnderline"/>
        </w:rPr>
        <w:t>there is no shortage of projective work being done by the child figure today. Yet vital though the child figure remains to the future, its value must nevertheless be calculated within the ambit of contemporary economic, ecological, and political catastrophes that threaten the viability of any future for humans in ways that override the optimistic ideology of American liberalism, how- ever facetious it may have been</w:t>
      </w:r>
      <w:r w:rsidRPr="00397C5A">
        <w:rPr>
          <w:sz w:val="16"/>
        </w:rPr>
        <w:t xml:space="preserve"> (see Sheldon 2013). </w:t>
      </w:r>
      <w:r w:rsidRPr="00397C5A">
        <w:rPr>
          <w:rStyle w:val="StyleUnderline"/>
        </w:rPr>
        <w:t>The</w:t>
      </w:r>
      <w:r w:rsidRPr="00397C5A">
        <w:rPr>
          <w:sz w:val="16"/>
        </w:rPr>
        <w:t xml:space="preserve"> UNCF </w:t>
      </w:r>
      <w:r w:rsidRPr="00397C5A">
        <w:rPr>
          <w:rStyle w:val="StyleUnderline"/>
        </w:rPr>
        <w:t>stock option redefines</w:t>
      </w:r>
      <w:r w:rsidRPr="00397C5A">
        <w:rPr>
          <w:sz w:val="16"/>
        </w:rPr>
        <w:t xml:space="preserve"> college </w:t>
      </w:r>
      <w:r w:rsidRPr="00397C5A">
        <w:rPr>
          <w:rStyle w:val="StyleUnderline"/>
        </w:rPr>
        <w:t>education</w:t>
      </w:r>
      <w:r w:rsidRPr="00397C5A">
        <w:rPr>
          <w:sz w:val="16"/>
        </w:rPr>
        <w:t xml:space="preserve"> for children of color </w:t>
      </w:r>
      <w:r w:rsidRPr="00397C5A">
        <w:rPr>
          <w:rStyle w:val="StyleUnderline"/>
        </w:rPr>
        <w:t>as an investment activity, and</w:t>
      </w:r>
      <w:r w:rsidRPr="00397C5A">
        <w:rPr>
          <w:sz w:val="16"/>
        </w:rPr>
        <w:t xml:space="preserve"> in so doing it </w:t>
      </w:r>
      <w:r w:rsidRPr="00397C5A">
        <w:rPr>
          <w:rStyle w:val="StyleUnderline"/>
        </w:rPr>
        <w:t>judges educations value not as a liberal equalizer of opportunity but as a form of "human capital" that black and brown bodies cannot afford to pass up.</w:t>
      </w:r>
      <w:r>
        <w:rPr>
          <w:rStyle w:val="StyleUnderline"/>
        </w:rPr>
        <w:t xml:space="preserve"> </w:t>
      </w:r>
      <w:r w:rsidRPr="00397C5A">
        <w:rPr>
          <w:sz w:val="16"/>
        </w:rPr>
        <w:t xml:space="preserve">Following UNCF s proposition, this essay explores cinematic texts and media of contemporary American childhood to understand the economy of the future. The present calculation of the value of the future suggests that race, not only sexuality, might be understood as the coefficient that incorporates the laboring body from childhood. </w:t>
      </w:r>
      <w:r w:rsidRPr="00397C5A">
        <w:rPr>
          <w:rStyle w:val="StyleUnderline"/>
        </w:rPr>
        <w:t>If modern childhood, as</w:t>
      </w:r>
      <w:r w:rsidRPr="00397C5A">
        <w:rPr>
          <w:sz w:val="16"/>
        </w:rPr>
        <w:t xml:space="preserve"> Kathryn Bond </w:t>
      </w:r>
      <w:r w:rsidRPr="00397C5A">
        <w:rPr>
          <w:rStyle w:val="StyleUnderline"/>
        </w:rPr>
        <w:t>Stockton</w:t>
      </w:r>
      <w:r w:rsidRPr="00397C5A">
        <w:rPr>
          <w:sz w:val="16"/>
        </w:rPr>
        <w:t xml:space="preserve"> (2009, 13-16) carefully outlines, </w:t>
      </w:r>
      <w:r w:rsidRPr="00397C5A">
        <w:rPr>
          <w:rStyle w:val="StyleUnderline"/>
        </w:rPr>
        <w:t>is structured by a temporality of delay - delay of labor and delay of heteronormative sexuality - the queer problem of "growing sideways" that it generates is also</w:t>
      </w:r>
      <w:r w:rsidRPr="00397C5A">
        <w:rPr>
          <w:sz w:val="16"/>
        </w:rPr>
        <w:t xml:space="preserve">, as she explains, </w:t>
      </w:r>
      <w:r w:rsidRPr="00397C5A">
        <w:rPr>
          <w:rStyle w:val="StyleUnderline"/>
        </w:rPr>
        <w:t>more an expression of the twentieth century than of the twenty-first. What is at stake</w:t>
      </w:r>
      <w:r w:rsidRPr="00397C5A">
        <w:rPr>
          <w:sz w:val="16"/>
        </w:rPr>
        <w:t xml:space="preserve"> in this essay </w:t>
      </w:r>
      <w:r w:rsidRPr="00397C5A">
        <w:rPr>
          <w:rStyle w:val="StyleUnderline"/>
        </w:rPr>
        <w:t>is</w:t>
      </w:r>
      <w:r w:rsidRPr="00397C5A">
        <w:rPr>
          <w:sz w:val="16"/>
        </w:rPr>
        <w:t xml:space="preserve"> hence less a lateral growth than the circumstances surrounding the person Stockton calls "</w:t>
      </w:r>
      <w:r w:rsidRPr="00397C5A">
        <w:rPr>
          <w:rStyle w:val="StyleUnderline"/>
        </w:rPr>
        <w:t>the child queered by color": a child who, being nonwhite, is barely a child, unable to inhabit the scenography of innocence assigned to American childhood.</w:t>
      </w:r>
      <w:r w:rsidRPr="00397C5A">
        <w:rPr>
          <w:sz w:val="16"/>
        </w:rPr>
        <w:t xml:space="preserve"> If one cultural narrative designed to compensate for this debility, as Stockton reminds us, "is to endow those children with abuse" (33), then perhaps, in the film and media that follow, another narrative seeks to make those children work for it. </w:t>
      </w:r>
    </w:p>
    <w:p w:rsidR="00DE5E47" w:rsidRDefault="00DE5E47" w:rsidP="00DE5E47"/>
    <w:p w:rsidR="005A160F" w:rsidRDefault="005A160F" w:rsidP="005A160F">
      <w:pPr>
        <w:pStyle w:val="Heading3"/>
      </w:pPr>
      <w:bookmarkStart w:id="26" w:name="_Toc489138920"/>
      <w:bookmarkEnd w:id="25"/>
      <w:r>
        <w:lastRenderedPageBreak/>
        <w:t>Link: Civic Education—Curricula</w:t>
      </w:r>
      <w:bookmarkEnd w:id="26"/>
      <w:r>
        <w:t xml:space="preserve"> </w:t>
      </w:r>
    </w:p>
    <w:p w:rsidR="005A160F" w:rsidRPr="0033510C" w:rsidRDefault="005A160F" w:rsidP="005A160F">
      <w:pPr>
        <w:pStyle w:val="Heading4"/>
      </w:pPr>
      <w:r>
        <w:t xml:space="preserve">A civic approach to education always slams the door to the queer body student – these attempts have just amplified </w:t>
      </w:r>
      <w:r w:rsidRPr="005D48BA">
        <w:t>pedagogical isolates</w:t>
      </w:r>
      <w:r>
        <w:t xml:space="preserve"> and identity of what the study have to follow under --- these curriculums will never be willing to incorporate queer pedagogies </w:t>
      </w:r>
    </w:p>
    <w:p w:rsidR="005A160F" w:rsidRDefault="005A160F" w:rsidP="005A160F">
      <w:r w:rsidRPr="00AC3B2E">
        <w:rPr>
          <w:b/>
          <w:sz w:val="26"/>
          <w:szCs w:val="26"/>
        </w:rPr>
        <w:t>Loutzenheiser and MacIntosh 04</w:t>
      </w:r>
      <w:r>
        <w:t xml:space="preserve"> [</w:t>
      </w:r>
      <w:r w:rsidRPr="00AC3B2E">
        <w:t>Lisa W. Loutzenheiser</w:t>
      </w:r>
      <w:r>
        <w:t xml:space="preserve"> </w:t>
      </w:r>
      <w:r w:rsidRPr="00AC3B2E">
        <w:t>Lori B. MacIntosh THEORY INTO PRACTICE, Volume 43, Number 2, Spring 2004</w:t>
      </w:r>
      <w:r>
        <w:t xml:space="preserve"> </w:t>
      </w:r>
      <w:r w:rsidRPr="00AC3B2E">
        <w:t>Copyright © 2004 College of Education, The Ohio State University</w:t>
      </w:r>
      <w:r>
        <w:t xml:space="preserve">, </w:t>
      </w:r>
      <w:r w:rsidRPr="00AC3B2E">
        <w:t>Citizenships, Sexualities, and Education</w:t>
      </w:r>
      <w:r>
        <w:t xml:space="preserve">, </w:t>
      </w:r>
      <w:hyperlink r:id="rId10" w:history="1">
        <w:r w:rsidRPr="0050664C">
          <w:rPr>
            <w:rStyle w:val="Hyperlink"/>
            <w:rFonts w:asciiTheme="majorHAnsi" w:eastAsia="Times New Roman" w:hAnsiTheme="majorHAnsi"/>
            <w:sz w:val="16"/>
            <w:szCs w:val="20"/>
          </w:rPr>
          <w:t>http://ed618.pbworks.com/f/Loutzenheiser,+L.W.+%26+MacIntosh,+L.B.+Citizenshups,+Sexualities,+%26+Education.pdf</w:t>
        </w:r>
      </w:hyperlink>
      <w:r>
        <w:t xml:space="preserve">] </w:t>
      </w:r>
    </w:p>
    <w:p w:rsidR="005A160F" w:rsidRDefault="005A160F" w:rsidP="005A160F">
      <w:r w:rsidRPr="00AC3B2E">
        <w:t xml:space="preserve">Depending on the circumstances, to be called “queer,” “faggot,” or “lesbian” may be understood as an affirmation of self or, as is often the case in schoolyards and hallways, an insult hurled in an attempt to politically immobilize the queer body and render it visible as Other. To the 12-year-old standing at his locker, hearing shouts or whispers of “faggot” from his heterosexual peers is not affirming or enabling. When heard from another queer youth, the same term could serve as a form of acknowledgment, acknowledging one’s identity in a community. In short, naming can either be enabling or paralyzing. The same can be said of curriculum. As noted previously, </w:t>
      </w:r>
      <w:r w:rsidRPr="0033510C">
        <w:rPr>
          <w:rStyle w:val="StyleUnderline"/>
        </w:rPr>
        <w:t>the mere inclusion of an uncomplicated or contextualized curricula denoting gay and lesbian visibility can mean that instead of bringing about a powerful acknowledgment of the queer body, the Othering is furthered and given special authority by its inclusion in official and hidden curriculums.</w:t>
      </w:r>
      <w:r w:rsidRPr="00AC3B2E">
        <w:t xml:space="preserve"> Just as heterosexuality is a given in the classroom, so too are the binary categorizations of sex/ gender and numerous other boundaried and dichotomized assumptions, the most pronounced of which is public/private. </w:t>
      </w:r>
      <w:r w:rsidRPr="0033510C">
        <w:rPr>
          <w:rStyle w:val="StyleUnderline"/>
        </w:rPr>
        <w:t>Education</w:t>
      </w:r>
      <w:r w:rsidRPr="00AC3B2E">
        <w:t xml:space="preserve">, Giroux (2003) </w:t>
      </w:r>
      <w:r w:rsidRPr="0033510C">
        <w:rPr>
          <w:rStyle w:val="StyleUnderline"/>
        </w:rPr>
        <w:t>tells us, is a democratic public sphere.</w:t>
      </w:r>
      <w:r w:rsidRPr="00AC3B2E">
        <w:t xml:space="preserve"> That is, </w:t>
      </w:r>
      <w:r w:rsidRPr="0033510C">
        <w:rPr>
          <w:rStyle w:val="StyleUnderline"/>
        </w:rPr>
        <w:t>children enter into the classroom as public citizens; their private lives seemingly inconsequential to their participation, unless they fail to fit neatly within dominant identity frameworks.</w:t>
      </w:r>
      <w:r w:rsidRPr="00AC3B2E">
        <w:t xml:space="preserve"> Similar to other public spaces</w:t>
      </w:r>
      <w:r w:rsidRPr="0033510C">
        <w:rPr>
          <w:rStyle w:val="StyleUnderline"/>
        </w:rPr>
        <w:t>, the classroom is shaped by formulaic restrictions of heteronormative discourse.</w:t>
      </w:r>
      <w:r w:rsidRPr="00AC3B2E">
        <w:t xml:space="preserve"> Yet, increasing numbers of gay and lesbian youth choose to self-identify in high school despite the resulting homophobia and social alienation that rises to the surface as a result of this self-identification (Sadownick, 2002). Consequently, their private lives are made public and unwittingly become the central mechanism of their publicness.</w:t>
      </w:r>
      <w:r w:rsidRPr="005D48BA">
        <w:rPr>
          <w:rStyle w:val="StyleUnderline"/>
        </w:rPr>
        <w:t xml:space="preserve"> For queer, gay, or lesbian youth, both the public and personal are always in play, the structuring of one’s social and political life is contingent on heterosexual modes of address and one’s relation to, and positioning against, these assignations</w:t>
      </w:r>
      <w:r w:rsidRPr="00AC3B2E">
        <w:t xml:space="preserve">. Here, as Berlant and Warner (1998) suggest, the private or personal are both self-defining and are a means by which the queer, gay, or lesbian body is named and politically circumscribed. The point we wish to make is </w:t>
      </w:r>
      <w:r w:rsidRPr="005D48BA">
        <w:rPr>
          <w:rStyle w:val="StyleUnderline"/>
        </w:rPr>
        <w:t xml:space="preserve">that both the private and the public are ordered, privileged, and proscribed in different ways </w:t>
      </w:r>
      <w:r w:rsidRPr="00AC3B2E">
        <w:t xml:space="preserve">at different times, </w:t>
      </w:r>
      <w:r w:rsidRPr="005D48BA">
        <w:rPr>
          <w:rStyle w:val="StyleUnderline"/>
        </w:rPr>
        <w:t>depending on whether one’s identity is being claimed or assigned.</w:t>
      </w:r>
      <w:r w:rsidRPr="00AC3B2E">
        <w:t xml:space="preserve"> Where, then, does a queer body locate itself in a public, heterosexual, historically masculine curricular space? </w:t>
      </w:r>
      <w:r w:rsidRPr="005D48BA">
        <w:rPr>
          <w:rStyle w:val="Emphasis"/>
        </w:rPr>
        <w:t>The queer body is already hidden, hyper-sexualized, private.</w:t>
      </w:r>
      <w:r w:rsidRPr="00AC3B2E">
        <w:t xml:space="preserve"> Thus, as Warner (1993) suggests, the queer body is already, regardless of its own subjectivity and social positioning, limited by its relegation to this private sphere. In the classroom, whether or not a self-identified lesbian youth chooses to be “out,” her identity is named—albeit silently—by the myriad of social norms to which she does not adhere and publicly, or paradoxically, by the Othering that is endemic to a marginalized public identification. From the standpoint of school citizenship</w:t>
      </w:r>
      <w:r w:rsidRPr="005D48BA">
        <w:rPr>
          <w:rStyle w:val="StyleUnderline"/>
        </w:rPr>
        <w:t>, one’s ability to negotiate the space of the classroom and its curricula is incumbent on one’s social positioning.</w:t>
      </w:r>
      <w:r w:rsidRPr="00AC3B2E">
        <w:t xml:space="preserve"> </w:t>
      </w:r>
      <w:r w:rsidRPr="005D48BA">
        <w:rPr>
          <w:rStyle w:val="StyleUnderline"/>
        </w:rPr>
        <w:t>This conversation becomes further complicated with the intersectionalities of race, class, and ethnicity.</w:t>
      </w:r>
      <w:r w:rsidRPr="00AC3B2E">
        <w:t xml:space="preserve"> Therefore</w:t>
      </w:r>
      <w:r w:rsidRPr="005D48BA">
        <w:rPr>
          <w:rStyle w:val="Emphasis"/>
        </w:rPr>
        <w:t xml:space="preserve">, one can see the ways that the entry doors to civic life begin to slam shut upon the </w:t>
      </w:r>
      <w:r w:rsidRPr="005D48BA">
        <w:rPr>
          <w:rStyle w:val="Emphasis"/>
        </w:rPr>
        <w:lastRenderedPageBreak/>
        <w:t>queer body’s approach</w:t>
      </w:r>
      <w:r w:rsidRPr="00AC3B2E">
        <w:t xml:space="preserve">. Queer citizenship is not part of multicultural or anti-racist teaching as it has been popularly constructed. The queer body, in its racialized, classbased, ethnically diverse subjectivities, has few access points in this dialogue. Without access, </w:t>
      </w:r>
      <w:r w:rsidRPr="005D48BA">
        <w:rPr>
          <w:rStyle w:val="StyleUnderline"/>
        </w:rPr>
        <w:t>there can be no discernable voice, no political presence, no “legitimate” civic identity</w:t>
      </w:r>
      <w:r w:rsidRPr="00AC3B2E">
        <w:t>. Consequently one’s identity as citizen proper is greatly compromised</w:t>
      </w:r>
      <w:r w:rsidRPr="005D48BA">
        <w:rPr>
          <w:rStyle w:val="Emphasis"/>
        </w:rPr>
        <w:t xml:space="preserve">. While attempts to infuse curriculums with gender and sexuality have met with reasonable success, the recipe is largely an add-and-stir model in which gay and lesbian issues are treated as pedagogical isolates, </w:t>
      </w:r>
      <w:r w:rsidRPr="00AC3B2E">
        <w:t xml:space="preserve">focused on just long enough to substantiate a politics of Otherness. Now, publicly identified, the queer body is a socialized and political misfit known only through, and in, its Otherness. </w:t>
      </w:r>
      <w:r w:rsidRPr="005D48BA">
        <w:rPr>
          <w:rStyle w:val="Emphasis"/>
        </w:rPr>
        <w:t>For</w:t>
      </w:r>
      <w:r w:rsidRPr="005D48BA">
        <w:rPr>
          <w:rStyle w:val="StyleUnderline"/>
        </w:rPr>
        <w:t xml:space="preserve"> the </w:t>
      </w:r>
      <w:r w:rsidRPr="005D48BA">
        <w:rPr>
          <w:rStyle w:val="Emphasis"/>
        </w:rPr>
        <w:t>queer student</w:t>
      </w:r>
      <w:r w:rsidRPr="005D48BA">
        <w:rPr>
          <w:rStyle w:val="StyleUnderline"/>
        </w:rPr>
        <w:t xml:space="preserve">, </w:t>
      </w:r>
      <w:r w:rsidRPr="005D48BA">
        <w:rPr>
          <w:rStyle w:val="Emphasis"/>
        </w:rPr>
        <w:t>this takes the form of a hidden and explicit curriculum that is unable and unwilling to fully incorporate pedagogies</w:t>
      </w:r>
      <w:r w:rsidRPr="005D48BA">
        <w:rPr>
          <w:rStyle w:val="StyleUnderline"/>
        </w:rPr>
        <w:t xml:space="preserve"> and contents that more than tolerate the inclusion of queer content through specific and planned curricular goals. </w:t>
      </w:r>
      <w:r w:rsidRPr="005D48BA">
        <w:rPr>
          <w:rStyle w:val="Emphasis"/>
        </w:rPr>
        <w:t>By isolating curriculum and pedagogies, educators also lose opportunities to construct classroom knowledges</w:t>
      </w:r>
      <w:r w:rsidRPr="00AC3B2E">
        <w:t xml:space="preserve"> </w:t>
      </w:r>
      <w:r w:rsidRPr="005D48BA">
        <w:rPr>
          <w:rStyle w:val="Emphasis"/>
        </w:rPr>
        <w:t>that break down the hierarchical structure of the classroom,</w:t>
      </w:r>
      <w:r w:rsidRPr="00AC3B2E">
        <w:t xml:space="preserve"> </w:t>
      </w:r>
      <w:r w:rsidRPr="005D48BA">
        <w:rPr>
          <w:rStyle w:val="StyleUnderline"/>
        </w:rPr>
        <w:t>where the teacher is all-knowing and students are deficit bodies bringing little or no useful knowledge to the classroom. Marginalized students often call for the pedagogical inclusion of curricula that has been typically relegated to the private (</w:t>
      </w:r>
      <w:r w:rsidRPr="00AC3B2E">
        <w:t xml:space="preserve">outside of school) </w:t>
      </w:r>
      <w:r w:rsidRPr="005D48BA">
        <w:rPr>
          <w:rStyle w:val="StyleUnderline"/>
        </w:rPr>
        <w:t>sphere</w:t>
      </w:r>
      <w:r w:rsidRPr="00AC3B2E">
        <w:t xml:space="preserve">. By failing to incorporate these experiences, schools exclude relevant pedagogy for those most likely to be pushed out (Fine, 1991; Loutzenheiser, 2002). </w:t>
      </w:r>
      <w:r w:rsidRPr="005D48BA">
        <w:rPr>
          <w:rStyle w:val="StyleUnderline"/>
        </w:rPr>
        <w:t>Within education, the problem of restructuring heteronormative curricula and pedagogies involves reforming both the definition and enactments of citize</w:t>
      </w:r>
      <w:r w:rsidRPr="00AC3B2E">
        <w:t xml:space="preserve">nship. Often, </w:t>
      </w:r>
      <w:r w:rsidRPr="005D48BA">
        <w:rPr>
          <w:rStyle w:val="StyleUnderline"/>
        </w:rPr>
        <w:t>notions of citizenship put forth in a rush to all-encompassing inclusivity reify the very paralytic structures they are working to overturn.</w:t>
      </w:r>
      <w:r w:rsidRPr="00AC3B2E">
        <w:t xml:space="preserve"> </w:t>
      </w:r>
      <w:r w:rsidRPr="005D48BA">
        <w:rPr>
          <w:rStyle w:val="StyleUnderline"/>
        </w:rPr>
        <w:t>The result is a citizenship discourse that, while partially inclusive in its categorical frameworks of naming, does not address the underlying dominant ideologies.</w:t>
      </w:r>
      <w:r w:rsidRPr="00AC3B2E">
        <w:t xml:space="preserve"> </w:t>
      </w:r>
      <w:r w:rsidRPr="005D48BA">
        <w:rPr>
          <w:rStyle w:val="StyleUnderline"/>
        </w:rPr>
        <w:t>These same underlying ideologies prohibit some newly named political bodies from engaging in the practice of citizenship.</w:t>
      </w:r>
      <w:r w:rsidRPr="00AC3B2E">
        <w:t xml:space="preserve"> </w:t>
      </w:r>
      <w:r w:rsidRPr="005D48BA">
        <w:rPr>
          <w:rStyle w:val="StyleUnderline"/>
        </w:rPr>
        <w:t xml:space="preserve">The inherent rights and freedoms of heteronormative citizenry are not accorded equally to the queer body, the body of color, the Othered bodies of those who do not fit neatly within the sociopolitical parameters. </w:t>
      </w:r>
      <w:r w:rsidRPr="00AC3B2E">
        <w:t xml:space="preserve">The result is the formation of boundaries in our classrooms. Arguably, </w:t>
      </w:r>
      <w:r w:rsidRPr="00AC3B2E">
        <w:rPr>
          <w:rStyle w:val="StyleUnderline"/>
        </w:rPr>
        <w:t>a case for inclusivity in and of itself is not a useful framework for queering a discourse of citizenship. As with anti-racist and multicultural discourses, inclusivity borne of heteronormative social institutions and motivations means that the resulting assimilationalist decoupage simply covers over larger ideological mechanisms of oppression.</w:t>
      </w:r>
      <w:r w:rsidRPr="00AC3B2E">
        <w:t xml:space="preserve"> </w:t>
      </w:r>
      <w:r w:rsidRPr="00AC3B2E">
        <w:rPr>
          <w:rStyle w:val="StyleUnderline"/>
        </w:rPr>
        <w:t xml:space="preserve">Engaging this discourse is a useful mechanism with which to open up the less-thanpermeable barriers surrounding queer visibility and political agency. </w:t>
      </w:r>
      <w:r w:rsidRPr="00AC3B2E">
        <w:t>As a vital component of a reconceptualized curriculum studies, the language of social justice is well suited to speak to the metapublic desire for assimilation and immobilization.</w:t>
      </w:r>
    </w:p>
    <w:p w:rsidR="005A160F" w:rsidRDefault="005A160F" w:rsidP="005A160F">
      <w:pPr>
        <w:pStyle w:val="Heading4"/>
      </w:pPr>
      <w:r>
        <w:t>Typical civics education is often exclusionary of people that don’t fit the upper-middle class anglo model, especially black and queer people. This normative understanding of politics excludes and overshadows forms of queer life that exist outside the state</w:t>
      </w:r>
    </w:p>
    <w:p w:rsidR="005A160F" w:rsidRDefault="005A160F" w:rsidP="005A160F">
      <w:r w:rsidRPr="00D366C2">
        <w:rPr>
          <w:rStyle w:val="Style13ptBold"/>
        </w:rPr>
        <w:t>Ford 13</w:t>
      </w:r>
      <w:r>
        <w:t xml:space="preserve"> </w:t>
      </w:r>
      <w:r w:rsidRPr="00EF3500">
        <w:rPr>
          <w:sz w:val="18"/>
        </w:rPr>
        <w:t>[JILLIAN FORD In Conversation with L’Erin Alta-Devki, Moya Bailey, and Alexis Pauline Gumbs, Kennesaw State University, “Cultivating Citizenship as Feeling, A Conversation with Three Digital Alchemists”, Journal of Curriculum Theorizing Volume 29, Number 2, 2013, pg. 221-222]</w:t>
      </w:r>
    </w:p>
    <w:p w:rsidR="005A160F" w:rsidRPr="00717AC6" w:rsidRDefault="005A160F" w:rsidP="005A160F">
      <w:pPr>
        <w:rPr>
          <w:sz w:val="14"/>
        </w:rPr>
      </w:pPr>
      <w:r w:rsidRPr="00EF3500">
        <w:rPr>
          <w:rStyle w:val="StyleUnderline"/>
        </w:rPr>
        <w:t>A commonly articulated purpose of public schools in the United States is to prepare students for active and engaged citizenship</w:t>
      </w:r>
      <w:r w:rsidRPr="00717AC6">
        <w:rPr>
          <w:sz w:val="14"/>
        </w:rPr>
        <w:t xml:space="preserve"> (Banks, 2004; Engle &amp; Ochoa, 1988; Hahn, 1998, 2005; Parker, 2003). Within the official curriculum, citizenship </w:t>
      </w:r>
      <w:r w:rsidRPr="00717AC6">
        <w:rPr>
          <w:sz w:val="14"/>
        </w:rPr>
        <w:lastRenderedPageBreak/>
        <w:t xml:space="preserve">education takes place in the social studies, usually in civics and/or government courses. </w:t>
      </w:r>
      <w:r w:rsidRPr="00EF3500">
        <w:rPr>
          <w:rStyle w:val="StyleUnderline"/>
        </w:rPr>
        <w:t>Numerous scholars have shown that the official, intended, and implemented civics curriculum is taught in an assimilationist framework that favors an Anglo ideal of a “good citizen”</w:t>
      </w:r>
      <w:r w:rsidRPr="00717AC6">
        <w:rPr>
          <w:sz w:val="14"/>
        </w:rPr>
        <w:t xml:space="preserve"> (Banks, 2004; Ladson-Billings, 2003; Schmidt &amp; Mayo, 2008; Thornton, 2003) </w:t>
      </w:r>
      <w:r w:rsidRPr="00EF3500">
        <w:rPr>
          <w:rStyle w:val="StyleUnderline"/>
        </w:rPr>
        <w:t>and omits human rights discourse</w:t>
      </w:r>
      <w:r w:rsidRPr="00717AC6">
        <w:rPr>
          <w:sz w:val="14"/>
        </w:rPr>
        <w:t xml:space="preserve"> (Branson &amp; Torney- Purta, 1982; Ford, 2008; Gaudelli &amp; Fernekes, 2004; Hahn, 1985). Conceptions of citizenship vary widely. The concept’s subjectivity requires common working definitions as a foundation for generative thought and discussion development. Osler and Starkey’s (2005) conceptual model concerning </w:t>
      </w:r>
      <w:r w:rsidRPr="00EF3500">
        <w:rPr>
          <w:rStyle w:val="StyleUnderline"/>
        </w:rPr>
        <w:t>the ways in which issues of citizenship are taught and learned distinguishes between citizenship as status, citizenship as practice, and citizenship as feeling.</w:t>
      </w:r>
      <w:r w:rsidRPr="00717AC6">
        <w:rPr>
          <w:sz w:val="14"/>
        </w:rPr>
        <w:t xml:space="preserve"> The first two are commonly theorized dimensions; citizenship as feeling is newly emerging as a space in which citizenship can be considered. Osler and Starkey describe citizenship as status as that which ...describes the relationship of the individual to the state. The state protects citizens through laws and policing. It provides some collective benefits such as security, a system of justice, education, health care and transport infrastructure. In return, citizens contribute to the costs of collective benefits through taxation and possibly military service (2005, p. 10). </w:t>
      </w:r>
      <w:r w:rsidRPr="00EF3500">
        <w:rPr>
          <w:rStyle w:val="StyleUnderline"/>
        </w:rPr>
        <w:t xml:space="preserve">Most official social studies curriculum is heavily comprised of static facts about institutions and processes related to status. In many classrooms, the concept of status serves as a demarcation between insiders and outsiders, </w:t>
      </w:r>
      <w:r w:rsidRPr="00717AC6">
        <w:rPr>
          <w:sz w:val="14"/>
        </w:rPr>
        <w:t>particularly regarding issues around immigration, naturalization, and citizenship documentation.</w:t>
      </w:r>
      <w:r>
        <w:rPr>
          <w:rStyle w:val="StyleUnderline"/>
        </w:rPr>
        <w:t xml:space="preserve"> </w:t>
      </w:r>
      <w:r w:rsidRPr="00717AC6">
        <w:rPr>
          <w:sz w:val="14"/>
        </w:rPr>
        <w:t xml:space="preserve">Citizenship as practice refers to the ways in which people engage in the public sphere individually and collectively. According to Osler and Starkey (2005), “[a]ctive citizenship is facilitated by awareness of and access to human rights” (p. 14). In both the official and unofficial social studies curricula, citizenship as practice is narrowly defined, including minimal civic responsibilities such as voting, paying taxes, and sitting on a jury (Kennedy, Hahn, &amp; Lee, 2007; McLaughlin, 1992; Parker, 2003). Additionally, </w:t>
      </w:r>
      <w:r w:rsidRPr="00EF3500">
        <w:rPr>
          <w:rStyle w:val="StyleUnderline"/>
        </w:rPr>
        <w:t>students experience a widely disparate quality of instruction and a range of exposure to how the practices of citizenship might take shape. These differences are based largely on race and socioeconomic status</w:t>
      </w:r>
      <w:r w:rsidRPr="00717AC6">
        <w:rPr>
          <w:sz w:val="14"/>
        </w:rPr>
        <w:t xml:space="preserve">, wherein students of color and students from low-income families often have fewer models of civic engagement to imitate, practice, and imagine than do their White, middle-class counterparts (Kahne &amp; Middaugh, 2008, 2010). Thirdly, Osler and Starkey (2005) describe citizenship as feeling as “a feeling of belonging to a community” (p. 11). They assert that individuals and groups possess varying degrees of affiliation to particular nation states, regardless of legal citizenship. This third dimension emerges in the official and unofficial curriculum, but it is most often regarded solely as patriotism for the United States of America. </w:t>
      </w:r>
      <w:r w:rsidRPr="00EF3500">
        <w:rPr>
          <w:rStyle w:val="StyleUnderline"/>
        </w:rPr>
        <w:t>The absence of intention to help students think about citizenship as feeling in complex ways is a barrier that impedes holistic civic development</w:t>
      </w:r>
      <w:r w:rsidRPr="00717AC6">
        <w:rPr>
          <w:sz w:val="14"/>
        </w:rPr>
        <w:t xml:space="preserve">. That students are not given tools to critically analyze citizenship as feeling in social studies classrooms is problematic for both middle class, mainstream White students around whom the allegedly neutral curriculum was built, and the large sets of students who are excluded from the curriculum altogether. </w:t>
      </w:r>
      <w:r w:rsidRPr="00EF3500">
        <w:rPr>
          <w:rStyle w:val="StyleUnderline"/>
        </w:rPr>
        <w:t>The reality of the skewed curriculum makes many mainstream students prone for the traps of privilege-induced blindness. For numerous marginalized students, contemporary citizenship education is disjointed and irrelevant</w:t>
      </w:r>
      <w:r w:rsidRPr="00717AC6">
        <w:rPr>
          <w:sz w:val="14"/>
        </w:rPr>
        <w:t xml:space="preserve"> (Kahne &amp; Middaugh, 2008). For Black students, this curricular disconnect is often met with determination to seek civic and cultural understandings of belonging in out-of-school contexts. The purpose of this paper is to highlight the work of three people who </w:t>
      </w:r>
      <w:r w:rsidRPr="00717AC6">
        <w:rPr>
          <w:rStyle w:val="StyleUnderline"/>
        </w:rPr>
        <w:t>cultivate cultural learning experiences across identities, generations, eras, and planet</w:t>
      </w:r>
      <w:r w:rsidRPr="00717AC6">
        <w:rPr>
          <w:sz w:val="14"/>
        </w:rPr>
        <w:t xml:space="preserve">s – to name a few of many categories – both online and in shared physical space. </w:t>
      </w:r>
      <w:r w:rsidRPr="00717AC6">
        <w:rPr>
          <w:rStyle w:val="StyleUnderline"/>
        </w:rPr>
        <w:t>These uniquely created learning arenas for growth are one example of engaging deeply in existential questions related to belonging and connection, which I argue is a manifestation of thought about citizenship as feeling</w:t>
      </w:r>
      <w:r w:rsidRPr="00717AC6">
        <w:rPr>
          <w:sz w:val="14"/>
        </w:rPr>
        <w:t xml:space="preserve">. L’Erin Alta- Devki, Moya Bailey, and Alexis Pauline Gumbs are “digital alchemists,” from whom curriculum theorists, developers, and all educators can learn. Bailey describes alchemy as ...the “science” of turning regular metals into gold. When I talk about digital alchemy I am thinking of the ways that women of color in particular transform everyday digital media into valuable social justice media magic. We turn scraps into something precious. Like chitterlings, the discarded pig intestines of the internet can be reworked into a delicacy. As Tricia Rose (2008) notes, however, there can be unintended and long term health effects from making a way out of no way. People can assume that leftovers are enough and abandon efforts to make sure everyone gets their fair share. It is the delicate balance of making do and pushing for more that informs my thinking on women of color’s transformative digital media magic (Bailey, 2013). Each of the digital alchemists in this discussion strikes that “delicate balance” masterfully, in distinct, overlapping, and complementary ways. I wrote the opening vignette while engaging in one of these culturally situated experiences designed to help participants recognize and nurture our relationships (e.g., with one another, nature, the past, present, and future) and broaden our notions of belonging. What follows are excerpts from three conversations I had with Alta-Devki, Bailey, and Gumbs during the fall of 2012 about their current alchemistic projects, their views on Afrofuturism, and their sources of inspiration. Though none of the three sought formal k-12 teacher preparation, each is a pedagogue in her own right. By drawing on Black queer feminist thought from multiple perspectives, the three women create space for libratory pedagogy, and help others to understand that “getting free” can be a daily embodied experience, instead of a series of isolated events. Official </w:t>
      </w:r>
      <w:r w:rsidRPr="00831B59">
        <w:rPr>
          <w:rStyle w:val="Emphasis"/>
        </w:rPr>
        <w:t>social studies curriculum does not broach Blackness, queerness, or feminism as means of authentic learning, nor do I argue that contemporary schools – characterized by hyper- testing and capitalist races toward privatization – are necessarily the places to do so.</w:t>
      </w:r>
      <w:r w:rsidRPr="00717AC6">
        <w:rPr>
          <w:sz w:val="14"/>
        </w:rPr>
        <w:t xml:space="preserve"> This paper is part of a larger effort to document organic pedagogical projects that serve to liberate marginalized peoples.</w:t>
      </w:r>
    </w:p>
    <w:p w:rsidR="005A160F" w:rsidRPr="00AC3B2E" w:rsidRDefault="005A160F" w:rsidP="005A160F"/>
    <w:p w:rsidR="00DE5E47" w:rsidRDefault="00DE5E47" w:rsidP="00DE5E47">
      <w:pPr>
        <w:pStyle w:val="Heading3"/>
      </w:pPr>
      <w:bookmarkStart w:id="27" w:name="_Toc489138921"/>
      <w:r>
        <w:lastRenderedPageBreak/>
        <w:t>Link: Courts—Legal equality</w:t>
      </w:r>
      <w:bookmarkEnd w:id="27"/>
    </w:p>
    <w:p w:rsidR="00DE5E47" w:rsidRDefault="00DE5E47" w:rsidP="00DE5E47"/>
    <w:p w:rsidR="00DE5E47" w:rsidRPr="001F4970" w:rsidRDefault="00DE5E47" w:rsidP="00DE5E47">
      <w:pPr>
        <w:pStyle w:val="Heading4"/>
      </w:pPr>
      <w:r>
        <w:t>Reliance on litigation solidifies the anti-queer policies of the aff—insufficient data and high litigation fees make courtroom challenges impossible</w:t>
      </w:r>
    </w:p>
    <w:p w:rsidR="00DE5E47" w:rsidRDefault="00DE5E47" w:rsidP="00DE5E47">
      <w:r w:rsidRPr="00DE150E">
        <w:rPr>
          <w:rStyle w:val="Style13ptBold"/>
        </w:rPr>
        <w:t>Lugg and Murphy 14</w:t>
      </w:r>
      <w:r>
        <w:t xml:space="preserve">(Catherine Lugg is a professor in Educational theory at Rutgers Grad school of education, she has a Ph.D. in Educational Theory from Penn State. Jason Murphy is a </w:t>
      </w:r>
      <w:r w:rsidRPr="00DE150E">
        <w:t>Ph.D. Student &amp; Teaching Assistant at Rutgers University</w:t>
      </w:r>
      <w:r>
        <w:t>, “</w:t>
      </w:r>
      <w:r w:rsidRPr="00DE150E">
        <w:t>Thinking whimsically: queering the study of educational policy-making and politics</w:t>
      </w:r>
      <w:r>
        <w:t xml:space="preserve">”, </w:t>
      </w:r>
      <w:hyperlink r:id="rId11" w:history="1">
        <w:r w:rsidRPr="00FD075F">
          <w:rPr>
            <w:rStyle w:val="Hyperlink"/>
          </w:rPr>
          <w:t>http://dx.doi.org/10.1080/09518398.2014.916009</w:t>
        </w:r>
      </w:hyperlink>
      <w:r>
        <w:t xml:space="preserve"> August 18, 2014, International Journal of Qualitative affairs, pg. 1194-1195)</w:t>
      </w:r>
    </w:p>
    <w:p w:rsidR="00DE5E47" w:rsidRPr="001F4970" w:rsidRDefault="00DE5E47" w:rsidP="00DE5E47">
      <w:pPr>
        <w:rPr>
          <w:sz w:val="16"/>
        </w:rPr>
      </w:pPr>
      <w:r w:rsidRPr="001F4970">
        <w:rPr>
          <w:sz w:val="16"/>
        </w:rPr>
        <w:t>*QT = Queer Theory, QLT = Queer Legal Theory, &amp; CPA = Critical Policy Analysis</w:t>
      </w:r>
    </w:p>
    <w:p w:rsidR="00DE5E47" w:rsidRPr="001F4970" w:rsidRDefault="00DE5E47" w:rsidP="00DE5E47">
      <w:pPr>
        <w:rPr>
          <w:sz w:val="14"/>
        </w:rPr>
      </w:pPr>
      <w:r w:rsidRPr="00C24B49">
        <w:rPr>
          <w:rStyle w:val="StyleUnderline"/>
        </w:rPr>
        <w:t>In both</w:t>
      </w:r>
      <w:r w:rsidRPr="001F4970">
        <w:rPr>
          <w:sz w:val="14"/>
        </w:rPr>
        <w:t xml:space="preserve"> the Anoka-Hennepin School Board’s </w:t>
      </w:r>
      <w:r w:rsidRPr="00C24B49">
        <w:rPr>
          <w:rStyle w:val="StyleUnderline"/>
        </w:rPr>
        <w:t>initial “no promo homo”</w:t>
      </w:r>
      <w:r w:rsidRPr="001F4970">
        <w:rPr>
          <w:sz w:val="14"/>
        </w:rPr>
        <w:t xml:space="preserve"> policy </w:t>
      </w:r>
      <w:r w:rsidRPr="00C24B49">
        <w:rPr>
          <w:rStyle w:val="StyleUnderline"/>
        </w:rPr>
        <w:t>and</w:t>
      </w:r>
      <w:r w:rsidRPr="001F4970">
        <w:rPr>
          <w:sz w:val="14"/>
        </w:rPr>
        <w:t xml:space="preserve"> its later “</w:t>
      </w:r>
      <w:r w:rsidRPr="00C24B49">
        <w:rPr>
          <w:rStyle w:val="StyleUnderline"/>
        </w:rPr>
        <w:t>neutrality policy,</w:t>
      </w:r>
      <w:r w:rsidRPr="001F4970">
        <w:rPr>
          <w:sz w:val="14"/>
        </w:rPr>
        <w:t xml:space="preserve">” as well as AERA’s continual silence on any and all issues of queer justice, equity, and research, </w:t>
      </w:r>
      <w:r w:rsidRPr="00C24B49">
        <w:rPr>
          <w:rStyle w:val="StyleUnderline"/>
        </w:rPr>
        <w:t>one can see the traditional patterns of stigmatization and silence</w:t>
      </w:r>
      <w:r w:rsidRPr="001F4970">
        <w:rPr>
          <w:sz w:val="14"/>
        </w:rPr>
        <w:t xml:space="preserve">. </w:t>
      </w:r>
      <w:r w:rsidRPr="00C24B49">
        <w:rPr>
          <w:rStyle w:val="StyleUnderline"/>
        </w:rPr>
        <w:t>Whether the underlying motivation is to enforce religious doctrine</w:t>
      </w:r>
      <w:r w:rsidRPr="001F4970">
        <w:rPr>
          <w:sz w:val="14"/>
        </w:rPr>
        <w:t xml:space="preserve"> (as is the case in Anoka-Hennepin</w:t>
      </w:r>
      <w:r w:rsidRPr="00C24B49">
        <w:rPr>
          <w:rStyle w:val="StyleUnderline"/>
        </w:rPr>
        <w:t>) or political timidity</w:t>
      </w:r>
      <w:r w:rsidRPr="001F4970">
        <w:rPr>
          <w:sz w:val="14"/>
        </w:rPr>
        <w:t xml:space="preserve"> (AERA</w:t>
      </w:r>
      <w:r w:rsidRPr="001F4970">
        <w:rPr>
          <w:rStyle w:val="StyleUnderline"/>
        </w:rPr>
        <w:t>), the results are largely the same: queer people, when it comes to educational policy</w:t>
      </w:r>
      <w:r w:rsidRPr="001F4970">
        <w:rPr>
          <w:sz w:val="14"/>
        </w:rPr>
        <w:t xml:space="preserve"> and educational research organizations, </w:t>
      </w:r>
      <w:r w:rsidRPr="001F4970">
        <w:rPr>
          <w:rStyle w:val="StyleUnderline"/>
        </w:rPr>
        <w:t>are literally too awful to be mentioned – something that has been fairly consistent</w:t>
      </w:r>
      <w:r w:rsidRPr="001F4970">
        <w:rPr>
          <w:sz w:val="14"/>
        </w:rPr>
        <w:t xml:space="preserve"> in US education since the early Cold War era (see Blount, 2005; D’Emilio, 1983; Eskridge, 2000; Graves, 2009). But digging a bit deeper, both organizations are seemingly out of touch with their own communities and, increasingly, the country as a whole (Silver, 2013). Nationally, polling data indicate greater support for queer people than at any time in modern history (see Murray, 2013; Pew Forum, 2013). Anoka-Hennepin is a school district operating in a state with a strong commitment to civil rights and Minnesota has just enacted marriage equality for its queer residents (Helegson, 2013). AERA, which aspires to be a leading research organization operating out of Washington, DC, appears to be out of step when compared to similarly situated organizations like the American Sociological Association, the National Association of Social Workers (with other organizations), and the Organization of American Historians in conjunction with the American Studies Association – all of which filed amicus briefs with the US Supreme Court in Hollingsworth v. Perry (the Proposition 8 case addressing California’s ban on “gay marriage”) and United States v. Windsor (the case challenging the federal “Defense of Marriage Act”) (see Office of the City Attorney, 2013). Consistent with AERA’s unofficial policy regarding queer people, it has, as of this writing, continually remained silent. </w:t>
      </w:r>
      <w:r w:rsidRPr="001F4970">
        <w:rPr>
          <w:rStyle w:val="StyleUnderline"/>
        </w:rPr>
        <w:t xml:space="preserve">We know what the consequences are for both students and researchers who are too queer for their educational organizations: silencing, stigmatization </w:t>
      </w:r>
      <w:r w:rsidRPr="001F4970">
        <w:rPr>
          <w:sz w:val="14"/>
        </w:rPr>
        <w:t xml:space="preserve">(Mayberry, Chenneville, &amp; Currie, 2013; Quinn &amp; Meiners, 2009), </w:t>
      </w:r>
      <w:r>
        <w:rPr>
          <w:rStyle w:val="StyleUnderline"/>
        </w:rPr>
        <w:t>and in the case of Anoka-</w:t>
      </w:r>
      <w:r w:rsidRPr="001F4970">
        <w:rPr>
          <w:rStyle w:val="StyleUnderline"/>
        </w:rPr>
        <w:t>Hennepin and too many other K-12 public schools, violence, and even death. Yet, increasingly there are costs to maintaining a stridently homophobic posture – not just to those who endure it, but to those who seek to inflict it. Two of the students included in Jane Doe v. Anoka-Hennepin describe experiencing frequent anti-queer harassment, and even violence, despite not personally identifying as queer</w:t>
      </w:r>
      <w:r w:rsidRPr="001F4970">
        <w:rPr>
          <w:sz w:val="14"/>
        </w:rPr>
        <w:t xml:space="preserve"> (Jane Doe v. Anoka-Hennepin, 2011). On a broader level, the district’s superintendent, Dennis Carlson, even began hiring additional counseling staff to accommodate rising rates of students breaking down emotionally in school hallways, being hospitalized for “cutting” (when a person purposefully cuts oneself), and suicide ideation (Rubin Erdely, 2012, para. 59).</w:t>
      </w:r>
      <w:r w:rsidRPr="001F4970">
        <w:rPr>
          <w:rStyle w:val="StyleUnderline"/>
        </w:rPr>
        <w:t xml:space="preserve"> Anoka-Hennepin is also now living with the costs of</w:t>
      </w:r>
      <w:r>
        <w:rPr>
          <w:rStyle w:val="StyleUnderline"/>
        </w:rPr>
        <w:t xml:space="preserve"> </w:t>
      </w:r>
      <w:r w:rsidRPr="001F4970">
        <w:rPr>
          <w:rStyle w:val="StyleUnderline"/>
        </w:rPr>
        <w:t>unsuccessful litigation. In fact, it was the threat of unrelenting legal actions</w:t>
      </w:r>
      <w:r w:rsidRPr="001F4970">
        <w:rPr>
          <w:sz w:val="14"/>
        </w:rPr>
        <w:t xml:space="preserve"> (and greater legal expenses) </w:t>
      </w:r>
      <w:r w:rsidRPr="001F4970">
        <w:rPr>
          <w:rStyle w:val="StyleUnderline"/>
        </w:rPr>
        <w:t>that prodded the district to settle with the Department of Justice</w:t>
      </w:r>
      <w:r w:rsidRPr="001F4970">
        <w:rPr>
          <w:sz w:val="14"/>
        </w:rPr>
        <w:t xml:space="preserve"> (Geidner, 2012). Similarly, the district has been under a national media spotlight since at least 2011, a particularly unwelcome spotlight that has little reason to refocus elsewhere. And finally, Anoka-Hennepin is a school district in the midst of economic decline. Consequently, it has declining student enrollment coupled with an increasing percentage of students living in poverty – a percentage which has doubled from 17% in 2002 to 34% in 2012 (Austreng, 2012). Since the state of Minnesota ties state education funding to the numbers of children enrolled within a given district (Austreng, 2012), the ongoing negative media exposure could make it very difficult for Anoka- Hennepin to attract potential homebuyers – fueling a more rapid decline (see Boyd, 1979, 1982). The district’s political leadership may have put the school system in a downward spiral that is increasingly difficult to escape. AERA’s greatest risk is to become intellectually moribund. At present, there is very little queer, or gay and lesbian, research published in its journals or AERA- sponsored books. Furthermore, the long-promised monograph on LGBT issues in education is very late, and no one has mentioned when it will be published. Additionally, AERA has fetishized “science” and “medical model” research designs since the early 2000s in an appeal to federal granting agencies (Adams St. Pierre, 2006; Lugg &amp; Karpinski, 2007). Yet emphasizing experimental design makes it unlikely that qualitative work, much less avowedly queer research grounded in QT or QLT, will be appearing in AERA’s journals</w:t>
      </w:r>
      <w:r w:rsidRPr="001F4970">
        <w:rPr>
          <w:rStyle w:val="StyleUnderline"/>
        </w:rPr>
        <w:t>. There are also very real constraints on quantitative researchers who wish to explore queer populations</w:t>
      </w:r>
      <w:r w:rsidRPr="001F4970">
        <w:rPr>
          <w:sz w:val="14"/>
        </w:rPr>
        <w:t xml:space="preserve">. Quantitative research, regardless of model, typically needs large numbers such as those found in federal data-sets. Unfortunately, until June 2013, neither the US Department of Education nor the US Census collected any direct data on queer identity (Lugg, 2010; Quinn &amp; Meiners, 2009).15 Consequently, AERA’s leadership could very well make what is known as the “Mahmoud Ahmadinejad argument”16 – we don’t have any queers. The federal government’s refusal to count us, however, is finally changing – but it will still take years to get the data collected in a form usable by educational researchers. </w:t>
      </w:r>
      <w:r w:rsidRPr="001F4970">
        <w:rPr>
          <w:rStyle w:val="StyleUnderline"/>
        </w:rPr>
        <w:t>While we doubt AERA would</w:t>
      </w:r>
      <w:r w:rsidRPr="001F4970">
        <w:rPr>
          <w:sz w:val="14"/>
        </w:rPr>
        <w:t xml:space="preserve"> go so far as to officially </w:t>
      </w:r>
      <w:r w:rsidRPr="001F4970">
        <w:rPr>
          <w:rStyle w:val="StyleUnderline"/>
        </w:rPr>
        <w:t>claim queers don’t exist in education, the organization has gone to gr</w:t>
      </w:r>
      <w:r>
        <w:rPr>
          <w:rStyle w:val="StyleUnderline"/>
        </w:rPr>
        <w:t>eat lengths to erase queer peo</w:t>
      </w:r>
      <w:r w:rsidRPr="001F4970">
        <w:rPr>
          <w:rStyle w:val="StyleUnderline"/>
        </w:rPr>
        <w:t>ple</w:t>
      </w:r>
      <w:r w:rsidRPr="001F4970">
        <w:rPr>
          <w:sz w:val="14"/>
        </w:rPr>
        <w:t xml:space="preserve"> and our issues. But this erasure comes at a high intellectual price. To be blunt, queer scholarship on education is found in other, more relevant, more intellectually robust venues such as law, some of the social sciences, and the humanities – including queer studies, and in organizational reports like those compiled by GLSEN and Human Rights Watch. By </w:t>
      </w:r>
      <w:r w:rsidRPr="001F4970">
        <w:rPr>
          <w:sz w:val="14"/>
        </w:rPr>
        <w:lastRenderedPageBreak/>
        <w:t xml:space="preserve">being deliberately exclusionary, AERA’s leadership may be sowing seeds of profound intellectual and organizational rot. Queer issues have been lively areas of inquiry across the social sciences, arts, and humanities for between 20 and 40 years (e.g. Lewin &amp; Leap, 1996; Stein &amp; Plummer, 1994). Yet educational research remains acutely out of step with much of the scholarly world. </w:t>
      </w:r>
      <w:r w:rsidRPr="001F4970">
        <w:rPr>
          <w:rStyle w:val="StyleUnderline"/>
        </w:rPr>
        <w:t>It is increasingly difficult for the association to maintain its claim of research excellence and relevance in light of this long-standing silencing and erasure of queer identities and issues. We now turn towards a discussion of QT and QLT as forms for CPA within educational policy and politics</w:t>
      </w:r>
      <w:r w:rsidRPr="001F4970">
        <w:rPr>
          <w:sz w:val="14"/>
        </w:rPr>
        <w:t>, before bringing this discussion to a close.</w:t>
      </w:r>
    </w:p>
    <w:p w:rsidR="00DE5E47" w:rsidRPr="008919DE" w:rsidRDefault="00DE5E47" w:rsidP="00DE5E47">
      <w:r>
        <w:t xml:space="preserve"> </w:t>
      </w:r>
    </w:p>
    <w:p w:rsidR="005A160F" w:rsidRDefault="005A160F" w:rsidP="005A160F">
      <w:pPr>
        <w:pStyle w:val="Heading3"/>
      </w:pPr>
      <w:bookmarkStart w:id="28" w:name="_Toc489138922"/>
      <w:r>
        <w:lastRenderedPageBreak/>
        <w:t>Link: Courts—Precedent</w:t>
      </w:r>
      <w:bookmarkEnd w:id="28"/>
      <w:r>
        <w:t xml:space="preserve"> </w:t>
      </w:r>
    </w:p>
    <w:p w:rsidR="005A160F" w:rsidRDefault="005A160F" w:rsidP="005A160F">
      <w:pPr>
        <w:pStyle w:val="Heading4"/>
      </w:pPr>
      <w:r>
        <w:t>Legal precedent is based on reproductive futurity and the continuance of the same, reinforcing homonormative  power structures through the rule of law.</w:t>
      </w:r>
    </w:p>
    <w:p w:rsidR="005A160F" w:rsidRDefault="005A160F" w:rsidP="005A160F">
      <w:r>
        <w:rPr>
          <w:b/>
          <w:sz w:val="26"/>
          <w:szCs w:val="26"/>
        </w:rPr>
        <w:t xml:space="preserve">Campbell 12’ </w:t>
      </w:r>
      <w:r>
        <w:t>[Peter, PHD in Speech Communicatio from the University of Illinois, “The Procedural Queer: Substantive Due Process, Lawrence v. Texas, and Queer Rhetorical Futures,” Quarterly Journal of Speech, 220-221] ER</w:t>
      </w:r>
    </w:p>
    <w:p w:rsidR="005A160F" w:rsidRPr="00FF4636" w:rsidRDefault="005A160F" w:rsidP="005A160F">
      <w:pPr>
        <w:rPr>
          <w:rStyle w:val="StyleUnderline"/>
        </w:rPr>
      </w:pPr>
      <w:r w:rsidRPr="00FF4636">
        <w:rPr>
          <w:rStyle w:val="Emphasis"/>
        </w:rPr>
        <w:t>From a radical queer standpoint, any judicial decision</w:t>
      </w:r>
      <w:r w:rsidRPr="00FF4636">
        <w:rPr>
          <w:rStyle w:val="StyleUnderline"/>
        </w:rPr>
        <w:t xml:space="preserve"> on marriage equality </w:t>
      </w:r>
      <w:r w:rsidRPr="00FF4636">
        <w:rPr>
          <w:rStyle w:val="Emphasis"/>
        </w:rPr>
        <w:t>will almost certainly represent a problematic reification of ‘‘homonormativity</w:t>
      </w:r>
      <w:r w:rsidRPr="00FF4636">
        <w:rPr>
          <w:sz w:val="16"/>
        </w:rPr>
        <w:t xml:space="preserve">.’’147 What is evident in the contrast between Walker’s arguments from due process and his arguments from equal protection is that even </w:t>
      </w:r>
      <w:r w:rsidRPr="00FF4636">
        <w:rPr>
          <w:rStyle w:val="StyleUnderline"/>
        </w:rPr>
        <w:t xml:space="preserve">in jurisprudential rhetoric about marriage, due process analysis is simply less inconsistent with radical queer theory’s critique of hetero and homonormative identity politics. </w:t>
      </w:r>
      <w:r w:rsidRPr="00FF4636">
        <w:rPr>
          <w:rStyle w:val="Emphasis"/>
        </w:rPr>
        <w:t>Puar is correct that much of Lawrence seeks to define and classify queer identity in ‘‘domestinormative’’ terms</w:t>
      </w:r>
      <w:r w:rsidRPr="00FF4636">
        <w:rPr>
          <w:rStyle w:val="StyleUnderline"/>
        </w:rPr>
        <w:t>.</w:t>
      </w:r>
      <w:r w:rsidRPr="00FF4636">
        <w:rPr>
          <w:sz w:val="16"/>
        </w:rPr>
        <w:t xml:space="preserve"> Kennedy’s ultimate legal finding that in the context of his due process analysis ‘‘the Texas statute furthers no legitimate state interest which can justify its intrusion into the personal and private life of the individual’’ establishes no doctrinal precedent for the constitutional protection of queer public life. Nonetheless, Kennedy’s due process finding in Lawrence through rational basis review is not*as it would have been were it a finding based on equal protection*in any way necessitated by </w:t>
      </w:r>
      <w:r w:rsidRPr="00FF4636">
        <w:rPr>
          <w:rStyle w:val="StyleUnderline"/>
        </w:rPr>
        <w:t xml:space="preserve">Kennedy’s definition and classification earlier in the decision of queer identity in terms of heterosexual relationship norms. The lesson here for queer rhetorical scholars is that </w:t>
      </w:r>
      <w:r w:rsidRPr="00FF4636">
        <w:rPr>
          <w:rStyle w:val="Emphasis"/>
        </w:rPr>
        <w:t>claims based on equal protection are simultaneously inherently limiting and inadequate</w:t>
      </w:r>
      <w:r w:rsidRPr="00FF4636">
        <w:rPr>
          <w:rStyle w:val="StyleUnderline"/>
        </w:rPr>
        <w:t xml:space="preserve">. </w:t>
      </w:r>
      <w:r w:rsidRPr="00FF4636">
        <w:rPr>
          <w:sz w:val="16"/>
        </w:rPr>
        <w:t>It took 17 years for the Court to at least partially rectify the Bowers decision and decide that rather than representing a simple and nondiscriminatory state interest in ‘‘preserving morality,’’ the Georgia statute constituted a prejudicial and substantial deprivation of liberty, and that accordingly substantive due process most certainly does apply. Due process matters to queer politics</w:t>
      </w:r>
      <w:r w:rsidRPr="00FF4636">
        <w:rPr>
          <w:rStyle w:val="StyleUnderline"/>
        </w:rPr>
        <w:t>. The distinction between equal protection and due process claims in terms of how they play out in judicial argument is accordingly of vital concern to the goal of radical ‘‘queer world making’’ in the United States.</w:t>
      </w:r>
      <w:r w:rsidRPr="00FF4636">
        <w:rPr>
          <w:sz w:val="16"/>
        </w:rPr>
        <w:t xml:space="preserve"> Due process jurisprudence, while constrained by the deep limitations of the Constitution for any kind of radical politics, at least allows for a partial constitutional recognition of the mutable and political nature of identity. Here is a future vision of constitutional law that can be aligned in favor of a Constitution that stands as a ‘‘perhaps even forever unknowable’’148 legal resource for the struggle against violently heteronormative oppression. </w:t>
      </w:r>
      <w:r w:rsidRPr="00FF4636">
        <w:rPr>
          <w:rStyle w:val="Emphasis"/>
        </w:rPr>
        <w:t>Even radical (from a constitutional perspective) doctrinal change will not adequately address ‘‘informal’’ hetero and other normative citizenship structures that pervade and constrain the conditions of meaningful life in the United States</w:t>
      </w:r>
      <w:r w:rsidRPr="00FF4636">
        <w:rPr>
          <w:sz w:val="16"/>
        </w:rPr>
        <w:t>.149 Precisely because of this, queer rhetorical scholars would do well to engage a procedural queer consideration of the relative positive and negative impact different forms of constitutional judicial argument and doctrinal interpretation might have to the goal of advancing radical queer political change. This essay highlights the need for future queer rhetorical analyses of legal decisions to consider the relationships between rhetorical, legal, and queer theoretical understandings of normativity and contingency. Similarly, Hasian, Condit, and Lucaites call for a legal studies that situates legal rhetors as participants in a ‘‘rhetorical culture,’’ arguing that legal rhetoric should be understood in terms of the judiciary’s struggle to not only make sound legal decisions but to legitimate those decisions in public.150 This is not to say that the critical legal rhetorical scholarship advocated by Hasian, Condit, and Lucaites is unconcerned with the specific doctrinal content of legal argument in the United States. Rather, the doctrinal decisions that judges make in resolving court cases are refracted through the ‘‘particular worldview[s]’’ held by judges as a result of their role as actors within rhetorical culture.151 Consequently, ‘‘the relevant standard of justice is ... contingent probability, not certainty.’’152 If the relevant standard of justice is ‘‘contingent probability,’’ then justice is classically rhetorical. Lucaites and Condit argue in their introduction to Contemporary Rhetorical Theory that both classical rhetoric153 and the contemporary scholarship still indebted to it154 are grounded in an understanding of rhetoric as the legitimation of decisions made in situations defined by ‘‘contingency,’’ where actions must be taken but ‘‘decision makers are forced to rely upon probabilities rather than certainties.</w:t>
      </w:r>
      <w:r w:rsidRPr="00FF4636">
        <w:rPr>
          <w:rStyle w:val="StyleUnderline"/>
        </w:rPr>
        <w:t xml:space="preserve">’’155 The ‘‘impermanent’’ and uncertain nature of the law in rhetorical culture reveals the law as a site of constant articulation and re-articulation of imperfect and inadequate compromise between competing actors and groups in the United States. </w:t>
      </w:r>
      <w:r w:rsidRPr="00FF4636">
        <w:rPr>
          <w:rStyle w:val="Emphasis"/>
        </w:rPr>
        <w:t>Because of its assumption of the constant and unforeclosable excess of meaning in public policy discourse</w:t>
      </w:r>
      <w:r w:rsidRPr="00FF4636">
        <w:rPr>
          <w:rStyle w:val="StyleUnderline"/>
        </w:rPr>
        <w:t>,</w:t>
      </w:r>
      <w:r w:rsidRPr="00FF4636">
        <w:rPr>
          <w:sz w:val="16"/>
        </w:rPr>
        <w:t xml:space="preserve"> metapolitical157 rhetorical analysis shows how rhetoric can be useful to scholarship interested in exploring the queer futurist potential of different examples of public discourse. Similarly, there are connections between queer theoretical commitments to poststructural critiques of identity politics and rhetorical theories of contingency158 that can be useful to queer </w:t>
      </w:r>
      <w:r w:rsidRPr="00FF4636">
        <w:rPr>
          <w:sz w:val="16"/>
        </w:rPr>
        <w:lastRenderedPageBreak/>
        <w:t xml:space="preserve">rhetorical scholarship. </w:t>
      </w:r>
      <w:r w:rsidRPr="00FF4636">
        <w:rPr>
          <w:rStyle w:val="Emphasis"/>
        </w:rPr>
        <w:t>Continued work to theorize such connections will be useful not only because of the similarities between contingency and the queer futurist embrace of uncertainty</w:t>
      </w:r>
      <w:r w:rsidRPr="00FF4636">
        <w:rPr>
          <w:rStyle w:val="StyleUnderline"/>
        </w:rPr>
        <w:t>, but also because of potentially productive tensions between poststructural queer politics and the interest in normativity common to both rhetoric and the law.</w:t>
      </w:r>
      <w:r w:rsidRPr="00FF4636">
        <w:rPr>
          <w:sz w:val="16"/>
        </w:rPr>
        <w:t xml:space="preserve"> Hasian, Condit, and Lucaites argue that the ‘‘impermanent’’ ‘‘feeling’’ resulting from understanding the law as part and parcel of ‘‘rhetorical culture’’ ‘‘has the advantage of allowing openness to needed change; and in point of fact, assumes that publicly warranted changes will be made.’’ This certainly sounds like Kennedy’s metadiscussion of ideal due process interpretation in Lawrence*</w:t>
      </w:r>
      <w:r w:rsidRPr="00FF4636">
        <w:rPr>
          <w:rStyle w:val="StyleUnderline"/>
        </w:rPr>
        <w:t>but here there are evident tensions between radical queer analysis and critical legal rhetorical scholarship.</w:t>
      </w:r>
      <w:r w:rsidRPr="00FF4636">
        <w:rPr>
          <w:sz w:val="16"/>
        </w:rPr>
        <w:t xml:space="preserve"> </w:t>
      </w:r>
      <w:r w:rsidRPr="00FF4636">
        <w:rPr>
          <w:rStyle w:val="StyleUnderline"/>
        </w:rPr>
        <w:t xml:space="preserve">If part of the advantage of understanding the law in terms of rhetorical culture is the ability to </w:t>
      </w:r>
      <w:r w:rsidRPr="00FF4636">
        <w:rPr>
          <w:rStyle w:val="Emphasis"/>
        </w:rPr>
        <w:t>see legal decisions as productive of ‘‘a modicum of stability and predictability’’</w:t>
      </w:r>
      <w:r w:rsidRPr="00FF4636">
        <w:rPr>
          <w:rStyle w:val="StyleUnderline"/>
        </w:rPr>
        <w:t xml:space="preserve"> through ‘‘‘compromise,’‘stand-off,’ or ‘concordance’ among social actors motivated by competing interests,’’159 </w:t>
      </w:r>
      <w:r w:rsidRPr="00FF4636">
        <w:rPr>
          <w:rStyle w:val="Emphasis"/>
        </w:rPr>
        <w:t>then the radical queer theory of Puar, Butler, Phelan, and others suggests that this ‘‘modicum of stability and predictability’’ will be constantly reproduced in terms of heteronormative, homonormative, or some other valence of eviscerating normative oppression</w:t>
      </w:r>
      <w:r w:rsidRPr="00FF4636">
        <w:rPr>
          <w:sz w:val="16"/>
        </w:rPr>
        <w:t xml:space="preserve">. The contingent aspect of radical queer politics has less to do with the inevitably probabilistic nature of situations that demand attempts at change, than with the political choice to embrace uncertainty itself as the basis and desired end result of politics of resistance to ever shifting boundaries of oppression. Here critical legal rhetorical and radical queer futurist analysis differ in their conclusions about the ethical value of legal rhetorical culture grounded in and understood through contingency. For </w:t>
      </w:r>
      <w:r w:rsidRPr="00FF4636">
        <w:rPr>
          <w:rStyle w:val="StyleUnderline"/>
        </w:rPr>
        <w:t xml:space="preserve">the one, the temporary articulation of normative certainty in the face of contingent rhetorical situations is politically productive; </w:t>
      </w:r>
      <w:r w:rsidRPr="00FF4636">
        <w:rPr>
          <w:rStyle w:val="Emphasis"/>
        </w:rPr>
        <w:t>for the other, the value of contingent politics is the ability to constantly reject strategies of normative foundationalism.</w:t>
      </w:r>
    </w:p>
    <w:p w:rsidR="00503D5F" w:rsidRDefault="00503D5F" w:rsidP="00503D5F">
      <w:pPr>
        <w:pStyle w:val="Heading3"/>
      </w:pPr>
      <w:bookmarkStart w:id="29" w:name="_Toc489138923"/>
      <w:r>
        <w:lastRenderedPageBreak/>
        <w:t>Link: CTE—Educational Competitiveness</w:t>
      </w:r>
      <w:bookmarkEnd w:id="29"/>
      <w:r>
        <w:t xml:space="preserve"> </w:t>
      </w:r>
    </w:p>
    <w:p w:rsidR="00503D5F" w:rsidRDefault="00503D5F" w:rsidP="00503D5F">
      <w:pPr>
        <w:pStyle w:val="Heading4"/>
      </w:pPr>
      <w:r>
        <w:t>Discourses of educational competitiveness recruit children into a national fantasy of economic productivity—this reproductive futurism constrains the possibilities of education</w:t>
      </w:r>
    </w:p>
    <w:p w:rsidR="00503D5F" w:rsidRPr="00A14BE2" w:rsidRDefault="00503D5F" w:rsidP="00503D5F">
      <w:r w:rsidRPr="00E556DA">
        <w:rPr>
          <w:rStyle w:val="Author-Date"/>
        </w:rPr>
        <w:t xml:space="preserve">Schmid, 14 </w:t>
      </w:r>
      <w:r w:rsidRPr="00D05B40">
        <w:t>[Ph.D from Temple University Graduate Board 2014, and granted to Educational Training Service. Also written in conjunction with Daniel T. O’Hara, Advisory Chair, English, Temple University Alan Singer, English, Temple University</w:t>
      </w:r>
      <w:r w:rsidRPr="00D05B40">
        <w:rPr>
          <w:rFonts w:ascii="MS Mincho" w:eastAsia="MS Mincho" w:hAnsi="MS Mincho" w:cs="MS Mincho"/>
        </w:rPr>
        <w:t> </w:t>
      </w:r>
      <w:r w:rsidRPr="00D05B40">
        <w:t>Laura Levitt, Religion, Temple University and Rebecca Alpert, Religion, Temple University | “Fail Better: The Aesthetics of Contemporary Criticism” A Dissertation</w:t>
      </w:r>
      <w:r w:rsidRPr="00D05B40">
        <w:rPr>
          <w:rFonts w:ascii="MS Mincho" w:eastAsia="MS Mincho" w:hAnsi="MS Mincho" w:cs="MS Mincho"/>
        </w:rPr>
        <w:t xml:space="preserve"> </w:t>
      </w:r>
      <w:r w:rsidRPr="00D05B40">
        <w:t>Submitted to</w:t>
      </w:r>
      <w:r w:rsidRPr="00D05B40">
        <w:rPr>
          <w:rFonts w:ascii="MS Mincho" w:eastAsia="MS Mincho" w:hAnsi="MS Mincho" w:cs="MS Mincho"/>
        </w:rPr>
        <w:t> </w:t>
      </w:r>
      <w:r w:rsidRPr="00D05B40">
        <w:t>the Temple University Graduate Board, May 2014 pg. 38-48]</w:t>
      </w:r>
    </w:p>
    <w:p w:rsidR="00503D5F" w:rsidRPr="004422F6" w:rsidRDefault="00503D5F" w:rsidP="00503D5F">
      <w:pPr>
        <w:rPr>
          <w:rStyle w:val="StyleUnderline"/>
        </w:rPr>
      </w:pPr>
      <w:r w:rsidRPr="004422F6">
        <w:rPr>
          <w:sz w:val="14"/>
        </w:rPr>
        <w:t xml:space="preserve">While one could expound on myriad problems raised by the last thirty years of education reforms, I focus on </w:t>
      </w:r>
      <w:r w:rsidRPr="005A2B5D">
        <w:rPr>
          <w:rStyle w:val="StyleUnderline"/>
        </w:rPr>
        <w:t>the language used to describe both educational “success” and the approach to achieving it</w:t>
      </w:r>
      <w:r w:rsidRPr="004422F6">
        <w:rPr>
          <w:sz w:val="14"/>
        </w:rPr>
        <w:t xml:space="preserve">, specifically in the current Common Core State Standards Initiative (CCSS). As a full account of the ‘standards movement’ is not within the scope of my project, I look mainly at this latest instantiation of accountability reform, because it circulates and </w:t>
      </w:r>
      <w:r w:rsidRPr="005A2B5D">
        <w:rPr>
          <w:rStyle w:val="Emphasis"/>
        </w:rPr>
        <w:t>is realizing a vision of education as primarily a means to employment.</w:t>
      </w:r>
      <w:r w:rsidRPr="004422F6">
        <w:rPr>
          <w:sz w:val="14"/>
        </w:rPr>
        <w:t xml:space="preserve"> I suggest that </w:t>
      </w:r>
      <w:r w:rsidRPr="005A2B5D">
        <w:rPr>
          <w:rStyle w:val="StyleUnderline"/>
        </w:rPr>
        <w:t xml:space="preserve">the emphasis on ‘college- and career-readiness’ as well as the rationale undergirding the initiative, ‘global economic competitiveness,’ render academic literary study necessarily indefensible, since it is not mainly concerned with making studiers employable. </w:t>
      </w:r>
      <w:r w:rsidRPr="004422F6">
        <w:rPr>
          <w:sz w:val="14"/>
        </w:rPr>
        <w:t xml:space="preserve">In The Queer Art of Failure, Judith Halberstam explains, </w:t>
      </w:r>
      <w:r w:rsidRPr="005A2B5D">
        <w:rPr>
          <w:rStyle w:val="Emphasis"/>
        </w:rPr>
        <w:t xml:space="preserve">“success in a heteronormative, capitalist society equates too easily to specific forms of reproductive maturity and </w:t>
      </w:r>
      <w:r w:rsidRPr="005A2B5D">
        <w:rPr>
          <w:rStyle w:val="Emphasis"/>
          <w:bdr w:val="single" w:sz="4" w:space="0" w:color="auto"/>
        </w:rPr>
        <w:t>wealth accumulation</w:t>
      </w:r>
      <w:r w:rsidRPr="004422F6">
        <w:rPr>
          <w:sz w:val="14"/>
        </w:rPr>
        <w:t>” (2). S/he3 elaborates on this in an interview with Sinclair Sexsmith: ...</w:t>
      </w:r>
      <w:r w:rsidRPr="005A2B5D">
        <w:rPr>
          <w:rStyle w:val="Emphasis"/>
        </w:rPr>
        <w:t>at this moment, intense capitalist accumulation, we’re living with one model of success and failure and one model alone. And that model is, that to make money and to advance professionally is what it means to be successful, and everything else is failure</w:t>
      </w:r>
      <w:r w:rsidRPr="004422F6">
        <w:rPr>
          <w:sz w:val="14"/>
        </w:rPr>
        <w:t xml:space="preserve">. That’s given us a zero-sum model against which we can judge our achievements in life, and </w:t>
      </w:r>
      <w:r w:rsidRPr="005A2B5D">
        <w:rPr>
          <w:rStyle w:val="StyleUnderline"/>
        </w:rPr>
        <w:t>that’s very unfortunate, because it squashes out all kinds of people doing alternative things for alternative reasons that may be much more valuable to their communities and to the world.</w:t>
      </w:r>
      <w:r w:rsidRPr="004422F6">
        <w:rPr>
          <w:sz w:val="14"/>
        </w:rPr>
        <w:t xml:space="preserve"> This is model of success envisioned in and as the dominant discourse in national education, particularly CCSS, the standards-based reform effort coordinated by National Governor’s Association (NGA) and the Council of Chief State School Officers (CCSSO). CCSS is the latest mechanism of accountability </w:t>
      </w:r>
      <w:r w:rsidRPr="005A2B5D">
        <w:rPr>
          <w:rStyle w:val="StyleUnderline"/>
        </w:rPr>
        <w:t>policies in education</w:t>
      </w:r>
      <w:r w:rsidRPr="004422F6">
        <w:rPr>
          <w:sz w:val="14"/>
        </w:rPr>
        <w:t xml:space="preserve">, which aim to </w:t>
      </w:r>
      <w:r w:rsidRPr="005A2B5D">
        <w:rPr>
          <w:rStyle w:val="StyleUnderline"/>
        </w:rPr>
        <w:t>ensure global economic competitiveness and educational equity by establishing high educational standards, systems for measuring the achievement of those standards, and punitive consequences for failing to achieve them</w:t>
      </w:r>
      <w:r w:rsidRPr="004422F6">
        <w:rPr>
          <w:sz w:val="14"/>
        </w:rPr>
        <w:t xml:space="preserve"> (Mathis). Though “success” is never explicitly defined, the goal of education reiterated throughout the CCSS website, www.corestandards.org, is ‘college- and career- readiness’—a more palatable version of Halberstam’s ‘making money and advancing professionally.’ </w:t>
      </w:r>
      <w:r w:rsidRPr="005A2B5D">
        <w:rPr>
          <w:rStyle w:val="StyleUnderline"/>
        </w:rPr>
        <w:t xml:space="preserve">The language used situates the initiative as a means to a seemingly universally desirable end—economic competitiveness—and encourages the public to view education as primarily a means to this end. </w:t>
      </w:r>
      <w:r w:rsidRPr="004422F6">
        <w:rPr>
          <w:sz w:val="14"/>
        </w:rPr>
        <w:t>While ‘making money and advancing professionally’ are undoubtedly practical goals, when</w:t>
      </w:r>
      <w:r w:rsidRPr="005A2B5D">
        <w:rPr>
          <w:rStyle w:val="Emphasis"/>
        </w:rPr>
        <w:t xml:space="preserve"> they become the primary aim of education they ‘squash out all kinds people’ studying non-money-making things, in non- money-making ways, for non-money-making reasons</w:t>
      </w:r>
      <w:r w:rsidRPr="004422F6">
        <w:rPr>
          <w:sz w:val="14"/>
        </w:rPr>
        <w:t>. And the language used in the CCSS website does just this. Per the CCSS website, educational success is undeniably linked to getting a job. In the “Frequently Asked Questions” section of the “About the Standards” page, the Common Core is defined as “a set of clear college- and career-ready standards for kindergarten through 12th grade in English language arts/ literacy and mathematics” and the site uses “college- and career- readiness/ ready” so frequently that it might be read as a kind of Orwellian ‘duck speak.’ The nuances of “education,” “educating,” and being “educated,” are obscured in the ‘double-plus good’ of being employed/ employable. For example, the page dedicated to ‘what parents should know’ begins with the following</w:t>
      </w:r>
      <w:r w:rsidRPr="005A2B5D">
        <w:rPr>
          <w:rStyle w:val="StyleUnderline"/>
        </w:rPr>
        <w:t>: Today’s students are preparing to enter a world in which colleges and businesses are demanding more than ever before.</w:t>
      </w:r>
      <w:r w:rsidRPr="004422F6">
        <w:rPr>
          <w:sz w:val="14"/>
        </w:rPr>
        <w:t xml:space="preserve"> To ensure all students are ready for success after high school, the Common Core State Standards establish clear, consistent guidelines for what every student should know and be able to do in math and English language arts from kindergarten through 12th grade. The same response is given for the ‘frequently asked question’ “What do the Common Core State Standards mean for students.” And the site provides the following response to the ‘frequently asked question’ “Why are the Common Core State Standards Important”: High standards that are consistent across states provide teachers, parents, and students with a set of clear expectations to ensure that all students have the skills and knowledge necessary to succeed in college, career, and life upon graduation from high school, regardless of where they live. These standards are aligned to the expectations of colleges, workforce training programs, and employers. While “life” tends to be tacked on to success in college and careers, the standards are ‘aligned to the expectations of colleges, workforce training programs, and employers.’ Granted, success in life can be described in potentially infinite ways, and thus it is perhaps unfair to expect the website to do more than gesture towards all of the possibilities. And yet, the emphasis on </w:t>
      </w:r>
      <w:r w:rsidRPr="004422F6">
        <w:rPr>
          <w:sz w:val="14"/>
        </w:rPr>
        <w:lastRenderedPageBreak/>
        <w:t xml:space="preserve">employment/ employability indicates that </w:t>
      </w:r>
      <w:r w:rsidRPr="005A2B5D">
        <w:rPr>
          <w:rStyle w:val="StyleUnderline"/>
        </w:rPr>
        <w:t>the kind of (life) success education aims for is financial</w:t>
      </w:r>
      <w:r w:rsidRPr="004422F6">
        <w:rPr>
          <w:sz w:val="14"/>
        </w:rPr>
        <w:t xml:space="preserve">. “College-readiness” appears to offset the emphasis on employment. The website describes this condition as being “prepared to take credit bearing introductory courses in two- or four-year colleges.” Yet success in college is ultimately understood as graduating.4 And when we consider the “five key pieces of information” that the College Scorecard tool uses to determine a college’s rating—“costs, graduation rate, loan default rate, median borrowing, and employment” (http://www.whitehouse.gov)—it is clear that the value of college is first and foremost a financial decision rooted in employability. That is, </w:t>
      </w:r>
      <w:r w:rsidRPr="005A2B5D">
        <w:rPr>
          <w:rStyle w:val="Emphasis"/>
        </w:rPr>
        <w:t>deciding about college education is a cost-benefit analysis that weighs the amount you’ll end up paying for your education against the likelihood that you’ll not only graduate but also secure a job that will enable you to pay back your student loans. Practical as this may be, it does not leave much room for those non-money making majors and, depending on the ideology of the political party in power, majors related to careers that rely mainly or exclusively on public funding,</w:t>
      </w:r>
      <w:r w:rsidRPr="004422F6">
        <w:rPr>
          <w:sz w:val="14"/>
        </w:rPr>
        <w:t xml:space="preserve"> i.e. P- 12 education and social work. The translation of educational success as eventual financial success becomes clearer when we consider that </w:t>
      </w:r>
      <w:r w:rsidRPr="005A2B5D">
        <w:rPr>
          <w:rStyle w:val="Emphasis"/>
        </w:rPr>
        <w:t>the past thirty years of education reform has been driven by the seemingly unarguable value of ‘global economic competitiveness.</w:t>
      </w:r>
      <w:r w:rsidRPr="004422F6">
        <w:rPr>
          <w:sz w:val="14"/>
        </w:rPr>
        <w:t xml:space="preserve">’ The in/famous 1983 report A Nation at Risk: The Imperative for Educational Reform set the tone for discussions of education reform and descriptions of educational success: The world is indeed one global village. We live among determined, well- educated, and strongly motivated competitors. We compete with them for international standing and markets, not only with products but also with the ideas of our laboratories and neighborhood workshops...Knowledge, learning, information, and skilled intelligence are the new raw materials of international commerce and are today spreading throughout the world as vigorously as miracle drugs, synthetic fertilizers, and blue jeans did earlier. If only to keep and improve on the slim competitive edge we still retain in world markets, we must dedicate ourselves to the reform of our educational system for the benefit of all. (10). Since its publication, education reform has, for better or worse, sought to ‘keep and improve on America’s slim competitive edge in world markets.’ While the attitude of American exceptionalism has been more or less toned down in government-produced discourse, </w:t>
      </w:r>
      <w:r w:rsidRPr="005A2B5D">
        <w:rPr>
          <w:rStyle w:val="Emphasis"/>
        </w:rPr>
        <w:t>educational success continues to be defined in terms of students’ ability to help the US compete economically.</w:t>
      </w:r>
      <w:r w:rsidRPr="004422F6">
        <w:rPr>
          <w:sz w:val="14"/>
        </w:rPr>
        <w:t xml:space="preserve"> And thus one of the main rationales used to justify CCSS is global economic competitiveness. In The “Common Core” Standards Initiative: An Effective Reform Tool?, William J. Mathis explains: According to the [Obama] administration, common standards are necessary for national economic competitiveness in a global economy... President Obama’s letter transmitting the Blueprint to Congress says that “we must raise the expectations for our students, for our schools and for ourselves” to prevent other nations from out-competing us. The National Governors Association and Council of Chief State School Officers also assert that international competitiveness requires common core standards. Think tanks and business organizations routinely link standards to economic competitiveness. (2). Later, he notes that “[t]hose advocating common standards often lead with some variation on their important role in helping the U.S. compete effectively in an international 21st century society” (6). Though Mathis is mainly concerned with challenging the assumptions upon which the initiative is based, his discussion indicates that, </w:t>
      </w:r>
      <w:r w:rsidRPr="004422F6">
        <w:rPr>
          <w:rStyle w:val="StyleUnderline"/>
        </w:rPr>
        <w:t xml:space="preserve">per the dominant discourse, economic competitiveness is an unarguably valuable goal for education. </w:t>
      </w:r>
      <w:r w:rsidRPr="004422F6">
        <w:rPr>
          <w:sz w:val="14"/>
        </w:rPr>
        <w:t xml:space="preserve">As a ‘leading’ rationale, its value seems to go without saying. </w:t>
      </w:r>
      <w:r w:rsidRPr="004422F6">
        <w:rPr>
          <w:rStyle w:val="StyleUnderline"/>
        </w:rPr>
        <w:t>Though equity and reducing achievement gaps are also cited as motivating factors, such goals are complicated not only by a range of funding issues (Mathis 14-5), but also by the role of corporations in policy development.</w:t>
      </w:r>
      <w:r w:rsidRPr="004422F6">
        <w:rPr>
          <w:sz w:val="14"/>
        </w:rPr>
        <w:t xml:space="preserve"> Mathis situates CCSS as an extension of President George H.W. Bush’s 1989 reform efforts, specifically his meeting with National Business Roundtable leaders to establish “the nine essential components of a high-quality education system” and his “first ‘education summit,’ at which governors agreed to set national goals.” Mathis explains: “Educators were for the most part not represented in these two efforts. As a result, standards-making shifted from the professional sphere to a business- influenced political domain” (4). This shift is clear in the development of CCSS. Mathis explains: </w:t>
      </w:r>
      <w:r w:rsidRPr="004422F6">
        <w:rPr>
          <w:rStyle w:val="StyleUnderline"/>
        </w:rPr>
        <w:t xml:space="preserve">Historically, the development of subject-matter standards had been the province of specialists in those subjects working in universities and schools. By contrast, Achieve [the corporation commissioned to draft the standards] work groups met in private and the development work was conducted by persons who were not, with apparently only one single exception, K-12 educators. </w:t>
      </w:r>
      <w:r w:rsidRPr="004422F6">
        <w:rPr>
          <w:sz w:val="14"/>
        </w:rPr>
        <w:t xml:space="preserve">The work groups were staffed almost exclusively by employees of Achieve, testing companies (ACT and the College Board), and pro-accountability groups (e.g., America’s Choice, Student Achievement Partners, the Hover Institute)... </w:t>
      </w:r>
      <w:r w:rsidRPr="004422F6">
        <w:rPr>
          <w:rStyle w:val="StyleUnderline"/>
        </w:rPr>
        <w:t>Of the more than 65 people involved in the common core design and review, only one was a classroom teacher and no school administrator is listed as being a member of the groups.</w:t>
      </w:r>
      <w:r w:rsidRPr="004422F6">
        <w:rPr>
          <w:sz w:val="14"/>
        </w:rPr>
        <w:t xml:space="preserve"> (5). Work groups may have included former teachers, as some employees of testing companies do have classroom teaching experience5. But, at the very least, the overwhelming contribution of businesses and political groups to reform efforts suggests that economic outcomes played a major role in determining what constitutes educational equity, reduction in achievement gaps, and success in college, careers, and life. It should also be noted that the “Gates Foundation provided more than $160 million in funding, without which Common Core would not exist” (Karp)6. One might reasonably assume that successful business practices can provide helpful strategies for re/organizing leadership as well as creating and implementing effective capacity-building efforts.7 Yet, when business standards and business-thinking drive content standards in non-business related fields, </w:t>
      </w:r>
      <w:r w:rsidRPr="004422F6">
        <w:rPr>
          <w:rStyle w:val="Emphasis"/>
        </w:rPr>
        <w:t xml:space="preserve">it is difficult to argue that the aim of education is not financial success. </w:t>
      </w:r>
      <w:r w:rsidRPr="004422F6">
        <w:rPr>
          <w:sz w:val="14"/>
        </w:rPr>
        <w:t xml:space="preserve">This becomes (painfully) obvious in the Common Core State Standards for English language Arts &amp; Literacy in History/ Social Studies, Science, and Technical Subjects Standards (ELA Standards)—the full name of the ELA Standards, which pretty much says it all. Reflecting the unarguable goal of employment/ employability, the ELA Standards explicitly value non-literary experiences over literary ones. As an educational endeavor lacking an obvious and/or demonstrable connection to economic competitiveness, literary study is less valued and more vulnerable to revisions and/or cuts. In the “Key Design Considerations” section of the introduction to the ELA Standards, the website provides specific recommendations for the percentages of literary and informational texts taught. Using the 2009 National Assessment of Educational Progress (NAEP) as a model of college- and career-ready reading, the ELA Standards suggest a </w:t>
      </w:r>
      <w:r w:rsidRPr="004422F6">
        <w:rPr>
          <w:sz w:val="14"/>
        </w:rPr>
        <w:lastRenderedPageBreak/>
        <w:t xml:space="preserve">50/50 split between literary and informational texts through 4th grade. But the distribution increasingly favors informational texts as students progress through school. By 8th grade, students should be reading 55% informational texts and 45% literary ones, and by 12th grade, students’ reading diets should consist of 70% informational texts and only 30% literary ones (www.corestandards/ELA-Literacy/). Despite the website’s emphasis on the “[s]hared responsibility for students’ literacy development,” English teachers must teach nonfiction texts if the school adheres to this breakdown. This, in itself, is not necessarily a major issue, as informational texts can enhance the experience of reading literature. The problem is the rationale: Part of the motivation behind the interdisciplinary approach to literacy promulgated by the Standards is extensive research establishing the need for college and career ready students to be proficient in reading complex informational text independently in a variety of content areas. Most of the required reading in college and workforce training programs is informational in structure and challenging in content. This is reiterated in Appendix A of the ELA Standards: Students today are asked to read very little expository text... yet much research supports the conclusion that such text is harder for most students to read than is narrative text... that students need sustained exposure to expository text to develop important reading strategies... and that expository text makes up the vast majority of the required reading in college and the workplace. (3). And again on the “Key Shifts in English Language Arts” page: </w:t>
      </w:r>
      <w:r w:rsidRPr="004422F6">
        <w:rPr>
          <w:rStyle w:val="StyleUnderline"/>
        </w:rPr>
        <w:t xml:space="preserve">Students must be immersed in information about the world around them if they are to develop the strong general knowledge and vocabulary they need to become successful readers and be prepared for college, career, and life. </w:t>
      </w:r>
      <w:r w:rsidRPr="004422F6">
        <w:rPr>
          <w:sz w:val="14"/>
        </w:rPr>
        <w:t xml:space="preserve">Informational texts play an important part in building students’ content knowledge. One might agree that “the standards pay substantial attention to literature, as it constitutes half of the reading in K-5 and is the core of the work in 6-12 ELA teachers.” But </w:t>
      </w:r>
      <w:r w:rsidRPr="004422F6">
        <w:rPr>
          <w:rStyle w:val="StyleUnderline"/>
        </w:rPr>
        <w:t xml:space="preserve">success is clearly not associated with reading literature, specifically because reading literature is not an activity primarily associated with marketable employment skills. </w:t>
      </w:r>
      <w:r w:rsidRPr="004422F6">
        <w:rPr>
          <w:sz w:val="14"/>
        </w:rPr>
        <w:t>This is also reinforced in the suggestions for writing assignments and assessments. Using the NAEP guidelines, the ELA Standards recommend a steady increase in persuasive and explanatory writing, rather than writing that conveys real or imagined experience, i.e. narrative. By 8th grade, students’ writing should be 35% persuasive, 35% explanatory, and 30% narrative; by 12th grade, students’ writing should be 40% persuasive, 40% explanatory, and 20% narrative. Taken together, the ELA Standards endorse an understanding of college- and career-ready literacy as overwhelmingly non-literary, specifically because literary endeavors do not contribute much to the goal of employability. The website does attempt to make a case for the study of literature: “</w:t>
      </w:r>
      <w:r w:rsidRPr="004422F6">
        <w:rPr>
          <w:rStyle w:val="StyleUnderline"/>
        </w:rPr>
        <w:t>Through reading great classic and contemporary works of literature representative of a variety of periods, cultures, and worldviews, students can vicariously inhabit worlds and have experiences much different than their own</w:t>
      </w:r>
      <w:r w:rsidRPr="004422F6">
        <w:rPr>
          <w:sz w:val="14"/>
        </w:rPr>
        <w:t xml:space="preserve">.” And such experiences are deemed valuable because “the twenty-first-century classroom and workplace are settings in which people from often widely divergent cultures who represent diverse experiences and perspectives must learn and work together.” </w:t>
      </w:r>
      <w:r w:rsidRPr="004422F6">
        <w:rPr>
          <w:rStyle w:val="StyleUnderline"/>
        </w:rPr>
        <w:t>But this type of soft skill is not represented in any</w:t>
      </w:r>
      <w:r w:rsidRPr="004422F6">
        <w:rPr>
          <w:sz w:val="14"/>
        </w:rPr>
        <w:t xml:space="preserve"> of the actual standards. One might challenge this assessment of the literary by explaining the various </w:t>
      </w:r>
      <w:r w:rsidRPr="004422F6">
        <w:rPr>
          <w:rStyle w:val="StyleUnderline"/>
        </w:rPr>
        <w:t>marketable skills developed through academic literary study</w:t>
      </w:r>
      <w:r w:rsidRPr="004422F6">
        <w:rPr>
          <w:sz w:val="14"/>
        </w:rPr>
        <w:t>. But, I provide this portrait of CCSS to situate the discipline as a challenge to the dominant vision of education and educational success. The frequent appearance of “English”/ “Literature” on various lists of “worst college majors”—by which they mean those least likely to lead to employment—</w:t>
      </w:r>
      <w:r w:rsidRPr="004422F6">
        <w:rPr>
          <w:rStyle w:val="StyleUnderline"/>
        </w:rPr>
        <w:t>as well as the dire tenure- track employment prospects for English Ph.D.s suggest that those who opt to study literature operate under a different model of success, one that doesn’t aim primarily, if at all, for wealth accumulation and/or professional advancement.</w:t>
      </w:r>
      <w:r w:rsidRPr="004422F6">
        <w:rPr>
          <w:sz w:val="14"/>
        </w:rPr>
        <w:t xml:space="preserve"> Moreover, given the lack of jobs in the field, academic literary study might also be read </w:t>
      </w:r>
      <w:r w:rsidRPr="004422F6">
        <w:rPr>
          <w:rStyle w:val="Emphasis"/>
        </w:rPr>
        <w:t>as endorsing an alternative approach to success, one that values aimlessness and diversion as much as, if not more than, predetermined goals.</w:t>
      </w:r>
      <w:r w:rsidRPr="004422F6">
        <w:rPr>
          <w:sz w:val="14"/>
        </w:rPr>
        <w:t xml:space="preserve"> The dominant approach to success as reflected in CCSS and accountability policy more generally is setting clear goals and focusing activities on the achievement of those goals. The logical assumption is that one has a better chance of achieving success if one has a precise understanding of what success looks like before setting out to achieve it. This approach is intentionally limiting: predetermined goals keep one focused on achieving those goals and help ensure that the processes/ steps designed to facilitate achievement actually facilitate achievement. Thus, per the Common Core website, “[e]ducational standards are the learning goals for what students should know and be able to do at each grade level” and some version of the phrase appears on almost every page. Though standard-based education reform has endured justifiable criticism (Mathis 6-7), </w:t>
      </w:r>
      <w:r w:rsidRPr="004422F6">
        <w:rPr>
          <w:rStyle w:val="StyleUnderline"/>
        </w:rPr>
        <w:t xml:space="preserve">learning goals themselves are often vital components of effective instruction [NOTE: K &amp; E]. But as with the dominant definition of success, when goal-setting is understood as the primary mode of approaching and achieving success, it too </w:t>
      </w:r>
      <w:r w:rsidRPr="004422F6">
        <w:rPr>
          <w:rStyle w:val="Emphasis"/>
        </w:rPr>
        <w:t>‘squashes out people doing alternative things for alternative reasons.</w:t>
      </w:r>
      <w:r w:rsidRPr="004422F6">
        <w:rPr>
          <w:rStyle w:val="StyleUnderline"/>
        </w:rPr>
        <w:t>’</w:t>
      </w:r>
      <w:r w:rsidRPr="004422F6">
        <w:rPr>
          <w:sz w:val="14"/>
        </w:rPr>
        <w:t xml:space="preserve"> In line with his/her endorsement of failure as a mode of challenging normative notions of success, Halberstam advocates ‘undisciplined education.’ S/he explains: The desire to be taken seriously is precisely what compels people to follow the tried and true paths of knowledge production... Indeed terms like serious and rigorous tend to be the code words, in academia as well as other contexts, for disciplinary correctness; they signal a form of training and learning that confirms what is already known according to approved methods of knowing, but they do not allow for visionary insights or flights of fancy. Training of any kind, in fact, is a way of refusing a kind of Benjaminian relation to knowing, a stroll down uncharted streets in the “wrong” direction; it is precisely about staying in well-lit territories and about knowing exactly which way to go before you set out (Queer Art 6). Such an approach to educational success runs counter to that of the dominant discourse. Standards, whether “high” or “low,” are designed to ensure that students can confirm what is already known, i.e. the ‘extensively researched’ determinations of the knowledge and skills required for success in college, careers, and life. Though the CCSS website emphasizes that the standards do not dictate what or how teachers should teach, the destination is clear. </w:t>
      </w:r>
      <w:r w:rsidRPr="004422F6">
        <w:rPr>
          <w:rStyle w:val="StyleUnderline"/>
        </w:rPr>
        <w:t>Indeed the whole point of the standards is to establish a ‘clear, consistent’ understanding of where students should end up when they graduate. This does not necessarily preclude ‘visionary insights, flights of fancy, and strolls down uncharted streets in the wrong direction,’ but it undoubtedly limits the possibilities for them.</w:t>
      </w:r>
      <w:r w:rsidRPr="004422F6">
        <w:rPr>
          <w:sz w:val="14"/>
        </w:rPr>
        <w:t xml:space="preserve"> At the very least, </w:t>
      </w:r>
      <w:r w:rsidRPr="004422F6">
        <w:rPr>
          <w:rStyle w:val="StyleUnderline"/>
        </w:rPr>
        <w:t>the</w:t>
      </w:r>
      <w:r w:rsidRPr="004422F6">
        <w:rPr>
          <w:sz w:val="14"/>
        </w:rPr>
        <w:t xml:space="preserve"> seemingly unarguable </w:t>
      </w:r>
      <w:r w:rsidRPr="004422F6">
        <w:rPr>
          <w:rStyle w:val="StyleUnderline"/>
        </w:rPr>
        <w:t>value of knowing where one is going</w:t>
      </w:r>
      <w:r w:rsidRPr="004422F6">
        <w:rPr>
          <w:sz w:val="14"/>
        </w:rPr>
        <w:t xml:space="preserve">, where one should arrive, </w:t>
      </w:r>
      <w:r w:rsidRPr="004422F6">
        <w:rPr>
          <w:rStyle w:val="StyleUnderline"/>
        </w:rPr>
        <w:t>discourages</w:t>
      </w:r>
      <w:r w:rsidRPr="004422F6">
        <w:rPr>
          <w:sz w:val="14"/>
        </w:rPr>
        <w:t xml:space="preserve"> Halberstam’s undisciplined education: ‘losing one’s way,’ ‘resisting mastery,’ ‘failing,’ etc. in order to envision </w:t>
      </w:r>
      <w:r w:rsidRPr="004422F6">
        <w:rPr>
          <w:rStyle w:val="StyleUnderline"/>
        </w:rPr>
        <w:t xml:space="preserve">new modes of knowledge production and new ways of being in the world. </w:t>
      </w:r>
    </w:p>
    <w:p w:rsidR="00503D5F" w:rsidRPr="008C28BC" w:rsidRDefault="00503D5F" w:rsidP="00503D5F"/>
    <w:p w:rsidR="00503D5F" w:rsidRDefault="00503D5F" w:rsidP="00503D5F">
      <w:pPr>
        <w:pStyle w:val="Heading3"/>
      </w:pPr>
      <w:bookmarkStart w:id="30" w:name="_Toc489138924"/>
      <w:r>
        <w:lastRenderedPageBreak/>
        <w:t>Link: CTE—Job Training &amp; Skilled Workforce</w:t>
      </w:r>
      <w:bookmarkEnd w:id="30"/>
    </w:p>
    <w:p w:rsidR="00503D5F" w:rsidRDefault="00503D5F" w:rsidP="00503D5F"/>
    <w:p w:rsidR="00503D5F" w:rsidRPr="00A6513D" w:rsidRDefault="00503D5F" w:rsidP="00503D5F">
      <w:pPr>
        <w:pStyle w:val="Heading4"/>
      </w:pPr>
      <w:r>
        <w:t>The aff’s focus of training a new generation for the job market participates in a re-entrenching of children as the ideal Child. The steering of learning to create futures through promises of monetary gain and satisfying work only serves to sustain the nation.</w:t>
      </w:r>
    </w:p>
    <w:p w:rsidR="00503D5F" w:rsidRDefault="00503D5F" w:rsidP="00503D5F">
      <w:r w:rsidRPr="00A6513D">
        <w:rPr>
          <w:rStyle w:val="Heading4Char"/>
        </w:rPr>
        <w:t>Finn 15</w:t>
      </w:r>
      <w:r>
        <w:t xml:space="preserve"> (Dr. Matt Finn is a Lecturer in Human Geography at the University of Exeter specializing in critical geographies of Data. Dr. Finn has a PhD in Geography from Durham. “</w:t>
      </w:r>
      <w:r w:rsidRPr="001C194E">
        <w:t>Education, Data and Futurity: a data-based school in the North East of England</w:t>
      </w:r>
      <w:r>
        <w:t xml:space="preserve">” Published by Durham University 2015. Pages 94-97) </w:t>
      </w:r>
    </w:p>
    <w:p w:rsidR="00503D5F" w:rsidRDefault="00503D5F" w:rsidP="00503D5F">
      <w:pPr>
        <w:rPr>
          <w:rStyle w:val="StyleUnderline"/>
        </w:rPr>
      </w:pPr>
      <w:r w:rsidRPr="006F6560">
        <w:rPr>
          <w:rStyle w:val="StyleUnderline"/>
        </w:rPr>
        <w:t xml:space="preserve"> “On average people who use languages in their jobs earn 8% more”</w:t>
      </w:r>
      <w:r w:rsidRPr="00B57B7E">
        <w:rPr>
          <w:sz w:val="16"/>
        </w:rPr>
        <w:t xml:space="preserve"> reads one of several </w:t>
      </w:r>
      <w:r w:rsidRPr="006F6560">
        <w:rPr>
          <w:rStyle w:val="StyleUnderline"/>
        </w:rPr>
        <w:t>‘Did you know?’ statements on a wall</w:t>
      </w:r>
      <w:r w:rsidRPr="00B57B7E">
        <w:rPr>
          <w:sz w:val="16"/>
        </w:rPr>
        <w:t xml:space="preserve"> in a modern foreign languages classroom. These statements </w:t>
      </w:r>
      <w:r w:rsidRPr="006F6560">
        <w:rPr>
          <w:rStyle w:val="StyleUnderline"/>
        </w:rPr>
        <w:t>seek to persuade pupils of the benefits of language learning and many of them are future-oriented and most are economic in focus</w:t>
      </w:r>
      <w:r w:rsidRPr="00B57B7E">
        <w:rPr>
          <w:sz w:val="16"/>
        </w:rPr>
        <w:t xml:space="preserve">. Some give examples of what this has meant for employment in the region: “For example, Proctor and Gamble recently recruited 70 multilingual accountants for its international business centre in Newcastle-upon-Tyne”. </w:t>
      </w:r>
      <w:r w:rsidRPr="006F6560">
        <w:rPr>
          <w:rStyle w:val="Emphasis"/>
        </w:rPr>
        <w:t>Working futures are explicitly invoked in the classroom</w:t>
      </w:r>
      <w:r w:rsidRPr="006F6560">
        <w:rPr>
          <w:rStyle w:val="StyleUnderline"/>
        </w:rPr>
        <w:t xml:space="preserve"> in several forms. First, a significant rationale for engaging and succeeding in education is given as future monetary gain or the prospect of more satisfying work.</w:t>
      </w:r>
      <w:r w:rsidRPr="00B57B7E">
        <w:rPr>
          <w:sz w:val="16"/>
        </w:rPr>
        <w:t xml:space="preserve"> Second, </w:t>
      </w:r>
      <w:r w:rsidRPr="006F6560">
        <w:rPr>
          <w:rStyle w:val="StyleUnderline"/>
        </w:rPr>
        <w:t>specific professions appear often in the context of ‘options’.</w:t>
      </w:r>
      <w:r w:rsidRPr="00B57B7E">
        <w:rPr>
          <w:sz w:val="16"/>
        </w:rPr>
        <w:t xml:space="preserve"> Sometimes this is on wall posters, such as the ‘Real-life science’ posters made by the Royal Air Force (RAF), and also evident in the trips run by (and to) local universities. </w:t>
      </w:r>
      <w:r w:rsidRPr="006F6560">
        <w:rPr>
          <w:rStyle w:val="StyleUnderline"/>
        </w:rPr>
        <w:t>Some recent trips included ‘getting into nursing or medicine’ or ‘getting into law’ and some had a gender focus, such as a ‘girls’ engineering day’.</w:t>
      </w:r>
      <w:r w:rsidRPr="00B57B7E">
        <w:rPr>
          <w:sz w:val="16"/>
        </w:rPr>
        <w:t xml:space="preserve"> </w:t>
      </w:r>
      <w:r w:rsidRPr="006F6560">
        <w:rPr>
          <w:rStyle w:val="StyleUnderline"/>
        </w:rPr>
        <w:t xml:space="preserve">Textbooks </w:t>
      </w:r>
      <w:r w:rsidRPr="00B57B7E">
        <w:rPr>
          <w:sz w:val="16"/>
        </w:rPr>
        <w:t xml:space="preserve">also </w:t>
      </w:r>
      <w:r w:rsidRPr="006F6560">
        <w:rPr>
          <w:rStyle w:val="StyleUnderline"/>
        </w:rPr>
        <w:t>included, particularly for vocational qualifications, information about careers using that subject knowledge and training</w:t>
      </w:r>
      <w:r w:rsidRPr="00B57B7E">
        <w:rPr>
          <w:sz w:val="16"/>
        </w:rPr>
        <w:t xml:space="preserve">. For example, </w:t>
      </w:r>
      <w:r w:rsidRPr="006F6560">
        <w:rPr>
          <w:rStyle w:val="StyleUnderline"/>
        </w:rPr>
        <w:t xml:space="preserve">a psychology textbook included information on </w:t>
      </w:r>
      <w:r w:rsidRPr="00B57B7E">
        <w:rPr>
          <w:sz w:val="16"/>
        </w:rPr>
        <w:t xml:space="preserve">the work, training, qualifications and personal attributes of sports psychologists, </w:t>
      </w:r>
      <w:r w:rsidRPr="006F6560">
        <w:rPr>
          <w:rStyle w:val="StyleUnderline"/>
        </w:rPr>
        <w:t>criminal psychologists and forensic psychologists</w:t>
      </w:r>
      <w:r w:rsidRPr="00B57B7E">
        <w:rPr>
          <w:sz w:val="16"/>
        </w:rPr>
        <w:t xml:space="preserve">. In this sense, </w:t>
      </w:r>
      <w:r w:rsidRPr="006F6560">
        <w:rPr>
          <w:rStyle w:val="StyleUnderline"/>
        </w:rPr>
        <w:t>the textbooks were inculcating a sense of both what would need to be achieved in order to enter these professions</w:t>
      </w:r>
      <w:r w:rsidRPr="00B57B7E">
        <w:rPr>
          <w:sz w:val="16"/>
        </w:rPr>
        <w:t xml:space="preserve"> as they currently exist </w:t>
      </w:r>
      <w:r w:rsidRPr="006F6560">
        <w:rPr>
          <w:rStyle w:val="StyleUnderline"/>
        </w:rPr>
        <w:t xml:space="preserve">but also the kind of person one would need to be in order to </w:t>
      </w:r>
      <w:r w:rsidRPr="006F6560">
        <w:rPr>
          <w:rStyle w:val="Emphasis"/>
        </w:rPr>
        <w:t>secure work</w:t>
      </w:r>
      <w:r w:rsidRPr="00B57B7E">
        <w:rPr>
          <w:sz w:val="16"/>
        </w:rPr>
        <w:t xml:space="preserve"> in that profession. </w:t>
      </w:r>
      <w:r w:rsidRPr="006F6560">
        <w:rPr>
          <w:rStyle w:val="Emphasis"/>
        </w:rPr>
        <w:t>Both the grades needed and attributes to be demonstrated seek the formation of educable and employable subjectivities</w:t>
      </w:r>
      <w:r w:rsidRPr="00B57B7E">
        <w:rPr>
          <w:sz w:val="16"/>
        </w:rPr>
        <w:t xml:space="preserve">. Interestingly, given the boost in interest in forensic science and psychology through television programmes such as CSI, one textbook section noted, “Forensic psychology is a fairly new ‘type’ of psychology and there are fewer than 1000 chartered forensic psychologists in the UK”. </w:t>
      </w:r>
      <w:r w:rsidRPr="00EC76CA">
        <w:rPr>
          <w:rStyle w:val="StyleUnderline"/>
        </w:rPr>
        <w:t>Though not explicit</w:t>
      </w:r>
      <w:r w:rsidRPr="00B57B7E">
        <w:rPr>
          <w:sz w:val="16"/>
        </w:rPr>
        <w:t xml:space="preserve"> such a statement works against the ‘CSI effect’, </w:t>
      </w:r>
      <w:r w:rsidRPr="00EC76CA">
        <w:rPr>
          <w:rStyle w:val="StyleUnderline"/>
        </w:rPr>
        <w:t>the implication being a difference between the numbers of those interested in and qualified for certain job</w:t>
      </w:r>
      <w:r w:rsidRPr="00B57B7E">
        <w:rPr>
          <w:sz w:val="16"/>
        </w:rPr>
        <w:t xml:space="preserve">s and the number of those jobs available in the world, the nation and the region. </w:t>
      </w:r>
      <w:r w:rsidRPr="00EC76CA">
        <w:rPr>
          <w:rStyle w:val="StyleUnderline"/>
        </w:rPr>
        <w:t>There was an awareness expressed by both teachers and pupils of it being hard to get jobs in the area</w:t>
      </w:r>
      <w:r w:rsidRPr="00B57B7E">
        <w:rPr>
          <w:sz w:val="16"/>
        </w:rPr>
        <w:t xml:space="preserve"> </w:t>
      </w:r>
      <w:r w:rsidRPr="00EC76CA">
        <w:rPr>
          <w:rStyle w:val="StyleUnderline"/>
        </w:rPr>
        <w:t xml:space="preserve">but this was </w:t>
      </w:r>
      <w:r w:rsidRPr="00B57B7E">
        <w:rPr>
          <w:sz w:val="16"/>
        </w:rPr>
        <w:t xml:space="preserve">often </w:t>
      </w:r>
      <w:r w:rsidRPr="00EC76CA">
        <w:rPr>
          <w:rStyle w:val="Emphasis"/>
        </w:rPr>
        <w:t>expressed most clearly in the</w:t>
      </w:r>
      <w:r>
        <w:rPr>
          <w:rStyle w:val="Emphasis"/>
        </w:rPr>
        <w:t xml:space="preserve"> </w:t>
      </w:r>
      <w:r w:rsidRPr="00EC76CA">
        <w:rPr>
          <w:rStyle w:val="Emphasis"/>
        </w:rPr>
        <w:t xml:space="preserve">necessity of education </w:t>
      </w:r>
      <w:r w:rsidRPr="00B57B7E">
        <w:rPr>
          <w:sz w:val="16"/>
        </w:rPr>
        <w:t xml:space="preserve">(see Jeff’s comments in Chapter 5). This is where some of the language of ‘options’ and careers choices breaks down. </w:t>
      </w:r>
      <w:r w:rsidRPr="00EC76CA">
        <w:rPr>
          <w:rStyle w:val="StyleUnderline"/>
        </w:rPr>
        <w:t>This was</w:t>
      </w:r>
      <w:r w:rsidRPr="00B57B7E">
        <w:rPr>
          <w:sz w:val="16"/>
        </w:rPr>
        <w:t xml:space="preserve"> further </w:t>
      </w:r>
      <w:r w:rsidRPr="00EC76CA">
        <w:rPr>
          <w:rStyle w:val="StyleUnderline"/>
        </w:rPr>
        <w:t>illustrated in a lesson for the GCSE course in Leisure and Tourism where the focus on ‘embedded careers’</w:t>
      </w:r>
      <w:r w:rsidRPr="00B57B7E">
        <w:rPr>
          <w:sz w:val="16"/>
        </w:rPr>
        <w:t xml:space="preserve">, </w:t>
      </w:r>
      <w:r w:rsidRPr="00EC76CA">
        <w:rPr>
          <w:rStyle w:val="StyleUnderline"/>
        </w:rPr>
        <w:t>as part of lessons rather than in separate events</w:t>
      </w:r>
      <w:r w:rsidRPr="00B57B7E">
        <w:rPr>
          <w:sz w:val="16"/>
        </w:rPr>
        <w:t xml:space="preserve">, </w:t>
      </w:r>
      <w:r w:rsidRPr="00EC76CA">
        <w:rPr>
          <w:rStyle w:val="StyleUnderline"/>
        </w:rPr>
        <w:t>meant a focus on the skills, qualities and knowledge</w:t>
      </w:r>
      <w:r w:rsidRPr="00B57B7E">
        <w:rPr>
          <w:sz w:val="16"/>
        </w:rPr>
        <w:t xml:space="preserve"> needed for work in the Leisure and Tourism industry. </w:t>
      </w:r>
      <w:r w:rsidRPr="00EC76CA">
        <w:rPr>
          <w:rStyle w:val="StyleUnderline"/>
        </w:rPr>
        <w:t>This can be understood as subject-formation both in the making of tourists as well as making of suitable tourist industry employees</w:t>
      </w:r>
      <w:r w:rsidRPr="00B57B7E">
        <w:rPr>
          <w:sz w:val="16"/>
        </w:rPr>
        <w:t xml:space="preserve">. An example discussed in the class was the work of the Ibiza Holiday Rep who should be confident and a good communicator, be on time, calm, good fun and flexible and in the words of one of the boys in the all-boys class, they should be ‘always happy’. Such </w:t>
      </w:r>
      <w:r w:rsidRPr="00EC76CA">
        <w:rPr>
          <w:rStyle w:val="StyleUnderline"/>
        </w:rPr>
        <w:t xml:space="preserve">lessons introduce new information to pupils and ask them to consider in more depth issues </w:t>
      </w:r>
      <w:r w:rsidRPr="00EC76CA">
        <w:rPr>
          <w:rStyle w:val="Emphasis"/>
        </w:rPr>
        <w:t>of employment</w:t>
      </w:r>
      <w:r w:rsidRPr="00B57B7E">
        <w:rPr>
          <w:sz w:val="16"/>
        </w:rPr>
        <w:t xml:space="preserve">. They are also consistent with the project of ‘raising aspirations’ where a range of more or less skilled work is presented, some of which is extra-local. </w:t>
      </w:r>
      <w:r w:rsidRPr="00526B5B">
        <w:rPr>
          <w:rStyle w:val="StyleUnderline"/>
        </w:rPr>
        <w:t xml:space="preserve">These possible </w:t>
      </w:r>
      <w:r w:rsidRPr="00526B5B">
        <w:rPr>
          <w:rStyle w:val="Emphasis"/>
        </w:rPr>
        <w:t>working futures</w:t>
      </w:r>
      <w:r w:rsidRPr="00526B5B">
        <w:rPr>
          <w:rStyle w:val="StyleUnderline"/>
        </w:rPr>
        <w:t xml:space="preserve"> are folding back into the present in terms of seeking to motivate the pupils’ effort</w:t>
      </w:r>
      <w:r w:rsidRPr="00B57B7E">
        <w:rPr>
          <w:sz w:val="16"/>
        </w:rPr>
        <w:t xml:space="preserve"> </w:t>
      </w:r>
      <w:r w:rsidRPr="00526B5B">
        <w:rPr>
          <w:rStyle w:val="StyleUnderline"/>
        </w:rPr>
        <w:t>but</w:t>
      </w:r>
      <w:r w:rsidRPr="00B57B7E">
        <w:rPr>
          <w:sz w:val="16"/>
        </w:rPr>
        <w:t xml:space="preserve"> also </w:t>
      </w:r>
      <w:r w:rsidRPr="00526B5B">
        <w:rPr>
          <w:rStyle w:val="StyleUnderline"/>
        </w:rPr>
        <w:t xml:space="preserve">to </w:t>
      </w:r>
      <w:r w:rsidRPr="00526B5B">
        <w:rPr>
          <w:rStyle w:val="Emphasis"/>
        </w:rPr>
        <w:t xml:space="preserve">encourage </w:t>
      </w:r>
      <w:r w:rsidRPr="00B57B7E">
        <w:rPr>
          <w:sz w:val="16"/>
        </w:rPr>
        <w:lastRenderedPageBreak/>
        <w:t xml:space="preserve">the </w:t>
      </w:r>
      <w:r w:rsidRPr="00526B5B">
        <w:rPr>
          <w:rStyle w:val="Emphasis"/>
        </w:rPr>
        <w:t>cultivation of</w:t>
      </w:r>
      <w:r w:rsidRPr="00B57B7E">
        <w:rPr>
          <w:sz w:val="16"/>
        </w:rPr>
        <w:t xml:space="preserve"> the kinds of </w:t>
      </w:r>
      <w:r w:rsidRPr="00526B5B">
        <w:rPr>
          <w:rStyle w:val="Emphasis"/>
        </w:rPr>
        <w:t>attributes or qualities that make for employable people.</w:t>
      </w:r>
      <w:r w:rsidRPr="00B57B7E">
        <w:rPr>
          <w:sz w:val="16"/>
        </w:rPr>
        <w:t xml:space="preserve"> Whilst I agree that issues like integrity and reliability are important qualities, </w:t>
      </w:r>
      <w:r w:rsidRPr="00526B5B">
        <w:rPr>
          <w:rStyle w:val="StyleUnderline"/>
        </w:rPr>
        <w:t>the tendency of these efforts is to encourage compliant identities</w:t>
      </w:r>
      <w:r w:rsidRPr="00B57B7E">
        <w:rPr>
          <w:sz w:val="16"/>
        </w:rPr>
        <w:t xml:space="preserve">. They are what Facer (2011) calls ‘future-proofing’ strategies. That is to say that </w:t>
      </w:r>
      <w:r w:rsidRPr="00526B5B">
        <w:rPr>
          <w:rStyle w:val="StyleUnderline"/>
        </w:rPr>
        <w:t>certain qualities are prioritised over others and they are</w:t>
      </w:r>
      <w:r w:rsidRPr="00B57B7E">
        <w:rPr>
          <w:sz w:val="16"/>
        </w:rPr>
        <w:t xml:space="preserve"> typically those </w:t>
      </w:r>
      <w:r w:rsidRPr="00526B5B">
        <w:rPr>
          <w:rStyle w:val="StyleUnderline"/>
        </w:rPr>
        <w:t xml:space="preserve">associated with a neo-liberalisation of working relationships. </w:t>
      </w:r>
      <w:r w:rsidRPr="00B57B7E">
        <w:rPr>
          <w:sz w:val="16"/>
        </w:rPr>
        <w:t xml:space="preserve">Further, perhaps because of concerns about classed-judgments about different professions, pupils are not encouraged to think about those aspects of specific jobs that they deem to be positive or negative. </w:t>
      </w:r>
      <w:r w:rsidRPr="0029388C">
        <w:rPr>
          <w:rStyle w:val="StyleUnderline"/>
        </w:rPr>
        <w:t>Nor is there reflection on the relative willingness and ability of people to move for work and the implications this would have for those who value greater stability in community relations and proximity to family</w:t>
      </w:r>
      <w:r w:rsidRPr="00B57B7E">
        <w:rPr>
          <w:sz w:val="16"/>
        </w:rPr>
        <w:t xml:space="preserve">, including where this would limit economic productivity and earnings. In various lessons, </w:t>
      </w:r>
      <w:r w:rsidRPr="0029388C">
        <w:rPr>
          <w:rStyle w:val="StyleUnderline"/>
        </w:rPr>
        <w:t>those designated ‘low ability’ found their ideas about the future were subject to more interrogation</w:t>
      </w:r>
      <w:r w:rsidRPr="00B57B7E">
        <w:rPr>
          <w:sz w:val="16"/>
        </w:rPr>
        <w:t xml:space="preserve">. One lesson involved internet-based research into work and university education. To </w:t>
      </w:r>
      <w:r w:rsidRPr="00A94749">
        <w:rPr>
          <w:rStyle w:val="StyleUnderline"/>
        </w:rPr>
        <w:t>the question</w:t>
      </w:r>
      <w:r w:rsidRPr="00B57B7E">
        <w:rPr>
          <w:sz w:val="16"/>
        </w:rPr>
        <w:t>, posed by the teacher, ‘</w:t>
      </w:r>
      <w:r w:rsidRPr="00A94749">
        <w:rPr>
          <w:rStyle w:val="StyleUnderline"/>
        </w:rPr>
        <w:t>What do you want to do when you leave school?</w:t>
      </w:r>
      <w:r w:rsidRPr="00B57B7E">
        <w:rPr>
          <w:sz w:val="16"/>
        </w:rPr>
        <w:t xml:space="preserve">’, </w:t>
      </w:r>
      <w:r w:rsidRPr="00A94749">
        <w:rPr>
          <w:rStyle w:val="StyleUnderline"/>
        </w:rPr>
        <w:t>some pupils responded, ‘nowt’, ‘go o</w:t>
      </w:r>
      <w:r>
        <w:rPr>
          <w:rStyle w:val="StyleUnderline"/>
        </w:rPr>
        <w:t xml:space="preserve">n the dole’, </w:t>
      </w:r>
      <w:r w:rsidRPr="00A94749">
        <w:rPr>
          <w:rStyle w:val="StyleUnderline"/>
        </w:rPr>
        <w:t>‘watch TV’</w:t>
      </w:r>
      <w:r w:rsidRPr="00B57B7E">
        <w:rPr>
          <w:sz w:val="16"/>
        </w:rPr>
        <w:t xml:space="preserve">. </w:t>
      </w:r>
      <w:r w:rsidRPr="00A94749">
        <w:rPr>
          <w:rStyle w:val="StyleUnderline"/>
        </w:rPr>
        <w:t>The teacher did not respond to these statements</w:t>
      </w:r>
      <w:r w:rsidRPr="00B57B7E">
        <w:rPr>
          <w:sz w:val="16"/>
        </w:rPr>
        <w:t xml:space="preserve"> but in more than one lesson a </w:t>
      </w:r>
      <w:r w:rsidRPr="00B57B7E">
        <w:rPr>
          <w:rStyle w:val="StyleUnderline"/>
        </w:rPr>
        <w:t>pupil did respond with the same phrase, ‘I’m not payin’ for you’</w:t>
      </w:r>
      <w:r w:rsidRPr="00B57B7E">
        <w:rPr>
          <w:sz w:val="16"/>
        </w:rPr>
        <w:t xml:space="preserve">, with some force. It was implied that some pupils’ </w:t>
      </w:r>
      <w:r w:rsidRPr="0034389F">
        <w:rPr>
          <w:rStyle w:val="StyleUnderline"/>
        </w:rPr>
        <w:t>families</w:t>
      </w:r>
      <w:r w:rsidRPr="00B57B7E">
        <w:rPr>
          <w:sz w:val="16"/>
        </w:rPr>
        <w:t xml:space="preserve"> are </w:t>
      </w:r>
      <w:r w:rsidRPr="0034389F">
        <w:rPr>
          <w:rStyle w:val="StyleUnderline"/>
        </w:rPr>
        <w:t>experiencing worklessness and welfare support and it was clear through these comments that though not uncommon in the area, this was highly stigmatised.</w:t>
      </w:r>
      <w:r w:rsidRPr="00B57B7E">
        <w:rPr>
          <w:sz w:val="16"/>
        </w:rPr>
        <w:t xml:space="preserve"> Though </w:t>
      </w:r>
      <w:r w:rsidRPr="0034389F">
        <w:rPr>
          <w:rStyle w:val="StyleUnderline"/>
        </w:rPr>
        <w:t>a workless future was expressed as an imagined future</w:t>
      </w:r>
      <w:r w:rsidRPr="00B57B7E">
        <w:rPr>
          <w:sz w:val="16"/>
        </w:rPr>
        <w:t xml:space="preserve"> I think care is needed in interpreting these statements. I understand them to be made in a context of resisting teachers’ attempts to render their futures (and so their present time in the school and the work that would be asked of them in the lesson) as subject to action. That the teacher did not respond to these comments directly suggested to me that she understood the responses in this way. It was, however, striking that some pupils responded with strength of feeling and did not interpret the other pupils’ comments as resistive but as a statement of intent. The statements took a state taxation system and reframed it as a matter of immediate personal relations – of me paying for you. </w:t>
      </w:r>
      <w:r w:rsidRPr="00B57B7E">
        <w:rPr>
          <w:rStyle w:val="StyleUnderline"/>
        </w:rPr>
        <w:t>In the context of the school this was a relatively minor discourse but represents something of the implications of those who are not part the major narrative about educational futures which lead to working futures and the freedom of choice about that future.</w:t>
      </w:r>
      <w:r w:rsidRPr="00B57B7E">
        <w:rPr>
          <w:sz w:val="16"/>
        </w:rPr>
        <w:t xml:space="preserve"> Against these narratives are those, particularly from low-achieving boys, </w:t>
      </w:r>
      <w:r w:rsidRPr="0034389F">
        <w:rPr>
          <w:rStyle w:val="StyleUnderline"/>
        </w:rPr>
        <w:t>about finding work through family contact</w:t>
      </w:r>
      <w:r w:rsidRPr="00B57B7E">
        <w:rPr>
          <w:sz w:val="16"/>
        </w:rPr>
        <w:t xml:space="preserve">s. </w:t>
      </w:r>
      <w:r w:rsidRPr="0034389F">
        <w:rPr>
          <w:rStyle w:val="StyleUnderline"/>
        </w:rPr>
        <w:t>One year 9 pupil who was interested in becoming a car mechanic was conducting an internet search and found mechanical engineering courses.</w:t>
      </w:r>
      <w:r w:rsidRPr="00B57B7E">
        <w:rPr>
          <w:sz w:val="16"/>
        </w:rPr>
        <w:t xml:space="preserve"> </w:t>
      </w:r>
      <w:r w:rsidRPr="0034389F">
        <w:rPr>
          <w:rStyle w:val="StyleUnderline"/>
        </w:rPr>
        <w:t>He discovered, apparently for the first time, that payment is required for university degrees. “No way!”,</w:t>
      </w:r>
      <w:r w:rsidRPr="00B57B7E">
        <w:rPr>
          <w:sz w:val="16"/>
        </w:rPr>
        <w:t xml:space="preserve"> </w:t>
      </w:r>
      <w:r w:rsidRPr="0034389F">
        <w:rPr>
          <w:rStyle w:val="Emphasis"/>
        </w:rPr>
        <w:t>the idea of paying for education</w:t>
      </w:r>
      <w:r w:rsidRPr="0034389F">
        <w:rPr>
          <w:rStyle w:val="StyleUnderline"/>
        </w:rPr>
        <w:t xml:space="preserve"> </w:t>
      </w:r>
      <w:r w:rsidRPr="0034389F">
        <w:rPr>
          <w:rStyle w:val="Emphasis"/>
        </w:rPr>
        <w:t>seemed like a terrible joke</w:t>
      </w:r>
      <w:r w:rsidRPr="0034389F">
        <w:rPr>
          <w:rStyle w:val="StyleUnderline"/>
        </w:rPr>
        <w:t xml:space="preserve"> </w:t>
      </w:r>
      <w:r w:rsidRPr="0034389F">
        <w:rPr>
          <w:rStyle w:val="Emphasis"/>
        </w:rPr>
        <w:t xml:space="preserve">when he could train and be paid </w:t>
      </w:r>
      <w:r w:rsidRPr="0034389F">
        <w:rPr>
          <w:rStyle w:val="StyleUnderline"/>
        </w:rPr>
        <w:t>because “my brother would get me a job as a mechanic”. This is the well-established ‘</w:t>
      </w:r>
      <w:r w:rsidRPr="0034389F">
        <w:rPr>
          <w:rStyle w:val="Emphasis"/>
        </w:rPr>
        <w:t>learning versus earning’ binary</w:t>
      </w:r>
      <w:r w:rsidRPr="00B57B7E">
        <w:rPr>
          <w:sz w:val="16"/>
        </w:rPr>
        <w:t xml:space="preserve">. It is important to stress that pupils didn’t feel that finding work through family contacts was limiting but as ‘canny’, that is smart, </w:t>
      </w:r>
      <w:r w:rsidRPr="0034389F">
        <w:rPr>
          <w:rStyle w:val="StyleUnderline"/>
        </w:rPr>
        <w:t>because it could lead to a knowable and familiar paid, working future</w:t>
      </w:r>
      <w:r w:rsidRPr="00B57B7E">
        <w:rPr>
          <w:sz w:val="16"/>
        </w:rPr>
        <w:t xml:space="preserve">. This replicates work by Paul Willis (1981) in which it is those who pay to continue education without the promise of work, and a specific job, even if it were to offer better pay or conditions, who are seen as making the irrational choice for a speculative and likely indebted future. </w:t>
      </w:r>
      <w:r w:rsidRPr="0034389F">
        <w:rPr>
          <w:rStyle w:val="StyleUnderline"/>
        </w:rPr>
        <w:t xml:space="preserve">Visions of working </w:t>
      </w:r>
      <w:r>
        <w:rPr>
          <w:rStyle w:val="StyleUnderline"/>
        </w:rPr>
        <w:t xml:space="preserve">futures are classed and this is </w:t>
      </w:r>
      <w:r w:rsidRPr="0034389F">
        <w:rPr>
          <w:rStyle w:val="StyleUnderline"/>
        </w:rPr>
        <w:t>expressed in knowledge of available jobs and accounts of how, and the basis on which, those jobs are secured.</w:t>
      </w:r>
      <w:r w:rsidRPr="00B57B7E">
        <w:rPr>
          <w:sz w:val="16"/>
        </w:rPr>
        <w:t xml:space="preserve"> Further, beliefs about short and long term prospects alongside moral discourses around ‘delayed gratification’ play into narratives of who has aspiration or is in need of it. </w:t>
      </w:r>
      <w:r w:rsidRPr="00B57B7E">
        <w:rPr>
          <w:rStyle w:val="StyleUnderline"/>
        </w:rPr>
        <w:t>More fundamental are debates about what constitutes the good life in terms of wealth, work, health and family and the level of mobility need to achieve or negotiate these goals.</w:t>
      </w:r>
    </w:p>
    <w:p w:rsidR="00503D5F" w:rsidRDefault="00503D5F" w:rsidP="00503D5F"/>
    <w:p w:rsidR="005A160F" w:rsidRDefault="005A160F" w:rsidP="005A160F">
      <w:pPr>
        <w:pStyle w:val="Heading3"/>
      </w:pPr>
      <w:bookmarkStart w:id="31" w:name="_Toc489138925"/>
      <w:r>
        <w:lastRenderedPageBreak/>
        <w:t>Link: ELA Standards</w:t>
      </w:r>
      <w:bookmarkEnd w:id="31"/>
    </w:p>
    <w:p w:rsidR="005A160F" w:rsidRPr="00951A85" w:rsidRDefault="005A160F" w:rsidP="005A160F">
      <w:pPr>
        <w:pStyle w:val="Heading4"/>
      </w:pPr>
      <w:r w:rsidRPr="00951A85">
        <w:t>ELA standards reform rooted in goal-setting create “career and college ready students” that excludes people who reach for success that isn’t defined by professional advancement and wealth accumulation</w:t>
      </w:r>
    </w:p>
    <w:p w:rsidR="005A160F" w:rsidRPr="005D4C20" w:rsidRDefault="005A160F" w:rsidP="005A160F">
      <w:pPr>
        <w:rPr>
          <w:rStyle w:val="StyleUnderline"/>
        </w:rPr>
      </w:pPr>
      <w:r w:rsidRPr="00921292">
        <w:rPr>
          <w:rStyle w:val="Style13ptBold"/>
        </w:rPr>
        <w:t>S</w:t>
      </w:r>
      <w:r>
        <w:rPr>
          <w:rStyle w:val="Style13ptBold"/>
        </w:rPr>
        <w:t>c</w:t>
      </w:r>
      <w:r w:rsidRPr="00921292">
        <w:rPr>
          <w:rStyle w:val="Style13ptBold"/>
        </w:rPr>
        <w:t>hmid 14</w:t>
      </w:r>
      <w:r w:rsidRPr="00921292">
        <w:t xml:space="preserve"> (</w:t>
      </w:r>
      <w:r>
        <w:t>Erica Schmid is an English professor at Temple University and now holds a PhD due in part to this dissertation “</w:t>
      </w:r>
      <w:r w:rsidRPr="00921292">
        <w:t>FAIL BETTER: THE AESTHETICS OF CONTEMPORARY CRITICISM</w:t>
      </w:r>
      <w:r>
        <w:t>” May 2014 Temple University Press, Pg. 38-43)</w:t>
      </w:r>
    </w:p>
    <w:p w:rsidR="005A160F" w:rsidRPr="005D4C20" w:rsidRDefault="005A160F" w:rsidP="005A160F">
      <w:pPr>
        <w:rPr>
          <w:rStyle w:val="StyleUnderline"/>
        </w:rPr>
      </w:pPr>
      <w:r w:rsidRPr="005D4C20">
        <w:rPr>
          <w:rStyle w:val="StyleUnderline"/>
        </w:rPr>
        <w:t>Despite</w:t>
      </w:r>
      <w:r w:rsidRPr="005D4C20">
        <w:rPr>
          <w:sz w:val="16"/>
        </w:rPr>
        <w:t xml:space="preserve"> the website’s </w:t>
      </w:r>
      <w:r w:rsidRPr="005D4C20">
        <w:rPr>
          <w:rStyle w:val="StyleUnderline"/>
        </w:rPr>
        <w:t>emphasis on</w:t>
      </w:r>
      <w:r w:rsidRPr="005D4C20">
        <w:rPr>
          <w:sz w:val="16"/>
        </w:rPr>
        <w:t xml:space="preserve"> the “[</w:t>
      </w:r>
      <w:r w:rsidRPr="005D4C20">
        <w:rPr>
          <w:rStyle w:val="StyleUnderline"/>
        </w:rPr>
        <w:t>s]hared responsibility for students’ literacy development,” English teachers must teach nonfiction texts</w:t>
      </w:r>
      <w:r w:rsidRPr="005D4C20">
        <w:rPr>
          <w:sz w:val="16"/>
        </w:rPr>
        <w:t xml:space="preserve"> if the school adheres to this breakdown. This, in itself, is not necessarily a major issue, as informational texts can enhance the experience of reading literature. </w:t>
      </w:r>
      <w:r w:rsidRPr="005D4C20">
        <w:rPr>
          <w:rStyle w:val="StyleUnderline"/>
        </w:rPr>
        <w:t xml:space="preserve">The problem is the rationale: </w:t>
      </w:r>
      <w:r w:rsidRPr="005D4C20">
        <w:rPr>
          <w:sz w:val="16"/>
        </w:rPr>
        <w:t xml:space="preserve">Part of </w:t>
      </w:r>
      <w:r w:rsidRPr="005D4C20">
        <w:rPr>
          <w:rStyle w:val="StyleUnderline"/>
        </w:rPr>
        <w:t>the motivation behind the interdisciplinary approach to literacy promulgated by the Standards is extensive research establishing the need for college and career ready students</w:t>
      </w:r>
      <w:r w:rsidRPr="005D4C20">
        <w:rPr>
          <w:sz w:val="16"/>
        </w:rPr>
        <w:t xml:space="preserve"> to be proficient in reading complex informational text independently in a variety of content areas. </w:t>
      </w:r>
      <w:r w:rsidRPr="005D4C20">
        <w:rPr>
          <w:rStyle w:val="StyleUnderline"/>
        </w:rPr>
        <w:t>Most of the required reading in college and workforce training programs is informational in structure and challenging in content.</w:t>
      </w:r>
      <w:r>
        <w:rPr>
          <w:rStyle w:val="StyleUnderline"/>
        </w:rPr>
        <w:t xml:space="preserve"> </w:t>
      </w:r>
      <w:r w:rsidRPr="005D4C20">
        <w:rPr>
          <w:rStyle w:val="StyleUnderline"/>
        </w:rPr>
        <w:t>This is reiterated in Appendix A of the ELA Standards:</w:t>
      </w:r>
      <w:r>
        <w:rPr>
          <w:rStyle w:val="StyleUnderline"/>
        </w:rPr>
        <w:t xml:space="preserve"> </w:t>
      </w:r>
      <w:r w:rsidRPr="005D4C20">
        <w:rPr>
          <w:sz w:val="16"/>
        </w:rPr>
        <w:t xml:space="preserve">Students today are asked to read very little expository text... yet much research supports the conclusion that such text is harder for most students to read than is narrative text... that students need sustained exposure to expository text to develop important reading strategies... and that </w:t>
      </w:r>
      <w:r w:rsidRPr="005D4C20">
        <w:rPr>
          <w:rStyle w:val="StyleUnderline"/>
        </w:rPr>
        <w:t>expository text makes up the vast majority of the required reading in college and the workplace</w:t>
      </w:r>
      <w:r w:rsidRPr="005D4C20">
        <w:rPr>
          <w:sz w:val="16"/>
        </w:rPr>
        <w:t xml:space="preserve">. (3). </w:t>
      </w:r>
      <w:r w:rsidRPr="005D4C20">
        <w:rPr>
          <w:rStyle w:val="StyleUnderline"/>
        </w:rPr>
        <w:t>And again on the “Key Shifts in English Language Arts” page:</w:t>
      </w:r>
      <w:r>
        <w:rPr>
          <w:rStyle w:val="StyleUnderline"/>
        </w:rPr>
        <w:t xml:space="preserve"> </w:t>
      </w:r>
      <w:r w:rsidRPr="005D4C20">
        <w:rPr>
          <w:rStyle w:val="StyleUnderline"/>
        </w:rPr>
        <w:t>Students must be immersed in information about the world</w:t>
      </w:r>
      <w:r w:rsidRPr="005D4C20">
        <w:rPr>
          <w:sz w:val="16"/>
        </w:rPr>
        <w:t xml:space="preserve"> around them </w:t>
      </w:r>
      <w:r w:rsidRPr="005D4C20">
        <w:rPr>
          <w:rStyle w:val="StyleUnderline"/>
        </w:rPr>
        <w:t>if they are to develop</w:t>
      </w:r>
      <w:r w:rsidRPr="005D4C20">
        <w:rPr>
          <w:sz w:val="16"/>
        </w:rPr>
        <w:t xml:space="preserve"> the strong </w:t>
      </w:r>
      <w:r w:rsidRPr="005D4C20">
        <w:rPr>
          <w:rStyle w:val="StyleUnderline"/>
        </w:rPr>
        <w:t>general knowledge and vocabulary they need to become successful readers and be prepared for college, career, and life</w:t>
      </w:r>
      <w:r w:rsidRPr="005D4C20">
        <w:rPr>
          <w:sz w:val="16"/>
        </w:rPr>
        <w:t xml:space="preserve">. Informational texts play an important part in building students’ content knowledge. One might agree that “the standards pay substantial attention to literature, as it constitutes half of the reading in K-5 and is the core of the work in 6-12 ELA teachers.” But </w:t>
      </w:r>
      <w:r w:rsidRPr="005D4C20">
        <w:rPr>
          <w:rStyle w:val="StyleUnderline"/>
        </w:rPr>
        <w:t>success is clearly not associated with reading literature, specifically because reading literature is not an activity primarily associated with marketable employment skills.</w:t>
      </w:r>
      <w:r>
        <w:rPr>
          <w:rStyle w:val="StyleUnderline"/>
        </w:rPr>
        <w:t xml:space="preserve"> </w:t>
      </w:r>
      <w:r w:rsidRPr="005D4C20">
        <w:rPr>
          <w:sz w:val="16"/>
        </w:rPr>
        <w:t xml:space="preserve">This is also reinforced in the suggestions for writing assignments and assessments. Using the NAEP guidelines, the </w:t>
      </w:r>
      <w:r w:rsidRPr="005D4C20">
        <w:rPr>
          <w:rStyle w:val="StyleUnderline"/>
        </w:rPr>
        <w:t>ELA Standards recommend</w:t>
      </w:r>
      <w:r w:rsidRPr="005D4C20">
        <w:rPr>
          <w:sz w:val="16"/>
        </w:rPr>
        <w:t xml:space="preserve"> a steady increase in persuasive and explanatory writing, rather than writing that conveys real or imagined experience, i.e. narrative. By 8th grade, students’ writing should be 35% persuasive, 35% explanatory, and 30% narrative; by </w:t>
      </w:r>
      <w:r w:rsidRPr="005D4C20">
        <w:rPr>
          <w:rStyle w:val="StyleUnderline"/>
        </w:rPr>
        <w:t>12th grade, students’ writing should be 40% persuasive, 40% explanatory, and 20% narrative</w:t>
      </w:r>
      <w:r w:rsidRPr="005D4C20">
        <w:rPr>
          <w:sz w:val="16"/>
        </w:rPr>
        <w:t xml:space="preserve">. Taken together, the ELA Standards endorse an understanding of college- and career-ready literacy as overwhelmingly non-literary, specifically because literary endeavors do not contribute much to the goal of employability. The website does attempt to make a case for the study of literature: “Through reading great classic and contemporary works of literature representative of a variety of periods, cultures, and worldviews, students can vicariously inhabit worlds and have experiences much different than their own.” And such experiences are deemed valuable because “the twenty-first-century classroom and workplace are settings in which people from often widely divergent cultures who represent diverse experiences and perspectives must learn and work together.” But this type of soft skill is not represented in any of the actual standards. One might challenge this assessment of the literary by explaining the various marketable skills developed through academic literary study. But, </w:t>
      </w:r>
      <w:r w:rsidRPr="005D4C20">
        <w:rPr>
          <w:rStyle w:val="StyleUnderline"/>
        </w:rPr>
        <w:t>I provide this portrait of CCSS to situate the discipline as a challenge to the dominant vision of education and educational success. The frequent appearance of “English”/ “Literature” on various lists of “worst college majors”—by which they mean those least likely to lead to employment—as well as the dire tenure- track employment prospects for English Ph.D.s suggest that those who opt to</w:t>
      </w:r>
      <w:r>
        <w:rPr>
          <w:rStyle w:val="StyleUnderline"/>
        </w:rPr>
        <w:t xml:space="preserve"> </w:t>
      </w:r>
      <w:r w:rsidRPr="005D4C20">
        <w:rPr>
          <w:rStyle w:val="StyleUnderline"/>
        </w:rPr>
        <w:t>study literature operate under a different model of success, one that doesn’t aim primarily, if at all, for wealth accumulation and/or professional advancement.</w:t>
      </w:r>
      <w:r w:rsidRPr="005D4C20">
        <w:rPr>
          <w:sz w:val="16"/>
        </w:rPr>
        <w:t xml:space="preserve"> Moreover, </w:t>
      </w:r>
      <w:r w:rsidRPr="005D4C20">
        <w:rPr>
          <w:rStyle w:val="StyleUnderline"/>
        </w:rPr>
        <w:t>given the lack of jobs in the field, academic literary study might also be read as endorsing an alternative approach to success, one that values aimlessness and diversion as much as, if not more than, predetermined goals.</w:t>
      </w:r>
      <w:r>
        <w:rPr>
          <w:rStyle w:val="StyleUnderline"/>
        </w:rPr>
        <w:t xml:space="preserve"> </w:t>
      </w:r>
      <w:r w:rsidRPr="005D4C20">
        <w:rPr>
          <w:sz w:val="16"/>
        </w:rPr>
        <w:t xml:space="preserve">The </w:t>
      </w:r>
      <w:r w:rsidRPr="005D4C20">
        <w:rPr>
          <w:rStyle w:val="StyleUnderline"/>
        </w:rPr>
        <w:t>dominant approach to success as reflected in CCSS and accountability policy</w:t>
      </w:r>
      <w:r w:rsidRPr="005D4C20">
        <w:rPr>
          <w:sz w:val="16"/>
        </w:rPr>
        <w:t xml:space="preserve"> more generally </w:t>
      </w:r>
      <w:r w:rsidRPr="005D4C20">
        <w:rPr>
          <w:rStyle w:val="StyleUnderline"/>
        </w:rPr>
        <w:t>is setting clear goals and focusing activities on the achievement of those goals. The</w:t>
      </w:r>
      <w:r w:rsidRPr="005D4C20">
        <w:rPr>
          <w:sz w:val="16"/>
        </w:rPr>
        <w:t xml:space="preserve"> logical </w:t>
      </w:r>
      <w:r w:rsidRPr="005D4C20">
        <w:rPr>
          <w:rStyle w:val="StyleUnderline"/>
        </w:rPr>
        <w:t>assumption is that one has a better chance of achieving success if one has a precise understanding of what success looks like</w:t>
      </w:r>
      <w:r w:rsidRPr="005D4C20">
        <w:rPr>
          <w:sz w:val="16"/>
        </w:rPr>
        <w:t xml:space="preserve"> before setting out to achieve it. </w:t>
      </w:r>
      <w:r w:rsidRPr="005D4C20">
        <w:rPr>
          <w:rStyle w:val="StyleUnderline"/>
        </w:rPr>
        <w:t xml:space="preserve">This approach is intentionally limiting: predetermined goals keep </w:t>
      </w:r>
      <w:r w:rsidRPr="005D4C20">
        <w:rPr>
          <w:rStyle w:val="StyleUnderline"/>
        </w:rPr>
        <w:lastRenderedPageBreak/>
        <w:t>one focused on achieving those goals and help ensure that the processes/ steps designed to facilitate achievement actually facilitate achievement.</w:t>
      </w:r>
      <w:r w:rsidRPr="005D4C20">
        <w:rPr>
          <w:sz w:val="16"/>
        </w:rPr>
        <w:t xml:space="preserve"> Thus, per the Common Core website, “[e]ducational standards are the learning goals for what students should know and be able to do at each grade level” and some version of the phrase appears on almost every page. Though standard-based education reform has endured justifiable criticism (Mathis 6-7), learning goals themselves are often vital components of effective instruction [NOTE: K &amp; E]. But </w:t>
      </w:r>
      <w:r w:rsidRPr="005D4C20">
        <w:rPr>
          <w:rStyle w:val="StyleUnderline"/>
        </w:rPr>
        <w:t>as with the dominant definition of success, when goal-setting is understood as the primary mode of approaching and achieving success, it too ‘squashes out people doing alternative things for alternative reasons.’</w:t>
      </w:r>
    </w:p>
    <w:p w:rsidR="005A160F" w:rsidRPr="003D5883" w:rsidRDefault="005A160F" w:rsidP="005A160F"/>
    <w:p w:rsidR="005A160F" w:rsidRDefault="005A160F" w:rsidP="005A160F">
      <w:pPr>
        <w:pStyle w:val="Heading3"/>
      </w:pPr>
      <w:bookmarkStart w:id="32" w:name="_Toc489138926"/>
      <w:r>
        <w:lastRenderedPageBreak/>
        <w:t>Link: Human Capital</w:t>
      </w:r>
      <w:bookmarkEnd w:id="32"/>
    </w:p>
    <w:p w:rsidR="005A160F" w:rsidRDefault="005A160F" w:rsidP="005A160F">
      <w:pPr>
        <w:pStyle w:val="Heading4"/>
      </w:pPr>
      <w:r>
        <w:t>The aff’s figuration of education as production of human capital facilitates a post-fordist futurity that harvests black and brown bodies for return on investments</w:t>
      </w:r>
    </w:p>
    <w:p w:rsidR="005A160F" w:rsidRDefault="005A160F" w:rsidP="005A160F">
      <w:r w:rsidRPr="00E42060">
        <w:rPr>
          <w:rStyle w:val="Author-Date"/>
        </w:rPr>
        <w:t>Gill-Peterson 2015</w:t>
      </w:r>
      <w:r>
        <w:t xml:space="preserve"> [Julian, Assistant Professor of English and Children's Literature at the University of Pittsburgh | “The Value of the Future: The Child as Human Capital and the Neoliberal Labor of Race,” </w:t>
      </w:r>
      <w:r w:rsidRPr="00D622CD">
        <w:rPr>
          <w:i/>
        </w:rPr>
        <w:t>Women's Studies Quarterly</w:t>
      </w:r>
      <w:r>
        <w:t>, Vol. 43, No. 1/2, (Spring/Summer 2015)]</w:t>
      </w:r>
    </w:p>
    <w:p w:rsidR="005A160F" w:rsidRPr="006F4F17" w:rsidRDefault="005A160F" w:rsidP="005A160F">
      <w:pPr>
        <w:rPr>
          <w:sz w:val="16"/>
        </w:rPr>
      </w:pPr>
      <w:r w:rsidRPr="006F4F17">
        <w:rPr>
          <w:sz w:val="16"/>
        </w:rPr>
        <w:t xml:space="preserve">Ten9Eight is in part a racial uplift film for a multicultural era, in which the celebration of ostensible legal equality and the cultural relativism of ethnicity authorize rigid competition between assimilating immigrant groups and the exceptional isolation of African Americans (see Chow 2002 and Sexton 2008). While the students in Ten9Eight are all African American, Latino, or recent immigrants, the communities and families of the black competitors incur the most diegetic pathologization. Melodra- matic and stereotyped tales of drugs, alcohol, prison, sexual abuse, foster care, homelessness, teen pregnancy, and the specter of death govern their biographies. In the face of this cultural pathology, an individual narrative of overcoming is rehearsed: Ten9Eight unambiguously suggests that start- ing businesses is the only way for black children to break a pattern derivative of the Moynihan report. </w:t>
      </w:r>
      <w:r w:rsidRPr="00B86BD0">
        <w:rPr>
          <w:rStyle w:val="StyleUnderline"/>
        </w:rPr>
        <w:t>As with</w:t>
      </w:r>
      <w:r w:rsidRPr="006F4F17">
        <w:rPr>
          <w:sz w:val="16"/>
        </w:rPr>
        <w:t xml:space="preserve"> Daniel Patrick </w:t>
      </w:r>
      <w:r w:rsidRPr="00B86BD0">
        <w:rPr>
          <w:rStyle w:val="StyleUnderline"/>
        </w:rPr>
        <w:t>Moynihan</w:t>
      </w:r>
      <w:r>
        <w:rPr>
          <w:rStyle w:val="StyleUnderline"/>
        </w:rPr>
        <w:t>’</w:t>
      </w:r>
      <w:r w:rsidRPr="006F4F17">
        <w:rPr>
          <w:sz w:val="16"/>
        </w:rPr>
        <w:t xml:space="preserve">s The Negro Family (United States Department of Labor 1965), </w:t>
      </w:r>
      <w:r w:rsidRPr="00B86BD0">
        <w:rPr>
          <w:rStyle w:val="StyleUnderline"/>
        </w:rPr>
        <w:t>systemic inequalities and the planned maldistribution of life chances by race can be criticized as a moral wrong, but their actionable field of remedies is simultaneously confined to the private sphere of individual improvement.</w:t>
      </w:r>
      <w:r w:rsidRPr="006F4F17">
        <w:rPr>
          <w:sz w:val="16"/>
        </w:rPr>
        <w:t xml:space="preserve"> The will to overcome and disavow the signifier "inner city" in places like Baltimore, Chicago, New York City, and Washington, DC returns again and again in Ten9Eight. One competitor, JaMal Wills, explains that he wants to win the competition because he "doesn't want to end up dead.” </w:t>
      </w:r>
      <w:r w:rsidRPr="00B86BD0">
        <w:rPr>
          <w:rStyle w:val="StyleUnderline"/>
        </w:rPr>
        <w:t>Rather than understanding these narratives of black childhood only as representations of a purely ideological devaluation</w:t>
      </w:r>
      <w:r w:rsidRPr="006F4F17">
        <w:rPr>
          <w:sz w:val="16"/>
        </w:rPr>
        <w:t xml:space="preserve">, a cultural ruse for the neoliberal states institutionalized racial exploitation, </w:t>
      </w:r>
      <w:r w:rsidRPr="00B86BD0">
        <w:rPr>
          <w:rStyle w:val="StyleUnderline"/>
        </w:rPr>
        <w:t>an analysis of the proposed labor function</w:t>
      </w:r>
      <w:r w:rsidRPr="006F4F17">
        <w:rPr>
          <w:sz w:val="16"/>
        </w:rPr>
        <w:t xml:space="preserve"> of the film s children </w:t>
      </w:r>
      <w:r w:rsidRPr="00B86BD0">
        <w:rPr>
          <w:rStyle w:val="StyleUnderline"/>
        </w:rPr>
        <w:t>maps the new social contract for which they are targeted as human capital.</w:t>
      </w:r>
      <w:r w:rsidRPr="006F4F17">
        <w:rPr>
          <w:sz w:val="16"/>
        </w:rPr>
        <w:t xml:space="preserve"> Not for nothing do Ten9Eighť s promotional materials emphasize that Thomas Friedman of the New York Times said, Obama should arrange for this movie to be shown in every classroom in America" (qtd. in Ten9Eight: Shoot for the Moon 2014). There is an ideological conceit in Friedmans suggestion, since the film is not addressed to every classroom but rather targets under the category of "inner city" the black and brown bodies whose futurity is of so little value to the nation that public investment in their education or communities is absolutely out of the question. Still, Friedmans proposition is also symptomatic of a mode of investment in the productivity of children whose dispersed strategies cohere through the calculating force of what we habitually signify in using the terms "race," "gender," and "class." </w:t>
      </w:r>
      <w:r w:rsidRPr="00B86BD0">
        <w:rPr>
          <w:rStyle w:val="StyleUnderline"/>
        </w:rPr>
        <w:t>The value of the future contracted through neoliberal child labor assigns risk and speculates on the future of kids as the incorporation of race, gender, and class - economic coefficients that materialize as the growing bodies of children.</w:t>
      </w:r>
      <w:r w:rsidRPr="006F4F17">
        <w:rPr>
          <w:sz w:val="16"/>
        </w:rPr>
        <w:t xml:space="preserve"> Ten9Eight suggests that </w:t>
      </w:r>
      <w:r w:rsidRPr="00B86BD0">
        <w:rPr>
          <w:rStyle w:val="StyleUnderline"/>
        </w:rPr>
        <w:t>the racialization of labor and investment might be understood as originary of American neoliberalisms reason, its political economization of life s growth from infancy to adulthood through childhood.</w:t>
      </w:r>
      <w:r w:rsidRPr="006F4F17">
        <w:rPr>
          <w:sz w:val="16"/>
        </w:rPr>
        <w:t xml:space="preserve"> </w:t>
      </w:r>
      <w:r w:rsidRPr="00C17FE6">
        <w:rPr>
          <w:rStyle w:val="StyleUnderline"/>
        </w:rPr>
        <w:t>Under this neoliberal social contract childhood becomes a form of futures trading</w:t>
      </w:r>
      <w:r w:rsidRPr="006F4F17">
        <w:rPr>
          <w:sz w:val="16"/>
        </w:rPr>
        <w:t xml:space="preserve">. The phrase is not métonymie, but emphasizes that </w:t>
      </w:r>
      <w:r w:rsidRPr="00C17FE6">
        <w:rPr>
          <w:rStyle w:val="StyleUnderline"/>
        </w:rPr>
        <w:t xml:space="preserve">capitalism does not mobilize subjects with a preexisting race, gender, or class; rather, </w:t>
      </w:r>
      <w:r w:rsidRPr="00C17FE6">
        <w:rPr>
          <w:rStyle w:val="Emphasis"/>
        </w:rPr>
        <w:t>it is a subjectification machine that reorganizes human life into those categories</w:t>
      </w:r>
      <w:r w:rsidRPr="00C17FE6">
        <w:rPr>
          <w:rStyle w:val="StyleUnderline"/>
        </w:rPr>
        <w:t>.</w:t>
      </w:r>
      <w:r w:rsidRPr="006F4F17">
        <w:rPr>
          <w:sz w:val="16"/>
        </w:rPr>
        <w:t xml:space="preserve"> As with UNCF, Ten9Eight transforms black and brown children into human capital by restaging education as an entrepreneurial labor. In his 1978-79 collected lectures, The Birth of Biopolitics, Michel Foucault (2007) turns likewise to the child as his example in diagramming American neoliberalism. </w:t>
      </w:r>
      <w:r w:rsidRPr="00C17FE6">
        <w:rPr>
          <w:rStyle w:val="StyleUnderline"/>
        </w:rPr>
        <w:t>What distinguishes American neoliberalism</w:t>
      </w:r>
      <w:r w:rsidRPr="006F4F17">
        <w:rPr>
          <w:sz w:val="16"/>
        </w:rPr>
        <w:t xml:space="preserve">, according to Foucault, </w:t>
      </w:r>
      <w:r w:rsidRPr="00C17FE6">
        <w:rPr>
          <w:rStyle w:val="StyleUnderline"/>
        </w:rPr>
        <w:t>is its theory of human capital,</w:t>
      </w:r>
      <w:r w:rsidRPr="006F4F17">
        <w:rPr>
          <w:sz w:val="16"/>
        </w:rPr>
        <w:t xml:space="preserve"> a theory </w:t>
      </w:r>
      <w:r w:rsidRPr="00C17FE6">
        <w:rPr>
          <w:rStyle w:val="StyleUnderline"/>
        </w:rPr>
        <w:t>that permits "the extension of economic analysis into a previously unexplored domain," the social</w:t>
      </w:r>
      <w:r w:rsidRPr="006F4F17">
        <w:rPr>
          <w:sz w:val="16"/>
        </w:rPr>
        <w:t xml:space="preserve"> (219) - once Annies shelter. American neoliberalism reproaches political economy for ignoring the centrality of labor to the production of capital, but unlike Marx, it makes labor into capital (224). </w:t>
      </w:r>
      <w:r w:rsidRPr="00C17FE6">
        <w:rPr>
          <w:rStyle w:val="StyleUnderline"/>
        </w:rPr>
        <w:t>Human capital makes Homo economicus into an entrepreneur of the self, taking the self as its basic resource, projected into the future through potential wages</w:t>
      </w:r>
      <w:r w:rsidRPr="006F4F17">
        <w:rPr>
          <w:sz w:val="16"/>
        </w:rPr>
        <w:t xml:space="preserve">. This enterprising self represents a theory not of labor power but what Foucault calls "capital-ability" (225). When neoliberal economists began to define human capital in the 1950s and 1960s they argued that all human behavior could be analyzed in economic terms by adapting theories of utility max- imization from Adam Smith and Jeremy Bentham. Gary S. Becker, one of human capitals major proponents, worked over his career on economic analyses of racial and gendered discrimination, crime and punishment, marriage, divorce, and child-rearing, which he summed up in the title of his Nobel Prize lecture (Becker 1992): "An Economic Way of Looking at Life." The economic rationalization of human life also worked to discredit state projects to reduce inequality or combat poverty, especially where they accounted for race and gender. By making human value and its return a factor of private investment in the individual, human capital rendered unreasonable alternate modes of economic redistribution, particularly those both public and based on social justice. Becker s Treatise on the Fam- ily , for instance, argues that a sexual division of labor, where women stay at home investing in the human capital of children while men work, is more efficient than equal pay for equal work (1981, 22-23). Becker also argued that state programs aimed at redressing racialized economic </w:t>
      </w:r>
      <w:r w:rsidRPr="006F4F17">
        <w:rPr>
          <w:sz w:val="16"/>
        </w:rPr>
        <w:lastRenderedPageBreak/>
        <w:t xml:space="preserve">inequality were less effective than a color-blind and competitive labor market (1957, 129). </w:t>
      </w:r>
      <w:r w:rsidRPr="00C17FE6">
        <w:rPr>
          <w:rStyle w:val="StyleUnderline"/>
        </w:rPr>
        <w:t>Within this framework the theory of human capital deploys the child to recalculate the value of the future in terms of private investment.</w:t>
      </w:r>
      <w:r w:rsidRPr="006F4F17">
        <w:rPr>
          <w:sz w:val="16"/>
        </w:rPr>
        <w:t xml:space="preserve"> The theory’s scriptural basis is a passage in Smiths Wealth of Nations on "fixed capital" ([1776] 1909, 225), capital held as stock for the enhancement of the production, but not the circulation, of commodities. According to Smith, there are four types of fixed capital: machines, buildings, land, and "the acquired and useful abilities of all the inhabitants and members of a society" (228). This last form becomes human capital. Smith continues: "The acquisition of such talents, by the maintenance of the acquirer during his education, study, or apprenticeship, always costs a real expense, which is a capital fixed and realized, as it were, in his person. Those talents, as they make a part of his fortune, so do they likewise that of the society to which he belongs. The improved dexterity of a workman may be considered in the same light as a machine or instrument of trade which facilitates and abridges labour, and which, though it costs a certain expense, repays that expense with a profit" (228). Human capital names a production cost that enhances the quality of workers, repaid with a surplus in future output. As Foucault emphasizes, </w:t>
      </w:r>
      <w:r w:rsidRPr="00C17FE6">
        <w:rPr>
          <w:rStyle w:val="StyleUnderline"/>
        </w:rPr>
        <w:t xml:space="preserve">the theory of human capital is less preoccupied with innate capacities than with acquiring new skills. Education was </w:t>
      </w:r>
      <w:r>
        <w:rPr>
          <w:rStyle w:val="StyleUnderline"/>
        </w:rPr>
        <w:t>hence the first target of econ</w:t>
      </w:r>
      <w:r w:rsidRPr="00C17FE6">
        <w:rPr>
          <w:rStyle w:val="StyleUnderline"/>
        </w:rPr>
        <w:t>omists</w:t>
      </w:r>
      <w:r w:rsidRPr="006F4F17">
        <w:rPr>
          <w:sz w:val="16"/>
        </w:rPr>
        <w:t xml:space="preserve">: in one classic essay, Jacob Mincer (1974) calculates the increase to workers' salaries from additional years of schooling through regression formulas. </w:t>
      </w:r>
      <w:r w:rsidRPr="00C17FE6">
        <w:rPr>
          <w:rStyle w:val="StyleUnderline"/>
        </w:rPr>
        <w:t>Yet human capital is also dependent on childhood, understood as the critical period of development</w:t>
      </w:r>
      <w:r w:rsidRPr="006F4F17">
        <w:rPr>
          <w:sz w:val="16"/>
        </w:rPr>
        <w:t xml:space="preserve">, and for this reason Foucault turns his attention to the child in The Birth of Biopolitics . Through "the inversion of the relationships [sic] of the social to the economic" (2007, 240), in his words, "we thus arrive at a whole environmental analysis, as the Americans say, of the child’s life which it will be possible to calculate, and to a certain extent quantify, or at any rate measure, in terms of the possibilities of investment in human capital" (230). Foucault does not broach race in this lecture. Yet </w:t>
      </w:r>
      <w:r w:rsidRPr="00C17FE6">
        <w:rPr>
          <w:rStyle w:val="StyleUnderline"/>
        </w:rPr>
        <w:t>the theory of human capital might be understood as a global strategy for rationalizing American racism, consolidating work on "discrimination coefficients"</w:t>
      </w:r>
      <w:r w:rsidRPr="006F4F17">
        <w:rPr>
          <w:sz w:val="16"/>
        </w:rPr>
        <w:t xml:space="preserve"> (Becker 1957, 6) and the rational value of crime (1968) </w:t>
      </w:r>
      <w:r w:rsidRPr="00C17FE6">
        <w:rPr>
          <w:rStyle w:val="StyleUnderline"/>
        </w:rPr>
        <w:t>to explain ostensibly irrational, nonproductive human behavior.</w:t>
      </w:r>
      <w:r w:rsidRPr="006F4F17">
        <w:rPr>
          <w:sz w:val="16"/>
        </w:rPr>
        <w:t xml:space="preserve"> In Becker s work on family economics, he understands what he calls "the price of children" (198 1, 93) in opposition to the Malthusian anxiety about fertility, according to which children are valuable in quantitative terms. Becker suggests that it is instead "the interaction between quantity and quality" that explains parental investment in children, and he points to Anglo-American history, where, as quantitative income, education, and health increased toward the end of the nineteenth century, the amount of children born declined sharply, a trend repeated after the postwar baby boom (106-7). Becker reads these demographic trends as parents concentrating their resources more efficiently to invest in the increased quality of each child born. A child in whom more time and money is invested from birth will eventually yield greater returns on human capital, obviating the need for more kids. Although it leads to a color-blind conclusion, race is far from absent in Becker s formulas. The child is not a tabula rasa for him; rather, "rates of return on human capital are more sensitive to endowments" than other commodities (113-14). An "endowment" might be as ambiguous as personality or attractiveness, but it also includes "the sex, race, ability, age, allocation of time, social background, and many other characteristics of children 3 ' ( 120). </w:t>
      </w:r>
      <w:r w:rsidRPr="007B59F7">
        <w:rPr>
          <w:rStyle w:val="StyleUnderline"/>
        </w:rPr>
        <w:t>Race is a primary coefficient of American human capital, affecting the average base value of children's bodies, as well as the rate of return on investment, something of which parents are conscious.</w:t>
      </w:r>
      <w:r w:rsidRPr="006F4F17">
        <w:rPr>
          <w:sz w:val="16"/>
        </w:rPr>
        <w:t xml:space="preserve"> "Families usually must commit most of their investments," Becker suggests, "before they know much about their children's market luck" (119). </w:t>
      </w:r>
      <w:r w:rsidRPr="007B59F7">
        <w:rPr>
          <w:rStyle w:val="StyleUnderline"/>
        </w:rPr>
        <w:t>Human capital hence turns childhood into futures trading for parents, who have to specu- late on the effect of endowments like race and gender on their investments.</w:t>
      </w:r>
      <w:r>
        <w:rPr>
          <w:rStyle w:val="StyleUnderline"/>
        </w:rPr>
        <w:t xml:space="preserve"> </w:t>
      </w:r>
      <w:r w:rsidRPr="007B59F7">
        <w:rPr>
          <w:rStyle w:val="StyleUnderline"/>
        </w:rPr>
        <w:t>This framework rationalizes racism in taking the perspective of the abstract parents who always "maximize their utility by choosing optimal investments in the human and nonhuman capital of children"</w:t>
      </w:r>
      <w:r w:rsidRPr="006F4F17">
        <w:rPr>
          <w:sz w:val="16"/>
        </w:rPr>
        <w:t xml:space="preserve"> (136). In this calculus, as Becker puts it, "discrimination against minorities not only reduces their income but also the effect of their family background on income" (137), thus lowering the value of their future. As an example, he argues, "Black families should be less stable than white families, if only because blacks are much poorer and black women earn much more relative to black men than white women do to white men" (231; emphasis added); not surprisingly, he cites the Moynihan report as evidence. Black families both would have less money to invest in the human capital of their children and would expect less of a return than white families, reducing their incentive to make investments, and by analogy reducing the state s incentive to do the same. Becker suggests that taxes levied for "public education and other programs to aid the young may not significantly benefit them because of compensating decreases in parental expenditures" (153). Since children are assumed to be property of parents, if the state steps in to redistribute inequality through public education parents will invest less in human capital to compensate. Given that human capital rationalizes investment as a private practice, even though race and gender are under- stood as coefficients their value remains private, so that the conversion of education and other forms of care into labor becomes the only way to address endemic inequality. This genealogy of human capital contextualizes Ten9Eighťs otherwise presumptuous claim: if children of color have almost no public value to the United States, then it becomes reasonable, even "rational," for them to shoulder the labor of their own education by covering its cost through entrepreneurship. Not only does the state have no motivation to invest in the future of black and brown kids but also the cost of public education is so risky for the nonwhite contestants in Ten9Eight that they must bear it in competition to prove their future value to the nation. In this light, Foucault’s definition of American neoliberalism misses the originary force of racialization in evaluating human life s course by monetizing the grow- ing body of the child. And while Foucault adds that the return on invest- ment in human capital is "the child's salary when he or she becomes an adult" (2007, 260), thirty-five years later, in a digital economy the salary of the child is not necessarily only bound to adulthood. </w:t>
      </w:r>
      <w:r w:rsidRPr="00270AFF">
        <w:rPr>
          <w:rStyle w:val="StyleUnderline"/>
        </w:rPr>
        <w:t>Childhood is also futures trading because increasingly children are generating revenue streams during childhood as supplements to</w:t>
      </w:r>
      <w:r>
        <w:rPr>
          <w:rStyle w:val="StyleUnderline"/>
        </w:rPr>
        <w:t xml:space="preserve"> or substitutes for future sal</w:t>
      </w:r>
      <w:r w:rsidRPr="00270AFF">
        <w:rPr>
          <w:rStyle w:val="StyleUnderline"/>
        </w:rPr>
        <w:t>aries, particularly through a digital economy of social media and mobile phones that decomposes children into data aggregates of likes, consumer interests, tastes, and attitudes that can be bundled and exchanged.</w:t>
      </w:r>
      <w:r w:rsidRPr="006F4F17">
        <w:rPr>
          <w:sz w:val="16"/>
        </w:rPr>
        <w:t xml:space="preserve"> In this form of child labor, a </w:t>
      </w:r>
      <w:r w:rsidRPr="006F4F17">
        <w:rPr>
          <w:sz w:val="16"/>
        </w:rPr>
        <w:lastRenderedPageBreak/>
        <w:t xml:space="preserve">feminized, stylized whiteness in social media juxtaposes itself to Ten9Eight. Consider the "haul" video. On YouTube haul videos are usually included as a recurring segment on channels devoted to fashion or beauty. In a haul video, the host presents her shopping from the day. Clothes are not usually modeled but taken out of the bag, held up to the camera, and presented with commentary on how to wear them, what they go with, why they are good for this season, or how cheap they are. In a viral video con- temporaneous with Ten9Eight , Blair, or "juicystar07," who has hosted her channel since 2008, presents "Forever 21 Haul" (2009). Blair is sixteen at the time and emphasizes that she works two service industry jobs to buy the clothes and makeup she features. In this video, which has to date about 1.75 million views, she intersperses items for winter from Forever 21 with appeals to her viewers to follower her on Twitter and watch her other vlog posts. The haul video exemplifies the role of digital labor in childhood as futures trading because it produces value through what is otherwise a purely social activity: style. It is an example of how consumption is pro- duction, considering that its identification with a store is free advertising (as is this essay unfortunately). YouTube also generates profit through views, quantifying attention as a capacity of users: at the point of 1.75 mil- lion views, Blair is paid a percentage of the ad revenue that YouTube pulls in from her video. (I had to watch a thirty-second ad to see Blair s video on YouTube, so I was also compelled to produce value through attention within the once ostensibly nonmarket activity of thinking and writing.) Finally, the haul video foregrounds the collapse of labor and consumption: many, like Blair s, are about saving money. She, for instance, is most proud of a six-dollar pair of jeans on clearance. It is fair, further, to speculate that the jeans were made by the hands of a girl or young woman whose value to the global economy is calculated very differently from Blair s, in a factory in Southeast Asia (Hicken 2012). </w:t>
      </w:r>
      <w:r w:rsidRPr="00FE723D">
        <w:rPr>
          <w:rStyle w:val="StyleUnderline"/>
        </w:rPr>
        <w:t>The juxtaposition of children in these contemporary forms of child labor is not incidental: on the one hand, there is the black child, often a boy, on the threshold of social or biological death; on the other hand, there is the cheery, suburban white girl to whom futurity accrues easily.</w:t>
      </w:r>
      <w:r w:rsidRPr="006F4F17">
        <w:rPr>
          <w:sz w:val="16"/>
        </w:rPr>
        <w:t xml:space="preserve"> As Ten9Eight dramatizes, the privatization of public education requires that its investment risk be devolved onto children through entrepreneurship of the self, particularly for black and brown bodies that have almost no public value to the nation, save for programs like UNCF. The YouTube haul videos produced by white girls add that even investment in </w:t>
      </w:r>
      <w:r w:rsidRPr="00FE723D">
        <w:rPr>
          <w:rStyle w:val="StyleUnderline"/>
        </w:rPr>
        <w:t>the ideologically valuable child as human capital cannot wait until adulthood to begin demanding returns, not even for the white Annie of reproductive futurism: surplus value must be extracted through digital labor below the threshold of inhumanity attached to "child labor"</w:t>
      </w:r>
      <w:r w:rsidRPr="006F4F17">
        <w:rPr>
          <w:sz w:val="16"/>
        </w:rPr>
        <w:t xml:space="preserve"> by Progressive Era reformers, Western feminism, and human rights discourse (see Macleod 1998, 107-20). The white girl is called upon to produce surplus value online through gendered rehearsals of consumption, which cultivate human capital as good style. No longer a dramatic inhumanity, child labor in its digital form passes quietly under the radar because it is fully socialized ģ. it happens without calling itself work. Side by side, Ten9Eight and the haul video underscore how neoliberal child labor has served to intensify stratifications of race, gender, and class by recontracting how value is added to and produced by human life. These calculations of human capital far outrun the child figure given by Edelman. Even Blair is no Annie; if her style channel is akin to Annie s virtuosic labor of singing and dancing, Blair still works two jobs to pay for her clothes. Moreover, the fact that a black boy s or girls value remains so low to the nation that walking down the street is enough reason to incur murder at the hands of a police officer or civilian who will not be held responsible, a fact painfully repeatedly demonstrated, underscores the insidiousness of Beckers economic rationalization of American racism. Still, Ten9Eight remains the celebrated solution to the racialized dimension of human capital, the outcome of a total privatization of race that has restricted politics to the narrowest economy possible. </w:t>
      </w:r>
      <w:r w:rsidRPr="00FE723D">
        <w:rPr>
          <w:rStyle w:val="StyleUnderline"/>
        </w:rPr>
        <w:t>To understand the contemporary arrangement of child labor beyond industrial forms, in which the value of the future has to be calculated as it arrives, and in which labor both consists of entrepreneurship of the self while also reaching digital simulation online, what we might pursue is a materialism of the child that does not need to "fuck Annie."</w:t>
      </w:r>
      <w:r w:rsidRPr="006F4F17">
        <w:rPr>
          <w:sz w:val="16"/>
        </w:rPr>
        <w:t xml:space="preserve"> The demands on American children today, violently maldistributed by race, class, and gender, call upon a materialism that understands the child as more than a Symbolic figure underwriting reproductive ideology. </w:t>
      </w:r>
      <w:r w:rsidRPr="00FE723D">
        <w:rPr>
          <w:rStyle w:val="StyleUnderline"/>
        </w:rPr>
        <w:t>The child today is the focus of a broader unequal distribution of wealth, the perpetuation of debt, the extension of work to all life-building activities, and the implosion of public education and welfare.</w:t>
      </w:r>
      <w:r w:rsidRPr="006F4F17">
        <w:rPr>
          <w:sz w:val="16"/>
        </w:rPr>
        <w:t xml:space="preserve"> In a sense, the child is as central to capital as it was during Fordism, but the contours of that centrality have changed with the value of the future</w:t>
      </w:r>
      <w:r w:rsidRPr="00FE723D">
        <w:rPr>
          <w:rStyle w:val="StyleUnderline"/>
        </w:rPr>
        <w:t xml:space="preserve">. A materialism of the child that dispenses with the imperative of affirming no future at all </w:t>
      </w:r>
      <w:r>
        <w:rPr>
          <w:rStyle w:val="StyleUnderline"/>
        </w:rPr>
        <w:t>will be left with the more com</w:t>
      </w:r>
      <w:r w:rsidRPr="00FE723D">
        <w:rPr>
          <w:rStyle w:val="StyleUnderline"/>
        </w:rPr>
        <w:t>plex task of working toward something other than</w:t>
      </w:r>
      <w:r w:rsidRPr="006F4F17">
        <w:rPr>
          <w:sz w:val="16"/>
        </w:rPr>
        <w:t xml:space="preserve"> the </w:t>
      </w:r>
      <w:r w:rsidRPr="00FE723D">
        <w:rPr>
          <w:rStyle w:val="StyleUnderline"/>
        </w:rPr>
        <w:t>labored austerity</w:t>
      </w:r>
      <w:r w:rsidRPr="006F4F17">
        <w:rPr>
          <w:sz w:val="16"/>
        </w:rPr>
        <w:t xml:space="preserve"> offered by Ten9Eight or YouTube celebrity. It remains to be seen if Better Futures can be unyoked from its trademark. </w:t>
      </w:r>
    </w:p>
    <w:p w:rsidR="00DE5E47" w:rsidRDefault="00DE5E47" w:rsidP="00DE5E47">
      <w:pPr>
        <w:pStyle w:val="Heading3"/>
      </w:pPr>
      <w:bookmarkStart w:id="33" w:name="_Toc489138927"/>
      <w:r>
        <w:lastRenderedPageBreak/>
        <w:t xml:space="preserve">Link: Teacher </w:t>
      </w:r>
      <w:r w:rsidR="004D7A2E">
        <w:t>Certificaiton/Teacher Training</w:t>
      </w:r>
      <w:bookmarkEnd w:id="33"/>
    </w:p>
    <w:p w:rsidR="00DE5E47" w:rsidRDefault="004D7A2E" w:rsidP="00DE5E47">
      <w:pPr>
        <w:pStyle w:val="Heading4"/>
      </w:pPr>
      <w:r>
        <w:t>Teacher certification and training forwards a managerial system of control that tethers instructors to the figure of the Child through accountability discourse</w:t>
      </w:r>
    </w:p>
    <w:p w:rsidR="00DE5E47" w:rsidRDefault="00DE5E47" w:rsidP="00DE5E47">
      <w:r w:rsidRPr="00CC2473">
        <w:rPr>
          <w:rStyle w:val="Style13ptBold"/>
        </w:rPr>
        <w:t>Clarke and Phelan</w:t>
      </w:r>
      <w:r>
        <w:t xml:space="preserve"> 20</w:t>
      </w:r>
      <w:r w:rsidRPr="00CC2473">
        <w:rPr>
          <w:rStyle w:val="Style13ptBold"/>
        </w:rPr>
        <w:t>15</w:t>
      </w:r>
      <w:r w:rsidRPr="00CC2473">
        <w:rPr>
          <w:sz w:val="18"/>
          <w:szCs w:val="18"/>
        </w:rPr>
        <w:t xml:space="preserve"> </w:t>
      </w:r>
      <w:r w:rsidRPr="00CC2473">
        <w:rPr>
          <w:sz w:val="20"/>
          <w:szCs w:val="20"/>
        </w:rPr>
        <w:t>(Mat</w:t>
      </w:r>
      <w:r w:rsidR="004D7A2E">
        <w:rPr>
          <w:sz w:val="20"/>
          <w:szCs w:val="20"/>
        </w:rPr>
        <w:t>t</w:t>
      </w:r>
      <w:r w:rsidRPr="00CC2473">
        <w:rPr>
          <w:sz w:val="20"/>
          <w:szCs w:val="20"/>
        </w:rPr>
        <w:t>hew</w:t>
      </w:r>
      <w:r w:rsidR="004D7A2E">
        <w:rPr>
          <w:sz w:val="20"/>
          <w:szCs w:val="20"/>
        </w:rPr>
        <w:t>, professor and chair in Education at York St John University in the UK;</w:t>
      </w:r>
      <w:r w:rsidRPr="00CC2473">
        <w:rPr>
          <w:sz w:val="20"/>
          <w:szCs w:val="20"/>
        </w:rPr>
        <w:t xml:space="preserve"> Anne</w:t>
      </w:r>
      <w:r w:rsidR="004D7A2E">
        <w:rPr>
          <w:sz w:val="20"/>
          <w:szCs w:val="20"/>
        </w:rPr>
        <w:t>,</w:t>
      </w:r>
      <w:r w:rsidRPr="00CC2473">
        <w:rPr>
          <w:sz w:val="20"/>
          <w:szCs w:val="20"/>
        </w:rPr>
        <w:t xml:space="preserve"> Professor in the Department of Curriculum and Pedagogy, and a Research Associate with the Centre for the Study of Teacher Education, at the University of British Columbia</w:t>
      </w:r>
      <w:r w:rsidR="004D7A2E">
        <w:rPr>
          <w:sz w:val="20"/>
          <w:szCs w:val="20"/>
        </w:rPr>
        <w:t xml:space="preserve"> |</w:t>
      </w:r>
      <w:r w:rsidRPr="00CC2473">
        <w:rPr>
          <w:sz w:val="20"/>
          <w:szCs w:val="20"/>
        </w:rPr>
        <w:t xml:space="preserve"> “The power of negative thinking in and for teacher education,” Power and Education, Septemb</w:t>
      </w:r>
      <w:r>
        <w:rPr>
          <w:sz w:val="20"/>
          <w:szCs w:val="20"/>
        </w:rPr>
        <w:t>er 2015, pg. 1-6</w:t>
      </w:r>
      <w:r w:rsidRPr="00CC2473">
        <w:rPr>
          <w:sz w:val="20"/>
          <w:szCs w:val="20"/>
        </w:rPr>
        <w:t>, http://journals.sagepub.com/doi/</w:t>
      </w:r>
      <w:r w:rsidR="004D7A2E">
        <w:rPr>
          <w:sz w:val="20"/>
          <w:szCs w:val="20"/>
        </w:rPr>
        <w:t>abs/10.1177/1757743815607025 ]</w:t>
      </w:r>
    </w:p>
    <w:p w:rsidR="00DE5E47" w:rsidRDefault="00DE5E47" w:rsidP="00DE5E47">
      <w:pPr>
        <w:rPr>
          <w:sz w:val="16"/>
        </w:rPr>
      </w:pPr>
      <w:r w:rsidRPr="00EF0239">
        <w:rPr>
          <w:rStyle w:val="StyleUnderline"/>
        </w:rPr>
        <w:t>Education and the retreat to modernity</w:t>
      </w:r>
      <w:r w:rsidRPr="00EF0239">
        <w:rPr>
          <w:sz w:val="16"/>
        </w:rPr>
        <w:t xml:space="preserve">: As we were working on this article, an article was published on the front page of The Australian newspaper, entitled ‘Toughen up on teacher training, university heads warned’. The article opened with an announcement that ‘Universities will have to prove their teaching graduates improve student learning under tougher accreditation standards for education degrees envisaged by the new chairman of the national teachers institute’, and went on to identify the latter’s research priorities as ‘assessing the capabilities of graduates, measuring the outcomes of initial teacher education, and how to roll out the most effective models of teacher education’. In a similar vein, the article noted that teacher education degrees would be evaluated against three criteria: ‘the impact of the teacher on the student, the magnitude of that impact, and how pervasive it was across students’ (Ferrari, 2014). From the perspective of the current article, </w:t>
      </w:r>
      <w:r w:rsidRPr="00216366">
        <w:rPr>
          <w:rStyle w:val="StyleUnderline"/>
        </w:rPr>
        <w:t xml:space="preserve">this news article is symptomatic of the contemporary moment in teacher education </w:t>
      </w:r>
      <w:r w:rsidRPr="00EF0239">
        <w:rPr>
          <w:sz w:val="16"/>
        </w:rPr>
        <w:t xml:space="preserve">in many global contexts, including North America, Europe, Australia and New Zealand. Specifically, the article </w:t>
      </w:r>
      <w:r w:rsidRPr="00216366">
        <w:rPr>
          <w:rStyle w:val="StyleUnderline"/>
        </w:rPr>
        <w:t>reflects neo-liberal emphases on economics and productivity, which encourage us to see education as a form of input, providing human capital to meet the needs of the economy.</w:t>
      </w:r>
      <w:r w:rsidRPr="00EF0239">
        <w:rPr>
          <w:sz w:val="16"/>
        </w:rPr>
        <w:t xml:space="preserve"> As such</w:t>
      </w:r>
      <w:r w:rsidRPr="00216366">
        <w:rPr>
          <w:rStyle w:val="StyleUnderline"/>
        </w:rPr>
        <w:t>, teacher education</w:t>
      </w:r>
      <w:r w:rsidRPr="00EF0239">
        <w:rPr>
          <w:sz w:val="16"/>
        </w:rPr>
        <w:t xml:space="preserve">, and indeed education more broadly, </w:t>
      </w:r>
      <w:r w:rsidRPr="00216366">
        <w:rPr>
          <w:rStyle w:val="StyleUnderline"/>
        </w:rPr>
        <w:t>has become subject to</w:t>
      </w:r>
      <w:r w:rsidRPr="00EF0239">
        <w:rPr>
          <w:sz w:val="16"/>
        </w:rPr>
        <w:t xml:space="preserve"> the same </w:t>
      </w:r>
      <w:r w:rsidRPr="00216366">
        <w:rPr>
          <w:rStyle w:val="StyleUnderline"/>
        </w:rPr>
        <w:t>managerial norms</w:t>
      </w:r>
      <w:r w:rsidRPr="00EF0239">
        <w:rPr>
          <w:sz w:val="16"/>
        </w:rPr>
        <w:t xml:space="preserve"> as those that dominate in the business sector, </w:t>
      </w:r>
      <w:r w:rsidRPr="00216366">
        <w:rPr>
          <w:rStyle w:val="StyleUnderline"/>
        </w:rPr>
        <w:t>involving susceptibility to evaluation through the specification and measurement of</w:t>
      </w:r>
      <w:r w:rsidRPr="00EF0239">
        <w:rPr>
          <w:sz w:val="16"/>
        </w:rPr>
        <w:t xml:space="preserve"> </w:t>
      </w:r>
      <w:r w:rsidRPr="00216366">
        <w:rPr>
          <w:rStyle w:val="StyleUnderline"/>
        </w:rPr>
        <w:t xml:space="preserve">quantifiable data in the form of </w:t>
      </w:r>
      <w:r w:rsidRPr="00216366">
        <w:rPr>
          <w:rStyle w:val="Emphasis"/>
        </w:rPr>
        <w:t>impact, output, standards and targets</w:t>
      </w:r>
      <w:r w:rsidRPr="00EF0239">
        <w:rPr>
          <w:sz w:val="16"/>
        </w:rPr>
        <w:t xml:space="preserve">. The news article, and </w:t>
      </w:r>
      <w:r w:rsidRPr="00216366">
        <w:rPr>
          <w:rStyle w:val="StyleUnderline"/>
        </w:rPr>
        <w:t>the policy shift in relation to the preparation of teachers</w:t>
      </w:r>
      <w:r w:rsidRPr="00EF0239">
        <w:rPr>
          <w:sz w:val="16"/>
        </w:rPr>
        <w:t xml:space="preserve"> it announces, </w:t>
      </w:r>
      <w:r w:rsidRPr="00216366">
        <w:rPr>
          <w:rStyle w:val="StyleUnderline"/>
        </w:rPr>
        <w:t xml:space="preserve">is </w:t>
      </w:r>
      <w:r w:rsidRPr="00EF0239">
        <w:rPr>
          <w:sz w:val="16"/>
        </w:rPr>
        <w:t xml:space="preserve">also </w:t>
      </w:r>
      <w:r w:rsidRPr="00216366">
        <w:rPr>
          <w:rStyle w:val="StyleUnderline"/>
        </w:rPr>
        <w:t>symptomatic of contemporary discourses circulating around teacher education insofar as it is premised on the identification of a deficit</w:t>
      </w:r>
      <w:r w:rsidRPr="00EF0239">
        <w:rPr>
          <w:sz w:val="16"/>
        </w:rPr>
        <w:t xml:space="preserve"> </w:t>
      </w:r>
      <w:r w:rsidRPr="00216366">
        <w:rPr>
          <w:rStyle w:val="Emphasis"/>
        </w:rPr>
        <w:t xml:space="preserve">(or ‘lack’ </w:t>
      </w:r>
      <w:r w:rsidRPr="00EF0239">
        <w:rPr>
          <w:sz w:val="16"/>
        </w:rPr>
        <w:t xml:space="preserve">to foreshadow our subsequent discussion) – hence </w:t>
      </w:r>
      <w:r w:rsidRPr="00216366">
        <w:rPr>
          <w:rStyle w:val="StyleUnderline"/>
        </w:rPr>
        <w:t>the need for a ‘tougher stance’ – that threatens to become a crisis</w:t>
      </w:r>
      <w:r w:rsidRPr="00EF0239">
        <w:rPr>
          <w:sz w:val="16"/>
        </w:rPr>
        <w:t xml:space="preserve"> unless addressed. For just as capitalism is characterized by recurring crises (Harvey, 2010; Mirowski, 2013; Valodas, 2012), </w:t>
      </w:r>
      <w:r w:rsidRPr="00216366">
        <w:rPr>
          <w:rStyle w:val="StyleUnderline"/>
        </w:rPr>
        <w:t xml:space="preserve">teaching and teacher education have been subjected to an ongoing series of manufactured crises involving persistent questioning </w:t>
      </w:r>
      <w:r w:rsidRPr="00EF0239">
        <w:rPr>
          <w:sz w:val="16"/>
        </w:rPr>
        <w:t xml:space="preserve">on the </w:t>
      </w:r>
      <w:r w:rsidRPr="00216366">
        <w:rPr>
          <w:rStyle w:val="StyleUnderline"/>
        </w:rPr>
        <w:t>part of policymakers and</w:t>
      </w:r>
      <w:r w:rsidRPr="00EF0239">
        <w:rPr>
          <w:sz w:val="16"/>
        </w:rPr>
        <w:t xml:space="preserve"> the media, often </w:t>
      </w:r>
      <w:r w:rsidRPr="00216366">
        <w:rPr>
          <w:rStyle w:val="StyleUnderline"/>
        </w:rPr>
        <w:t>driven by political timetables, about whether teachers are meeting (or undermining) the nation’s expectations in relation to</w:t>
      </w:r>
      <w:r w:rsidRPr="00EF0239">
        <w:rPr>
          <w:sz w:val="16"/>
        </w:rPr>
        <w:t xml:space="preserve"> such criteria as </w:t>
      </w:r>
      <w:r w:rsidRPr="00216366">
        <w:rPr>
          <w:rStyle w:val="StyleUnderline"/>
        </w:rPr>
        <w:t>the</w:t>
      </w:r>
      <w:r w:rsidRPr="00EF0239">
        <w:rPr>
          <w:sz w:val="16"/>
        </w:rPr>
        <w:t xml:space="preserve"> adequate </w:t>
      </w:r>
      <w:r w:rsidRPr="00216366">
        <w:rPr>
          <w:rStyle w:val="StyleUnderline"/>
        </w:rPr>
        <w:t>preparation of a globally competitive workforce</w:t>
      </w:r>
      <w:r w:rsidRPr="00EF0239">
        <w:rPr>
          <w:sz w:val="16"/>
        </w:rPr>
        <w:t xml:space="preserve">, the achievement of sufficiently </w:t>
      </w:r>
      <w:r w:rsidRPr="00216366">
        <w:rPr>
          <w:rStyle w:val="StyleUnderline"/>
        </w:rPr>
        <w:t>high academic standards</w:t>
      </w:r>
      <w:r w:rsidRPr="00EF0239">
        <w:rPr>
          <w:sz w:val="16"/>
        </w:rPr>
        <w:t xml:space="preserve">, the transmission of appropriate curricular content </w:t>
      </w:r>
      <w:r w:rsidRPr="00216366">
        <w:rPr>
          <w:rStyle w:val="StyleUnderline"/>
        </w:rPr>
        <w:t>and the instillation of sufficient moral fibre</w:t>
      </w:r>
      <w:r w:rsidRPr="00EF0239">
        <w:rPr>
          <w:sz w:val="16"/>
        </w:rPr>
        <w:t xml:space="preserve"> in students (Adey and Dillon, 2012; Furlong et al., 2000; Smyth, 2006; Whitty, 2002). </w:t>
      </w:r>
      <w:r w:rsidRPr="00216366">
        <w:rPr>
          <w:rStyle w:val="StyleUnderline"/>
        </w:rPr>
        <w:t>One response</w:t>
      </w:r>
      <w:r w:rsidRPr="00EF0239">
        <w:rPr>
          <w:sz w:val="16"/>
        </w:rPr>
        <w:t xml:space="preserve"> to education’s induced sense of crisis </w:t>
      </w:r>
      <w:r w:rsidRPr="00216366">
        <w:rPr>
          <w:rStyle w:val="StyleUnderline"/>
        </w:rPr>
        <w:t>has been an increasing degree of policy hyperactivism</w:t>
      </w:r>
      <w:r w:rsidRPr="00EF0239">
        <w:rPr>
          <w:sz w:val="16"/>
        </w:rPr>
        <w:t xml:space="preserve"> (Levin, 1998; Vidovich, 2009), </w:t>
      </w:r>
      <w:r w:rsidRPr="00216366">
        <w:rPr>
          <w:rStyle w:val="StyleUnderline"/>
        </w:rPr>
        <w:t xml:space="preserve">reflecting a belief that </w:t>
      </w:r>
      <w:r w:rsidRPr="00216366">
        <w:rPr>
          <w:rStyle w:val="Emphasis"/>
        </w:rPr>
        <w:t xml:space="preserve">the creation of policy </w:t>
      </w:r>
      <w:r w:rsidRPr="00216366">
        <w:rPr>
          <w:rStyle w:val="StyleUnderline"/>
        </w:rPr>
        <w:t xml:space="preserve">in and of itself </w:t>
      </w:r>
      <w:r w:rsidRPr="00216366">
        <w:rPr>
          <w:rStyle w:val="Emphasis"/>
        </w:rPr>
        <w:t>suggests</w:t>
      </w:r>
      <w:r w:rsidRPr="00216366">
        <w:rPr>
          <w:rStyle w:val="StyleUnderline"/>
        </w:rPr>
        <w:t xml:space="preserve"> order, </w:t>
      </w:r>
      <w:r w:rsidRPr="00216366">
        <w:rPr>
          <w:rStyle w:val="Emphasis"/>
        </w:rPr>
        <w:t>authority and expertise</w:t>
      </w:r>
      <w:r w:rsidRPr="00EF0239">
        <w:rPr>
          <w:sz w:val="16"/>
        </w:rPr>
        <w:t xml:space="preserve"> (Colebatch, 2009). </w:t>
      </w:r>
      <w:r w:rsidRPr="00361B9B">
        <w:rPr>
          <w:rStyle w:val="StyleUnderline"/>
        </w:rPr>
        <w:t>A further response</w:t>
      </w:r>
      <w:r w:rsidRPr="00EF0239">
        <w:rPr>
          <w:sz w:val="16"/>
        </w:rPr>
        <w:t xml:space="preserve"> on the part of governments, </w:t>
      </w:r>
      <w:r w:rsidRPr="00361B9B">
        <w:rPr>
          <w:rStyle w:val="StyleUnderline"/>
        </w:rPr>
        <w:t>seeking to</w:t>
      </w:r>
      <w:r w:rsidRPr="00EF0239">
        <w:rPr>
          <w:sz w:val="16"/>
        </w:rPr>
        <w:t xml:space="preserve"> alleviate social anxieties and </w:t>
      </w:r>
      <w:r w:rsidRPr="00361B9B">
        <w:rPr>
          <w:rStyle w:val="StyleUnderline"/>
        </w:rPr>
        <w:t>enhance political legitimacy, has been to depoliticize particular policy domains</w:t>
      </w:r>
      <w:r w:rsidRPr="00EF0239">
        <w:rPr>
          <w:sz w:val="16"/>
        </w:rPr>
        <w:t xml:space="preserve">, reframing them as matters of merely technical concern (Clarke and Newman, 1997). </w:t>
      </w:r>
      <w:r w:rsidRPr="00361B9B">
        <w:rPr>
          <w:rStyle w:val="StyleUnderline"/>
        </w:rPr>
        <w:t>Such depoliticization, by ‘removing</w:t>
      </w:r>
      <w:r w:rsidRPr="00EF0239">
        <w:rPr>
          <w:sz w:val="16"/>
        </w:rPr>
        <w:t xml:space="preserve"> a </w:t>
      </w:r>
      <w:r w:rsidRPr="00361B9B">
        <w:rPr>
          <w:rStyle w:val="StyleUnderline"/>
        </w:rPr>
        <w:t>political phenomenon from comprehension of its historical emergence and from recognition</w:t>
      </w:r>
      <w:r w:rsidRPr="00EF0239">
        <w:rPr>
          <w:sz w:val="16"/>
        </w:rPr>
        <w:t xml:space="preserve"> of the powers that produce and contour it’ (Brown, 2006: 15; original emphasis), </w:t>
      </w:r>
      <w:r w:rsidRPr="00361B9B">
        <w:rPr>
          <w:rStyle w:val="StyleUnderline"/>
        </w:rPr>
        <w:t>places practices and events in a timeless present</w:t>
      </w:r>
      <w:r w:rsidRPr="00EF0239">
        <w:rPr>
          <w:sz w:val="16"/>
        </w:rPr>
        <w:t xml:space="preserve"> in order </w:t>
      </w:r>
      <w:r w:rsidRPr="00361B9B">
        <w:rPr>
          <w:rStyle w:val="StyleUnderline"/>
        </w:rPr>
        <w:t>to project them as</w:t>
      </w:r>
      <w:r w:rsidRPr="00EF0239">
        <w:rPr>
          <w:sz w:val="16"/>
        </w:rPr>
        <w:t xml:space="preserve"> merely </w:t>
      </w:r>
      <w:r w:rsidRPr="00361B9B">
        <w:rPr>
          <w:rStyle w:val="Emphasis"/>
        </w:rPr>
        <w:t>the natural order of things,</w:t>
      </w:r>
      <w:r w:rsidRPr="00EF0239">
        <w:rPr>
          <w:sz w:val="16"/>
        </w:rPr>
        <w:t xml:space="preserve"> thus </w:t>
      </w:r>
      <w:r w:rsidRPr="00361B9B">
        <w:rPr>
          <w:rStyle w:val="StyleUnderline"/>
        </w:rPr>
        <w:t>removing them from ideological and political contestation</w:t>
      </w:r>
      <w:r w:rsidRPr="00EF0239">
        <w:rPr>
          <w:sz w:val="16"/>
        </w:rPr>
        <w:t xml:space="preserve">. By contrast, our position is ‘that </w:t>
      </w:r>
      <w:r w:rsidRPr="00361B9B">
        <w:rPr>
          <w:rStyle w:val="StyleUnderline"/>
        </w:rPr>
        <w:t xml:space="preserve">teaching and teacher education are inherently </w:t>
      </w:r>
      <w:r w:rsidRPr="00EF0239">
        <w:rPr>
          <w:sz w:val="16"/>
        </w:rPr>
        <w:t>and unavoidably</w:t>
      </w:r>
      <w:r w:rsidRPr="00361B9B">
        <w:rPr>
          <w:rStyle w:val="StyleUnderline"/>
        </w:rPr>
        <w:t xml:space="preserve"> political’</w:t>
      </w:r>
      <w:r w:rsidRPr="00EF0239">
        <w:rPr>
          <w:sz w:val="16"/>
        </w:rPr>
        <w:t xml:space="preserve"> (Cochran-Smith, 2005: 3). In the case of education, </w:t>
      </w:r>
      <w:r w:rsidRPr="00361B9B">
        <w:rPr>
          <w:rStyle w:val="StyleUnderline"/>
        </w:rPr>
        <w:t>depoliticization has been achieved through the deployment of a ‘discursive duopoly’ of instrumentalism and consensualism</w:t>
      </w:r>
      <w:r w:rsidRPr="00EF0239">
        <w:rPr>
          <w:sz w:val="16"/>
        </w:rPr>
        <w:t xml:space="preserve"> (Clarke, 2012). </w:t>
      </w:r>
      <w:r w:rsidRPr="00361B9B">
        <w:rPr>
          <w:rStyle w:val="StyleUnderline"/>
        </w:rPr>
        <w:t>Instrumentalism involves the</w:t>
      </w:r>
      <w:r w:rsidRPr="00EF0239">
        <w:rPr>
          <w:sz w:val="16"/>
        </w:rPr>
        <w:t xml:space="preserve"> pervasive </w:t>
      </w:r>
      <w:r w:rsidRPr="00361B9B">
        <w:rPr>
          <w:rStyle w:val="StyleUnderline"/>
        </w:rPr>
        <w:t xml:space="preserve">view that the </w:t>
      </w:r>
      <w:r w:rsidRPr="00EF0239">
        <w:rPr>
          <w:sz w:val="16"/>
        </w:rPr>
        <w:t xml:space="preserve">main </w:t>
      </w:r>
      <w:r w:rsidRPr="00361B9B">
        <w:rPr>
          <w:rStyle w:val="StyleUnderline"/>
        </w:rPr>
        <w:t xml:space="preserve">purpose of education is </w:t>
      </w:r>
      <w:r w:rsidRPr="00EF0239">
        <w:rPr>
          <w:sz w:val="16"/>
        </w:rPr>
        <w:t>to serve the needs of</w:t>
      </w:r>
      <w:r w:rsidRPr="00361B9B">
        <w:rPr>
          <w:rStyle w:val="StyleUnderline"/>
        </w:rPr>
        <w:t xml:space="preserve"> the economy, while consensualism</w:t>
      </w:r>
      <w:r w:rsidRPr="00EF0239">
        <w:rPr>
          <w:sz w:val="16"/>
        </w:rPr>
        <w:t xml:space="preserve">, which works hand in hand with instrumentalism, </w:t>
      </w:r>
      <w:r w:rsidRPr="00361B9B">
        <w:rPr>
          <w:rStyle w:val="StyleUnderline"/>
        </w:rPr>
        <w:t>involves the demonization of disagreement</w:t>
      </w:r>
      <w:r w:rsidRPr="00EF0239">
        <w:rPr>
          <w:sz w:val="16"/>
        </w:rPr>
        <w:t xml:space="preserve"> and dissensus </w:t>
      </w:r>
      <w:r w:rsidRPr="00361B9B">
        <w:rPr>
          <w:rStyle w:val="StyleUnderline"/>
        </w:rPr>
        <w:t>and the valorization of</w:t>
      </w:r>
      <w:r w:rsidRPr="00EF0239">
        <w:rPr>
          <w:sz w:val="16"/>
        </w:rPr>
        <w:t xml:space="preserve"> agreement and </w:t>
      </w:r>
      <w:r w:rsidRPr="00361B9B">
        <w:rPr>
          <w:rStyle w:val="StyleUnderline"/>
        </w:rPr>
        <w:t xml:space="preserve">consensus </w:t>
      </w:r>
      <w:r w:rsidRPr="00EF0239">
        <w:rPr>
          <w:sz w:val="16"/>
        </w:rPr>
        <w:t xml:space="preserve">in relation to the instrumentalist view regarding the economic purposes of education. </w:t>
      </w:r>
      <w:r w:rsidRPr="00361B9B">
        <w:rPr>
          <w:rStyle w:val="StyleUnderline"/>
        </w:rPr>
        <w:t>Disagreement</w:t>
      </w:r>
      <w:r w:rsidRPr="00EF0239">
        <w:rPr>
          <w:sz w:val="16"/>
        </w:rPr>
        <w:t xml:space="preserve"> thus </w:t>
      </w:r>
      <w:r w:rsidRPr="00361B9B">
        <w:rPr>
          <w:rStyle w:val="StyleUnderline"/>
        </w:rPr>
        <w:t xml:space="preserve">becomes </w:t>
      </w:r>
      <w:r w:rsidRPr="00361B9B">
        <w:rPr>
          <w:rStyle w:val="StyleUnderline"/>
        </w:rPr>
        <w:lastRenderedPageBreak/>
        <w:t>limited to</w:t>
      </w:r>
      <w:r w:rsidRPr="00EF0239">
        <w:rPr>
          <w:sz w:val="16"/>
        </w:rPr>
        <w:t xml:space="preserve"> varying views as to</w:t>
      </w:r>
      <w:r w:rsidRPr="00361B9B">
        <w:rPr>
          <w:rStyle w:val="StyleUnderline"/>
        </w:rPr>
        <w:t xml:space="preserve"> the best means by which instrumental goals can be achieved</w:t>
      </w:r>
      <w:r w:rsidRPr="00EF0239">
        <w:rPr>
          <w:sz w:val="16"/>
        </w:rPr>
        <w:t xml:space="preserve">; dissent regarding the purposes of education becomes off limits. Instrumentalism is reflected in the infusing of teacher education with the language of competition and the market. Specifically, </w:t>
      </w:r>
      <w:r w:rsidRPr="00361B9B">
        <w:rPr>
          <w:rStyle w:val="StyleUnderline"/>
        </w:rPr>
        <w:t>notions of</w:t>
      </w:r>
      <w:r w:rsidRPr="00EF0239">
        <w:rPr>
          <w:sz w:val="16"/>
        </w:rPr>
        <w:t xml:space="preserve"> best </w:t>
      </w:r>
      <w:r w:rsidRPr="00361B9B">
        <w:rPr>
          <w:rStyle w:val="Emphasis"/>
        </w:rPr>
        <w:t>returns on ‘investment’</w:t>
      </w:r>
      <w:r w:rsidRPr="00EF0239">
        <w:rPr>
          <w:sz w:val="16"/>
        </w:rPr>
        <w:t xml:space="preserve"> (Carnegie Corporation of New York, 2006: 9) </w:t>
      </w:r>
      <w:r w:rsidRPr="00361B9B">
        <w:rPr>
          <w:rStyle w:val="StyleUnderline"/>
        </w:rPr>
        <w:t>position teacher education as the source of increased productivity</w:t>
      </w:r>
      <w:r w:rsidRPr="00EF0239">
        <w:rPr>
          <w:sz w:val="16"/>
        </w:rPr>
        <w:t xml:space="preserve"> in the form of improved standardized national (e.g. Standard Assessment Tests (SATS) in England; the National Assessment Program – Literacy and Numeracy (NAPLAN) in Australia; and Formative Skills Assessment (FSA) in British Columbia, Canada) and international (e.g. the Trends in International Mathematics and Science Study (TIMSS) and Programme for International Student Assessment (PISA)) test results. </w:t>
      </w:r>
      <w:r w:rsidRPr="00361B9B">
        <w:rPr>
          <w:rStyle w:val="StyleUnderline"/>
        </w:rPr>
        <w:t>Evidence of consensualism includes the unchallengeable orthodoxy that ‘</w:t>
      </w:r>
      <w:r w:rsidRPr="00361B9B">
        <w:rPr>
          <w:rStyle w:val="Emphasis"/>
        </w:rPr>
        <w:t>quality’ teaching assures ‘quality’ education</w:t>
      </w:r>
      <w:r w:rsidRPr="00361B9B">
        <w:rPr>
          <w:rStyle w:val="StyleUnderline"/>
        </w:rPr>
        <w:t xml:space="preserve"> for all students</w:t>
      </w:r>
      <w:r w:rsidRPr="00EF0239">
        <w:rPr>
          <w:sz w:val="16"/>
        </w:rPr>
        <w:t xml:space="preserve"> (Alberta Education, 1995; OECD, 2005), </w:t>
      </w:r>
      <w:r w:rsidRPr="00361B9B">
        <w:rPr>
          <w:rStyle w:val="StyleUnderline"/>
        </w:rPr>
        <w:t>the dominance of ‘</w:t>
      </w:r>
      <w:r w:rsidRPr="00361B9B">
        <w:rPr>
          <w:rStyle w:val="Emphasis"/>
        </w:rPr>
        <w:t>evidence-based’ understandings</w:t>
      </w:r>
      <w:r w:rsidRPr="00361B9B">
        <w:rPr>
          <w:rStyle w:val="StyleUnderline"/>
        </w:rPr>
        <w:t xml:space="preserve"> of teaching, and the push to identify effective and efficient interventions</w:t>
      </w:r>
      <w:r w:rsidRPr="00EF0239">
        <w:rPr>
          <w:sz w:val="16"/>
        </w:rPr>
        <w:t xml:space="preserve"> that might be generalized </w:t>
      </w:r>
      <w:r w:rsidRPr="00361B9B">
        <w:rPr>
          <w:rStyle w:val="StyleUnderline"/>
        </w:rPr>
        <w:t>across a range of programme</w:t>
      </w:r>
      <w:r w:rsidRPr="00EF0239">
        <w:rPr>
          <w:sz w:val="16"/>
        </w:rPr>
        <w:t xml:space="preserve"> </w:t>
      </w:r>
      <w:r w:rsidRPr="00361B9B">
        <w:rPr>
          <w:rStyle w:val="StyleUnderline"/>
        </w:rPr>
        <w:t xml:space="preserve">contexts </w:t>
      </w:r>
      <w:r w:rsidRPr="00EF0239">
        <w:rPr>
          <w:sz w:val="16"/>
        </w:rPr>
        <w:t>in order</w:t>
      </w:r>
      <w:r w:rsidRPr="00361B9B">
        <w:rPr>
          <w:rStyle w:val="StyleUnderline"/>
        </w:rPr>
        <w:t xml:space="preserve"> to bring about predetermined outcomes</w:t>
      </w:r>
      <w:r w:rsidRPr="00EF0239">
        <w:rPr>
          <w:sz w:val="16"/>
        </w:rPr>
        <w:t xml:space="preserve">. A key </w:t>
      </w:r>
      <w:r w:rsidRPr="00361B9B">
        <w:rPr>
          <w:rStyle w:val="StyleUnderline"/>
        </w:rPr>
        <w:t xml:space="preserve">consequence of this </w:t>
      </w:r>
      <w:r w:rsidRPr="00EF0239">
        <w:rPr>
          <w:sz w:val="16"/>
        </w:rPr>
        <w:t xml:space="preserve">instrumental– consensual </w:t>
      </w:r>
      <w:r w:rsidRPr="00361B9B">
        <w:rPr>
          <w:rStyle w:val="StyleUnderline"/>
        </w:rPr>
        <w:t>duopoly is that improving practice</w:t>
      </w:r>
      <w:r w:rsidRPr="00EF0239">
        <w:rPr>
          <w:sz w:val="16"/>
        </w:rPr>
        <w:t xml:space="preserve"> (teaching) in order </w:t>
      </w:r>
      <w:r w:rsidRPr="00361B9B">
        <w:rPr>
          <w:rStyle w:val="StyleUnderline"/>
        </w:rPr>
        <w:t>to enhance productivity</w:t>
      </w:r>
      <w:r w:rsidRPr="00EF0239">
        <w:rPr>
          <w:sz w:val="16"/>
        </w:rPr>
        <w:t xml:space="preserve"> (learning) </w:t>
      </w:r>
      <w:r w:rsidRPr="00361B9B">
        <w:rPr>
          <w:rStyle w:val="StyleUnderline"/>
        </w:rPr>
        <w:t>becomes the dominant goal that all stakeholders must</w:t>
      </w:r>
      <w:r w:rsidRPr="00EF0239">
        <w:rPr>
          <w:sz w:val="16"/>
        </w:rPr>
        <w:t xml:space="preserve"> unquestioningly </w:t>
      </w:r>
      <w:r w:rsidRPr="00361B9B">
        <w:rPr>
          <w:rStyle w:val="StyleUnderline"/>
        </w:rPr>
        <w:t>endorse</w:t>
      </w:r>
      <w:r w:rsidRPr="00EF0239">
        <w:rPr>
          <w:sz w:val="16"/>
        </w:rPr>
        <w:t xml:space="preserve"> or forfeit recognition as legitimate voices. Meanwhile, determined to argue that teaching is a profession with a complete, impartial and defensible knowledge base, researchers have been drawn into </w:t>
      </w:r>
      <w:r w:rsidRPr="00361B9B">
        <w:rPr>
          <w:rStyle w:val="StyleUnderline"/>
        </w:rPr>
        <w:t>arguments about</w:t>
      </w:r>
      <w:r w:rsidRPr="00EF0239">
        <w:rPr>
          <w:sz w:val="16"/>
        </w:rPr>
        <w:t xml:space="preserve"> justification and </w:t>
      </w:r>
      <w:r w:rsidRPr="00361B9B">
        <w:rPr>
          <w:rStyle w:val="StyleUnderline"/>
        </w:rPr>
        <w:t>legitimation</w:t>
      </w:r>
      <w:r w:rsidRPr="00EF0239">
        <w:rPr>
          <w:sz w:val="16"/>
        </w:rPr>
        <w:t xml:space="preserve">, providing compilations of research to make the case for the professional relevance of knowledge and skills to be provided in teacher education (Crocker and Dibbon, 2008; Darling-Hammond, 2006; Darling-Hammond and Bransford, 2005). Yet, ironically, such work </w:t>
      </w:r>
      <w:r w:rsidRPr="00361B9B">
        <w:rPr>
          <w:rStyle w:val="StyleUnderline"/>
        </w:rPr>
        <w:t>only fuels the anxieties of teacher educators</w:t>
      </w:r>
      <w:r w:rsidRPr="00EF0239">
        <w:rPr>
          <w:sz w:val="16"/>
        </w:rPr>
        <w:t xml:space="preserve"> and teacher candidates, </w:t>
      </w:r>
      <w:r w:rsidRPr="00361B9B">
        <w:rPr>
          <w:rStyle w:val="StyleUnderline"/>
        </w:rPr>
        <w:t xml:space="preserve">with the need to meet </w:t>
      </w:r>
      <w:r w:rsidRPr="00361B9B">
        <w:rPr>
          <w:rStyle w:val="Emphasis"/>
        </w:rPr>
        <w:t>certification requirements</w:t>
      </w:r>
      <w:r w:rsidRPr="00EF0239">
        <w:rPr>
          <w:sz w:val="16"/>
        </w:rPr>
        <w:t xml:space="preserve"> </w:t>
      </w:r>
      <w:r w:rsidRPr="00361B9B">
        <w:rPr>
          <w:rStyle w:val="StyleUnderline"/>
        </w:rPr>
        <w:t>outlined in</w:t>
      </w:r>
      <w:r w:rsidRPr="00EF0239">
        <w:rPr>
          <w:sz w:val="16"/>
        </w:rPr>
        <w:t xml:space="preserve"> the </w:t>
      </w:r>
      <w:r w:rsidRPr="00361B9B">
        <w:rPr>
          <w:rStyle w:val="StyleUnderline"/>
        </w:rPr>
        <w:t>teaching standards</w:t>
      </w:r>
      <w:r w:rsidRPr="00EF0239">
        <w:rPr>
          <w:sz w:val="16"/>
        </w:rPr>
        <w:t xml:space="preserve"> supplanting concern with the political situatedness and ethical thought processes of teaching. In these and other ways, an impoverishing</w:t>
      </w:r>
      <w:r w:rsidRPr="00EF0239">
        <w:rPr>
          <w:rStyle w:val="StyleUnderline"/>
        </w:rPr>
        <w:t xml:space="preserve"> instrumentalism and</w:t>
      </w:r>
      <w:r w:rsidRPr="00EF0239">
        <w:rPr>
          <w:sz w:val="16"/>
        </w:rPr>
        <w:t xml:space="preserve"> a comforting </w:t>
      </w:r>
      <w:r w:rsidRPr="00EF0239">
        <w:rPr>
          <w:rStyle w:val="StyleUnderline"/>
        </w:rPr>
        <w:t>consensualism haunt teacher education and teaching, representing a</w:t>
      </w:r>
      <w:r w:rsidRPr="00EF0239">
        <w:rPr>
          <w:sz w:val="16"/>
        </w:rPr>
        <w:t>n unwitting</w:t>
      </w:r>
      <w:r w:rsidRPr="00EF0239">
        <w:rPr>
          <w:rStyle w:val="StyleUnderline"/>
        </w:rPr>
        <w:t xml:space="preserve"> retreat into the unequivocal,</w:t>
      </w:r>
      <w:r w:rsidRPr="00EF0239">
        <w:rPr>
          <w:sz w:val="16"/>
        </w:rPr>
        <w:t xml:space="preserve"> systematic, yet amnestic </w:t>
      </w:r>
      <w:r w:rsidRPr="00EF0239">
        <w:rPr>
          <w:rStyle w:val="StyleUnderline"/>
        </w:rPr>
        <w:t>world of modernity</w:t>
      </w:r>
      <w:r w:rsidRPr="00EF0239">
        <w:rPr>
          <w:sz w:val="16"/>
        </w:rPr>
        <w:t xml:space="preserve"> (Hartley, 2000). </w:t>
      </w:r>
      <w:r w:rsidRPr="00F80078">
        <w:rPr>
          <w:sz w:val="16"/>
        </w:rPr>
        <w:t xml:space="preserve">The haunting of teacher education: In the current policy climate, </w:t>
      </w:r>
      <w:r w:rsidRPr="00EF0239">
        <w:rPr>
          <w:rStyle w:val="StyleUnderline"/>
        </w:rPr>
        <w:t>teacher education</w:t>
      </w:r>
      <w:r w:rsidRPr="00F80078">
        <w:rPr>
          <w:sz w:val="16"/>
        </w:rPr>
        <w:t xml:space="preserve">, as both a field of study or programmatic structure, </w:t>
      </w:r>
      <w:r w:rsidRPr="00EF0239">
        <w:rPr>
          <w:rStyle w:val="StyleUnderline"/>
        </w:rPr>
        <w:t>has been severely impacted, as ‘governments</w:t>
      </w:r>
      <w:r w:rsidRPr="00F80078">
        <w:rPr>
          <w:sz w:val="16"/>
        </w:rPr>
        <w:t xml:space="preserve"> around the world [</w:t>
      </w:r>
      <w:r w:rsidRPr="00EF0239">
        <w:rPr>
          <w:rStyle w:val="StyleUnderline"/>
        </w:rPr>
        <w:t>are] intent on systemic reform</w:t>
      </w:r>
      <w:r w:rsidRPr="00F80078">
        <w:rPr>
          <w:sz w:val="16"/>
        </w:rPr>
        <w:t xml:space="preserve"> of education </w:t>
      </w:r>
      <w:r w:rsidRPr="00EF0239">
        <w:rPr>
          <w:rStyle w:val="StyleUnderline"/>
        </w:rPr>
        <w:t>to improve their country’s global competitiveness</w:t>
      </w:r>
      <w:r w:rsidRPr="00F80078">
        <w:rPr>
          <w:sz w:val="16"/>
        </w:rPr>
        <w:t>... [</w:t>
      </w:r>
      <w:r w:rsidRPr="00EF0239">
        <w:rPr>
          <w:rStyle w:val="StyleUnderline"/>
        </w:rPr>
        <w:t xml:space="preserve">and] see </w:t>
      </w:r>
      <w:r w:rsidRPr="00F80078">
        <w:rPr>
          <w:sz w:val="16"/>
        </w:rPr>
        <w:t xml:space="preserve">the </w:t>
      </w:r>
      <w:r w:rsidRPr="00EF0239">
        <w:rPr>
          <w:rStyle w:val="StyleUnderline"/>
        </w:rPr>
        <w:t>reform</w:t>
      </w:r>
      <w:r w:rsidRPr="00F80078">
        <w:rPr>
          <w:sz w:val="16"/>
        </w:rPr>
        <w:t xml:space="preserve"> and progressive management of teacher education </w:t>
      </w:r>
      <w:r w:rsidRPr="00EF0239">
        <w:rPr>
          <w:rStyle w:val="StyleUnderline"/>
        </w:rPr>
        <w:t>as a key component</w:t>
      </w:r>
      <w:r w:rsidRPr="00F80078">
        <w:rPr>
          <w:sz w:val="16"/>
        </w:rPr>
        <w:t xml:space="preserve"> in that systemic reform process’ (Furlong, 2013: 46). In this section, we identify four particular ‘phantoms’ that have haunted teacher education in recent decades, each linked to this systemic reform process. These phantoms include: (a) the </w:t>
      </w:r>
      <w:r w:rsidRPr="00EF0239">
        <w:rPr>
          <w:rStyle w:val="StyleUnderline"/>
        </w:rPr>
        <w:t xml:space="preserve">continual </w:t>
      </w:r>
      <w:r w:rsidRPr="00EF0239">
        <w:rPr>
          <w:rStyle w:val="Emphasis"/>
        </w:rPr>
        <w:t>conjuring of crises</w:t>
      </w:r>
      <w:r w:rsidRPr="00EF0239">
        <w:rPr>
          <w:rStyle w:val="StyleUnderline"/>
        </w:rPr>
        <w:t xml:space="preserve"> that serve to stoke social anxiety</w:t>
      </w:r>
      <w:r w:rsidRPr="00F80078">
        <w:rPr>
          <w:sz w:val="16"/>
        </w:rPr>
        <w:t xml:space="preserve"> about the effectiveness and efficiency of teacher education; (b) </w:t>
      </w:r>
      <w:r w:rsidRPr="00EF0239">
        <w:rPr>
          <w:rStyle w:val="StyleUnderline"/>
        </w:rPr>
        <w:t>the imposition of a false consensus that deadens debate about</w:t>
      </w:r>
      <w:r w:rsidRPr="00F80078">
        <w:rPr>
          <w:sz w:val="16"/>
        </w:rPr>
        <w:t xml:space="preserve"> the </w:t>
      </w:r>
      <w:r w:rsidRPr="00EF0239">
        <w:rPr>
          <w:rStyle w:val="StyleUnderline"/>
        </w:rPr>
        <w:t>practice and purpose</w:t>
      </w:r>
      <w:r w:rsidRPr="00F80078">
        <w:rPr>
          <w:sz w:val="16"/>
        </w:rPr>
        <w:t xml:space="preserve"> of teacher education; (c) the increasing </w:t>
      </w:r>
      <w:r w:rsidRPr="00EF0239">
        <w:rPr>
          <w:rStyle w:val="Emphasis"/>
        </w:rPr>
        <w:t xml:space="preserve">standardization </w:t>
      </w:r>
      <w:r w:rsidRPr="00EF0239">
        <w:rPr>
          <w:rStyle w:val="StyleUnderline"/>
        </w:rPr>
        <w:t xml:space="preserve">of curriculum and teaching that undermines </w:t>
      </w:r>
      <w:r w:rsidRPr="00F80078">
        <w:rPr>
          <w:sz w:val="16"/>
        </w:rPr>
        <w:t xml:space="preserve">the cultivation of </w:t>
      </w:r>
      <w:r w:rsidRPr="00EF0239">
        <w:rPr>
          <w:rStyle w:val="StyleUnderline"/>
        </w:rPr>
        <w:t>teachers’ intellectual autonomy; and</w:t>
      </w:r>
      <w:r w:rsidRPr="00F80078">
        <w:rPr>
          <w:sz w:val="16"/>
        </w:rPr>
        <w:t xml:space="preserve"> (d) </w:t>
      </w:r>
      <w:r w:rsidRPr="00EF0239">
        <w:rPr>
          <w:rStyle w:val="StyleUnderline"/>
        </w:rPr>
        <w:t xml:space="preserve">the </w:t>
      </w:r>
      <w:r w:rsidRPr="00EF0239">
        <w:rPr>
          <w:rStyle w:val="Emphasis"/>
        </w:rPr>
        <w:t xml:space="preserve">reduction </w:t>
      </w:r>
      <w:r w:rsidRPr="00EF0239">
        <w:rPr>
          <w:rStyle w:val="StyleUnderline"/>
        </w:rPr>
        <w:t xml:space="preserve">of </w:t>
      </w:r>
      <w:r w:rsidRPr="00EF0239">
        <w:rPr>
          <w:rStyle w:val="Emphasis"/>
        </w:rPr>
        <w:t>teaching to the application of policies and protocols</w:t>
      </w:r>
      <w:r w:rsidRPr="00EF0239">
        <w:rPr>
          <w:rStyle w:val="StyleUnderline"/>
        </w:rPr>
        <w:t xml:space="preserve"> tailored to</w:t>
      </w:r>
      <w:r w:rsidRPr="00F80078">
        <w:rPr>
          <w:sz w:val="16"/>
        </w:rPr>
        <w:t xml:space="preserve"> producing </w:t>
      </w:r>
      <w:r w:rsidRPr="00EF0239">
        <w:rPr>
          <w:rStyle w:val="StyleUnderline"/>
        </w:rPr>
        <w:t>predetermined ends</w:t>
      </w:r>
      <w:r w:rsidRPr="00F80078">
        <w:rPr>
          <w:sz w:val="16"/>
        </w:rPr>
        <w:t>, thereby</w:t>
      </w:r>
      <w:r w:rsidRPr="00EF0239">
        <w:rPr>
          <w:rStyle w:val="StyleUnderline"/>
        </w:rPr>
        <w:t xml:space="preserve"> sidelining teachers’ </w:t>
      </w:r>
      <w:r w:rsidRPr="00F80078">
        <w:rPr>
          <w:sz w:val="16"/>
        </w:rPr>
        <w:t xml:space="preserve">moral </w:t>
      </w:r>
      <w:r w:rsidRPr="00EF0239">
        <w:rPr>
          <w:rStyle w:val="StyleUnderline"/>
        </w:rPr>
        <w:t>judgement and disavowing the ethico-political dimension of teaching</w:t>
      </w:r>
      <w:r w:rsidRPr="00F80078">
        <w:rPr>
          <w:sz w:val="16"/>
        </w:rPr>
        <w:t xml:space="preserve">. Below, we examine each of these four phantoms in greater detail. Teacher education has long been a site of social anxiety. In recent decades, wider </w:t>
      </w:r>
      <w:r w:rsidRPr="00EF0239">
        <w:rPr>
          <w:rStyle w:val="StyleUnderline"/>
        </w:rPr>
        <w:t xml:space="preserve">economic anxieties about competitiveness </w:t>
      </w:r>
      <w:r w:rsidRPr="00F80078">
        <w:rPr>
          <w:sz w:val="16"/>
        </w:rPr>
        <w:t>(Connell, 2009</w:t>
      </w:r>
      <w:r w:rsidRPr="00EF0239">
        <w:rPr>
          <w:rStyle w:val="StyleUnderline"/>
        </w:rPr>
        <w:t>), combined with,</w:t>
      </w:r>
      <w:r w:rsidRPr="00F80078">
        <w:rPr>
          <w:sz w:val="16"/>
        </w:rPr>
        <w:t xml:space="preserve"> particularly in the </w:t>
      </w:r>
      <w:r w:rsidRPr="00EF0239">
        <w:rPr>
          <w:rStyle w:val="StyleUnderline"/>
        </w:rPr>
        <w:t xml:space="preserve">post-9/11 </w:t>
      </w:r>
      <w:r w:rsidRPr="00F80078">
        <w:rPr>
          <w:sz w:val="16"/>
        </w:rPr>
        <w:t xml:space="preserve">world, </w:t>
      </w:r>
      <w:r w:rsidRPr="00EF0239">
        <w:rPr>
          <w:rStyle w:val="StyleUnderline"/>
        </w:rPr>
        <w:t>political anxieties about the fabric of the nation and</w:t>
      </w:r>
      <w:r w:rsidRPr="00F80078">
        <w:rPr>
          <w:sz w:val="16"/>
        </w:rPr>
        <w:t xml:space="preserve"> the </w:t>
      </w:r>
      <w:r w:rsidRPr="00EF0239">
        <w:rPr>
          <w:rStyle w:val="StyleUnderline"/>
        </w:rPr>
        <w:t xml:space="preserve">perceived threat </w:t>
      </w:r>
      <w:r w:rsidRPr="00F80078">
        <w:rPr>
          <w:sz w:val="16"/>
        </w:rPr>
        <w:t xml:space="preserve">to its integrity </w:t>
      </w:r>
      <w:r w:rsidRPr="00EF0239">
        <w:rPr>
          <w:rStyle w:val="StyleUnderline"/>
        </w:rPr>
        <w:t>from</w:t>
      </w:r>
      <w:r w:rsidRPr="00F80078">
        <w:rPr>
          <w:sz w:val="16"/>
        </w:rPr>
        <w:t xml:space="preserve"> alien forces or ‘</w:t>
      </w:r>
      <w:r w:rsidRPr="00EF0239">
        <w:rPr>
          <w:rStyle w:val="StyleUnderline"/>
        </w:rPr>
        <w:t>strangers’</w:t>
      </w:r>
      <w:r w:rsidRPr="00F80078">
        <w:rPr>
          <w:sz w:val="16"/>
        </w:rPr>
        <w:t xml:space="preserve"> lurking outside or within (Apple, 2011; Kostogriz, 2006</w:t>
      </w:r>
      <w:r w:rsidRPr="00EF0239">
        <w:rPr>
          <w:rStyle w:val="StyleUnderline"/>
        </w:rPr>
        <w:t>), ‘have induced educators to embrace the language</w:t>
      </w:r>
      <w:r w:rsidRPr="00F80078">
        <w:rPr>
          <w:sz w:val="16"/>
        </w:rPr>
        <w:t xml:space="preserve"> and business practices </w:t>
      </w:r>
      <w:r w:rsidRPr="00EF0239">
        <w:rPr>
          <w:rStyle w:val="StyleUnderline"/>
        </w:rPr>
        <w:t>associated with neoliberalism’</w:t>
      </w:r>
      <w:r w:rsidRPr="00F80078">
        <w:rPr>
          <w:sz w:val="16"/>
        </w:rPr>
        <w:t xml:space="preserve"> (Taubman, 2009: 98), where the latter, while not a unified doctrine, is understood as ‘the pursuit of the disenchantment of politics by economics’ (Davies, 2014: 4). As a consequence of the neo-liberal embrace, it has be argued that ‘</w:t>
      </w:r>
      <w:r w:rsidRPr="00EF0239">
        <w:rPr>
          <w:rStyle w:val="StyleUnderline"/>
        </w:rPr>
        <w:t>there has been a subordination of teacher education</w:t>
      </w:r>
      <w:r w:rsidRPr="00F80078">
        <w:rPr>
          <w:sz w:val="16"/>
        </w:rPr>
        <w:t xml:space="preserve"> as intellectual, moral and ethical endeavor </w:t>
      </w:r>
      <w:r w:rsidRPr="00EF0239">
        <w:rPr>
          <w:rStyle w:val="StyleUnderline"/>
        </w:rPr>
        <w:t>to the production of locally relevant job skills’</w:t>
      </w:r>
      <w:r w:rsidRPr="00F80078">
        <w:rPr>
          <w:sz w:val="16"/>
        </w:rPr>
        <w:t xml:space="preserve"> (Mayer et al., 2008: 80). Specifically, in the face of various forms of social anxiety and the resulting doubts as to whether teacher education is up to the challenges of the 21st century (e.g. Levine, 2006), </w:t>
      </w:r>
      <w:r w:rsidRPr="00EF0239">
        <w:rPr>
          <w:rStyle w:val="StyleUnderline"/>
        </w:rPr>
        <w:t>policymakers and teacher educators</w:t>
      </w:r>
      <w:r w:rsidRPr="00F80078">
        <w:rPr>
          <w:sz w:val="16"/>
        </w:rPr>
        <w:t xml:space="preserve"> alike </w:t>
      </w:r>
      <w:r w:rsidRPr="00EF0239">
        <w:rPr>
          <w:rStyle w:val="StyleUnderline"/>
        </w:rPr>
        <w:t>have tended to reach out for</w:t>
      </w:r>
      <w:r w:rsidRPr="00F80078">
        <w:rPr>
          <w:sz w:val="16"/>
        </w:rPr>
        <w:t xml:space="preserve"> what Deborah Britzman (2011) refers to as ‘</w:t>
      </w:r>
      <w:r w:rsidRPr="00EF0239">
        <w:rPr>
          <w:rStyle w:val="StyleUnderline"/>
        </w:rPr>
        <w:t>a manual’</w:t>
      </w:r>
      <w:r w:rsidRPr="00F80078">
        <w:rPr>
          <w:sz w:val="16"/>
        </w:rPr>
        <w:t>. Such a manual can be seen as ‘</w:t>
      </w:r>
      <w:r w:rsidRPr="00EF0239">
        <w:rPr>
          <w:rStyle w:val="StyleUnderline"/>
        </w:rPr>
        <w:t xml:space="preserve">signifying a profession’s unconscious wish for absolute knowledge, and </w:t>
      </w:r>
      <w:r w:rsidRPr="00F80078">
        <w:rPr>
          <w:sz w:val="16"/>
        </w:rPr>
        <w:t xml:space="preserve">as a </w:t>
      </w:r>
      <w:r w:rsidRPr="00EF0239">
        <w:rPr>
          <w:rStyle w:val="Emphasis"/>
        </w:rPr>
        <w:t>defense against crisis</w:t>
      </w:r>
      <w:r w:rsidRPr="00F80078">
        <w:rPr>
          <w:sz w:val="16"/>
        </w:rPr>
        <w:t>. Demands for a manual seem to be one solution to a profession’s anxiety’ (Britzman, 2011: 81). How are the conjuring of crisis and the pervasive presence of social anxiety related to the proliferation of policy that seeks to manage teacher education? Conveniently</w:t>
      </w:r>
      <w:r w:rsidRPr="00EF0239">
        <w:rPr>
          <w:rStyle w:val="StyleUnderline"/>
        </w:rPr>
        <w:t>, crises demand efficient management</w:t>
      </w:r>
      <w:r w:rsidRPr="00F80078">
        <w:rPr>
          <w:sz w:val="16"/>
        </w:rPr>
        <w:t xml:space="preserve">. The quest for </w:t>
      </w:r>
      <w:r w:rsidRPr="00EF0239">
        <w:rPr>
          <w:rStyle w:val="StyleUnderline"/>
        </w:rPr>
        <w:t>efficiency begets standardization, ‘curbing variety so as to facilitate the generation of objective measures of performance’</w:t>
      </w:r>
      <w:r w:rsidRPr="00F80078">
        <w:rPr>
          <w:sz w:val="16"/>
        </w:rPr>
        <w:t xml:space="preserve"> (Hartley, 2000: 119). In teacher education policy and practice, </w:t>
      </w:r>
      <w:r w:rsidRPr="00F80078">
        <w:rPr>
          <w:sz w:val="16"/>
        </w:rPr>
        <w:lastRenderedPageBreak/>
        <w:t xml:space="preserve">stabilizing the social and operational meaning of both ‘teacher’ and ‘professional’ thus becomes desirable. As a result, and with the active involvement of professional bodies, </w:t>
      </w:r>
      <w:r w:rsidRPr="00087CDC">
        <w:rPr>
          <w:rStyle w:val="StyleUnderline"/>
        </w:rPr>
        <w:t>teachers have consented to</w:t>
      </w:r>
      <w:r w:rsidRPr="00F80078">
        <w:rPr>
          <w:sz w:val="16"/>
        </w:rPr>
        <w:t xml:space="preserve"> what amounts to </w:t>
      </w:r>
      <w:r w:rsidRPr="00087CDC">
        <w:rPr>
          <w:rStyle w:val="StyleUnderline"/>
        </w:rPr>
        <w:t>impoverishments in practice</w:t>
      </w:r>
      <w:r w:rsidRPr="00F80078">
        <w:rPr>
          <w:sz w:val="16"/>
        </w:rPr>
        <w:t xml:space="preserve">, such as the elevation of the pseudo-scientificity of standards at the expense of subsequently devalued factors such as affect and intuition, as the price for purportedly accruing greater regard from politicians, policymakers, the media and society in terms of perceived improvements in standing and status. In this sense, </w:t>
      </w:r>
      <w:r w:rsidRPr="00087CDC">
        <w:rPr>
          <w:rStyle w:val="StyleUnderline"/>
        </w:rPr>
        <w:t xml:space="preserve">increased </w:t>
      </w:r>
      <w:r w:rsidRPr="00F80078">
        <w:rPr>
          <w:sz w:val="16"/>
        </w:rPr>
        <w:t>teacher</w:t>
      </w:r>
      <w:r w:rsidRPr="00087CDC">
        <w:rPr>
          <w:rStyle w:val="StyleUnderline"/>
        </w:rPr>
        <w:t xml:space="preserve"> professionalization has been </w:t>
      </w:r>
      <w:r w:rsidRPr="00F80078">
        <w:rPr>
          <w:sz w:val="16"/>
        </w:rPr>
        <w:t xml:space="preserve">something of </w:t>
      </w:r>
      <w:r w:rsidRPr="00087CDC">
        <w:rPr>
          <w:rStyle w:val="StyleUnderline"/>
        </w:rPr>
        <w:t>a Faustian pact</w:t>
      </w:r>
      <w:r w:rsidRPr="00F80078">
        <w:rPr>
          <w:sz w:val="16"/>
        </w:rPr>
        <w:t xml:space="preserve">, with teacher professionalism </w:t>
      </w:r>
      <w:r w:rsidRPr="00087CDC">
        <w:rPr>
          <w:rStyle w:val="StyleUnderline"/>
        </w:rPr>
        <w:t>harnessed to government education reform agendas</w:t>
      </w:r>
      <w:r w:rsidRPr="00F80078">
        <w:rPr>
          <w:sz w:val="16"/>
        </w:rPr>
        <w:t xml:space="preserve"> (Furlong, 2013), and </w:t>
      </w:r>
      <w:r w:rsidRPr="00087CDC">
        <w:rPr>
          <w:rStyle w:val="StyleUnderline"/>
        </w:rPr>
        <w:t xml:space="preserve">with teachers </w:t>
      </w:r>
      <w:r w:rsidRPr="00F80078">
        <w:rPr>
          <w:sz w:val="16"/>
        </w:rPr>
        <w:t xml:space="preserve">being </w:t>
      </w:r>
      <w:r w:rsidRPr="00087CDC">
        <w:rPr>
          <w:rStyle w:val="StyleUnderline"/>
        </w:rPr>
        <w:t>positioned ‘on the frontline of national economic defense and</w:t>
      </w:r>
      <w:r w:rsidRPr="00F80078">
        <w:rPr>
          <w:sz w:val="16"/>
        </w:rPr>
        <w:t xml:space="preserve"> in the centre of </w:t>
      </w:r>
      <w:r w:rsidRPr="00087CDC">
        <w:rPr>
          <w:rStyle w:val="StyleUnderline"/>
        </w:rPr>
        <w:t>educational reform</w:t>
      </w:r>
      <w:r w:rsidRPr="00F80078">
        <w:rPr>
          <w:sz w:val="16"/>
        </w:rPr>
        <w:t xml:space="preserve">, thus justifying the detailed mapping and scrutiny of their work’ (Clarke and Moore, 2013: 488). To this end, teaching standards are offered as descriptions of the kinds of knowledge, skills and attributes of any competent teacher. Masking their underlying political commitments (education as epiphenomenal to the economy), officially </w:t>
      </w:r>
      <w:r w:rsidRPr="00087CDC">
        <w:rPr>
          <w:rStyle w:val="StyleUnderline"/>
        </w:rPr>
        <w:t>sanctioned representations of the teacher</w:t>
      </w:r>
      <w:r w:rsidRPr="00F80078">
        <w:rPr>
          <w:sz w:val="16"/>
        </w:rPr>
        <w:t xml:space="preserve"> and teaching </w:t>
      </w:r>
      <w:r w:rsidRPr="00087CDC">
        <w:rPr>
          <w:rStyle w:val="StyleUnderline"/>
        </w:rPr>
        <w:t>appear natural and irrefutable</w:t>
      </w:r>
      <w:r w:rsidRPr="00F80078">
        <w:rPr>
          <w:sz w:val="16"/>
        </w:rPr>
        <w:t xml:space="preserve">. Teachers are thus deprived of debate where they can make their voices heard, while teacher educators are simply left to the management of policy implications at the programmatic level – witness, for example, the arrival of the standards-driven portfolio as a prominent feature of assessment in teacher education (Sanford and Strong-Wilson, 2013) and the explicit linking of course syllabi to various teaching standards. Understandably, </w:t>
      </w:r>
      <w:r w:rsidRPr="00087CDC">
        <w:rPr>
          <w:rStyle w:val="StyleUnderline"/>
        </w:rPr>
        <w:t>teacher candidates are keen to present themselves as ‘fitting’ with</w:t>
      </w:r>
      <w:r w:rsidRPr="00F80078">
        <w:rPr>
          <w:sz w:val="16"/>
        </w:rPr>
        <w:t xml:space="preserve"> the </w:t>
      </w:r>
      <w:r w:rsidRPr="00087CDC">
        <w:rPr>
          <w:rStyle w:val="StyleUnderline"/>
        </w:rPr>
        <w:t>standards</w:t>
      </w:r>
      <w:r w:rsidRPr="00F80078">
        <w:rPr>
          <w:sz w:val="16"/>
        </w:rPr>
        <w:t xml:space="preserve">, thereby adopting ‘a stable and positive identity obtained through identification with an existing socio-political order’ (Biesta, 2011: 145). </w:t>
      </w:r>
      <w:r w:rsidRPr="00087CDC">
        <w:rPr>
          <w:rStyle w:val="StyleUnderline"/>
        </w:rPr>
        <w:t>There is little room for any reality other</w:t>
      </w:r>
      <w:r w:rsidRPr="00F80078">
        <w:rPr>
          <w:sz w:val="16"/>
        </w:rPr>
        <w:t xml:space="preserve"> than the one established by the standards policy (Phelan and Vratulis, 2013). </w:t>
      </w:r>
      <w:r w:rsidRPr="00087CDC">
        <w:rPr>
          <w:rStyle w:val="Emphasis"/>
        </w:rPr>
        <w:t>Consensus signifies the end of the political</w:t>
      </w:r>
      <w:r w:rsidRPr="00F80078">
        <w:rPr>
          <w:sz w:val="16"/>
        </w:rPr>
        <w:t xml:space="preserve">. How might teacher educators confront the contemporary depoliticizing policy consensus and advocate for a properly political view of education based on genuine alternatives? Reimagining teacher education as a site of dissensus is immensely challenging in light of discourses of standardized teacher identities. Strewn across the teacher’s lifespan, otherwise known as ‘the teacher development continuum’, professional learning is justified as a highly positive disposition for all teachers. </w:t>
      </w:r>
      <w:r w:rsidRPr="00087CDC">
        <w:rPr>
          <w:rStyle w:val="StyleUnderline"/>
        </w:rPr>
        <w:t>Quality teachers want to achieve their ‘full potential through relentless</w:t>
      </w:r>
      <w:r w:rsidRPr="00F80078">
        <w:rPr>
          <w:sz w:val="16"/>
        </w:rPr>
        <w:t xml:space="preserve"> and never-ending </w:t>
      </w:r>
      <w:r w:rsidRPr="00087CDC">
        <w:rPr>
          <w:rStyle w:val="StyleUnderline"/>
        </w:rPr>
        <w:t>self-development, out of which [they]</w:t>
      </w:r>
      <w:r w:rsidRPr="00F80078">
        <w:rPr>
          <w:sz w:val="16"/>
        </w:rPr>
        <w:t xml:space="preserve"> can </w:t>
      </w:r>
      <w:r w:rsidRPr="00087CDC">
        <w:rPr>
          <w:rStyle w:val="StyleUnderline"/>
        </w:rPr>
        <w:t>self-regulate</w:t>
      </w:r>
      <w:r w:rsidRPr="00F80078">
        <w:rPr>
          <w:sz w:val="16"/>
        </w:rPr>
        <w:t xml:space="preserve"> in the interests of students and colleagues’ (McWilliam, 2008: 33). </w:t>
      </w:r>
      <w:r w:rsidRPr="00087CDC">
        <w:rPr>
          <w:rStyle w:val="StyleUnderline"/>
        </w:rPr>
        <w:t>Potential takes the form of a stylized identity, ever keen on developing itself as a</w:t>
      </w:r>
      <w:r w:rsidRPr="00F80078">
        <w:rPr>
          <w:sz w:val="16"/>
        </w:rPr>
        <w:t xml:space="preserve">n excellent </w:t>
      </w:r>
      <w:r w:rsidRPr="00087CDC">
        <w:rPr>
          <w:rStyle w:val="StyleUnderline"/>
        </w:rPr>
        <w:t>classroom manager</w:t>
      </w:r>
      <w:r w:rsidRPr="00F80078">
        <w:rPr>
          <w:sz w:val="16"/>
        </w:rPr>
        <w:t xml:space="preserve">, team builder, literacy instructor or emotionally intelligent leader. The proliferation of webinars, workshops, seminars and graduate programmes attests to this preoccupation, as lifelong learning becomes a life sentence for teachers (Falk, 1999). </w:t>
      </w:r>
      <w:r w:rsidRPr="00087CDC">
        <w:rPr>
          <w:rStyle w:val="StyleUnderline"/>
        </w:rPr>
        <w:t>Much of this talk of professional learning</w:t>
      </w:r>
      <w:r w:rsidRPr="00F80078">
        <w:rPr>
          <w:sz w:val="16"/>
        </w:rPr>
        <w:t xml:space="preserve">, however, </w:t>
      </w:r>
      <w:r w:rsidRPr="00087CDC">
        <w:rPr>
          <w:rStyle w:val="StyleUnderline"/>
        </w:rPr>
        <w:t>is less about expanding</w:t>
      </w:r>
      <w:r w:rsidRPr="00F80078">
        <w:rPr>
          <w:sz w:val="16"/>
        </w:rPr>
        <w:t xml:space="preserve"> the </w:t>
      </w:r>
      <w:r w:rsidRPr="00087CDC">
        <w:rPr>
          <w:rStyle w:val="StyleUnderline"/>
        </w:rPr>
        <w:t>subjectivity</w:t>
      </w:r>
      <w:r w:rsidRPr="00F80078">
        <w:rPr>
          <w:sz w:val="16"/>
        </w:rPr>
        <w:t xml:space="preserve"> of the teacher </w:t>
      </w:r>
      <w:r w:rsidRPr="00087CDC">
        <w:rPr>
          <w:rStyle w:val="StyleUnderline"/>
        </w:rPr>
        <w:t xml:space="preserve">and more about delimiting it </w:t>
      </w:r>
      <w:r w:rsidRPr="00F80078">
        <w:rPr>
          <w:sz w:val="16"/>
        </w:rPr>
        <w:t xml:space="preserve">(Falk, 1999). And even though there has been a growing interest in non-formal professional learning and sharing through social media outlets, much of this material remains tied to, rather than challenging, existing imaginaries of teaching as the implementation of ‘best practice’. As with more formal professional development, ‘teacher profiles’ as statements of teacher competencies and performance standards lurk beneath the surface (OECD, 2005: 10), including the usual array of subject matter knowledge and pedagogical skills, but, significantly, ‘the capacity to continue developing’ (OECD, 2005: 7). If the current understanding of teacher potential serves to restrict rather than enlarge the subjectivity of the teacher, what might a rearticulation of potential as ‘(im)potential’ offer teacher education? </w:t>
      </w:r>
      <w:r w:rsidRPr="00087CDC">
        <w:rPr>
          <w:rStyle w:val="StyleUnderline"/>
        </w:rPr>
        <w:t>The turn to teaching standards</w:t>
      </w:r>
      <w:r w:rsidRPr="00F80078">
        <w:rPr>
          <w:sz w:val="16"/>
        </w:rPr>
        <w:t xml:space="preserve"> and the articulation of a knowledge base for teaching </w:t>
      </w:r>
      <w:r w:rsidRPr="00087CDC">
        <w:rPr>
          <w:rStyle w:val="StyleUnderline"/>
        </w:rPr>
        <w:t>constitutes a retreat</w:t>
      </w:r>
      <w:r w:rsidRPr="00F80078">
        <w:rPr>
          <w:sz w:val="16"/>
        </w:rPr>
        <w:t xml:space="preserve">, in our view, </w:t>
      </w:r>
      <w:r w:rsidRPr="00087CDC">
        <w:rPr>
          <w:rStyle w:val="StyleUnderline"/>
        </w:rPr>
        <w:t>into a firmly modernist world view</w:t>
      </w:r>
      <w:r w:rsidRPr="00F80078">
        <w:rPr>
          <w:sz w:val="16"/>
        </w:rPr>
        <w:t xml:space="preserve">. This is a world in which knowledge is power, in which scientific research evidence is able to provide a basis for policy and practice, and in which experts hold out the promise, by submitting them to rational analysis, of </w:t>
      </w:r>
      <w:r w:rsidRPr="00087CDC">
        <w:rPr>
          <w:rStyle w:val="StyleUnderline"/>
        </w:rPr>
        <w:t>rendering</w:t>
      </w:r>
      <w:r w:rsidRPr="00F80078">
        <w:rPr>
          <w:sz w:val="16"/>
        </w:rPr>
        <w:t xml:space="preserve"> complex and semi-opaque processes like curriculum, </w:t>
      </w:r>
      <w:r w:rsidRPr="00087CDC">
        <w:rPr>
          <w:rStyle w:val="StyleUnderline"/>
        </w:rPr>
        <w:t>teaching and learning visible and</w:t>
      </w:r>
      <w:r w:rsidRPr="00F80078">
        <w:rPr>
          <w:sz w:val="16"/>
        </w:rPr>
        <w:t xml:space="preserve"> hence more </w:t>
      </w:r>
      <w:r w:rsidRPr="00087CDC">
        <w:rPr>
          <w:rStyle w:val="StyleUnderline"/>
        </w:rPr>
        <w:t>controllable</w:t>
      </w:r>
      <w:r w:rsidRPr="00F80078">
        <w:rPr>
          <w:sz w:val="16"/>
        </w:rPr>
        <w:t xml:space="preserve"> (e.g. Hattie, 2009). It is a world in which the intolerable and uncontrollable are redeemed by being made palatable and predictable, in order to provide ‘the specious clarity demanded and enforced by audit cultures’ (MacLure, 2010: 278); the cost of such assimilation is that we enter ‘the regime of the cliche´’ (MacLure, 2010: 278). In such a world, it is all too easy for research to be positioned as an exact science, capable of making clear and unambivalent predictions about practice, ignoring the key notion ‘that in the design, enactment and justification of education we have to engage with normative questions’ (Biesta, 2015: 80). Such instrumentalism sidelines the teacher, disembeds knowledge from the idiosyncrasy of particular teaching situations and from the experience and knowledge of teachers, and ignores the moral complexities of teaching (Dunne and Pendlebury, 2002). What does it mean to cultivate ethical decision-making in and through teacher education in a climate that is hostile to uncertainty in, and the unpredictability of, practice? The issues and questions that we identify do not deny that important decisions about the nature and content of teachers’ knowledge, skills or dispositions must be made. </w:t>
      </w:r>
      <w:r w:rsidRPr="00087CDC">
        <w:rPr>
          <w:rStyle w:val="StyleUnderline"/>
        </w:rPr>
        <w:t>To think solely in these terms</w:t>
      </w:r>
      <w:r w:rsidRPr="00F80078">
        <w:rPr>
          <w:sz w:val="16"/>
        </w:rPr>
        <w:t xml:space="preserve">, however, </w:t>
      </w:r>
      <w:r w:rsidRPr="00087CDC">
        <w:rPr>
          <w:rStyle w:val="StyleUnderline"/>
        </w:rPr>
        <w:t xml:space="preserve">is to neglect </w:t>
      </w:r>
      <w:r w:rsidRPr="00F80078">
        <w:rPr>
          <w:sz w:val="16"/>
        </w:rPr>
        <w:t xml:space="preserve">teaching and </w:t>
      </w:r>
      <w:r w:rsidRPr="00087CDC">
        <w:rPr>
          <w:rStyle w:val="StyleUnderline"/>
        </w:rPr>
        <w:t>teacher education as forms of praxis, where means and ends are always entangled</w:t>
      </w:r>
      <w:r w:rsidRPr="00F80078">
        <w:rPr>
          <w:sz w:val="16"/>
        </w:rPr>
        <w:t xml:space="preserve"> (Biesta, 2015), </w:t>
      </w:r>
      <w:r w:rsidRPr="00087CDC">
        <w:rPr>
          <w:rStyle w:val="StyleUnderline"/>
        </w:rPr>
        <w:t>where ethical action is the central concern</w:t>
      </w:r>
      <w:r w:rsidRPr="00F80078">
        <w:rPr>
          <w:sz w:val="16"/>
        </w:rPr>
        <w:t xml:space="preserve">, and where human relationships are particular and fragile. </w:t>
      </w:r>
      <w:r w:rsidRPr="00087CDC">
        <w:rPr>
          <w:rStyle w:val="StyleUnderline"/>
        </w:rPr>
        <w:t xml:space="preserve">It is to limit ourselves to bloodless categories, </w:t>
      </w:r>
      <w:r w:rsidRPr="00F80078">
        <w:rPr>
          <w:rStyle w:val="Emphasis"/>
        </w:rPr>
        <w:t>narrow notions of the visible and the empirical</w:t>
      </w:r>
      <w:r w:rsidRPr="00F80078">
        <w:rPr>
          <w:sz w:val="16"/>
        </w:rPr>
        <w:t xml:space="preserve">, professional </w:t>
      </w:r>
      <w:r w:rsidRPr="00F80078">
        <w:rPr>
          <w:rStyle w:val="Emphasis"/>
        </w:rPr>
        <w:t>standards of indifference, institutional rules</w:t>
      </w:r>
      <w:r w:rsidRPr="00087CDC">
        <w:rPr>
          <w:rStyle w:val="StyleUnderline"/>
        </w:rPr>
        <w:t xml:space="preserve"> of distance and control,</w:t>
      </w:r>
      <w:r w:rsidRPr="00F80078">
        <w:rPr>
          <w:sz w:val="16"/>
        </w:rPr>
        <w:t xml:space="preserve"> barely speakable fears of losing the footing that enables us to speak authoritatively and with greater value than anyone else who might. (Gordon, 2007: 21) Rather than accept such limitations, we seek ‘to represent the structure of feeling that is something akin to what it feels like to be the object of a social totality vexed by the phantoms of modernity’s violence’ (Gordon, 2007: 19). In short, we seek to engage in a </w:t>
      </w:r>
      <w:r w:rsidRPr="00F80078">
        <w:rPr>
          <w:rStyle w:val="StyleUnderline"/>
        </w:rPr>
        <w:t xml:space="preserve">complicated rather than a reductive </w:t>
      </w:r>
      <w:r w:rsidRPr="00F80078">
        <w:rPr>
          <w:rStyle w:val="StyleUnderline"/>
        </w:rPr>
        <w:lastRenderedPageBreak/>
        <w:t>conversation about teacher education</w:t>
      </w:r>
      <w:r w:rsidRPr="00F80078">
        <w:rPr>
          <w:sz w:val="16"/>
        </w:rPr>
        <w:t>; acknowledgement of such complication may require vocabularies heretofore disavowed in teacher education (Taubman, 2012).</w:t>
      </w:r>
    </w:p>
    <w:p w:rsidR="00DE5E47" w:rsidRDefault="00DE5E47" w:rsidP="00DE5E47">
      <w:pPr>
        <w:pStyle w:val="Heading3"/>
      </w:pPr>
      <w:bookmarkStart w:id="34" w:name="_Toc489138928"/>
      <w:r>
        <w:lastRenderedPageBreak/>
        <w:t>Link: Tribal Sovereignty (Education)</w:t>
      </w:r>
      <w:bookmarkEnd w:id="34"/>
    </w:p>
    <w:p w:rsidR="00DE5E47" w:rsidRDefault="004D7A2E" w:rsidP="00DE5E47">
      <w:pPr>
        <w:pStyle w:val="Heading4"/>
      </w:pPr>
      <w:r>
        <w:t xml:space="preserve">The aff signals a temporary devolution to inoculate the U.S. education system to indigenous knowledges. </w:t>
      </w:r>
      <w:r w:rsidR="00E722F9">
        <w:t>They consolidate federal control by expanding regulatory control to ascertain “safe” indigenous practices</w:t>
      </w:r>
    </w:p>
    <w:p w:rsidR="00DE5E47" w:rsidRPr="00BC6931" w:rsidRDefault="00DE5E47" w:rsidP="00DE5E47">
      <w:pPr>
        <w:rPr>
          <w:rStyle w:val="Style13ptBold"/>
          <w:rFonts w:ascii="Times" w:eastAsia="Times New Roman" w:hAnsi="Times"/>
          <w:b w:val="0"/>
          <w:sz w:val="20"/>
          <w:szCs w:val="20"/>
        </w:rPr>
      </w:pPr>
      <w:r w:rsidRPr="00295C6F">
        <w:rPr>
          <w:rStyle w:val="Style13ptBold"/>
        </w:rPr>
        <w:t>Lomawaima and McCarty 02</w:t>
      </w:r>
      <w:r>
        <w:rPr>
          <w:rStyle w:val="Style13ptBold"/>
          <w:b w:val="0"/>
          <w:sz w:val="22"/>
        </w:rPr>
        <w:t xml:space="preserve"> (K. Tsianina has a Ph.D. from Stanford in Anthropology and is a professor of American Indian studies at the University of Arizona and Teresa L. </w:t>
      </w:r>
      <w:r w:rsidRPr="00BC6931">
        <w:rPr>
          <w:rStyle w:val="Style13ptBold"/>
          <w:rFonts w:asciiTheme="majorHAnsi" w:hAnsiTheme="majorHAnsi"/>
          <w:b w:val="0"/>
          <w:sz w:val="22"/>
        </w:rPr>
        <w:t xml:space="preserve">is the </w:t>
      </w:r>
      <w:r w:rsidRPr="00BC6931">
        <w:rPr>
          <w:rFonts w:asciiTheme="majorHAnsi" w:eastAsia="Times New Roman" w:hAnsiTheme="majorHAnsi"/>
          <w:color w:val="2A2A2A"/>
          <w:shd w:val="clear" w:color="auto" w:fill="FFFFFF"/>
        </w:rPr>
        <w:t>Alice Wiley Snell Professor of Education Policy Studies, Professor of Applied Linguistics, and Co-director of the Center for Indian Education at Arizona State University</w:t>
      </w:r>
      <w:r>
        <w:rPr>
          <w:rFonts w:asciiTheme="majorHAnsi" w:eastAsia="Times New Roman" w:hAnsiTheme="majorHAnsi"/>
          <w:color w:val="2A2A2A"/>
          <w:shd w:val="clear" w:color="auto" w:fill="FFFFFF"/>
        </w:rPr>
        <w:t>,</w:t>
      </w:r>
      <w:r>
        <w:rPr>
          <w:rStyle w:val="Style13ptBold"/>
          <w:b w:val="0"/>
          <w:sz w:val="22"/>
        </w:rPr>
        <w:t xml:space="preserve"> </w:t>
      </w:r>
      <w:r w:rsidRPr="003143EC">
        <w:t>“When Tribal Sovereignty Challenges Democracy: American Indian Education and the Democratic Ideal” American Educational Research Association Vol. 39 Num. 2, 2002, pg. 282-283)</w:t>
      </w:r>
    </w:p>
    <w:p w:rsidR="00DE5E47" w:rsidRPr="003143EC" w:rsidRDefault="00DE5E47" w:rsidP="00DE5E47">
      <w:r w:rsidRPr="003143EC">
        <w:rPr>
          <w:rStyle w:val="StyleUnderline"/>
        </w:rPr>
        <w:t>The history of American Indian education can rightfully be conceptualized as a grand experiment in standardization. The goal has been "civilization" of American Indian peoples-sometimes, revealingly, termed simply "Ameri- canization.</w:t>
      </w:r>
      <w:r w:rsidRPr="003143EC">
        <w:t xml:space="preserve">" This term assumes that </w:t>
      </w:r>
      <w:r w:rsidRPr="003143EC">
        <w:rPr>
          <w:rStyle w:val="StyleUnderline"/>
        </w:rPr>
        <w:t xml:space="preserve">what is required is the complete and utter transformation of Native nations and individuals: Replace heritage languages with English, replace "paganism" with Christianity, replace </w:t>
      </w:r>
      <w:r w:rsidRPr="003143EC">
        <w:t xml:space="preserve">economic, polit- ical, social, legal, and aesthetic </w:t>
      </w:r>
      <w:r w:rsidRPr="003143EC">
        <w:rPr>
          <w:rStyle w:val="StyleUnderline"/>
        </w:rPr>
        <w:t>institutions</w:t>
      </w:r>
      <w:r w:rsidRPr="003143EC">
        <w:t xml:space="preserve">. Given </w:t>
      </w:r>
      <w:r w:rsidRPr="003143EC">
        <w:rPr>
          <w:rStyle w:val="StyleUnderline"/>
        </w:rPr>
        <w:t>the American infatuation with the notion that social change can best be effected through education, schools have been the logical choice as the institutions charged with the responsibility for Native American cultural genocide</w:t>
      </w:r>
      <w:r w:rsidRPr="003143EC">
        <w:t>. In the last century-and-a-half, schools have purposefully and systemati- cally worked to eradicate Native languages, religions, beliefs, and practices. American Indian children have been at the very center of the battleground between federal powers and tribal sovereignty; the war has been waged through them and about them, and the costs of Indian education have largely been borne by Indian people. Economic and social indicators used to quan- tify and classify status and quality of life for the U.S. population are notori- ously grim for Native American populations: lowest per capita incomes, highest rates of infant mortality, extraordinarily high rates of depression and teen suicide (Snipp, 1989). Educational statistics are no better. Of the 500,000 American Indian students in U.S. schools, it has been predicted that 60% will leave school before graduating (National Center for Education Statistics, 1995). Our goal is to examine the struggle between tribal aspirations and fed- eral constraints on American Indian education. Yet if simple opposition were the whole story, it would be equally simple to describe and explain. When we scrutinize the history of American Indian education, we see numerous paradoxes and seeming contradictions. For example</w:t>
      </w:r>
      <w:r w:rsidRPr="003143EC">
        <w:rPr>
          <w:rStyle w:val="StyleUnderline"/>
        </w:rPr>
        <w:t>, if we assume a federal commitment to obliterate Indigenous languages and cultures, how do we explain the periodic appearance in Indian schools of programs to teach Native languages and crafts, or of policies allegedly intended to promote Indigenous self-determination? These paradoxes illustrate the entangled forces that have both fettered and enabled indigenous educational contro</w:t>
      </w:r>
      <w:r w:rsidRPr="003143EC">
        <w:t xml:space="preserve">l. </w:t>
      </w:r>
      <w:r w:rsidRPr="003143EC">
        <w:rPr>
          <w:rStyle w:val="StyleUnderline"/>
        </w:rPr>
        <w:t>We argue that the apparent contradictions in federal Indian education policy can be understood as attempts by the government to determine whi aspects of Indian life are "safe" and allowable and which are so radically dif- ferent that they are perceived as dangerous to the nation-state</w:t>
      </w:r>
      <w:r w:rsidRPr="003143EC">
        <w:t xml:space="preserve">. The dan between "safe" and "dangerous" difference well illustrates how problema diversity has been for the nation-state. The contradictory swings betwe cultural intolerance and tolerance also reveal the windows of opportunity that Native people have employed to further Indigenous or tribal goals. The contest between Native educational sovereignty and federal con straints constitutes the heart of our story. We begin with a brief overview the bases and definitions of tribal sovereignty, followed by a summary of 20t century Indian educational history. Throughout the 20th century, gains have been made in Native input into, or control over, educational processes a institutions. These gains, however, have often been short-lived or localiz and they have been strictly circumscribed by federal powers. Perhaps m illustrative of this is the recent </w:t>
      </w:r>
      <w:r w:rsidRPr="003143EC">
        <w:lastRenderedPageBreak/>
        <w:t>rise of Indian community-controlled schools and the related movement for linguistic human rights. Our analysis brings int focus another apparent paradox in the concept of self-determination: H and why are apparent gains in Native educational autonomy matched or over turned by increasingly repressive federal controls?</w:t>
      </w:r>
    </w:p>
    <w:p w:rsidR="00DE5E47" w:rsidRPr="00042978" w:rsidRDefault="00DE5E47" w:rsidP="00E722F9">
      <w:pPr>
        <w:pStyle w:val="Heading3"/>
      </w:pPr>
      <w:bookmarkStart w:id="35" w:name="_Toc489138929"/>
      <w:r>
        <w:lastRenderedPageBreak/>
        <w:t>Link: Tribal Devolution—Lawfare</w:t>
      </w:r>
      <w:bookmarkEnd w:id="35"/>
      <w:r>
        <w:t xml:space="preserve"> </w:t>
      </w:r>
    </w:p>
    <w:p w:rsidR="00DE5E47" w:rsidRPr="00D441F4" w:rsidRDefault="00DE5E47" w:rsidP="00DE5E47">
      <w:pPr>
        <w:pStyle w:val="Heading4"/>
        <w:rPr>
          <w:rStyle w:val="Style13ptBold"/>
          <w:b/>
        </w:rPr>
      </w:pPr>
      <w:r>
        <w:rPr>
          <w:rStyle w:val="Style13ptBold"/>
          <w:b/>
        </w:rPr>
        <w:t xml:space="preserve">The affirmative’s decentralizing of education is only a reorganization of how the state exerts power over native students – Lawfare becomes an insidious gaze of oversight for the regulation and production of normative ideas of futurity under a guise of granting autonomy. </w:t>
      </w:r>
    </w:p>
    <w:p w:rsidR="00DE5E47" w:rsidRDefault="00DE5E47" w:rsidP="00DE5E47">
      <w:r w:rsidRPr="00906582">
        <w:rPr>
          <w:rStyle w:val="Style13ptBold"/>
        </w:rPr>
        <w:t>Rifkin 11</w:t>
      </w:r>
      <w:r>
        <w:t xml:space="preserve"> (</w:t>
      </w:r>
      <w:r w:rsidRPr="00E973D6">
        <w:t>Mark Rifkin is Director of the Women's and Gender Studies Program and Professor of English at the University of North Carolina, Greensboro and the author of several books, including Settler Common Sense: Queerness and Everyday Colonialism in the American Renaissance.</w:t>
      </w:r>
      <w:r>
        <w:t xml:space="preserve"> “WHEN DID INDIANS BECOME STRAIGHT? Kinship, the History of Sexuality, and Native Sovereignty.” Published 2011 by Oxford University Press. Pages 200 – 202) [JK]</w:t>
      </w:r>
    </w:p>
    <w:p w:rsidR="00DE5E47" w:rsidRPr="003500A6" w:rsidRDefault="00DE5E47" w:rsidP="00DE5E47">
      <w:pPr>
        <w:pStyle w:val="ListParagraph"/>
        <w:numPr>
          <w:ilvl w:val="0"/>
          <w:numId w:val="33"/>
        </w:numPr>
        <w:rPr>
          <w:sz w:val="16"/>
        </w:rPr>
      </w:pPr>
      <w:r>
        <w:rPr>
          <w:sz w:val="16"/>
        </w:rPr>
        <w:t xml:space="preserve">We don’t endorse settler colonial discourse – kept the text unaltered because it talks about institutions throughout history and that operate today.  </w:t>
      </w:r>
    </w:p>
    <w:p w:rsidR="00DE5E47" w:rsidRPr="000C2A39" w:rsidRDefault="00DE5E47" w:rsidP="00DE5E47">
      <w:pPr>
        <w:rPr>
          <w:rStyle w:val="StyleUnderline"/>
        </w:rPr>
      </w:pPr>
      <w:r w:rsidRPr="000C2A39">
        <w:rPr>
          <w:sz w:val="16"/>
        </w:rPr>
        <w:t>Although repeatedly insisting that regulations created by the BIA cannot constrain tribal governments, the</w:t>
      </w:r>
      <w:r w:rsidRPr="002071F8">
        <w:rPr>
          <w:rStyle w:val="StyleUnderline"/>
        </w:rPr>
        <w:t xml:space="preserve"> opinions of the Interior Department solicitor reaffirm the validity of the regulations issued by the Secretary of the Interior </w:t>
      </w:r>
      <w:r w:rsidRPr="00855367">
        <w:rPr>
          <w:rStyle w:val="StyleUnderline"/>
        </w:rPr>
        <w:t>and the Commissioner of Indian Affairs</w:t>
      </w:r>
      <w:r w:rsidRPr="000C2A39">
        <w:rPr>
          <w:sz w:val="16"/>
        </w:rPr>
        <w:t xml:space="preserve"> and their implementation through the Courts, whose cases overwhelmingly were concerned with violations of the conjugal domesticity promoted by the agents. 47 The solicitor finds that the Courts “</w:t>
      </w:r>
      <w:r w:rsidRPr="002071F8">
        <w:rPr>
          <w:rStyle w:val="StyleUnderline"/>
        </w:rPr>
        <w:t>derive their authority from the tribe, rather than from Washington”</w:t>
      </w:r>
      <w:r w:rsidRPr="000C2A39">
        <w:rPr>
          <w:sz w:val="16"/>
        </w:rPr>
        <w:t xml:space="preserve"> (476). 48 While somewhat of a side comment in the 1934 opinion I have been discussing (“Powers of Indian Tribes”), </w:t>
      </w:r>
      <w:r w:rsidRPr="002071F8">
        <w:rPr>
          <w:rStyle w:val="StyleUnderline"/>
        </w:rPr>
        <w:t>this contention is reaffirmed as the basis for a later opinion</w:t>
      </w:r>
      <w:r w:rsidRPr="00855367">
        <w:rPr>
          <w:rStyle w:val="StyleUnderline"/>
        </w:rPr>
        <w:t>—“Secretary’s Power to Regulate Conduct of Indians” issued on February 28, 1935. It argues that</w:t>
      </w:r>
      <w:r w:rsidRPr="000C2A39">
        <w:rPr>
          <w:sz w:val="16"/>
        </w:rPr>
        <w:t xml:space="preserve"> both </w:t>
      </w:r>
      <w:r w:rsidRPr="00855367">
        <w:rPr>
          <w:rStyle w:val="StyleUnderline"/>
        </w:rPr>
        <w:t xml:space="preserve">Congress </w:t>
      </w:r>
      <w:r w:rsidRPr="000C2A39">
        <w:rPr>
          <w:sz w:val="16"/>
        </w:rPr>
        <w:t xml:space="preserve">and the federal courts explicitly and implicitly have acknowledged the existence of the Courts of Indian Off enses and de facto </w:t>
      </w:r>
      <w:r w:rsidRPr="00855367">
        <w:rPr>
          <w:rStyle w:val="StyleUnderline"/>
        </w:rPr>
        <w:t>have given their blessing to this administrative contrivance, despite the absence of any statute formally endowing the BIA or agents with such authority.</w:t>
      </w:r>
      <w:r w:rsidRPr="000C2A39">
        <w:rPr>
          <w:sz w:val="16"/>
        </w:rPr>
        <w:t xml:space="preserve"> Citing a case on another matter, the opinion observes that “</w:t>
      </w:r>
      <w:r w:rsidRPr="00C63B4D">
        <w:rPr>
          <w:rStyle w:val="StyleUnderline"/>
        </w:rPr>
        <w:t>the tacit approval of Congress for a number of years [in this case by providing funding for the Indian police and agent-appointed justices of the Courts] is sufficient to authorize otherwise unauthorized</w:t>
      </w:r>
      <w:r w:rsidRPr="000C2A39">
        <w:rPr>
          <w:sz w:val="16"/>
        </w:rPr>
        <w:t xml:space="preserve"> regulations.” Beyond validating the Courts as a legitimate part of the ongoing exercise of BIA oversight over native peoples, the opinion asserts that they are “</w:t>
      </w:r>
      <w:r w:rsidRPr="002071F8">
        <w:rPr>
          <w:rStyle w:val="StyleUnderline"/>
        </w:rPr>
        <w:t>manifestations of the inherent power of the tribes to govern their own members,” recasting the invasive policing of eroticism, kinship networks, homemaking, and other aspects of native life as merely an expression of the collective will of “the tribes”</w:t>
      </w:r>
      <w:r w:rsidRPr="000C2A39">
        <w:rPr>
          <w:sz w:val="16"/>
        </w:rPr>
        <w:t xml:space="preserve"> (535–536). Through this discursive maneuver, </w:t>
      </w:r>
      <w:r w:rsidRPr="002071F8">
        <w:rPr>
          <w:rStyle w:val="StyleUnderline"/>
        </w:rPr>
        <w:t xml:space="preserve">the collective subject of </w:t>
      </w:r>
      <w:r w:rsidRPr="00DD5571">
        <w:rPr>
          <w:rStyle w:val="Emphasis"/>
        </w:rPr>
        <w:t xml:space="preserve">“sovereignty” is envisioned as a macro version of </w:t>
      </w:r>
      <w:r w:rsidRPr="002071F8">
        <w:rPr>
          <w:rStyle w:val="StyleUnderline"/>
        </w:rPr>
        <w:t xml:space="preserve">the privatizing </w:t>
      </w:r>
      <w:r w:rsidRPr="00DD5571">
        <w:rPr>
          <w:rStyle w:val="Emphasis"/>
        </w:rPr>
        <w:t xml:space="preserve">subjectivities of allotment, fabricating a communal identity out of </w:t>
      </w:r>
      <w:r w:rsidRPr="002071F8">
        <w:rPr>
          <w:rStyle w:val="StyleUnderline"/>
        </w:rPr>
        <w:t xml:space="preserve">the </w:t>
      </w:r>
      <w:r w:rsidRPr="00DD5571">
        <w:rPr>
          <w:rStyle w:val="Emphasis"/>
        </w:rPr>
        <w:t xml:space="preserve">heteronormative ideologies and </w:t>
      </w:r>
      <w:r w:rsidRPr="002071F8">
        <w:rPr>
          <w:rStyle w:val="StyleUnderline"/>
        </w:rPr>
        <w:t xml:space="preserve">punitive mechanisms of </w:t>
      </w:r>
      <w:r w:rsidRPr="00DD5571">
        <w:rPr>
          <w:rStyle w:val="Emphasis"/>
        </w:rPr>
        <w:t>the prior policy regime</w:t>
      </w:r>
      <w:r w:rsidRPr="002071F8">
        <w:rPr>
          <w:rStyle w:val="StyleUnderline"/>
        </w:rPr>
        <w:t>.</w:t>
      </w:r>
      <w:r w:rsidRPr="000C2A39">
        <w:rPr>
          <w:sz w:val="16"/>
        </w:rPr>
        <w:t xml:space="preserve"> T</w:t>
      </w:r>
      <w:r w:rsidRPr="00855367">
        <w:rPr>
          <w:rStyle w:val="StyleUnderline"/>
        </w:rPr>
        <w:t xml:space="preserve">hat process becomes more apparent if one examines the parallels between federal officials’ </w:t>
      </w:r>
      <w:r w:rsidRPr="00855367">
        <w:rPr>
          <w:rStyle w:val="Emphasis"/>
        </w:rPr>
        <w:t>presentation of reorganization</w:t>
      </w:r>
      <w:r w:rsidRPr="00855367">
        <w:rPr>
          <w:rStyle w:val="StyleUnderline"/>
        </w:rPr>
        <w:t xml:space="preserve"> and the rhetoric of U.S. v. Clapox </w:t>
      </w:r>
      <w:r w:rsidRPr="000C2A39">
        <w:rPr>
          <w:sz w:val="16"/>
        </w:rPr>
        <w:t xml:space="preserve">(1888), often cited as justifying the authority of the Courts. 49 In a phrase quoted in both the Interior Department solicitor opinions noted earlier, the decision describes the </w:t>
      </w:r>
      <w:r w:rsidRPr="00855367">
        <w:rPr>
          <w:rStyle w:val="StyleUnderline"/>
        </w:rPr>
        <w:t>Courts of Indian Offenses as “mere educational and disciplinary instrumentalities, by which the government of the United States is endeavoring to improve and elevate the condition of these dependent tribes to whom it sustains the relation of guardian</w:t>
      </w:r>
      <w:r w:rsidRPr="000C2A39">
        <w:rPr>
          <w:sz w:val="16"/>
        </w:rPr>
        <w:t xml:space="preserve">” (577). In other words, </w:t>
      </w:r>
      <w:r w:rsidRPr="00C63B4D">
        <w:rPr>
          <w:rStyle w:val="Emphasis"/>
        </w:rPr>
        <w:t>administrative regulations</w:t>
      </w:r>
      <w:r w:rsidRPr="00C63B4D">
        <w:rPr>
          <w:rStyle w:val="StyleUnderline"/>
        </w:rPr>
        <w:t xml:space="preserve"> with respect to native sexuality, marriage, kinship, and homemaking </w:t>
      </w:r>
      <w:r w:rsidRPr="00C63B4D">
        <w:rPr>
          <w:rStyle w:val="Emphasis"/>
        </w:rPr>
        <w:t>have</w:t>
      </w:r>
      <w:r w:rsidRPr="00C63B4D">
        <w:rPr>
          <w:rStyle w:val="StyleUnderline"/>
        </w:rPr>
        <w:t xml:space="preserve"> the power and </w:t>
      </w:r>
      <w:r w:rsidRPr="00C63B4D">
        <w:rPr>
          <w:rStyle w:val="Emphasis"/>
        </w:rPr>
        <w:t xml:space="preserve">validity </w:t>
      </w:r>
      <w:r w:rsidRPr="00C63B4D">
        <w:rPr>
          <w:rStyle w:val="StyleUnderline"/>
        </w:rPr>
        <w:t xml:space="preserve">of law </w:t>
      </w:r>
      <w:r w:rsidRPr="00C63B4D">
        <w:rPr>
          <w:rStyle w:val="Emphasis"/>
        </w:rPr>
        <w:t>because they are necessary tools of civilization</w:t>
      </w:r>
      <w:r w:rsidRPr="00C63B4D">
        <w:rPr>
          <w:rStyle w:val="StyleUnderline"/>
        </w:rPr>
        <w:t xml:space="preserve"> </w:t>
      </w:r>
      <w:r w:rsidRPr="00C63B4D">
        <w:rPr>
          <w:rStyle w:val="Emphasis"/>
        </w:rPr>
        <w:t>by which Indians can be “improve[d] and elevate[d</w:t>
      </w:r>
      <w:r w:rsidRPr="00C63B4D">
        <w:rPr>
          <w:rStyle w:val="StyleUnderline"/>
        </w:rPr>
        <w:t>]</w:t>
      </w:r>
      <w:r w:rsidRPr="000C2A39">
        <w:rPr>
          <w:sz w:val="16"/>
        </w:rPr>
        <w:t>. Only by breaking them of their savagely perverse habits and training them in proper nuclear domesticity can the U.S. fulfill its moral role as their protector. Note that the terms of subjugation/subjectification utilized here—</w:t>
      </w:r>
      <w:r w:rsidRPr="0037306B">
        <w:rPr>
          <w:rStyle w:val="StyleUnderline"/>
        </w:rPr>
        <w:t>the need for institutions that serve as “instrumentalities” in the fulfillment of the United States’ responsibilities as “guardian</w:t>
      </w:r>
      <w:r w:rsidRPr="000C2A39">
        <w:rPr>
          <w:sz w:val="16"/>
        </w:rPr>
        <w:t>”—</w:t>
      </w:r>
      <w:r w:rsidRPr="0037306B">
        <w:rPr>
          <w:rStyle w:val="StyleUnderline"/>
        </w:rPr>
        <w:t xml:space="preserve">mirror the language used by Collier in characterizing reorganization during the Plains Congress, </w:t>
      </w:r>
      <w:r w:rsidRPr="0037306B">
        <w:rPr>
          <w:rStyle w:val="StyleUnderline"/>
        </w:rPr>
        <w:lastRenderedPageBreak/>
        <w:t>suggesting the extent to which the language</w:t>
      </w:r>
      <w:r w:rsidRPr="000C2A39">
        <w:rPr>
          <w:sz w:val="16"/>
        </w:rPr>
        <w:t xml:space="preserve"> of native choice surrounding the IRA </w:t>
      </w:r>
      <w:r w:rsidRPr="0037306B">
        <w:rPr>
          <w:rStyle w:val="StyleUnderline"/>
        </w:rPr>
        <w:t>always was shaped around a heterosexual imaginary that delimited what could/should constitute governance</w:t>
      </w:r>
      <w:r w:rsidRPr="000C2A39">
        <w:rPr>
          <w:sz w:val="16"/>
        </w:rPr>
        <w:t xml:space="preserve">. </w:t>
      </w:r>
      <w:r w:rsidRPr="0037306B">
        <w:rPr>
          <w:rStyle w:val="StyleUnderline"/>
        </w:rPr>
        <w:t xml:space="preserve">More than merely recycling a blatantly paternalistic and racist perspective </w:t>
      </w:r>
      <w:r w:rsidRPr="000C2A39">
        <w:rPr>
          <w:sz w:val="16"/>
        </w:rPr>
        <w:t xml:space="preserve">in order to justify retaining the Courts, </w:t>
      </w:r>
      <w:r w:rsidRPr="0037306B">
        <w:rPr>
          <w:rStyle w:val="Emphasis"/>
        </w:rPr>
        <w:t>the Interior Department opinions repackage it as an affirmation of native self-representation</w:t>
      </w:r>
      <w:r w:rsidRPr="000C2A39">
        <w:rPr>
          <w:sz w:val="16"/>
        </w:rPr>
        <w:t xml:space="preserve">. 50 They describe the initial creation of the Courts as </w:t>
      </w:r>
      <w:r w:rsidRPr="0037306B">
        <w:rPr>
          <w:rStyle w:val="StyleUnderline"/>
        </w:rPr>
        <w:t>a “necessary” effort by the federal government “to stimulate tribal judicial action,” “to allow for enforcement by the tribal courts of the laws, customs and ethics of the tribe and for the handling of individual problems of the tribes”</w:t>
      </w:r>
      <w:r w:rsidRPr="000C2A39">
        <w:rPr>
          <w:sz w:val="16"/>
        </w:rPr>
        <w:t xml:space="preserve"> (536). 51 Thus, </w:t>
      </w:r>
      <w:r w:rsidRPr="0018278A">
        <w:rPr>
          <w:rStyle w:val="StyleUnderline"/>
        </w:rPr>
        <w:t>rather than imposing a repressive system that forbade crucial practices of collectivity</w:t>
      </w:r>
      <w:r w:rsidRPr="000C2A39">
        <w:rPr>
          <w:sz w:val="16"/>
        </w:rPr>
        <w:t xml:space="preserve">, </w:t>
      </w:r>
      <w:r w:rsidRPr="0018278A">
        <w:rPr>
          <w:rStyle w:val="StyleUnderline"/>
        </w:rPr>
        <w:t>the BIA simply made possible the continuance of native “customs.”</w:t>
      </w:r>
      <w:r w:rsidRPr="000C2A39">
        <w:rPr>
          <w:sz w:val="16"/>
        </w:rPr>
        <w:t xml:space="preserve"> </w:t>
      </w:r>
      <w:r w:rsidRPr="0018278A">
        <w:rPr>
          <w:rStyle w:val="Emphasis"/>
        </w:rPr>
        <w:t xml:space="preserve">This line of argument retools the subjectivities and domesticities of allotment as a mode of recognition under reorganization. </w:t>
      </w:r>
      <w:r w:rsidRPr="000C2A39">
        <w:rPr>
          <w:sz w:val="16"/>
        </w:rPr>
        <w:t xml:space="preserve">Put another way, </w:t>
      </w:r>
      <w:r w:rsidRPr="002F1186">
        <w:rPr>
          <w:rStyle w:val="StyleUnderline"/>
        </w:rPr>
        <w:t>the persistence of BIA-instituted and enforced codes of conduct is represented as a means of giving formal shape to existing principles that already have been accepted by Indians as perfectly compatible with</w:t>
      </w:r>
      <w:r w:rsidRPr="000C2A39">
        <w:rPr>
          <w:sz w:val="16"/>
        </w:rPr>
        <w:t xml:space="preserve">—in fact, as vital to—their existence as self-governing polities. One could argue, though, that </w:t>
      </w:r>
      <w:r w:rsidRPr="002F1186">
        <w:rPr>
          <w:rStyle w:val="StyleUnderline"/>
        </w:rPr>
        <w:t>the Courts merely provide a convenient legal hook on which to hang validation of native</w:t>
      </w:r>
      <w:r w:rsidRPr="000C2A39">
        <w:rPr>
          <w:sz w:val="16"/>
        </w:rPr>
        <w:t xml:space="preserve"> judicial </w:t>
      </w:r>
      <w:r w:rsidRPr="002F1186">
        <w:rPr>
          <w:rStyle w:val="StyleUnderline"/>
        </w:rPr>
        <w:t>systems,</w:t>
      </w:r>
      <w:r w:rsidRPr="000C2A39">
        <w:rPr>
          <w:sz w:val="16"/>
        </w:rPr>
        <w:t xml:space="preserve"> but such an interpretation is undercut by the ways official accounts and </w:t>
      </w:r>
      <w:r w:rsidRPr="002F1186">
        <w:rPr>
          <w:rStyle w:val="StyleUnderline"/>
        </w:rPr>
        <w:t>ongoing policies reiterate the centrality of the civilizing imperative</w:t>
      </w:r>
      <w:r w:rsidRPr="000C2A39">
        <w:rPr>
          <w:sz w:val="16"/>
        </w:rPr>
        <w:t xml:space="preserve">. </w:t>
      </w:r>
      <w:r w:rsidRPr="000C2A39">
        <w:rPr>
          <w:rStyle w:val="StyleUnderline"/>
        </w:rPr>
        <w:t>52 In the regulations issued by Collier in late 1935</w:t>
      </w:r>
      <w:r w:rsidRPr="000C2A39">
        <w:rPr>
          <w:sz w:val="16"/>
        </w:rPr>
        <w:t xml:space="preserve">, he abandons the attacks on the Sun Dance and medicine men in prior regulations but retains the concern for promoting conjugal and domestic order: </w:t>
      </w:r>
      <w:r w:rsidRPr="000C2A39">
        <w:rPr>
          <w:rStyle w:val="StyleUnderline"/>
        </w:rPr>
        <w:t>“[T]he tribal council shall have authority to determine whether Indian Custom Marriage and Indian Custom Divorce . . . shall be recognized in the future as lawful</w:t>
      </w:r>
      <w:r w:rsidRPr="000C2A39">
        <w:rPr>
          <w:sz w:val="16"/>
        </w:rPr>
        <w:t xml:space="preserve">”; “pending any determination by the Tribal Council” they “shall continue to be recognized as heretofore.” 53 Yet “illicit cohabitation” is included as among the “offenses” for which one can be tried, positioning the regulation of kinship and homemaking as a significant feature of reservation governance. While there is no outright ban on polygamy, the code does define “adultery” as “hav[ing] sexual intercourse with another person, either of such person being married to a third person” (16), </w:t>
      </w:r>
      <w:r w:rsidRPr="002F1186">
        <w:rPr>
          <w:rStyle w:val="StyleUnderline"/>
        </w:rPr>
        <w:t xml:space="preserve">indicating that marriage is a union of two people and making any erotic relationship beyond that punishable. </w:t>
      </w:r>
      <w:r w:rsidRPr="000C2A39">
        <w:rPr>
          <w:sz w:val="16"/>
        </w:rPr>
        <w:t xml:space="preserve">Additionally, although formal restrictions on interreservation travel are not contained in the 1935 regulations, </w:t>
      </w:r>
      <w:r w:rsidRPr="000C2A39">
        <w:rPr>
          <w:rStyle w:val="StyleUnderline"/>
        </w:rPr>
        <w:t>many reservations continued to have local subagents from whom passes were required to take such trips, a practice that further constrained and managed kinship relations by fracturing transreservation networks.</w:t>
      </w:r>
      <w:r w:rsidRPr="000C2A39">
        <w:rPr>
          <w:sz w:val="16"/>
        </w:rPr>
        <w:t xml:space="preserve"> 54 Taking the Constitution and law-and-order regulations adopted at Pine Ridge as an example of how the IRA was implemented, one can see the ways that the form of sovereignty that emerges under reorganization cleaves rather tightly to the contours outlined in the administrative opinions and codes</w:t>
      </w:r>
      <w:r w:rsidRPr="000C2A39">
        <w:rPr>
          <w:rStyle w:val="StyleUnderline"/>
        </w:rPr>
        <w:t xml:space="preserve"> I have been discussing. 55 Prior to the IRA, Pine Ridge had been in the process of drafting a new constitution, three years earlier having repudiated the agent-instituted constitution of 1928 that radically diminished the scope of the tribal council and instead deciding to return to a system much more like the Oglala Omniciy</w:t>
      </w:r>
      <w:r w:rsidRPr="000C2A39">
        <w:rPr>
          <w:sz w:val="16"/>
        </w:rPr>
        <w:t>e. 56 This effort was preempted by reorganization, the terms of which did not refl ect the prior struggle for the expansion of the council, greater attention to treaty issues, and a recognition of persistent modes of local governance (including tiospayes and their chiefs). 57 As against “the Interior Department’s origin myth of tribal government,” “</w:t>
      </w:r>
      <w:r w:rsidRPr="000C2A39">
        <w:rPr>
          <w:rStyle w:val="StyleUnderline"/>
        </w:rPr>
        <w:t>tribal governing machinery based on the constitutions was designed by the OIA, not Lakota people, who had little input into these instruments”;</w:t>
      </w:r>
      <w:r w:rsidRPr="000C2A39">
        <w:rPr>
          <w:sz w:val="16"/>
        </w:rPr>
        <w:t xml:space="preserve"> “even the order of the enumerated powers in both constitutions [for Pine Ridge and Rosebud] largely matches the order of items in the outline” provided by the BIA. 58 In laying out the powers of the Council, </w:t>
      </w:r>
      <w:r w:rsidRPr="000C2A39">
        <w:rPr>
          <w:rStyle w:val="StyleUnderline"/>
        </w:rPr>
        <w:t>the constitution makes clear that virtually all of them are “subject to review by the Secretary of the Interior</w:t>
      </w:r>
      <w:r w:rsidRPr="000C2A39">
        <w:rPr>
          <w:sz w:val="16"/>
        </w:rPr>
        <w:t>,” giving non-native administrators a huge amount of discretion in managing tribal aff airs. Notably, one of the very few areas spared this scrutiny is the power “to regulate the domestic relations of members of the tribe,” although the authority “to promulgate and enforce ordinances . . . for the maintenance of law and order” is contingent on the Secretary’s approval. Again, “</w:t>
      </w:r>
      <w:r w:rsidRPr="000C2A39">
        <w:rPr>
          <w:rStyle w:val="StyleUnderline"/>
        </w:rPr>
        <w:t>d</w:t>
      </w:r>
      <w:r w:rsidRPr="000C2A39">
        <w:rPr>
          <w:rStyle w:val="Emphasis"/>
        </w:rPr>
        <w:t>omestic relations” appears as a metonym for sovereignty, standing in for an autonomy belied by the stifling oversight institutionalized in the constitution.</w:t>
      </w:r>
    </w:p>
    <w:p w:rsidR="00DE5E47" w:rsidRPr="00042978" w:rsidRDefault="00DE5E47" w:rsidP="00DE5E47"/>
    <w:p w:rsidR="005A160F" w:rsidRDefault="005A160F" w:rsidP="005A160F">
      <w:pPr>
        <w:pStyle w:val="Heading3"/>
      </w:pPr>
      <w:bookmarkStart w:id="36" w:name="_Toc489138930"/>
      <w:r>
        <w:lastRenderedPageBreak/>
        <w:t>Link: Sex Ed.—National Body</w:t>
      </w:r>
      <w:bookmarkEnd w:id="36"/>
    </w:p>
    <w:p w:rsidR="005A160F" w:rsidRPr="008011E0" w:rsidRDefault="005A160F" w:rsidP="005A160F">
      <w:pPr>
        <w:pStyle w:val="Heading4"/>
        <w:rPr>
          <w:rStyle w:val="Heading4Char"/>
          <w:b/>
        </w:rPr>
      </w:pPr>
      <w:r>
        <w:rPr>
          <w:rStyle w:val="Heading4Char"/>
          <w:b/>
        </w:rPr>
        <w:t>The aff inoculates the body politic to sexual deviance maintaining a priority of healthy education for full citizenship– their preservation of the national body only shifts the figure of the Child</w:t>
      </w:r>
    </w:p>
    <w:p w:rsidR="005A160F" w:rsidRDefault="005A160F" w:rsidP="005A160F">
      <w:r w:rsidRPr="00A6513D">
        <w:rPr>
          <w:rStyle w:val="Heading4Char"/>
        </w:rPr>
        <w:t>Finn 15</w:t>
      </w:r>
      <w:r>
        <w:t xml:space="preserve"> (Dr. Matt Finn is a Lecturer in Human Geography at the University of Exeter specializing in critical geographies of Data. Dr. Finn has a PhD in Geography from Durham. “</w:t>
      </w:r>
      <w:r w:rsidRPr="001C194E">
        <w:t>Education, Data and Futurity: a data-based school in the North East of England</w:t>
      </w:r>
      <w:r>
        <w:t>” Published by Durham University 2015. Pages 97-99) [JK]</w:t>
      </w:r>
    </w:p>
    <w:p w:rsidR="005A160F" w:rsidRPr="007F61EC" w:rsidRDefault="005A160F" w:rsidP="005A160F">
      <w:pPr>
        <w:rPr>
          <w:sz w:val="16"/>
        </w:rPr>
      </w:pPr>
      <w:r w:rsidRPr="003E4C43">
        <w:rPr>
          <w:rStyle w:val="StyleUnderline"/>
        </w:rPr>
        <w:t>Explicit futures are articulated about</w:t>
      </w:r>
      <w:r w:rsidRPr="007F61EC">
        <w:rPr>
          <w:sz w:val="16"/>
        </w:rPr>
        <w:t xml:space="preserve"> a range of scales, from </w:t>
      </w:r>
      <w:r w:rsidRPr="003E4C43">
        <w:rPr>
          <w:rStyle w:val="StyleUnderline"/>
        </w:rPr>
        <w:t>the individual body</w:t>
      </w:r>
      <w:r w:rsidRPr="007F61EC">
        <w:rPr>
          <w:sz w:val="16"/>
        </w:rPr>
        <w:t xml:space="preserve"> to the planetary. Some take the nation as their object. In a geography lesson, population statistics are charted through population pyramids and in a demographic transition model. They are descriptive of the present and rely on historical data but through them pupils are asked to observe, interpret and compare different national futures. Some countries’ </w:t>
      </w:r>
      <w:r w:rsidRPr="003E4C43">
        <w:rPr>
          <w:rStyle w:val="StyleUnderline"/>
        </w:rPr>
        <w:t>futures are ‘youthful’ and ‘growing’ and others’ ‘aging’ and ‘declining’</w:t>
      </w:r>
      <w:r w:rsidRPr="007F61EC">
        <w:rPr>
          <w:sz w:val="16"/>
        </w:rPr>
        <w:t xml:space="preserve">. </w:t>
      </w:r>
      <w:r w:rsidRPr="003E4C43">
        <w:rPr>
          <w:rStyle w:val="StyleUnderline"/>
        </w:rPr>
        <w:t>This language</w:t>
      </w:r>
      <w:r w:rsidRPr="007F61EC">
        <w:rPr>
          <w:sz w:val="16"/>
        </w:rPr>
        <w:t xml:space="preserve">, when added to Eurocentric narratives about historical development (Finn &amp; McEwan, 2015), </w:t>
      </w:r>
      <w:r w:rsidRPr="003E4C43">
        <w:rPr>
          <w:rStyle w:val="Emphasis"/>
        </w:rPr>
        <w:t xml:space="preserve">assembles the ages and genders of citizens’ bodies into a national body </w:t>
      </w:r>
      <w:r w:rsidRPr="003E4C43">
        <w:rPr>
          <w:rStyle w:val="StyleUnderline"/>
        </w:rPr>
        <w:t>whose future</w:t>
      </w:r>
      <w:r w:rsidRPr="007F61EC">
        <w:rPr>
          <w:sz w:val="16"/>
        </w:rPr>
        <w:t xml:space="preserve"> (as youthful or aging) </w:t>
      </w:r>
      <w:r w:rsidRPr="003E4C43">
        <w:rPr>
          <w:rStyle w:val="StyleUnderline"/>
        </w:rPr>
        <w:t>is considered as presenting challenges</w:t>
      </w:r>
      <w:r w:rsidRPr="007F61EC">
        <w:rPr>
          <w:sz w:val="16"/>
        </w:rPr>
        <w:t xml:space="preserve"> in different ways for the people of that nation. I</w:t>
      </w:r>
      <w:r w:rsidRPr="007F61EC">
        <w:rPr>
          <w:rStyle w:val="StyleUnderline"/>
        </w:rPr>
        <w:t>n the same way that the graphical representations are figured as nationally bounded the concomitant futures are considered in this framin</w:t>
      </w:r>
      <w:r w:rsidRPr="007F61EC">
        <w:rPr>
          <w:sz w:val="16"/>
        </w:rPr>
        <w:t xml:space="preserve">g. Absent from these narratives are events such as war, pandemic, migration, climate change, future health or education improvements that may mean that current population levels are not predictive of future population size and composition. </w:t>
      </w:r>
      <w:r w:rsidRPr="007F61EC">
        <w:rPr>
          <w:rStyle w:val="StyleUnderline"/>
        </w:rPr>
        <w:t>The mobility of people, technologies or viruses are not represented and this has implications for the kinds of futures imagined and the developing imaginary geographies that might hinder or help in meeting these future challenges.</w:t>
      </w:r>
      <w:r>
        <w:rPr>
          <w:rStyle w:val="StyleUnderline"/>
        </w:rPr>
        <w:t xml:space="preserve"> </w:t>
      </w:r>
      <w:r w:rsidRPr="000E48B3">
        <w:rPr>
          <w:rStyle w:val="StyleUnderline"/>
        </w:rPr>
        <w:t>Reproductive futures are not only national but individual</w:t>
      </w:r>
      <w:r w:rsidRPr="007F61EC">
        <w:rPr>
          <w:sz w:val="16"/>
        </w:rPr>
        <w:t xml:space="preserve"> and in a biology lesson the teacher spoke about the biological changes associated with puberty and a scientific account of what takes place bodily in sex and pregnancy. </w:t>
      </w:r>
      <w:r w:rsidRPr="000E48B3">
        <w:rPr>
          <w:rStyle w:val="StyleUnderline"/>
        </w:rPr>
        <w:t>These accounts were gendered with most of the information addressing reproductive futures as maternal futures.</w:t>
      </w:r>
      <w:r w:rsidRPr="007F61EC">
        <w:rPr>
          <w:sz w:val="16"/>
        </w:rPr>
        <w:t xml:space="preserve"> Pupils’ questions (with some embarrassment but broadly open and frank) were asked only by girls. For example, ‘What wo</w:t>
      </w:r>
      <w:r>
        <w:rPr>
          <w:sz w:val="16"/>
        </w:rPr>
        <w:t xml:space="preserve">uld happen if a man and a woman </w:t>
      </w:r>
      <w:r w:rsidRPr="007F61EC">
        <w:rPr>
          <w:sz w:val="16"/>
        </w:rPr>
        <w:t>97 came together but there wasn’t an egg there, would she become pregnant?’ W</w:t>
      </w:r>
      <w:r w:rsidRPr="000E48B3">
        <w:rPr>
          <w:rStyle w:val="StyleUnderline"/>
        </w:rPr>
        <w:t>hereas in other classes futures might be cognitive, these were very much questions around implied bodily futures and the teacher phrased his answers in language of potentiality</w:t>
      </w:r>
      <w:r w:rsidRPr="007F61EC">
        <w:rPr>
          <w:sz w:val="16"/>
        </w:rPr>
        <w:t xml:space="preserve">: ‘may/can/might/has the potential’. </w:t>
      </w:r>
      <w:r w:rsidRPr="000E48B3">
        <w:rPr>
          <w:rStyle w:val="StyleUnderline"/>
        </w:rPr>
        <w:t>Reproductive futures are held here not as inevitable but possible futures.</w:t>
      </w:r>
      <w:r w:rsidRPr="007F61EC">
        <w:rPr>
          <w:sz w:val="16"/>
        </w:rPr>
        <w:t xml:space="preserve"> In this context however relationships were not discussed or the implications of paternal reproductive futures. The question ‘</w:t>
      </w:r>
      <w:r w:rsidRPr="000E48B3">
        <w:rPr>
          <w:rStyle w:val="StyleUnderline"/>
        </w:rPr>
        <w:t>what would happen if’, can be seen as a way of exploring inter-generationality</w:t>
      </w:r>
      <w:r w:rsidRPr="007F61EC">
        <w:rPr>
          <w:sz w:val="16"/>
        </w:rPr>
        <w:t xml:space="preserve">, </w:t>
      </w:r>
      <w:r w:rsidRPr="000E48B3">
        <w:rPr>
          <w:rStyle w:val="StyleUnderline"/>
        </w:rPr>
        <w:t xml:space="preserve">based on </w:t>
      </w:r>
      <w:r w:rsidRPr="007F61EC">
        <w:rPr>
          <w:sz w:val="16"/>
        </w:rPr>
        <w:t xml:space="preserve">personal and scientific knowledge and </w:t>
      </w:r>
      <w:r w:rsidRPr="000E48B3">
        <w:rPr>
          <w:rStyle w:val="StyleUnderline"/>
        </w:rPr>
        <w:t>the implications of present or futures choices and experiences.</w:t>
      </w:r>
      <w:r w:rsidRPr="007F61EC">
        <w:rPr>
          <w:sz w:val="16"/>
        </w:rPr>
        <w:t xml:space="preserve"> </w:t>
      </w:r>
      <w:r w:rsidRPr="000E48B3">
        <w:rPr>
          <w:rStyle w:val="StyleUnderline"/>
        </w:rPr>
        <w:t xml:space="preserve">Maintaining the bodily potentiality in readiness for pro-social, economically-contributory citizenly futures meant that young people were subject to interventions designed </w:t>
      </w:r>
      <w:r w:rsidRPr="000E48B3">
        <w:rPr>
          <w:rStyle w:val="Emphasis"/>
        </w:rPr>
        <w:t>to reduce teen-pregnancy</w:t>
      </w:r>
      <w:r w:rsidRPr="007F61EC">
        <w:rPr>
          <w:sz w:val="16"/>
        </w:rPr>
        <w:t xml:space="preserve">, </w:t>
      </w:r>
      <w:r w:rsidRPr="0076741B">
        <w:rPr>
          <w:rStyle w:val="StyleUnderline"/>
        </w:rPr>
        <w:t>smoking and alcohol consumption</w:t>
      </w:r>
      <w:r w:rsidRPr="007F61EC">
        <w:rPr>
          <w:sz w:val="16"/>
        </w:rPr>
        <w:t xml:space="preserve">. </w:t>
      </w:r>
      <w:r w:rsidRPr="0076741B">
        <w:rPr>
          <w:rStyle w:val="StyleUnderline"/>
        </w:rPr>
        <w:t>Interviews with pupils about ‘what the school thinks is important about you’ brought a range of answers,</w:t>
      </w:r>
      <w:r w:rsidRPr="007F61EC">
        <w:rPr>
          <w:sz w:val="16"/>
        </w:rPr>
        <w:t xml:space="preserve"> but </w:t>
      </w:r>
      <w:r w:rsidRPr="0076741B">
        <w:rPr>
          <w:rStyle w:val="StyleUnderline"/>
        </w:rPr>
        <w:t>consistent responses included</w:t>
      </w:r>
      <w:r w:rsidRPr="007F61EC">
        <w:rPr>
          <w:sz w:val="16"/>
        </w:rPr>
        <w:t xml:space="preserve"> “and your </w:t>
      </w:r>
      <w:r w:rsidRPr="0076741B">
        <w:rPr>
          <w:rStyle w:val="StyleUnderline"/>
        </w:rPr>
        <w:t>health</w:t>
      </w:r>
      <w:r w:rsidRPr="007F61EC">
        <w:rPr>
          <w:sz w:val="16"/>
        </w:rPr>
        <w:t xml:space="preserve">, they’re always on about that” (friend with Brian, female, Y10), </w:t>
      </w:r>
      <w:r w:rsidRPr="0076741B">
        <w:rPr>
          <w:rStyle w:val="StyleUnderline"/>
        </w:rPr>
        <w:t>with concerns raised about</w:t>
      </w:r>
      <w:r w:rsidRPr="007F61EC">
        <w:rPr>
          <w:sz w:val="16"/>
        </w:rPr>
        <w:t xml:space="preserve"> </w:t>
      </w:r>
      <w:r w:rsidRPr="0076741B">
        <w:rPr>
          <w:rStyle w:val="StyleUnderline"/>
        </w:rPr>
        <w:t>smoking, drinking, sex and healthy eating.</w:t>
      </w:r>
      <w:r w:rsidRPr="007F61EC">
        <w:rPr>
          <w:sz w:val="16"/>
        </w:rPr>
        <w:t xml:space="preserve"> </w:t>
      </w:r>
      <w:r w:rsidRPr="0076741B">
        <w:rPr>
          <w:rStyle w:val="StyleUnderline"/>
        </w:rPr>
        <w:t>The policing of school uniform, styling of hair and makeup was also a regularly brought up as a contradiction between the stated aims of the school helping each person to developing as an individual and the conformity required by the school policies</w:t>
      </w:r>
      <w:r w:rsidRPr="007F61EC">
        <w:rPr>
          <w:sz w:val="16"/>
        </w:rPr>
        <w:t xml:space="preserve">. This was intensely felt as a contradiction between the present as ensuring conformity of bodily comportment and the goal of producing independent and individualised future selves. </w:t>
      </w:r>
      <w:r w:rsidRPr="0076741B">
        <w:rPr>
          <w:rStyle w:val="StyleUnderline"/>
        </w:rPr>
        <w:t>Although reproductive futures were talked about in terms of potentiality</w:t>
      </w:r>
      <w:r w:rsidRPr="007F61EC">
        <w:rPr>
          <w:sz w:val="16"/>
        </w:rPr>
        <w:t xml:space="preserve">, by contrast when relationships were discussed by pupils in lessons (though not as part of the curriculum) </w:t>
      </w:r>
      <w:r w:rsidRPr="0076741B">
        <w:rPr>
          <w:rStyle w:val="StyleUnderline"/>
        </w:rPr>
        <w:t>they were talked about in actualised and not anticipatory language</w:t>
      </w:r>
      <w:r w:rsidRPr="007F61EC">
        <w:rPr>
          <w:sz w:val="16"/>
        </w:rPr>
        <w:t>. There was the surreptitious messaging of a girlfriend, talk of a pupil who is gay and has a boyfriend, a girl who is bisexual (“She’s going with boys and girls but is more lesbian because she goes with more girls</w:t>
      </w:r>
      <w:r w:rsidRPr="0076741B">
        <w:rPr>
          <w:rStyle w:val="StyleUnderline"/>
        </w:rPr>
        <w:t>”). Sexual-relational identities are spoken of as already materially and cognitively realised</w:t>
      </w:r>
      <w:r w:rsidRPr="007F61EC">
        <w:rPr>
          <w:sz w:val="16"/>
        </w:rPr>
        <w:t xml:space="preserve">, if fluid, </w:t>
      </w:r>
      <w:r w:rsidRPr="0076741B">
        <w:rPr>
          <w:rStyle w:val="StyleUnderline"/>
        </w:rPr>
        <w:t>and not in terms of potential or as future-oriented</w:t>
      </w:r>
      <w:r w:rsidRPr="007F61EC">
        <w:rPr>
          <w:sz w:val="16"/>
        </w:rPr>
        <w:t xml:space="preserve">. </w:t>
      </w:r>
      <w:r w:rsidRPr="007F61EC">
        <w:rPr>
          <w:rStyle w:val="StyleUnderline"/>
        </w:rPr>
        <w:t xml:space="preserve">I felt that some of the ways in which pupils spoke </w:t>
      </w:r>
      <w:r w:rsidRPr="007F61EC">
        <w:rPr>
          <w:rStyle w:val="StyleUnderline"/>
        </w:rPr>
        <w:lastRenderedPageBreak/>
        <w:t>to me</w:t>
      </w:r>
      <w:r w:rsidRPr="007F61EC">
        <w:rPr>
          <w:sz w:val="16"/>
        </w:rPr>
        <w:t xml:space="preserve"> were performing these identities quite overtly to both test my reaction and </w:t>
      </w:r>
      <w:r w:rsidRPr="007F61EC">
        <w:rPr>
          <w:rStyle w:val="Emphasis"/>
        </w:rPr>
        <w:t>to seek validation of mature identities which have more typically been understood as ‘adult’</w:t>
      </w:r>
      <w:r>
        <w:rPr>
          <w:rStyle w:val="Emphasis"/>
        </w:rPr>
        <w:t xml:space="preserve"> </w:t>
      </w:r>
      <w:r w:rsidRPr="007F61EC">
        <w:rPr>
          <w:sz w:val="16"/>
        </w:rPr>
        <w:t xml:space="preserve">(i.e. where childhood is pre-sexual). </w:t>
      </w:r>
      <w:r w:rsidRPr="007F61EC">
        <w:rPr>
          <w:rStyle w:val="StyleUnderline"/>
        </w:rPr>
        <w:t>It does however conform to the literature on childhood</w:t>
      </w:r>
      <w:r w:rsidRPr="007F61EC">
        <w:rPr>
          <w:sz w:val="16"/>
        </w:rPr>
        <w:t xml:space="preserve"> (or young adulthood) as a period of experimentation and role-play. </w:t>
      </w:r>
      <w:r w:rsidRPr="007F61EC">
        <w:rPr>
          <w:rStyle w:val="StyleUnderline"/>
        </w:rPr>
        <w:t>Relationships were less a means of becoming</w:t>
      </w:r>
      <w:r w:rsidRPr="007F61EC">
        <w:rPr>
          <w:sz w:val="16"/>
        </w:rPr>
        <w:t xml:space="preserve"> (the future of those relationships was not in view) </w:t>
      </w:r>
      <w:r w:rsidRPr="007F61EC">
        <w:rPr>
          <w:rStyle w:val="Emphasis"/>
        </w:rPr>
        <w:t>but were a sign of having become capable of sustaining a companionable relationship</w:t>
      </w:r>
      <w:r w:rsidRPr="007F61EC">
        <w:rPr>
          <w:sz w:val="16"/>
        </w:rPr>
        <w:t>. The focus was on the present experience of enjoying that relationship (and the social status accrued by it) or navigating the difficulties that come with negotiating those relationships.</w:t>
      </w:r>
    </w:p>
    <w:p w:rsidR="005A160F" w:rsidRDefault="005A160F" w:rsidP="005A160F">
      <w:pPr>
        <w:pStyle w:val="Heading3"/>
      </w:pPr>
      <w:bookmarkStart w:id="37" w:name="_Toc489138931"/>
      <w:r>
        <w:lastRenderedPageBreak/>
        <w:t>Link: Sex Ed.—Pleasure Focus</w:t>
      </w:r>
      <w:bookmarkEnd w:id="37"/>
    </w:p>
    <w:p w:rsidR="005A160F" w:rsidRPr="00076F08" w:rsidRDefault="005A160F" w:rsidP="005A160F">
      <w:pPr>
        <w:pStyle w:val="Heading4"/>
      </w:pPr>
      <w:r>
        <w:t>The aff creates pleasure as the new rubric to gauge normative sexuality—in practice their comprehensive program fashions an ideal sexual subject that exteriorizes the unpleasurable queer other</w:t>
      </w:r>
    </w:p>
    <w:p w:rsidR="005A160F" w:rsidRPr="00EA1652" w:rsidRDefault="005A160F" w:rsidP="005A160F">
      <w:r w:rsidRPr="00B565E1">
        <w:rPr>
          <w:rStyle w:val="Heading4Char"/>
        </w:rPr>
        <w:t>Allen 12</w:t>
      </w:r>
      <w:r>
        <w:t xml:space="preserve"> (Louisa Allen is an Associate Professor in the Faculty of Education at the University of Auckland, New Zealand. Her academic interests include critical sexuality education studies, masculinities, femininities and schooling and innovative research methods. Her latest book is Young People and Sexuality Education: Rethinking Key Debates (2011). “Pleasure’s perils? Critically reflecting on pleasure’s inclusion in sexuality education” Published 2012 by SAGE. Pages 462-465) [JK]</w:t>
      </w:r>
    </w:p>
    <w:p w:rsidR="005A160F" w:rsidRPr="007B0C5F" w:rsidRDefault="005A160F" w:rsidP="005A160F">
      <w:pPr>
        <w:rPr>
          <w:sz w:val="16"/>
        </w:rPr>
      </w:pPr>
      <w:r w:rsidRPr="007B0C5F">
        <w:rPr>
          <w:sz w:val="16"/>
        </w:rPr>
        <w:t xml:space="preserve">Something which has troubled me about </w:t>
      </w:r>
      <w:r w:rsidRPr="00B565E1">
        <w:rPr>
          <w:rStyle w:val="StyleUnderline"/>
        </w:rPr>
        <w:t>a discourse of pleasure in sexuality education has been the potential for a ‘pleasure imperative’</w:t>
      </w:r>
      <w:r w:rsidRPr="007B0C5F">
        <w:rPr>
          <w:sz w:val="16"/>
        </w:rPr>
        <w:t xml:space="preserve">. This possibility was on my mind seven years ago when I wrote the following about a discourse of erotics. Including a discourse of erotics in sexuality education could also be about creating spaces in which young people’s sexual desire and pleasure can be legitimated and positively integrated within official school culture. </w:t>
      </w:r>
      <w:r w:rsidRPr="00B565E1">
        <w:rPr>
          <w:rStyle w:val="StyleUnderline"/>
        </w:rPr>
        <w:t>This does not mean that young people have to, or will necessarily seize upon these spaces, but that they are no longer denied them because they are ‘missing’ from sexuality education programmes</w:t>
      </w:r>
      <w:r w:rsidRPr="007B0C5F">
        <w:rPr>
          <w:sz w:val="16"/>
        </w:rPr>
        <w:t xml:space="preserve">. (Allen, 2005a: 147–148) My concern was this discourse was not configured as an imperative, where pleasure is cast as an ideal in sexual relations that young people feel compelled to achieve. Instead, </w:t>
      </w:r>
      <w:r w:rsidRPr="00B565E1">
        <w:rPr>
          <w:rStyle w:val="Emphasis"/>
        </w:rPr>
        <w:t>sexual pleasure</w:t>
      </w:r>
      <w:r w:rsidRPr="00B565E1">
        <w:rPr>
          <w:rStyle w:val="StyleUnderline"/>
        </w:rPr>
        <w:t xml:space="preserve"> </w:t>
      </w:r>
      <w:r w:rsidRPr="00B565E1">
        <w:rPr>
          <w:rStyle w:val="Emphasis"/>
        </w:rPr>
        <w:t>would</w:t>
      </w:r>
      <w:r w:rsidRPr="00B565E1">
        <w:rPr>
          <w:rStyle w:val="StyleUnderline"/>
        </w:rPr>
        <w:t xml:space="preserve"> have a presence in the curriculum and </w:t>
      </w:r>
      <w:r w:rsidRPr="00B565E1">
        <w:rPr>
          <w:rStyle w:val="Emphasis"/>
        </w:rPr>
        <w:t>be represented as a legitimate possibility</w:t>
      </w:r>
      <w:r w:rsidRPr="007B0C5F">
        <w:rPr>
          <w:sz w:val="16"/>
        </w:rPr>
        <w:t xml:space="preserve">. </w:t>
      </w:r>
      <w:r w:rsidRPr="00B565E1">
        <w:rPr>
          <w:rStyle w:val="StyleUnderline"/>
        </w:rPr>
        <w:t>If young people want to experience sexual pleasure then, sexuality education could provide them with information and skills to increase the likelihood of this possibility</w:t>
      </w:r>
      <w:r w:rsidRPr="007B0C5F">
        <w:rPr>
          <w:sz w:val="16"/>
        </w:rPr>
        <w:t>. The onus was on young people’s choice about this potential, not that it should constitute a new imperative defining their sexual experience. That pleasure was a possibility and not a certainty of acknowledging and providing young people with information about pleasure, was also an (implicit) assumption. K</w:t>
      </w:r>
      <w:r w:rsidRPr="00B565E1">
        <w:rPr>
          <w:rStyle w:val="StyleUnderline"/>
        </w:rPr>
        <w:t>nowing that pleasure is a possible and legitimate outcome of sexual activity is no guarantee it will eventuate</w:t>
      </w:r>
      <w:r w:rsidRPr="007B0C5F">
        <w:rPr>
          <w:sz w:val="16"/>
        </w:rPr>
        <w:t xml:space="preserve">. </w:t>
      </w:r>
      <w:r w:rsidRPr="00B565E1">
        <w:rPr>
          <w:rStyle w:val="Emphasis"/>
        </w:rPr>
        <w:t>Sexual pleasure is political and governed by contextual and socially structured power relations that are not dissolved by knowledge.</w:t>
      </w:r>
      <w:r w:rsidRPr="007B0C5F">
        <w:rPr>
          <w:sz w:val="16"/>
        </w:rPr>
        <w:t xml:space="preserve"> The first anecdote I relay I have witnessed on a number of occasions when educators have talked about pleasure. </w:t>
      </w:r>
      <w:r w:rsidRPr="00B565E1">
        <w:rPr>
          <w:rStyle w:val="StyleUnderline"/>
        </w:rPr>
        <w:t xml:space="preserve">It reveals a ‘pleasure imperative’ where </w:t>
      </w:r>
      <w:r w:rsidRPr="00B565E1">
        <w:rPr>
          <w:rStyle w:val="Emphasis"/>
        </w:rPr>
        <w:t>pleasure twists</w:t>
      </w:r>
      <w:r w:rsidRPr="00B565E1">
        <w:rPr>
          <w:rStyle w:val="StyleUnderline"/>
        </w:rPr>
        <w:t xml:space="preserve"> from ‘a legitimate possibility’ </w:t>
      </w:r>
      <w:r w:rsidRPr="00B565E1">
        <w:rPr>
          <w:rStyle w:val="Emphasis"/>
        </w:rPr>
        <w:t>to an expected component of sexual activity</w:t>
      </w:r>
      <w:r w:rsidRPr="007B0C5F">
        <w:rPr>
          <w:sz w:val="16"/>
        </w:rPr>
        <w:t>. The mechanism of this warping is an almost imperceptible slippage in talk. In one instance I heard an educator provide the following justification for why pleasure might form part of the curriculum; ‘</w:t>
      </w:r>
      <w:r w:rsidRPr="00B565E1">
        <w:rPr>
          <w:rStyle w:val="StyleUnderline"/>
        </w:rPr>
        <w:t xml:space="preserve">If students know sex should be </w:t>
      </w:r>
      <w:r w:rsidRPr="007B0C5F">
        <w:rPr>
          <w:sz w:val="16"/>
        </w:rPr>
        <w:t>462 Sexualities 15(3/4</w:t>
      </w:r>
      <w:r w:rsidRPr="00B565E1">
        <w:rPr>
          <w:rStyle w:val="StyleUnderline"/>
        </w:rPr>
        <w:t>) something that is consensual and pleasurable, it may be easier for them to recognise and say ‘‘no’’ to abuse’</w:t>
      </w:r>
      <w:r w:rsidRPr="007B0C5F">
        <w:rPr>
          <w:sz w:val="16"/>
        </w:rPr>
        <w:t xml:space="preserve">. </w:t>
      </w:r>
      <w:r w:rsidRPr="00B565E1">
        <w:rPr>
          <w:rStyle w:val="StyleUnderline"/>
        </w:rPr>
        <w:t>The crucial word here is should, ‘sex should be something ... that is pleasurable’.</w:t>
      </w:r>
      <w:r w:rsidRPr="007B0C5F">
        <w:rPr>
          <w:sz w:val="16"/>
        </w:rPr>
        <w:t xml:space="preserve"> Not, that it might be, if you or your partner(s) want it, and can generate this experience, but, sex should be ‘pleasurable’. </w:t>
      </w:r>
      <w:r w:rsidRPr="00B565E1">
        <w:rPr>
          <w:rStyle w:val="Emphasis"/>
        </w:rPr>
        <w:t>The idea that sex should be pleasurable implies that if it is not, then something is wrong and/or missing</w:t>
      </w:r>
      <w:r w:rsidRPr="007B0C5F">
        <w:rPr>
          <w:sz w:val="16"/>
        </w:rPr>
        <w:t xml:space="preserve">. </w:t>
      </w:r>
      <w:r w:rsidRPr="00A83D3C">
        <w:rPr>
          <w:rStyle w:val="StyleUnderline"/>
        </w:rPr>
        <w:t xml:space="preserve">Pleasure becomes </w:t>
      </w:r>
      <w:r w:rsidRPr="00A83D3C">
        <w:rPr>
          <w:rStyle w:val="Emphasis"/>
        </w:rPr>
        <w:t>a new gauge</w:t>
      </w:r>
      <w:r w:rsidRPr="00A83D3C">
        <w:rPr>
          <w:rStyle w:val="StyleUnderline"/>
        </w:rPr>
        <w:t xml:space="preserve"> against </w:t>
      </w:r>
      <w:r w:rsidRPr="00A83D3C">
        <w:rPr>
          <w:rStyle w:val="Emphasis"/>
        </w:rPr>
        <w:t>which young people</w:t>
      </w:r>
      <w:r w:rsidRPr="00A83D3C">
        <w:rPr>
          <w:rStyle w:val="StyleUnderline"/>
        </w:rPr>
        <w:t xml:space="preserve"> might </w:t>
      </w:r>
      <w:r w:rsidRPr="00A83D3C">
        <w:rPr>
          <w:rStyle w:val="Emphasis"/>
        </w:rPr>
        <w:t>measure themselves</w:t>
      </w:r>
      <w:r w:rsidRPr="00A83D3C">
        <w:rPr>
          <w:rStyle w:val="StyleUnderline"/>
        </w:rPr>
        <w:t xml:space="preserve"> and their </w:t>
      </w:r>
      <w:r w:rsidRPr="00A83D3C">
        <w:rPr>
          <w:rStyle w:val="Emphasis"/>
        </w:rPr>
        <w:t>relationships.</w:t>
      </w:r>
      <w:r w:rsidRPr="007B0C5F">
        <w:rPr>
          <w:sz w:val="16"/>
        </w:rPr>
        <w:t xml:space="preserve"> The regulatory potential of this discourse lies in the questions </w:t>
      </w:r>
      <w:r w:rsidRPr="00A83D3C">
        <w:rPr>
          <w:rStyle w:val="StyleUnderline"/>
        </w:rPr>
        <w:t>why don’t I or didn’t I feel pleasure, what’s wrong with me?</w:t>
      </w:r>
      <w:r w:rsidRPr="007B0C5F">
        <w:rPr>
          <w:sz w:val="16"/>
        </w:rPr>
        <w:t xml:space="preserve"> Or, there must be something lacking in my relationship because sexual activity is not pleasurable? </w:t>
      </w:r>
      <w:r w:rsidRPr="00A83D3C">
        <w:rPr>
          <w:rStyle w:val="StyleUnderline"/>
        </w:rPr>
        <w:t xml:space="preserve">Rather than opening up spaces for young people to experience their sexuality in more diverse and positive ways, existing normative masculinities and femininities are consolidated within this pleasure imperative. </w:t>
      </w:r>
      <w:r w:rsidRPr="007B0C5F">
        <w:rPr>
          <w:sz w:val="16"/>
        </w:rPr>
        <w:t xml:space="preserve">The power of conventional discourses of heterosexuality means that foregrounding pleasure in young people’s relationships can work itself out in normative ways. Within these discourses, </w:t>
      </w:r>
      <w:r w:rsidRPr="00A83D3C">
        <w:rPr>
          <w:rStyle w:val="StyleUnderline"/>
        </w:rPr>
        <w:t>young men are expected to experience pleasure easily and display technique in coaxing sexual pleasure from their partners</w:t>
      </w:r>
      <w:r w:rsidRPr="007B0C5F">
        <w:rPr>
          <w:sz w:val="16"/>
        </w:rPr>
        <w:t xml:space="preserve"> (Farvid and Braun, 2006). </w:t>
      </w:r>
      <w:r w:rsidRPr="00A83D3C">
        <w:rPr>
          <w:rStyle w:val="StyleUnderline"/>
        </w:rPr>
        <w:t>Failure</w:t>
      </w:r>
      <w:r w:rsidRPr="007B0C5F">
        <w:rPr>
          <w:sz w:val="16"/>
        </w:rPr>
        <w:t xml:space="preserve"> on either of these counts </w:t>
      </w:r>
      <w:r w:rsidRPr="00A83D3C">
        <w:rPr>
          <w:rStyle w:val="StyleUnderline"/>
        </w:rPr>
        <w:t>risks masculine status</w:t>
      </w:r>
      <w:r w:rsidRPr="007B0C5F">
        <w:rPr>
          <w:sz w:val="16"/>
        </w:rPr>
        <w:t xml:space="preserve">. </w:t>
      </w:r>
      <w:r w:rsidRPr="00A83D3C">
        <w:rPr>
          <w:rStyle w:val="StyleUnderline"/>
        </w:rPr>
        <w:t xml:space="preserve">Young women on the other hand, are caught within contemporary discourses of ‘girl power’ where they are expected to both want and achieve sexual pleasure while concurrently not appearing ‘slutty’ </w:t>
      </w:r>
      <w:r w:rsidRPr="007B0C5F">
        <w:rPr>
          <w:sz w:val="16"/>
        </w:rPr>
        <w:t xml:space="preserve">(Aapola et al., 2005). When coupled with existing discourses of heterosexuality, </w:t>
      </w:r>
      <w:r w:rsidRPr="00A83D3C">
        <w:rPr>
          <w:rStyle w:val="StyleUnderline"/>
        </w:rPr>
        <w:t>a pleasure imperative has the potential to reinscribe rather than unlatch normative versions of masculinities and femininities</w:t>
      </w:r>
      <w:r w:rsidRPr="007B0C5F">
        <w:rPr>
          <w:sz w:val="16"/>
        </w:rPr>
        <w:t xml:space="preserve">. These </w:t>
      </w:r>
      <w:r w:rsidRPr="007B0C5F">
        <w:rPr>
          <w:sz w:val="16"/>
        </w:rPr>
        <w:lastRenderedPageBreak/>
        <w:t xml:space="preserve">normative expressions of gender also inhere in the relationship this imperative establishes between pleasure and abuse. In this discursive framing the onus remains on the individual potentially subject to sexual abuse to recognize this danger (as signalled by pleasure’s absence) and prevent it. As sexual violence prevention </w:t>
      </w:r>
      <w:r w:rsidRPr="00A83D3C">
        <w:rPr>
          <w:rStyle w:val="StyleUnderline"/>
        </w:rPr>
        <w:t>educators have identified, this responsibility has historically resided with potential victims of abuse rather than its perpetrators</w:t>
      </w:r>
      <w:r w:rsidRPr="007B0C5F">
        <w:rPr>
          <w:sz w:val="16"/>
        </w:rPr>
        <w:t xml:space="preserve"> (Carmody, 2009). </w:t>
      </w:r>
      <w:r w:rsidRPr="00A83D3C">
        <w:rPr>
          <w:rStyle w:val="StyleUnderline"/>
        </w:rPr>
        <w:t>For instance, by ensuring they do not drink excessively</w:t>
      </w:r>
      <w:r w:rsidRPr="007B0C5F">
        <w:rPr>
          <w:sz w:val="16"/>
        </w:rPr>
        <w:t xml:space="preserve"> in order to remain in control of sexual encounters or being vigilant about placing themselves in dangerous situations. These </w:t>
      </w:r>
      <w:r w:rsidRPr="00A83D3C">
        <w:rPr>
          <w:rStyle w:val="StyleUnderline"/>
        </w:rPr>
        <w:t>messages are unhelpful in the way they negate unequal gendered power relations.</w:t>
      </w:r>
      <w:r w:rsidRPr="007B0C5F">
        <w:rPr>
          <w:sz w:val="16"/>
        </w:rPr>
        <w:t xml:space="preserve"> </w:t>
      </w:r>
      <w:r w:rsidRPr="00A83D3C">
        <w:rPr>
          <w:rStyle w:val="StyleUnderline"/>
        </w:rPr>
        <w:t>Most perpetrators of sexual abuse are men and those who are victims are predominately women</w:t>
      </w:r>
      <w:r w:rsidRPr="007B0C5F">
        <w:rPr>
          <w:sz w:val="16"/>
        </w:rPr>
        <w:t xml:space="preserve">. As a result, </w:t>
      </w:r>
      <w:r w:rsidRPr="00A83D3C">
        <w:rPr>
          <w:rStyle w:val="StyleUnderline"/>
        </w:rPr>
        <w:t>the old adage that women are the gate-keepers of heterosexual male desire is cast anew by the pleasure imperative</w:t>
      </w:r>
      <w:r w:rsidRPr="007B0C5F">
        <w:rPr>
          <w:sz w:val="16"/>
        </w:rPr>
        <w:t xml:space="preserve">. What is ‘ingenious’ about this recuperative move, is that </w:t>
      </w:r>
      <w:r w:rsidRPr="00A83D3C">
        <w:rPr>
          <w:rStyle w:val="StyleUnderline"/>
        </w:rPr>
        <w:t xml:space="preserve">heterosexual young women’s gate-keeping role is now premised not on the presence of their male partner’s desire and pleasure, but their own! Slippage </w:t>
      </w:r>
      <w:r w:rsidRPr="00A83D3C">
        <w:rPr>
          <w:rStyle w:val="Emphasis"/>
        </w:rPr>
        <w:t>into heteronormative understandings of sexual activity is another potential consequence of the pleasure imperative</w:t>
      </w:r>
      <w:r w:rsidRPr="007B0C5F">
        <w:rPr>
          <w:sz w:val="16"/>
        </w:rPr>
        <w:t xml:space="preserve">. In this instance, it is not so much what educators say about pleasure, but how it is heard. This situation can occur despite the intentions of the speaker and what is said. For instance, I have heard experienced sexuality educators mobilize a discourse of pleasure by being extremely careful not to presuppose the gender of those involved in sexual activity. On one occasion an educator responded to a male student’s question about how to put on a condom in a way that increases sexual pleasure by saying, ‘you could ask your partner to put it on for you’. On another, I have heard educators use similar ‘gender-neutral’ language by employing the dual options ‘his/her’ or ‘boyfriend/ girlfriend’ when referring to sexual partners. Whatever educators say however, </w:t>
      </w:r>
      <w:r w:rsidRPr="00A83D3C">
        <w:rPr>
          <w:rStyle w:val="StyleUnderline"/>
        </w:rPr>
        <w:t>I suspect that the majority of students (particularly, although not exclusively, those who are heterosexual) ‘read’ the gender of partners as presumed ‘opposite’</w:t>
      </w:r>
      <w:r w:rsidRPr="007B0C5F">
        <w:rPr>
          <w:sz w:val="16"/>
        </w:rPr>
        <w:t xml:space="preserve">. </w:t>
      </w:r>
      <w:r w:rsidRPr="008554C7">
        <w:rPr>
          <w:rStyle w:val="Emphasis"/>
        </w:rPr>
        <w:t>Educator’s careful attention to gender neutrality appears to inadequately disrupt heteronormativity’s power to constitute heterosexual pleasure as ‘normal’</w:t>
      </w:r>
      <w:r w:rsidRPr="007B0C5F">
        <w:rPr>
          <w:sz w:val="16"/>
        </w:rPr>
        <w:t xml:space="preserve"> Similarly, the use of girlfriend/boyfriend reinscribes a binary that fails to reflect a more complex conceptualization of gender and acknowledgement of those who are transgendered. </w:t>
      </w:r>
      <w:r w:rsidRPr="008554C7">
        <w:rPr>
          <w:rStyle w:val="StyleUnderline"/>
        </w:rPr>
        <w:t>This utilization of language repudiates the possibilities of transgendered pleasures,</w:t>
      </w:r>
      <w:r w:rsidRPr="007B0C5F">
        <w:rPr>
          <w:sz w:val="16"/>
        </w:rPr>
        <w:t xml:space="preserve"> that is, </w:t>
      </w:r>
      <w:r w:rsidRPr="008554C7">
        <w:rPr>
          <w:rStyle w:val="StyleUnderline"/>
        </w:rPr>
        <w:t>the pleasures those who are transgendered may experience as well as the pleasure someone who is transgendered may signify for others</w:t>
      </w:r>
      <w:r w:rsidRPr="007B0C5F">
        <w:rPr>
          <w:sz w:val="16"/>
        </w:rPr>
        <w:t>. Another problem with the pleasure imperative is what it negates in insisting that sexual activity should be engaged in only if it is pleasurable. In another instance of sitting amongst in-service health teachers on a professional development course I heard the trainer suggest students consider the following: ‘</w:t>
      </w:r>
      <w:r w:rsidRPr="008554C7">
        <w:rPr>
          <w:rStyle w:val="StyleUnderline"/>
        </w:rPr>
        <w:t>if someone is not experiencing pleasure then why are they doing what they are doing’?</w:t>
      </w:r>
      <w:r w:rsidRPr="007B0C5F">
        <w:rPr>
          <w:sz w:val="16"/>
        </w:rPr>
        <w:t xml:space="preserve"> </w:t>
      </w:r>
      <w:r w:rsidRPr="008554C7">
        <w:rPr>
          <w:rStyle w:val="StyleUnderline"/>
        </w:rPr>
        <w:t>This suggestion ignores the complexities of sexual activity and paradoxically accords young people a restricted exercise of agency</w:t>
      </w:r>
      <w:r w:rsidRPr="007B0C5F">
        <w:rPr>
          <w:sz w:val="16"/>
        </w:rPr>
        <w:t xml:space="preserve">. </w:t>
      </w:r>
      <w:r w:rsidRPr="008554C7">
        <w:rPr>
          <w:rStyle w:val="StyleUnderline"/>
        </w:rPr>
        <w:t>Sexual activity is often actively and purposively engaged in for reasons other than personal pleasure</w:t>
      </w:r>
      <w:r w:rsidRPr="007B0C5F">
        <w:rPr>
          <w:sz w:val="16"/>
        </w:rPr>
        <w:t xml:space="preserve">. It can serve as a means of attaining something else we want, like money, a child, some sleep, peer status, emotional security, to feel desired, to be ‘normal’, to pleasure someone else (rather than ourselves), to heal (ourselves or someone else) or to hurt (ourselves or others). </w:t>
      </w:r>
      <w:r w:rsidRPr="007B0C5F">
        <w:rPr>
          <w:rStyle w:val="StyleUnderline"/>
        </w:rPr>
        <w:t>Privileging the attainment of personal pleasure as a reason to engage in sexual activity</w:t>
      </w:r>
      <w:r w:rsidRPr="007B0C5F">
        <w:rPr>
          <w:sz w:val="16"/>
        </w:rPr>
        <w:t xml:space="preserve"> </w:t>
      </w:r>
      <w:r w:rsidRPr="007B0C5F">
        <w:rPr>
          <w:rStyle w:val="StyleUnderline"/>
        </w:rPr>
        <w:t>not only eclipses other reasons for this practice, but invalidates them.</w:t>
      </w:r>
      <w:r w:rsidRPr="007B0C5F">
        <w:rPr>
          <w:sz w:val="16"/>
        </w:rPr>
        <w:t xml:space="preserve"> Who says pleasure is the best and most valid reason to engage in sexual activity? What moral judgements are cast on other motivations for sexual practice when this one is promoted? The last anecdote I want to relay raises the possibility of an appropriation of a discourse of pleasure within a particular configuration of religious discourse. It transpired during a casual conversation with a colleague who is an experienced sexuality educator. I asked him how he perceived the reactions of caregivers with strong religious affiliations to discussions about pleasure with students. Without indicating which faith they were affiliated with he replied, ‘They love the pleasure stuff, because it is a way of encouraging young people not to have sex’</w:t>
      </w:r>
      <w:r w:rsidRPr="007B0C5F">
        <w:rPr>
          <w:rStyle w:val="StyleUnderline"/>
        </w:rPr>
        <w:t>. In this specific up-take of religious discourse typically associated with the ‘right’</w:t>
      </w:r>
      <w:r w:rsidRPr="007B0C5F">
        <w:rPr>
          <w:sz w:val="16"/>
        </w:rPr>
        <w:t xml:space="preserve">, </w:t>
      </w:r>
      <w:r w:rsidRPr="007B0C5F">
        <w:rPr>
          <w:rStyle w:val="StyleUnderline"/>
        </w:rPr>
        <w:t xml:space="preserve">pleasure is viewed as only legitimate and subsequently possible within a </w:t>
      </w:r>
      <w:r w:rsidRPr="007B0C5F">
        <w:rPr>
          <w:sz w:val="16"/>
        </w:rPr>
        <w:t xml:space="preserve">monogamous, </w:t>
      </w:r>
      <w:r w:rsidRPr="007B0C5F">
        <w:rPr>
          <w:rStyle w:val="StyleUnderline"/>
        </w:rPr>
        <w:t>heterosexual married relationship</w:t>
      </w:r>
      <w:r w:rsidRPr="007B0C5F">
        <w:rPr>
          <w:sz w:val="16"/>
        </w:rPr>
        <w:t xml:space="preserve"> (Santelli et al., 2006). </w:t>
      </w:r>
      <w:r w:rsidRPr="007B0C5F">
        <w:rPr>
          <w:rStyle w:val="Emphasis"/>
        </w:rPr>
        <w:t xml:space="preserve">Pleasure is employed </w:t>
      </w:r>
      <w:r w:rsidRPr="007B0C5F">
        <w:rPr>
          <w:sz w:val="16"/>
        </w:rPr>
        <w:t xml:space="preserve">in this appropriation of the discourse </w:t>
      </w:r>
      <w:r w:rsidRPr="007B0C5F">
        <w:rPr>
          <w:rStyle w:val="Emphasis"/>
        </w:rPr>
        <w:t>as a barometer young people should employ to make sexual decisions</w:t>
      </w:r>
      <w:r w:rsidRPr="007B0C5F">
        <w:rPr>
          <w:sz w:val="16"/>
        </w:rPr>
        <w:t xml:space="preserve">, just as it is within a feminist framework, in other words, if it’s not going to be pleasurable don’t do it. However, couched within this particular version of religious morality, </w:t>
      </w:r>
      <w:r w:rsidRPr="007B0C5F">
        <w:rPr>
          <w:rStyle w:val="StyleUnderline"/>
        </w:rPr>
        <w:t>the barometer has only one reading, that is, sexual activity by young people outside of marriage will not be</w:t>
      </w:r>
      <w:r w:rsidRPr="007B0C5F">
        <w:rPr>
          <w:sz w:val="16"/>
        </w:rPr>
        <w:t xml:space="preserve"> 464 Sexualities 15(3/4) </w:t>
      </w:r>
      <w:r w:rsidRPr="007B0C5F">
        <w:rPr>
          <w:rStyle w:val="Emphasis"/>
        </w:rPr>
        <w:t>pleasurable</w:t>
      </w:r>
      <w:r w:rsidRPr="007B0C5F">
        <w:rPr>
          <w:sz w:val="16"/>
        </w:rPr>
        <w:t xml:space="preserve"> so there is no point in engaging in it. </w:t>
      </w:r>
      <w:r w:rsidRPr="007B0C5F">
        <w:rPr>
          <w:rStyle w:val="StyleUnderline"/>
        </w:rPr>
        <w:t>The potential for sexual agency and acknowledgement that young people might legitimately experience pleasure are effectively foreclosed by this particular religious discursive configuration</w:t>
      </w:r>
      <w:r w:rsidRPr="007B0C5F">
        <w:rPr>
          <w:sz w:val="16"/>
        </w:rPr>
        <w:t xml:space="preserve">. Despite the existence of a discourse of pleasure in the classroom, its co-option by such a religious discourse renders this originally envisioned potential impotent. In relaying this anecdote, I want to highlight one specific configuration of religious discourse, not to suggest that all religions or religious interpretations share this relationship to </w:t>
      </w:r>
      <w:r w:rsidRPr="007B0C5F">
        <w:rPr>
          <w:sz w:val="16"/>
        </w:rPr>
        <w:lastRenderedPageBreak/>
        <w:t>pleasure, heterosexuality and young people’s sexual behaviour. Religious discourses and their mobilization are diverse and complex, and not necessarily antithetical to a discourse of pleasure as advocated by some feminists (see Hunt and Jung, 2009). What I want to highlight is that in this case, a particular configuration of religious discourse (just like a particular configuration of atheism could also do) served to undermine a discourse of pleasures’ capacity to produce young people as sexual subjects who may legitimately seek sexual pleasure.</w:t>
      </w:r>
    </w:p>
    <w:p w:rsidR="005A160F" w:rsidRDefault="005A160F" w:rsidP="005A160F"/>
    <w:p w:rsidR="00735F9D" w:rsidRDefault="00735F9D" w:rsidP="00DE5E47">
      <w:pPr>
        <w:pStyle w:val="Heading3"/>
      </w:pPr>
      <w:bookmarkStart w:id="38" w:name="_Toc489138932"/>
      <w:r>
        <w:lastRenderedPageBreak/>
        <w:t>Link: State Demands</w:t>
      </w:r>
      <w:bookmarkEnd w:id="38"/>
    </w:p>
    <w:p w:rsidR="00735F9D" w:rsidRDefault="00735F9D" w:rsidP="00735F9D">
      <w:pPr>
        <w:pStyle w:val="Heading4"/>
      </w:pPr>
      <w:r>
        <w:t>The 1AC’s demand upon the state initiates an intelligible political project that compels a subjectification of queerness to speak and identify as citizens of the social. Their de-schooled communities interiorize discipline on the level of identity.</w:t>
      </w:r>
    </w:p>
    <w:p w:rsidR="00735F9D" w:rsidRDefault="00735F9D" w:rsidP="00735F9D">
      <w:r>
        <w:rPr>
          <w:b/>
          <w:sz w:val="26"/>
          <w:szCs w:val="26"/>
        </w:rPr>
        <w:t xml:space="preserve">Baedan 12’ </w:t>
      </w:r>
      <w:r>
        <w:t>[baedan, 2012, “baedan”, The Anarchist Library, 26-27] ER</w:t>
      </w:r>
    </w:p>
    <w:p w:rsidR="00735F9D" w:rsidRPr="008B55E3" w:rsidRDefault="00735F9D" w:rsidP="00735F9D">
      <w:pPr>
        <w:rPr>
          <w:rStyle w:val="StyleUnderline"/>
        </w:rPr>
      </w:pPr>
      <w:r w:rsidRPr="008B55E3">
        <w:rPr>
          <w:rStyle w:val="Emphasis"/>
        </w:rPr>
        <w:t>The agent responsible for effecting their destruction has been given many names</w:t>
      </w:r>
      <w:r w:rsidRPr="008B55E3">
        <w:rPr>
          <w:rStyle w:val="StyleUnderline"/>
        </w:rPr>
        <w:t xml:space="preserve">:… global extermination of meaning… gravediggers of society… whatever refuses to allow parents to cherish their children… homosexuals… the death drive and the Real of jouissance…. </w:t>
      </w:r>
      <w:r w:rsidRPr="008B55E3">
        <w:rPr>
          <w:rStyle w:val="Emphasis"/>
        </w:rPr>
        <w:t xml:space="preserve">So [queerness] knots together these threats to reproductive futurism. </w:t>
      </w:r>
      <w:r w:rsidRPr="008B55E3">
        <w:rPr>
          <w:sz w:val="16"/>
        </w:rPr>
        <w:t xml:space="preserve">No political catachresis, such as Butler proposes, could forestall the need to constitute, then, such a category of [queerness]. For even though, as Butler suggests, political catachresis may change over time the occupants of that category, the category itself… continues to mark the place of whatever refuses intelligibility. And </w:t>
      </w:r>
      <w:r w:rsidRPr="008B55E3">
        <w:rPr>
          <w:rStyle w:val="StyleUnderline"/>
        </w:rPr>
        <w:t>so the question that is posed concerns the refusal of intelligibility</w:t>
      </w:r>
      <w:r w:rsidRPr="008B55E3">
        <w:rPr>
          <w:sz w:val="16"/>
        </w:rPr>
        <w:t xml:space="preserve">. Contemporary arrangements of power have abolished the silence that once accompanied the dark ineffable desires of queerness and destruction. </w:t>
      </w:r>
      <w:r w:rsidRPr="008B55E3">
        <w:rPr>
          <w:rStyle w:val="StyleUnderline"/>
        </w:rPr>
        <w:t xml:space="preserve">Rather than an injunction against speech, the power of biopolitical democracy is specifically to make us speak. Cybernetic relationships ensure that each of us as a speaking subject has the ability to name ourselves, aestheticize ourselves, deploy blogs and social networks and avatars to represent ourselves. </w:t>
      </w:r>
      <w:r w:rsidRPr="008B55E3">
        <w:rPr>
          <w:rStyle w:val="Emphasis"/>
        </w:rPr>
        <w:t>The contemporary function of power can be understood as one unending move toward intelligibility—one of moving what had been blind spots into new subjects to be marketed; new identities to be surveilled. We are captured by the state every time we make ourselves intelligible</w:t>
      </w:r>
      <w:r w:rsidRPr="008B55E3">
        <w:rPr>
          <w:sz w:val="16"/>
        </w:rPr>
        <w:t>. Whether demand, political subject, or formal organization, each intelligible form can be recuperated, represented, or annihilated. Our project then must proceed in the recognition of the paradox that its being made truly intelligible—even by us, even to us—would be its defeat. We must seize the possibility of a life neither constrained by nor produced through the omnipresence of capital and state. It is precisely by the fact that words fail to describe it and programs fail to bring it about that we can know this life. As such, any imperative to put this ineffable project into words must be understood as a compromise of what must be an uncompromising project. There is no language which can make our intentions comprehensible to the social order</w:t>
      </w:r>
      <w:r w:rsidRPr="008B55E3">
        <w:rPr>
          <w:rStyle w:val="StyleUnderline"/>
        </w:rPr>
        <w:t xml:space="preserve">. </w:t>
      </w:r>
      <w:r w:rsidRPr="008B55E3">
        <w:rPr>
          <w:rStyle w:val="Emphasis"/>
        </w:rPr>
        <w:t>Any move toward such comprehensibility would be a betrayal of the specific antagonistic character of our project against that social order.</w:t>
      </w:r>
      <w:r w:rsidRPr="008B55E3">
        <w:rPr>
          <w:sz w:val="16"/>
        </w:rPr>
        <w:t xml:space="preserve"> Camatte elaborates on this point: This is a revolution of life itself, a search for another way of living. Dialogue should be concerned only with the plans and ideas for realizing this desire. No dialogue can take place between the social order and those who are to overthrow it. If dialogue is still seen as a possibility, then this would be an indication that the movement is faltering. </w:t>
      </w:r>
      <w:r w:rsidRPr="008B55E3">
        <w:rPr>
          <w:rStyle w:val="StyleUnderline"/>
        </w:rPr>
        <w:t>Underlying all this is a profoundly important phenomenon: all human life from the very beginning of its development within capitalist society, has undergone an impoverishment</w:t>
      </w:r>
      <w:r w:rsidRPr="008B55E3">
        <w:rPr>
          <w:sz w:val="16"/>
        </w:rPr>
        <w:t xml:space="preserve">. More than this, capitalist society is death organized with all the appearances of life. Here it is not a question of death as the extinction of life, but death-in-life, death with all the substance and power of life. The human being is dead and is no more than a ritual of capital … but to those great number of smugly complacent people, who live on empty dramas and fantasies, this demand, this passionate need, just seems irrational, or, at best, a paradise that is by definition inaccessible. </w:t>
      </w:r>
      <w:r w:rsidRPr="008B55E3">
        <w:rPr>
          <w:rStyle w:val="Emphasis"/>
        </w:rPr>
        <w:t>And so a queerness which opposes society must embody the death drive of what has become death-in-life, the intrinsic negation of a social order predicated on the use of life for its ends. In this project, we have nothing to gain by speaking the language of, or making demands to, the existent power structures. It is specifically these structures’ ability to comprehend antagonism that makes intelligibility synonymous with recuperation</w:t>
      </w:r>
      <w:r w:rsidRPr="008B55E3">
        <w:rPr>
          <w:rStyle w:val="StyleUnderline"/>
        </w:rPr>
        <w:t>. Such [queers] would insist on the unintelligible’s unintelligibility, on the internal limit to signification and the impossibility of turning Real loss to meaningful profit in the Symbolic without its persistent remainder: the inescapable Real of the death drive.</w:t>
      </w:r>
      <w:r w:rsidRPr="008B55E3">
        <w:rPr>
          <w:sz w:val="16"/>
        </w:rPr>
        <w:t xml:space="preserve"> </w:t>
      </w:r>
      <w:r w:rsidRPr="008B55E3">
        <w:rPr>
          <w:rStyle w:val="Emphasis"/>
        </w:rPr>
        <w:t>As embodiments of unintelligibility, of course, they must veil what they expose, becoming, as figures for it, the means of its apparent subjection to meaning</w:t>
      </w:r>
      <w:r w:rsidRPr="008B55E3">
        <w:rPr>
          <w:sz w:val="16"/>
        </w:rPr>
        <w:t xml:space="preserve">. But </w:t>
      </w:r>
      <w:r w:rsidRPr="008B55E3">
        <w:rPr>
          <w:sz w:val="16"/>
        </w:rPr>
        <w:lastRenderedPageBreak/>
        <w:t>where Butler… conduces to futurism’s logic of intelligibility by seeking no more than to widen the reach of what it allows us to grasp, where she moves, by way of the future, toward the ongoing legitimation of social form through the recognition that is said to afford “ontological certainty and durability” [queerness], though destined, of course, to be claimed for intelligibility, consents to the logic that makes it a figure for what meaning can never grasp. Demeaned, it embraces de-meaning as the endless insistence of the real that the symbolic can never master for meaning now or in the future</w:t>
      </w:r>
      <w:r w:rsidRPr="008B55E3">
        <w:rPr>
          <w:rStyle w:val="Emphasis"/>
        </w:rPr>
        <w:t>. Here Edelman invokes the Lacanian concept of the Real, or that which escapes articulation through symbolic structures</w:t>
      </w:r>
      <w:r w:rsidRPr="008B55E3">
        <w:rPr>
          <w:rStyle w:val="StyleUnderline"/>
        </w:rPr>
        <w:t xml:space="preserve">. The Real is the indescribable and unnameable characteristic of our lived experience. The Real is the irreducible essence of revolt, pleasure, conspiracy and joy which comprises our project and which continually evades representation by politicians or surveillance by police apparatuses. </w:t>
      </w:r>
      <w:r w:rsidRPr="008B55E3">
        <w:rPr>
          <w:rStyle w:val="Emphasis"/>
        </w:rPr>
        <w:t>To the contrary, Intelligibility offers two options: legitimization and democratic inclusion, or delegitimization and repression.</w:t>
      </w:r>
      <w:r w:rsidRPr="008B55E3">
        <w:rPr>
          <w:rStyle w:val="StyleUnderline"/>
        </w:rPr>
        <w:t xml:space="preserve"> </w:t>
      </w:r>
    </w:p>
    <w:p w:rsidR="00735F9D" w:rsidRPr="00735F9D" w:rsidRDefault="00735F9D" w:rsidP="00735F9D"/>
    <w:p w:rsidR="005A160F" w:rsidRPr="006F5686" w:rsidRDefault="005A160F" w:rsidP="005A160F">
      <w:pPr>
        <w:pStyle w:val="Heading3"/>
      </w:pPr>
      <w:bookmarkStart w:id="39" w:name="_Toc489138933"/>
      <w:r>
        <w:lastRenderedPageBreak/>
        <w:t>Link: STEM Pipeline / Diversity</w:t>
      </w:r>
      <w:bookmarkEnd w:id="39"/>
      <w:r>
        <w:t xml:space="preserve"> </w:t>
      </w:r>
    </w:p>
    <w:p w:rsidR="005A160F" w:rsidRPr="00690162" w:rsidRDefault="005A160F" w:rsidP="005A160F">
      <w:pPr>
        <w:pStyle w:val="Heading4"/>
        <w:rPr>
          <w:rStyle w:val="Style13ptBold"/>
          <w:b/>
        </w:rPr>
      </w:pPr>
      <w:bookmarkStart w:id="40" w:name="_Hlk489014244"/>
      <w:r w:rsidRPr="00690162">
        <w:rPr>
          <w:rStyle w:val="Style13ptBold"/>
          <w:b/>
        </w:rPr>
        <w:t>The affirmative’s focus on filling gaps in a workforce reifies an ends-based pipeline model of education—this commodifies people</w:t>
      </w:r>
      <w:r>
        <w:rPr>
          <w:rStyle w:val="Style13ptBold"/>
          <w:b/>
        </w:rPr>
        <w:t xml:space="preserve"> under the imperatives of future productivity</w:t>
      </w:r>
    </w:p>
    <w:p w:rsidR="005A160F" w:rsidRPr="00690162" w:rsidRDefault="005A160F" w:rsidP="005A160F">
      <w:pPr>
        <w:rPr>
          <w:rStyle w:val="Style13ptBold"/>
          <w:b w:val="0"/>
          <w:szCs w:val="24"/>
        </w:rPr>
      </w:pPr>
      <w:r w:rsidRPr="00690162">
        <w:rPr>
          <w:rStyle w:val="Style13ptBold"/>
        </w:rPr>
        <w:t xml:space="preserve">Metcalf 10 </w:t>
      </w:r>
      <w:r w:rsidRPr="00690162">
        <w:rPr>
          <w:rStyle w:val="Style13ptBold"/>
          <w:b w:val="0"/>
          <w:szCs w:val="24"/>
        </w:rPr>
        <w:t>(Heather is Director of Research and Analysis for the Association for Women in Science (AWIS) where she leads empirical work on gender and the science, technology, engineering, and mathematics (STEM) workforce. “Stuck in the Pipeline: A Critical Review of STEM Workforce Literature” InterActions: UCLA Journal of Education and Information Studies, 6(</w:t>
      </w:r>
      <w:r>
        <w:rPr>
          <w:rStyle w:val="Style13ptBold"/>
          <w:b w:val="0"/>
          <w:szCs w:val="24"/>
        </w:rPr>
        <w:t xml:space="preserve">2), Article 4 (2010) p.1-5 </w:t>
      </w:r>
    </w:p>
    <w:p w:rsidR="005A160F" w:rsidRPr="00A85272" w:rsidRDefault="005A160F" w:rsidP="005A160F">
      <w:pPr>
        <w:rPr>
          <w:rStyle w:val="Emphasis"/>
        </w:rPr>
      </w:pPr>
      <w:r w:rsidRPr="00690162">
        <w:rPr>
          <w:sz w:val="14"/>
        </w:rPr>
        <w:t xml:space="preserve">The Pipeline Model </w:t>
      </w:r>
      <w:r w:rsidRPr="00A85272">
        <w:rPr>
          <w:rStyle w:val="StyleUnderline"/>
        </w:rPr>
        <w:t xml:space="preserve">U.S. STEM workforce studies over the past several decades have primarily focused on the supply side, often premising the work on claimed and predicted workforce shortages that are based on the pipeline model. </w:t>
      </w:r>
      <w:r w:rsidRPr="00690162">
        <w:rPr>
          <w:sz w:val="14"/>
        </w:rPr>
        <w:t xml:space="preserve">This model Metcalf: Stuck in the Pipeline: A Critical Review of STEM Workforce Literature 1 for measuring the workforce was introduced to the National Science Foundation (NSF) in the 1970s and used to make long-term projections and policy decisions in the 1980s as fears about technological competition with Japan arose (Lucena, 2005; Metcalf, 2007). During this period, governmental involvement in education became more acceptable as competitiveness agendas within policy encouraged the use of governmental funds to assist in the commercialization of science and technology (Slaughter &amp; Rhoades, 1996). However, this involvement was restricted to the supply side in order to adhere to the principles of the “free market” (Lucena, 2005, p. 100). The pipeline model, based on supply-side economics,1 flow modeling, and social engineering was designed by engineers and the National Research Council’s Committee on the Education and Utilization of the Engineer. Depicted as a balance equation,2 the model describes the linear sequence of steps necessary to become a scientist or engineer and shows the large numbers of scientists and engineers that would be needed to maintain national competitiveness. Over a set time period (e.g., one year), the model attempts to quantify the flow of people who move from an entry pool of secondary school students admitted to higher education institutions, to students engaged in educational preparation for STEM occupations, to employment in the STEM community, and followed by temporary or permanent departures from the STEM community (National Research Council, 1986). </w:t>
      </w:r>
      <w:r w:rsidRPr="00A85272">
        <w:rPr>
          <w:rStyle w:val="StyleUnderline"/>
        </w:rPr>
        <w:t>Since its inception, researchers have used the model repeatedly to predict large shortages in the workforce supply and to focus on key populations and points along the pipeline. The category “women and minorities” became especially important to the NSF as claims about the hesitancy of white males to enroll in STEM programs created a need to rely on alternative populations to fill the “pipeline.”</w:t>
      </w:r>
      <w:r w:rsidRPr="00A85272">
        <w:rPr>
          <w:sz w:val="14"/>
        </w:rPr>
        <w:t xml:space="preserve"> </w:t>
      </w:r>
      <w:r w:rsidRPr="00690162">
        <w:rPr>
          <w:sz w:val="14"/>
        </w:rPr>
        <w:t xml:space="preserve">In particular, the NSF’s Policy Research and Analysis Division’s pipeline studies of 1984, 1987, and 1988 assumed a fixed percentage of students entering science and engineering fields and claimed that without some effort to increase the flow in the pipeline, by 2006 there would be a 675,000 shortfall of graduates with bachelor degrees in those fields (Lucena, 2000). As part of their focus on supply, researchers conceptualized those who entered the pipeline but did not exit it at the appropriate point as “leaks.” Certain points along the “pipeline” were especially “leaky,”3 such as the transition between secondary school and college, particularly for [U.S.] “women and minorities” as an aggregate demographic category (Blickenstaff, 2005; Blum, 2006; Camp, 2002; Kuck, 2001; Metcalf, 2007). </w:t>
      </w:r>
      <w:r w:rsidRPr="00A85272">
        <w:rPr>
          <w:rStyle w:val="StyleUnderline"/>
        </w:rPr>
        <w:t>The pipeline model has survived for decades despite critiques surrounding its</w:t>
      </w:r>
      <w:r w:rsidRPr="00A85272">
        <w:rPr>
          <w:sz w:val="14"/>
        </w:rPr>
        <w:t xml:space="preserve"> </w:t>
      </w:r>
      <w:r w:rsidRPr="00690162">
        <w:rPr>
          <w:sz w:val="14"/>
        </w:rPr>
        <w:t xml:space="preserve">flawed predictions and supply-side focus (Lucena, 2005; Teitelbaum, 2003), poor measurements (Lucena, 2005; Metcalf, 2007), linearity and inability to account for varied career paths (Xie &amp; Shauman, 2003), tendency to homogenize people, fields, sectors, and stages (Hammonds &amp; Subramaniam, 2003; Husu, InterActions: UCLA Journal of Education and Information Studies, 6(2), Article 4 (2010) 2 2001, </w:t>
      </w:r>
      <w:r w:rsidRPr="00A85272">
        <w:rPr>
          <w:rStyle w:val="StyleUnderline"/>
        </w:rPr>
        <w:t>discursive view of people as passive pipeline “flow,” and lack of focus on systemic change and power relations, particularly those that are raced, classed, sexed, and gendered</w:t>
      </w:r>
      <w:r w:rsidRPr="00A85272">
        <w:rPr>
          <w:sz w:val="14"/>
        </w:rPr>
        <w:t xml:space="preserve"> </w:t>
      </w:r>
      <w:r w:rsidRPr="00690162">
        <w:rPr>
          <w:sz w:val="14"/>
        </w:rPr>
        <w:t xml:space="preserve">(Metcalf, 2007). The flaws of the pipeline metaphor have become embedded, in various ways, as assumptions within the majority of STEM workforce studies and the surveys and datasets upon which they are based. Consequently, its use for understanding and measuring STEM educational and career paths is particularly problematic. Pipeline Predictions and Supply-Side Focus In 1992, the NSF’s initial pipeline studies from the 1980s were reviewed in hearings of the House of Representatives Committee on Science, Space, and Technology. Members of the committee determined that valid criticism of the pipeline model was purposefully disregarded at the NSF (Lucena, 2000). The model was criticized in the hearings for its flawed measurements and failed predictions. Of particular influence on the pipeline model’s failed projections were the Immigration Act of 1990 and the Chinese Student Protection Act of 1992. After their passing, the growth of international students in STEM programs was about 87 percent and therefore the shortage that the pipeline model would have predicted did not materialize. Researchers conducting current studies that focus on the supply-side continue to base the motivation for their work on the assumption that there will be a mass shortage of scientists and engineers (Teitelbaum, 2003; Black &amp; Stephan, 2005). The lack of supply argument is especially popular in research advocating for the increased representation of women, people of color, and international students in STEM (Abriola &amp; Davies, 2006; Teitelbaum, 2003). </w:t>
      </w:r>
      <w:r w:rsidRPr="00A85272">
        <w:rPr>
          <w:rStyle w:val="StyleUnderline"/>
        </w:rPr>
        <w:t xml:space="preserve">The discourse often proceeds as follows: STEM will have a shortage of (white, male, U.S. citizen) workers, putting the nation at competitive risk. Women, people of color, and more recently, international students are populations of “untapped” resources. Therefore, STEM needs more women, people of color, and international students to fill these shortages. The supply-side focus then becomes about recruiting and retaining these students as resources, particularly at each of the “leaky” points in the pipeline, often in problematic ways. </w:t>
      </w:r>
      <w:r w:rsidRPr="00A85272">
        <w:rPr>
          <w:rStyle w:val="Emphasis"/>
        </w:rPr>
        <w:t xml:space="preserve">The view of women and people of color as passive resources to be harnessed not only ignores agency, but it also hides the </w:t>
      </w:r>
      <w:r w:rsidRPr="00A85272">
        <w:rPr>
          <w:rStyle w:val="Emphasis"/>
        </w:rPr>
        <w:lastRenderedPageBreak/>
        <w:t>ways in which certain populations are disciplined, produced, and used for the benefits of others</w:t>
      </w:r>
      <w:r w:rsidRPr="00A85272">
        <w:rPr>
          <w:rStyle w:val="StyleUnderline"/>
        </w:rPr>
        <w:t>.</w:t>
      </w:r>
      <w:r w:rsidRPr="00A85272">
        <w:rPr>
          <w:sz w:val="14"/>
        </w:rPr>
        <w:t xml:space="preserve"> </w:t>
      </w:r>
      <w:r w:rsidRPr="00690162">
        <w:rPr>
          <w:sz w:val="14"/>
        </w:rPr>
        <w:t xml:space="preserve">For example, in “Attracting and Retaining Women in Engineering: The Tufts Experience,” Abriola and Davies (2006) write, “The United States is facing a crisis in the creation and maintenance of its scientific and technical labor force, and is no longer training enough people to fill current anticipated demand. If one is concerned about the competitive position of the United States, Engineering needs women” (pp. 1, 3). They also provide two Metcalf: Stuck in the Pipeline: A Critical Review of STEM Workforce Literature 3 additional arguments for why people are concerned about the participation of underrepresented populations in STEM. The first is that without demographic diversity, STEM suffers from a lack of diverse perspectives—“If one is concerned about quality, Engineering needs women” (p. 4). The second is that men and women should have equal access to the variety of career options in society—“If one is concerned about equity, Engineering needs women” (p. 4). </w:t>
      </w:r>
      <w:r w:rsidRPr="00A85272">
        <w:rPr>
          <w:rStyle w:val="StyleUnderline"/>
        </w:rPr>
        <w:t>Regardless of the argument made—patriotic competitiveness, diversity of perspective, or equity of access—it is Engineering that needs women, not women who need Engineering.</w:t>
      </w:r>
      <w:r w:rsidRPr="00A85272">
        <w:rPr>
          <w:sz w:val="14"/>
        </w:rPr>
        <w:t xml:space="preserve"> </w:t>
      </w:r>
      <w:r w:rsidRPr="00690162">
        <w:rPr>
          <w:sz w:val="14"/>
        </w:rPr>
        <w:t xml:space="preserve">Supply-side STEM studies focus on creating supply through recruitment and retention strategies at different key points in education: PK-6, high school, undergraduate, masters, doctorate, and postdoctoral levels (Abriola &amp; Davies, 2006; Castillo-Chavez &amp; Castillo-Garsow, 2006; Davis, 2005). Retention becomes a short-term measure because it is defined in terms of supply at a given point in the pipeline without much concern for the demand at the next point. Supply-side studies often focus on those respondents who are enrolled in a degree program or who have graduated and are employed at the time of the survey, eliminating from their studies those with training in STEM but not currently employed (e.g., Tsapogas, 2004; Regets, 2006). These individuals could speak to the variety of reasons that a highly trained person in STEM might not be employed, including lack of job availability (i.e., demand). </w:t>
      </w:r>
      <w:r w:rsidRPr="00A85272">
        <w:rPr>
          <w:rStyle w:val="StyleUnderline"/>
        </w:rPr>
        <w:t>Recent critiques of the supply-side focus of workforce shortage claims have much to say about the connection between supply and demand. Black and Stephan’s (2005) study analyzes degree offerings, position announcements, and key firms’ perceptions of the market to explore trends, placements, and job opportunities in bioinformatics from 2001-2004. They found that the number of programs and students enrolled in bioinformatics drastically increased over the time period while positions in industry largely declined. Their study demonstrates that the focus on the supply and inattention to the connection between the pipeline output and demand has created an oversupply of bioinformatics graduates who have difficulty finding jobs in industry.</w:t>
      </w:r>
      <w:r w:rsidRPr="00A85272">
        <w:rPr>
          <w:sz w:val="14"/>
        </w:rPr>
        <w:t xml:space="preserve"> </w:t>
      </w:r>
      <w:r w:rsidRPr="00690162">
        <w:rPr>
          <w:sz w:val="14"/>
        </w:rPr>
        <w:t xml:space="preserve">Teitelbaum (2003) critiques workforce shortage claims because of the abundance of empirical evidence and unemployment rates that counter such claims. He writes, “in most areas of science and engineering at present, the available data show sufficient numbers or even surpluses of highly qualified candidates with extensive post-graduate education” (p. 45). He further notes that this is particularly evident in the academy, which has shifted increasingly to part time and temporary appointees. </w:t>
      </w:r>
      <w:r w:rsidRPr="00A85272">
        <w:rPr>
          <w:rStyle w:val="StyleUnderline"/>
        </w:rPr>
        <w:t>Teitelbaum</w:t>
      </w:r>
      <w:r w:rsidRPr="00A85272">
        <w:rPr>
          <w:sz w:val="14"/>
        </w:rPr>
        <w:t xml:space="preserve"> </w:t>
      </w:r>
      <w:r w:rsidRPr="00690162">
        <w:rPr>
          <w:sz w:val="14"/>
        </w:rPr>
        <w:t xml:space="preserve">explains that the 2003 Bureau of Labor Statistics shows high unemployment rates even in the trendy areas (e.g. computer science) of science and engineering.4 He </w:t>
      </w:r>
      <w:r w:rsidRPr="00A85272">
        <w:rPr>
          <w:rStyle w:val="StyleUnderline"/>
        </w:rPr>
        <w:t>points out the incentives that may encourage the continued insistence on shortages for universities that seek to</w:t>
      </w:r>
      <w:r w:rsidRPr="00A85272">
        <w:rPr>
          <w:sz w:val="14"/>
        </w:rPr>
        <w:t xml:space="preserve"> </w:t>
      </w:r>
      <w:r w:rsidRPr="00690162">
        <w:rPr>
          <w:sz w:val="14"/>
        </w:rPr>
        <w:t xml:space="preserve">InterActions: UCLA Journal of Education and Information Studies, 6(2), Article 4 (2010) 4 </w:t>
      </w:r>
      <w:r w:rsidRPr="00A85272">
        <w:rPr>
          <w:rStyle w:val="StyleUnderline"/>
        </w:rPr>
        <w:t>fill seats and utilize graduate student and postdoctoral labor, government sciencefunding agencies that may see increased wages as accompanying increased costs for research, corporate employers who seek to hire skilled employees at competitive rates, and immigration lawyers who want to increase their billable hours.</w:t>
      </w:r>
      <w:r w:rsidRPr="00A85272">
        <w:rPr>
          <w:sz w:val="14"/>
        </w:rPr>
        <w:t xml:space="preserve"> </w:t>
      </w:r>
      <w:r w:rsidRPr="00A85272">
        <w:rPr>
          <w:rStyle w:val="Emphasis"/>
        </w:rPr>
        <w:t>Teitelbaum warns that these shortage claims may become self-fulfilling prophecies.</w:t>
      </w:r>
    </w:p>
    <w:bookmarkEnd w:id="40"/>
    <w:p w:rsidR="005A160F" w:rsidRPr="00690162" w:rsidRDefault="005A160F" w:rsidP="005A160F">
      <w:pPr>
        <w:pStyle w:val="Heading4"/>
        <w:rPr>
          <w:rStyle w:val="Style13ptBold"/>
          <w:b/>
        </w:rPr>
      </w:pPr>
      <w:r w:rsidRPr="00690162">
        <w:rPr>
          <w:rStyle w:val="Style13ptBold"/>
          <w:b/>
        </w:rPr>
        <w:t>The affirmative’s claims of diversity act under flawed and harmful assumptions of binary gender, that gender, race, and class exist separately, and reaffirm reproduction as a responsibility</w:t>
      </w:r>
    </w:p>
    <w:p w:rsidR="005A160F" w:rsidRPr="00690162" w:rsidRDefault="005A160F" w:rsidP="005A160F">
      <w:pPr>
        <w:rPr>
          <w:rStyle w:val="Style13ptBold"/>
          <w:b w:val="0"/>
          <w:szCs w:val="24"/>
        </w:rPr>
      </w:pPr>
      <w:r w:rsidRPr="00690162">
        <w:rPr>
          <w:rStyle w:val="Style13ptBold"/>
        </w:rPr>
        <w:t xml:space="preserve">Metcalf 10 </w:t>
      </w:r>
      <w:r w:rsidRPr="00690162">
        <w:rPr>
          <w:rStyle w:val="Style13ptBold"/>
          <w:b w:val="0"/>
          <w:szCs w:val="24"/>
        </w:rPr>
        <w:t>(Heather is Director of Research and Analysis for the Association for Women in Science (AWIS) where she leads empirical work on gender and the science, technology, engineering, and mathematics (STEM) workforce. “Stuck in the Pipeline: A Critical Review of STEM Workforce Literature” InterActions: UCLA Journal of Education and Information Studies, 6(2), Article 4 (2010) p.10-3//cl)</w:t>
      </w:r>
    </w:p>
    <w:p w:rsidR="005A160F" w:rsidRDefault="005A160F" w:rsidP="005A160F">
      <w:pPr>
        <w:rPr>
          <w:sz w:val="14"/>
        </w:rPr>
      </w:pPr>
      <w:r w:rsidRPr="00690162">
        <w:rPr>
          <w:sz w:val="14"/>
        </w:rPr>
        <w:t xml:space="preserve">Gender, Race, Class, and Citizenship </w:t>
      </w:r>
      <w:r w:rsidRPr="00A85272">
        <w:rPr>
          <w:rStyle w:val="Emphasis"/>
        </w:rPr>
        <w:t>Many workforce studies consider identity factors in the workforce data in problematic ways</w:t>
      </w:r>
      <w:r w:rsidRPr="00A85272">
        <w:rPr>
          <w:rStyle w:val="StyleUnderline"/>
        </w:rPr>
        <w:t>. A large and limiting bias</w:t>
      </w:r>
      <w:r w:rsidRPr="00690162">
        <w:rPr>
          <w:sz w:val="14"/>
        </w:rPr>
        <w:t xml:space="preserve"> in the SESTAT surveys and the studies based off of them </w:t>
      </w:r>
      <w:r w:rsidRPr="00A85272">
        <w:rPr>
          <w:rStyle w:val="StyleUnderline"/>
        </w:rPr>
        <w:t xml:space="preserve">is that gender and racial identities are biologically based. These surveys measure gender using a dichotomous male/female variable and race with a set of mutually exclusive categories. Even if gender, which is fluid, socially constructed, and highly performative (Butler, 1997, 1999), were the same as biological sex, intersex as a category of biological sex is excluded. Likewise, not a single </w:t>
      </w:r>
      <w:r w:rsidRPr="00A85272">
        <w:rPr>
          <w:rStyle w:val="StyleUnderline"/>
        </w:rPr>
        <w:lastRenderedPageBreak/>
        <w:t>study in this review considers transgender as a category of analysis. Race and ethnicity are often merged together and the use of mutually exclusive and limited categories does not allow respondents to indicate various mixed racial identifications</w:t>
      </w:r>
      <w:r w:rsidRPr="00690162">
        <w:rPr>
          <w:sz w:val="14"/>
        </w:rPr>
        <w:t xml:space="preserve">. InterActions: UCLA Journal of Education and Information Studies, 6(2), Article 4 (2010) 10 Not all of the assumptions in the studies, however, can be credited to survey construction. </w:t>
      </w:r>
      <w:r w:rsidRPr="00A85272">
        <w:rPr>
          <w:rStyle w:val="StyleUnderline"/>
        </w:rPr>
        <w:t>Most studies that consider gender and race look at these identity factors separately,</w:t>
      </w:r>
      <w:r w:rsidRPr="00690162">
        <w:rPr>
          <w:sz w:val="14"/>
        </w:rPr>
        <w:t xml:space="preserve"> comparing males in the aggregate to females in the aggregate (e.g., Abriola &amp; Davies, 2006; Lal, Yoon, &amp; Carlson, 1999; Rapoport, 2004) and whites to various racial groups, sometimes disaggregated to a limited extent and at other times aggregated to a “minority” group (e.g., Castillo-Chavez &amp; Castillo-Garsow, 2006). Regardless of motivation, the pipeline model and many of these studies have as an end goal the recruitment and retention of historically underrepresented groups. Although this is an important aim, </w:t>
      </w:r>
      <w:r w:rsidRPr="00A85272">
        <w:rPr>
          <w:rStyle w:val="StyleUnderline"/>
        </w:rPr>
        <w:t xml:space="preserve">such a limited understanding of identity not only marginalizes those who do not see themselves reflected in the data collection instruments, but also restricts the understanding researchers could have of the STEM workforce. Few studies consider the ways in which race and gender are intertwined and even fewer studies also add class into the analysis. </w:t>
      </w:r>
      <w:r w:rsidRPr="00690162">
        <w:rPr>
          <w:sz w:val="14"/>
        </w:rPr>
        <w:t xml:space="preserve">The most popular trend in the few studies that consider the intersection of gender and race is to focus on women of color in the aggregate (Hines, Chinn, &amp; Rodriguez, 1994; Committee on Women in Science and Engineering, 1995; SJB Research Consulting, Inc., 2004). These studies sometimes describe the racial categories used to define “women of color,” but they are not always the same across studies. For example, Hines et al. (1994) considered Latinas, African Americans, and Hawaiians; the Committee on Women in Science and Engineering’s (1995) study looked at Hispanics, African Americans, Asian and Pacific Islanders, American Indians, and Alaskan Natives; and SJB Research Consulting, Inc.’s (2004) report on MentorNet focuses on Latinas, African Americans, and Asian Americans. These studies report results for women of color but how “women of color” is defined varies greatly across studies. In one study that considers a particular racial group and gender, Hanson (2004) used the National Educational Longitudinal Survey data to consider the science achievement, access, and attitudes of African American women throughout various points along the science pipeline. She looks at key points along this trajectory for the African American women, focusing on high school, college, and the transition from degree attainment to employment, and compares them to the experiences of white women. Through what she calls a “multicultural gender framework,” she argues that the way gender functions in African American communities may provide young African American women with unique motivators for creating interest and success in science.8 She found that, eight years out of high school, </w:t>
      </w:r>
      <w:r w:rsidRPr="008E6640">
        <w:rPr>
          <w:rStyle w:val="StyleUnderline"/>
        </w:rPr>
        <w:t>African American women were more likely than white women to report a job in science,</w:t>
      </w:r>
      <w:r w:rsidRPr="00690162">
        <w:rPr>
          <w:sz w:val="14"/>
        </w:rPr>
        <w:t xml:space="preserve"> though the kind of science job and the field and sector in which it resides is not explained. Hanson (2004) also found that the African American women, often even more so than the white women, in her study maintained a continued interest and Metcalf: Stuck in the Pipeline: A Critical Review of STEM Workforce Literature 11 involvement in science and access to science courses throughout their career paths. </w:t>
      </w:r>
      <w:r w:rsidRPr="008E6640">
        <w:rPr>
          <w:rStyle w:val="StyleUnderline"/>
        </w:rPr>
        <w:t>Though, the interest does dwindle over time. She describes this decline in interest as a “cooling out” and explains it using the “chilly climate” metaphor. Pawley (2007) explains that this metaphor is closely connected to the pipeline metaphor: Chilly-climate based models…are a subset of the pipeline metaphor, and suggests that leaks are caused by a “chilly environment” that discourages people already under environmental stress (again, women and people of color) from remaining. Programs that attempt to stem these leaks provide metaphorical “sweaters” (survival tools for underrepresented populations to better withstand the chilly environment) or train their white, male counterparts on how to “turn up the thermostat” by implementing, for example, parent-friendly tenure procedures, gender-neutral hiring protocols, or the much-maligned idea of “sensitivity training.” (p. 7) Here, Pawley illustrates the problematic ways in which metaphors can be used to explain away a problem rather than critically engaging with it. In addition, workforce studies that focus on “gender” often are studies about “women” and invoke the need to consider the role that family plays in gender differences, making the assumption that gender studies are about women and that with the study of women comes the study of family. The study of “family” also becomes normatively constructed as indicators for family in these studies are most often marriage and children.</w:t>
      </w:r>
      <w:r w:rsidRPr="00690162">
        <w:rPr>
          <w:sz w:val="14"/>
        </w:rPr>
        <w:t xml:space="preserve"> While these can be used to get a sense of some aspects of family life, they certainly are not the only measures. In particular, considering the ways in which access to marriage and adoption are legally structured from state to state based on one’s biological sex and that of one’s partner, </w:t>
      </w:r>
      <w:r w:rsidRPr="008E6640">
        <w:rPr>
          <w:rStyle w:val="StyleUnderline"/>
        </w:rPr>
        <w:t>these studies take on a particularly heteronormative slant (Berlant &amp; Warner, 2000). Berlant and Warner describe the structural and ideological functioning of heteronormativity as: “the institutions, structures of understanding, and practical orientations that make heterosexuality seem not only coherent – that is, organized as a sexuality – but also privileged”</w:t>
      </w:r>
      <w:r w:rsidRPr="00690162">
        <w:rPr>
          <w:sz w:val="14"/>
        </w:rPr>
        <w:t xml:space="preserve"> (p. 312). Heteronormativity, which has no “parallel,” is a collection of institutional, political, and foundational practices and discourses that impose and assume a heterosexual-based society and is distinct from heterosexuality, which presumes homosexuality as its opposite. In the case of these studies, the family structure, particularly in relation to biological sex and the construct of marriage, is narrowly and heteronormatively defined and measured. One study on female-male differences in academic careers of scientists uses the Survey of Doctorate Recipients to consider how “successful” movement along the academic career path for doctorate recipients who earned a degree in S&amp;E in the U.S. is influenced by sex (Rapoport, 2004). Rapoport (2004) argues InterActions: UCLA Journal of Education and Information Studies, 6(2), Article 4 (2010) 12 that female scientists and engineers are less successful than their male counterparts at traveling along the career path, but that these “gender” differences are indirect—they are more related to sex differences in the influence of family on success than they are to direct sex differences in success. He finds that women with children and who are married are less likely to be on the tenure track than men with children and who are married, and women who have young children later in their careers are more likely to earn tenure. Further, women are less likely to be promoted to senior ranks then men, but this third result is statistically insignificant when gender differences in family influences are accounted for. Rapoport measures success by four outcomes: gaining </w:t>
      </w:r>
      <w:r w:rsidRPr="00690162">
        <w:rPr>
          <w:sz w:val="14"/>
        </w:rPr>
        <w:lastRenderedPageBreak/>
        <w:t xml:space="preserve">tenure-track placement, earning tenure, promotion to the rank of associate professor, and promotion to the rank of full professor. Although success could be measured in a number of other ways including subjective measures of career satisfaction, we once again see a linear pipeline model applied to career success. Another study on unemployment patterns of doctorate recipients in 1993 considers gender differences in unemployment rates and also measures family using marital status and having children as indicators (Shettle, 1997). This study found that there were no direct gender differences in unemployment rates, but when family was considered, for women, being married and having children were associated with relatively high unemployment rates whereas for men, they were associated with relatively low unemployment rates. In other words, gender does not directly impact unemployment rates; rather, it impacts the influence that family has on unemployment rates. </w:t>
      </w:r>
      <w:r w:rsidRPr="008E6640">
        <w:rPr>
          <w:rStyle w:val="StyleUnderline"/>
        </w:rPr>
        <w:t>While the above studies show how marriage and children influence employment and academic career trajectories, they fail to consider how family obligations influence the career “success” of those who have non-normative family arrangements, such as queer couples, caregivers for aging parents, domestic partnerships, and non-biological chosen families.9 Likewise, in focusing on family as the site of “acceptable” non-work responsibilities that might interfere differentially with one’s work success, these studies do not interrogate the variety of personal lives that scientists and engineers have or desire to have in attempting to achieve success in the workforce. Additionally, this focus on family, its frequent connection to women under the argument that women are often unequally held responsible for household duties</w:t>
      </w:r>
      <w:r w:rsidRPr="00690162">
        <w:rPr>
          <w:sz w:val="14"/>
        </w:rPr>
        <w:t xml:space="preserve">, and the pipeline metaphor’s encouragement of surface solutions rather than systemic change often leads to the suggestion that workplaces provide childcare as the “solution” to women’s underrepresentation (e.g., Cuny &amp; Aspray, 2002). This </w:t>
      </w:r>
      <w:r w:rsidRPr="008E6640">
        <w:rPr>
          <w:rStyle w:val="StyleUnderline"/>
        </w:rPr>
        <w:t>not only perpetuates childcare as women’s responsibility, but disregards the many childless women who “fail” to achieve these measures of “success.”</w:t>
      </w:r>
      <w:r w:rsidRPr="00690162">
        <w:rPr>
          <w:sz w:val="14"/>
        </w:rPr>
        <w:t xml:space="preserve"> </w:t>
      </w:r>
    </w:p>
    <w:p w:rsidR="00DE5E47" w:rsidRDefault="00DE5E47" w:rsidP="00DE5E47">
      <w:pPr>
        <w:pStyle w:val="Heading3"/>
      </w:pPr>
      <w:bookmarkStart w:id="41" w:name="_Toc489138934"/>
      <w:r>
        <w:lastRenderedPageBreak/>
        <w:t>Link: Vaccines</w:t>
      </w:r>
      <w:bookmarkEnd w:id="41"/>
    </w:p>
    <w:p w:rsidR="00DE5E47" w:rsidRPr="0088636D" w:rsidRDefault="00DE5E47" w:rsidP="00DE5E47">
      <w:pPr>
        <w:pStyle w:val="Heading4"/>
      </w:pPr>
      <w:bookmarkStart w:id="42" w:name="_Hlk488851090"/>
      <w:r w:rsidRPr="0088636D">
        <w:t>The risk-based discourse of the 1AC maintains the dual logics of monsterizing/queering the infected to protect us against some unknown future.</w:t>
      </w:r>
    </w:p>
    <w:p w:rsidR="00DE5E47" w:rsidRPr="0088636D" w:rsidRDefault="00DE5E47" w:rsidP="00DE5E47">
      <w:r w:rsidRPr="0088636D">
        <w:rPr>
          <w:rStyle w:val="Style13ptBold"/>
        </w:rPr>
        <w:t>Fink 10</w:t>
      </w:r>
      <w:r w:rsidRPr="0088636D">
        <w:t xml:space="preserve">, [Marty, November 2010, Assistant Professor in ProCom with a focus on queer and trans studies. AIDS Vampires: Reimagining Illness in Octavia Butler's "Fledgling", </w:t>
      </w:r>
      <w:hyperlink r:id="rId12" w:anchor="page_scan_tab_contents" w:history="1">
        <w:r w:rsidRPr="0088636D">
          <w:rPr>
            <w:rStyle w:val="Hyperlink"/>
          </w:rPr>
          <w:t>http://www.jstor.org/stable/25746442?seq=1#page_scan_tab_contents</w:t>
        </w:r>
      </w:hyperlink>
      <w:r w:rsidRPr="0088636D">
        <w:t xml:space="preserve">] </w:t>
      </w:r>
    </w:p>
    <w:p w:rsidR="00DE5E47" w:rsidRPr="0088636D" w:rsidRDefault="00DE5E47" w:rsidP="00DE5E47">
      <w:pPr>
        <w:rPr>
          <w:sz w:val="16"/>
          <w:szCs w:val="16"/>
        </w:rPr>
      </w:pPr>
      <w:r w:rsidRPr="0088636D">
        <w:rPr>
          <w:sz w:val="16"/>
          <w:szCs w:val="16"/>
        </w:rPr>
        <w:t xml:space="preserve">Octavia Butler's final novel, Fledgling (2005), complicates our longstanding practice of conceptualizing disease as the outcome of racial and sexual difference. Situating the vampire narrative within the generic realm of science fiction, Butler's text reimagines the literary and social functions of the vampire metaphor. While Butler's fiction always invites a broad range of plausible interpretations, reading Fledgling as a novel about HIV/AIDS transforms our understandings not only of the pandemic but of the practice of narrating illness. Though AIDS is never mentioned explicitly in Fledgling, </w:t>
      </w:r>
      <w:r w:rsidRPr="0088636D">
        <w:rPr>
          <w:rStyle w:val="StyleUnderline"/>
        </w:rPr>
        <w:t>the novel's treatment of queer sexualities, consent, desire</w:t>
      </w:r>
      <w:r w:rsidRPr="0088636D">
        <w:rPr>
          <w:sz w:val="16"/>
          <w:szCs w:val="16"/>
        </w:rPr>
        <w:t xml:space="preserve">, and race-related anxiety </w:t>
      </w:r>
      <w:r w:rsidRPr="0088636D">
        <w:rPr>
          <w:rStyle w:val="StyleUnderline"/>
        </w:rPr>
        <w:t>allows us to read Butler's vampires as a culture of the HIV-positive</w:t>
      </w:r>
      <w:r w:rsidRPr="0088636D">
        <w:rPr>
          <w:sz w:val="16"/>
          <w:szCs w:val="16"/>
        </w:rPr>
        <w:t xml:space="preserve">. The refusal to name the pandemic also offers the self-reflexive possibility of </w:t>
      </w:r>
      <w:r w:rsidRPr="0088636D">
        <w:rPr>
          <w:rStyle w:val="StyleUnderline"/>
        </w:rPr>
        <w:t>disrupting the vampire's metaphorical function of demonizing and dehumanizing people living with HIV/AIDS</w:t>
      </w:r>
      <w:r w:rsidRPr="0088636D">
        <w:rPr>
          <w:sz w:val="16"/>
          <w:szCs w:val="16"/>
        </w:rPr>
        <w:t xml:space="preserve">. Calling attention to the highly contrived properties of both the vampire narrative and HIV/AIDS mythologies, </w:t>
      </w:r>
      <w:r w:rsidRPr="0088636D">
        <w:rPr>
          <w:rStyle w:val="StyleUnderline"/>
        </w:rPr>
        <w:t>Fledgling allows us to view HIV not as a</w:t>
      </w:r>
      <w:r w:rsidRPr="0088636D">
        <w:rPr>
          <w:sz w:val="16"/>
          <w:szCs w:val="16"/>
        </w:rPr>
        <w:t xml:space="preserve">n unprecedented or </w:t>
      </w:r>
      <w:r w:rsidRPr="0088636D">
        <w:rPr>
          <w:rStyle w:val="StyleUnderline"/>
        </w:rPr>
        <w:t>mysterious scientific phenomenon but as a cultural phenomenon deeply interconnected to a</w:t>
      </w:r>
      <w:r w:rsidRPr="0088636D">
        <w:rPr>
          <w:sz w:val="16"/>
          <w:szCs w:val="16"/>
        </w:rPr>
        <w:t xml:space="preserve"> long </w:t>
      </w:r>
      <w:r w:rsidRPr="0088636D">
        <w:rPr>
          <w:rStyle w:val="StyleUnderline"/>
        </w:rPr>
        <w:t>history of narrating disease</w:t>
      </w:r>
      <w:r w:rsidRPr="0088636D">
        <w:rPr>
          <w:sz w:val="16"/>
          <w:szCs w:val="16"/>
        </w:rPr>
        <w:t xml:space="preserve">. </w:t>
      </w:r>
      <w:r w:rsidRPr="0088636D">
        <w:rPr>
          <w:rStyle w:val="StyleUnderline"/>
        </w:rPr>
        <w:t>Rather than regarding HIV</w:t>
      </w:r>
      <w:r w:rsidRPr="0088636D">
        <w:rPr>
          <w:sz w:val="16"/>
          <w:szCs w:val="16"/>
        </w:rPr>
        <w:t xml:space="preserve">/AIDS </w:t>
      </w:r>
      <w:r w:rsidRPr="0088636D">
        <w:rPr>
          <w:rStyle w:val="StyleUnderline"/>
        </w:rPr>
        <w:t>as a</w:t>
      </w:r>
      <w:r w:rsidRPr="0088636D">
        <w:rPr>
          <w:sz w:val="16"/>
          <w:szCs w:val="16"/>
        </w:rPr>
        <w:t xml:space="preserve">n isolated </w:t>
      </w:r>
      <w:r w:rsidRPr="0088636D">
        <w:rPr>
          <w:rStyle w:val="StyleUnderline"/>
        </w:rPr>
        <w:t>biological event that will</w:t>
      </w:r>
      <w:r w:rsidRPr="0088636D">
        <w:rPr>
          <w:sz w:val="16"/>
          <w:szCs w:val="16"/>
        </w:rPr>
        <w:t xml:space="preserve"> somehow </w:t>
      </w:r>
      <w:r w:rsidRPr="0088636D">
        <w:rPr>
          <w:rStyle w:val="StyleUnderline"/>
        </w:rPr>
        <w:t>be "over" with the invention of a vaccine</w:t>
      </w:r>
      <w:r w:rsidRPr="0088636D">
        <w:rPr>
          <w:sz w:val="16"/>
          <w:szCs w:val="16"/>
        </w:rPr>
        <w:t xml:space="preserve"> or cure, </w:t>
      </w:r>
      <w:r w:rsidRPr="0088636D">
        <w:rPr>
          <w:rStyle w:val="StyleUnderline"/>
        </w:rPr>
        <w:t>we can understand the pandemic as reliant upon</w:t>
      </w:r>
      <w:r w:rsidRPr="0088636D">
        <w:rPr>
          <w:sz w:val="16"/>
          <w:szCs w:val="16"/>
        </w:rPr>
        <w:t xml:space="preserve"> </w:t>
      </w:r>
      <w:r w:rsidRPr="0088636D">
        <w:rPr>
          <w:rStyle w:val="StyleUnderline"/>
        </w:rPr>
        <w:t>the</w:t>
      </w:r>
      <w:r w:rsidRPr="0088636D">
        <w:rPr>
          <w:sz w:val="16"/>
          <w:szCs w:val="16"/>
        </w:rPr>
        <w:t xml:space="preserve"> antiquated </w:t>
      </w:r>
      <w:r w:rsidRPr="0088636D">
        <w:rPr>
          <w:rStyle w:val="StyleUnderline"/>
        </w:rPr>
        <w:t>metaphorical practices</w:t>
      </w:r>
      <w:r w:rsidRPr="0088636D">
        <w:rPr>
          <w:sz w:val="16"/>
          <w:szCs w:val="16"/>
        </w:rPr>
        <w:t xml:space="preserve"> exposed and redefined in Butler's fiction. With its inherent contradictions and textual complexities, Fledgling reworks the metaphorical connections between the vampire and the HIV-positive subject, challenging the narrative practices of racialization and homophobia that continue to fuel the pandemic today. As cultural theorists from Paula Treichler to Susan Sontag have previously explored</w:t>
      </w:r>
      <w:r w:rsidRPr="0088636D">
        <w:rPr>
          <w:rStyle w:val="StyleUnderline"/>
        </w:rPr>
        <w:t>, HIV</w:t>
      </w:r>
      <w:r w:rsidRPr="0088636D">
        <w:rPr>
          <w:sz w:val="16"/>
          <w:szCs w:val="16"/>
        </w:rPr>
        <w:t xml:space="preserve">/AIDS </w:t>
      </w:r>
      <w:r w:rsidRPr="0088636D">
        <w:rPr>
          <w:rStyle w:val="StyleUnderline"/>
        </w:rPr>
        <w:t>is linked to a variety of metaphors that shape our understanding of the pandemic, encouraging the social reproval and stigmatization of those who test positive</w:t>
      </w:r>
      <w:r w:rsidRPr="0088636D">
        <w:rPr>
          <w:sz w:val="16"/>
          <w:szCs w:val="16"/>
        </w:rPr>
        <w:t xml:space="preserve"> for HIV. As Treichler famously contends, because AIDS is "an epidemic of meanings and signification" ( 11). </w:t>
      </w:r>
      <w:r w:rsidRPr="0088636D">
        <w:rPr>
          <w:rStyle w:val="StyleUnderline"/>
        </w:rPr>
        <w:t>illness metaphors foster unprecedented fears of people living with HIV,</w:t>
      </w:r>
      <w:r w:rsidRPr="0088636D">
        <w:rPr>
          <w:sz w:val="16"/>
          <w:szCs w:val="16"/>
        </w:rPr>
        <w:t xml:space="preserve"> influencing physical and social experiences of suffering. </w:t>
      </w:r>
      <w:r w:rsidRPr="0088636D">
        <w:rPr>
          <w:rStyle w:val="StyleUnderline"/>
        </w:rPr>
        <w:t>Illness narratives</w:t>
      </w:r>
      <w:r w:rsidRPr="0088636D">
        <w:rPr>
          <w:sz w:val="16"/>
          <w:szCs w:val="16"/>
        </w:rPr>
        <w:t xml:space="preserve">, David Morris argues, </w:t>
      </w:r>
      <w:r w:rsidRPr="0088636D">
        <w:rPr>
          <w:rStyle w:val="StyleUnderline"/>
        </w:rPr>
        <w:t>determine "how we talk about suffering</w:t>
      </w:r>
      <w:r w:rsidRPr="0088636D">
        <w:rPr>
          <w:sz w:val="16"/>
          <w:szCs w:val="16"/>
        </w:rPr>
        <w:t xml:space="preserve">, how we talk </w:t>
      </w:r>
      <w:r w:rsidRPr="0088636D">
        <w:rPr>
          <w:rStyle w:val="StyleUnderline"/>
        </w:rPr>
        <w:t>when suffering, and,</w:t>
      </w:r>
      <w:r w:rsidRPr="0088636D">
        <w:rPr>
          <w:sz w:val="16"/>
          <w:szCs w:val="16"/>
        </w:rPr>
        <w:t xml:space="preserve"> ultimately, </w:t>
      </w:r>
      <w:r w:rsidRPr="0088636D">
        <w:rPr>
          <w:rStyle w:val="StyleUnderline"/>
        </w:rPr>
        <w:t>how we suffer</w:t>
      </w:r>
      <w:r w:rsidRPr="0088636D">
        <w:rPr>
          <w:sz w:val="16"/>
          <w:szCs w:val="16"/>
        </w:rPr>
        <w:t xml:space="preserve">" (63). </w:t>
      </w:r>
      <w:r w:rsidRPr="0088636D">
        <w:rPr>
          <w:rStyle w:val="StyleUnderline"/>
        </w:rPr>
        <w:t>Such narratives</w:t>
      </w:r>
      <w:r w:rsidRPr="0088636D">
        <w:rPr>
          <w:sz w:val="16"/>
          <w:szCs w:val="16"/>
        </w:rPr>
        <w:t xml:space="preserve"> frequently </w:t>
      </w:r>
      <w:r w:rsidRPr="0088636D">
        <w:rPr>
          <w:rStyle w:val="StyleUnderline"/>
        </w:rPr>
        <w:t xml:space="preserve">render people living with </w:t>
      </w:r>
      <w:r w:rsidRPr="0088636D">
        <w:rPr>
          <w:sz w:val="16"/>
          <w:szCs w:val="16"/>
        </w:rPr>
        <w:t>HIV/</w:t>
      </w:r>
      <w:r w:rsidRPr="0088636D">
        <w:rPr>
          <w:rStyle w:val="StyleUnderline"/>
        </w:rPr>
        <w:t>AIDS</w:t>
      </w:r>
      <w:r w:rsidRPr="0088636D">
        <w:rPr>
          <w:sz w:val="16"/>
          <w:szCs w:val="16"/>
        </w:rPr>
        <w:t xml:space="preserve"> </w:t>
      </w:r>
      <w:r w:rsidRPr="0088636D">
        <w:rPr>
          <w:rStyle w:val="StyleUnderline"/>
        </w:rPr>
        <w:t>as</w:t>
      </w:r>
      <w:r w:rsidRPr="0088636D">
        <w:rPr>
          <w:sz w:val="16"/>
          <w:szCs w:val="16"/>
        </w:rPr>
        <w:t xml:space="preserve"> </w:t>
      </w:r>
      <w:r w:rsidRPr="0088636D">
        <w:rPr>
          <w:rStyle w:val="StyleUnderline"/>
        </w:rPr>
        <w:t>threats to those who</w:t>
      </w:r>
      <w:r w:rsidRPr="0088636D">
        <w:rPr>
          <w:sz w:val="16"/>
          <w:szCs w:val="16"/>
        </w:rPr>
        <w:t xml:space="preserve"> are or </w:t>
      </w:r>
      <w:r w:rsidRPr="0088636D">
        <w:rPr>
          <w:rStyle w:val="StyleUnderline"/>
        </w:rPr>
        <w:t>appear to be "healthy</w:t>
      </w:r>
      <w:r w:rsidRPr="0088636D">
        <w:rPr>
          <w:sz w:val="16"/>
          <w:szCs w:val="16"/>
        </w:rPr>
        <w:t xml:space="preserve">," </w:t>
      </w:r>
      <w:r w:rsidRPr="0088636D">
        <w:rPr>
          <w:rStyle w:val="StyleUnderline"/>
        </w:rPr>
        <w:t>enlisting metaphors of otherness and contagion to represent disease.</w:t>
      </w:r>
      <w:r w:rsidRPr="0088636D">
        <w:rPr>
          <w:sz w:val="16"/>
          <w:szCs w:val="16"/>
        </w:rPr>
        <w:t xml:space="preserve"> </w:t>
      </w:r>
      <w:r w:rsidRPr="0088636D">
        <w:rPr>
          <w:rStyle w:val="StyleUnderline"/>
        </w:rPr>
        <w:t>One such metaphor may be found in the figure of the vampire</w:t>
      </w:r>
      <w:r w:rsidRPr="0088636D">
        <w:rPr>
          <w:sz w:val="16"/>
          <w:szCs w:val="16"/>
        </w:rPr>
        <w:t xml:space="preserve">. Since their popularization in the nineteenth century, vampires have evolved as literary signifiers of racial and sexual deviance, embodying illnesses as wide-ranging as syphilis and tuberculosis. Rather than representing a single fear or concern, the vampire serves as what Miriam Jones terms "a floating category" (154) that encompasses a broad spectrum of an things that defy normative constructions of nation and health. Scripted in Fledgling as an indeterminate "combination of religion, metaphor, and history" (221), the vampire may connote a variety of fears attached to sexuality and disease. a symbol of all those perceived as "exotic, alien. </w:t>
      </w:r>
      <w:r w:rsidRPr="0088636D">
        <w:rPr>
          <w:rStyle w:val="StyleUnderline"/>
        </w:rPr>
        <w:t>unnatural, oral, anal,</w:t>
      </w:r>
      <w:r w:rsidRPr="0088636D">
        <w:rPr>
          <w:sz w:val="16"/>
          <w:szCs w:val="16"/>
        </w:rPr>
        <w:t xml:space="preserve"> compulsive, violent, protean, polymorphic, polyvocal, polysemous, </w:t>
      </w:r>
      <w:r w:rsidRPr="0088636D">
        <w:rPr>
          <w:rStyle w:val="StyleUnderline"/>
        </w:rPr>
        <w:t>invisible, soulless</w:t>
      </w:r>
      <w:r w:rsidRPr="0088636D">
        <w:rPr>
          <w:sz w:val="16"/>
          <w:szCs w:val="16"/>
        </w:rPr>
        <w:t xml:space="preserve">, transient. superhumanly mobile, </w:t>
      </w:r>
      <w:r w:rsidRPr="0088636D">
        <w:rPr>
          <w:rStyle w:val="StyleUnderline"/>
        </w:rPr>
        <w:t>infectious.</w:t>
      </w:r>
      <w:r w:rsidRPr="0088636D">
        <w:rPr>
          <w:sz w:val="16"/>
          <w:szCs w:val="16"/>
        </w:rPr>
        <w:t xml:space="preserve"> murderous, suicidal, </w:t>
      </w:r>
      <w:r w:rsidRPr="0088636D">
        <w:rPr>
          <w:rStyle w:val="StyleUnderline"/>
        </w:rPr>
        <w:t>and a threat to wife, children, home, and phallus</w:t>
      </w:r>
      <w:r w:rsidRPr="0088636D">
        <w:rPr>
          <w:sz w:val="16"/>
          <w:szCs w:val="16"/>
        </w:rPr>
        <w:t xml:space="preserve">" (Hanson 325). In construing the vampire figure as "the embodiment of evil sexuality" (Hanson 325), the narrative makes its demise essential to the maintenance of the sexual scams quo. In this way, </w:t>
      </w:r>
      <w:r w:rsidRPr="0088636D">
        <w:rPr>
          <w:rStyle w:val="StyleUnderline"/>
        </w:rPr>
        <w:t>the slaying of the vampire represents the triumph of "dominant" culture</w:t>
      </w:r>
      <w:r w:rsidRPr="0088636D">
        <w:rPr>
          <w:sz w:val="16"/>
          <w:szCs w:val="16"/>
        </w:rPr>
        <w:t xml:space="preserve"> (Miriam Jones 165), </w:t>
      </w:r>
      <w:r w:rsidRPr="0088636D">
        <w:rPr>
          <w:rStyle w:val="StyleUnderline"/>
        </w:rPr>
        <w:t>sustaining heteronormative practices</w:t>
      </w:r>
      <w:r w:rsidRPr="0088636D">
        <w:rPr>
          <w:sz w:val="16"/>
          <w:szCs w:val="16"/>
        </w:rPr>
        <w:t xml:space="preserve"> and beliefs. Because </w:t>
      </w:r>
      <w:r w:rsidRPr="0088636D">
        <w:rPr>
          <w:rStyle w:val="StyleUnderline"/>
        </w:rPr>
        <w:t>vampires manifest unrestrained sexuality as a form of disease, they</w:t>
      </w:r>
      <w:r w:rsidRPr="0088636D">
        <w:rPr>
          <w:sz w:val="16"/>
          <w:szCs w:val="16"/>
        </w:rPr>
        <w:t xml:space="preserve"> also </w:t>
      </w:r>
      <w:r w:rsidRPr="0088636D">
        <w:rPr>
          <w:rStyle w:val="StyleUnderline"/>
        </w:rPr>
        <w:t>perpetuate</w:t>
      </w:r>
      <w:r w:rsidRPr="0088636D">
        <w:rPr>
          <w:sz w:val="16"/>
          <w:szCs w:val="16"/>
        </w:rPr>
        <w:t xml:space="preserve"> the popular misconception </w:t>
      </w:r>
      <w:r w:rsidRPr="0088636D">
        <w:rPr>
          <w:rStyle w:val="StyleUnderline"/>
        </w:rPr>
        <w:t xml:space="preserve">that sexual deviancy causes </w:t>
      </w:r>
      <w:r w:rsidRPr="0088636D">
        <w:rPr>
          <w:sz w:val="16"/>
          <w:szCs w:val="16"/>
        </w:rPr>
        <w:t>HIV/</w:t>
      </w:r>
      <w:r w:rsidRPr="0088636D">
        <w:rPr>
          <w:rStyle w:val="StyleUnderline"/>
        </w:rPr>
        <w:t>AIDS</w:t>
      </w:r>
      <w:r w:rsidRPr="0088636D">
        <w:rPr>
          <w:sz w:val="16"/>
          <w:szCs w:val="16"/>
        </w:rPr>
        <w:t>. Diana Davidson argues that "</w:t>
      </w:r>
      <w:r w:rsidRPr="0088636D">
        <w:rPr>
          <w:rStyle w:val="StyleUnderline"/>
        </w:rPr>
        <w:t>any body that is HI V+</w:t>
      </w:r>
      <w:r w:rsidRPr="0088636D">
        <w:rPr>
          <w:sz w:val="16"/>
          <w:szCs w:val="16"/>
        </w:rPr>
        <w:t xml:space="preserve"> is ascribed a new and potentially threatening sexuality because it </w:t>
      </w:r>
      <w:r w:rsidRPr="0088636D">
        <w:rPr>
          <w:rStyle w:val="StyleUnderline"/>
        </w:rPr>
        <w:t>is viewed as polluted and contagious</w:t>
      </w:r>
      <w:r w:rsidRPr="0088636D">
        <w:rPr>
          <w:sz w:val="16"/>
          <w:szCs w:val="16"/>
        </w:rPr>
        <w:t xml:space="preserve">" (224). Metaphorically </w:t>
      </w:r>
      <w:r w:rsidRPr="0088636D">
        <w:rPr>
          <w:rStyle w:val="StyleUnderline"/>
        </w:rPr>
        <w:t>convening the person</w:t>
      </w:r>
      <w:r w:rsidRPr="0088636D">
        <w:rPr>
          <w:sz w:val="16"/>
          <w:szCs w:val="16"/>
        </w:rPr>
        <w:t xml:space="preserve"> living with HIV/AIDS </w:t>
      </w:r>
      <w:r w:rsidRPr="0088636D">
        <w:rPr>
          <w:rStyle w:val="StyleUnderline"/>
        </w:rPr>
        <w:t>into a vampiric outsider blames those who are seropositive</w:t>
      </w:r>
      <w:r w:rsidRPr="0088636D">
        <w:rPr>
          <w:sz w:val="16"/>
          <w:szCs w:val="16"/>
        </w:rPr>
        <w:t xml:space="preserve"> for their own medical condition. Rather than recognizing the need to invest in treatment and prevention programs both locally and on a global scale, our </w:t>
      </w:r>
      <w:r w:rsidRPr="0088636D">
        <w:rPr>
          <w:rStyle w:val="StyleUnderline"/>
        </w:rPr>
        <w:t>governments and media outlets metaphorize</w:t>
      </w:r>
      <w:r w:rsidRPr="0088636D">
        <w:rPr>
          <w:sz w:val="16"/>
          <w:szCs w:val="16"/>
        </w:rPr>
        <w:t xml:space="preserve"> HIV/</w:t>
      </w:r>
      <w:r w:rsidRPr="0088636D">
        <w:rPr>
          <w:rStyle w:val="StyleUnderline"/>
        </w:rPr>
        <w:t>AIDS as an evil</w:t>
      </w:r>
      <w:r w:rsidRPr="0088636D">
        <w:rPr>
          <w:sz w:val="16"/>
          <w:szCs w:val="16"/>
        </w:rPr>
        <w:t xml:space="preserve">, mysterious </w:t>
      </w:r>
      <w:r w:rsidRPr="0088636D">
        <w:rPr>
          <w:rStyle w:val="StyleUnderline"/>
        </w:rPr>
        <w:t>ailment whose sufferers have transgressed</w:t>
      </w:r>
      <w:r w:rsidRPr="0088636D">
        <w:rPr>
          <w:sz w:val="16"/>
          <w:szCs w:val="16"/>
        </w:rPr>
        <w:t xml:space="preserve"> and should therefore be punished. As such. HIV/AIDS is regarded as a moral threat rather than as a social or health concern. </w:t>
      </w:r>
      <w:r w:rsidRPr="0088636D">
        <w:rPr>
          <w:rStyle w:val="StyleUnderline"/>
        </w:rPr>
        <w:t>Framing illness as oppositional to sexual</w:t>
      </w:r>
      <w:r w:rsidRPr="0088636D">
        <w:rPr>
          <w:sz w:val="16"/>
          <w:szCs w:val="16"/>
        </w:rPr>
        <w:t xml:space="preserve"> and national </w:t>
      </w:r>
      <w:r w:rsidRPr="0088636D">
        <w:rPr>
          <w:rStyle w:val="StyleUnderline"/>
        </w:rPr>
        <w:t>values</w:t>
      </w:r>
      <w:r w:rsidRPr="0088636D">
        <w:rPr>
          <w:sz w:val="16"/>
          <w:szCs w:val="16"/>
        </w:rPr>
        <w:t xml:space="preserve">, the vampire </w:t>
      </w:r>
      <w:r w:rsidRPr="0088636D">
        <w:rPr>
          <w:rStyle w:val="StyleUnderline"/>
        </w:rPr>
        <w:t>functions as a</w:t>
      </w:r>
      <w:r w:rsidRPr="0088636D">
        <w:rPr>
          <w:sz w:val="16"/>
          <w:szCs w:val="16"/>
        </w:rPr>
        <w:t xml:space="preserve">n allegorical </w:t>
      </w:r>
      <w:r w:rsidRPr="0088636D">
        <w:rPr>
          <w:rStyle w:val="StyleUnderline"/>
        </w:rPr>
        <w:t xml:space="preserve">suggestion that those </w:t>
      </w:r>
      <w:r w:rsidRPr="0088636D">
        <w:rPr>
          <w:sz w:val="16"/>
          <w:szCs w:val="16"/>
        </w:rPr>
        <w:t xml:space="preserve">living with HIV/AIDS or otherwise </w:t>
      </w:r>
      <w:r w:rsidRPr="0088636D">
        <w:rPr>
          <w:rStyle w:val="StyleUnderline"/>
        </w:rPr>
        <w:t>marked as diseased should be</w:t>
      </w:r>
      <w:r w:rsidRPr="0088636D">
        <w:rPr>
          <w:sz w:val="16"/>
          <w:szCs w:val="16"/>
        </w:rPr>
        <w:t xml:space="preserve"> banished and </w:t>
      </w:r>
      <w:r w:rsidRPr="0088636D">
        <w:rPr>
          <w:rStyle w:val="StyleUnderline"/>
        </w:rPr>
        <w:t>feared, punished and slain</w:t>
      </w:r>
      <w:r w:rsidRPr="0088636D">
        <w:rPr>
          <w:sz w:val="16"/>
          <w:szCs w:val="16"/>
        </w:rPr>
        <w:t xml:space="preserve">. Fledgling's narrator Shori, however, radically reinscribes the vampire's traditional function. A black female vampire, Shori calls attention to the racializing and gendering of the vampire figure as both a literary and a metaphorical subject. Suffering from amnesia, Shori must relearn all there is to know </w:t>
      </w:r>
      <w:r w:rsidRPr="0088636D">
        <w:rPr>
          <w:sz w:val="16"/>
          <w:szCs w:val="16"/>
        </w:rPr>
        <w:lastRenderedPageBreak/>
        <w:t xml:space="preserve">about the "Ina," the tribe of vampires from which she descends. Shori ridicules the canonical ideas of the vampire as sexual threat or immoral predator. asserting that "we have very little in common with the vampire creatures Bram Stoker described in Dracula" (69). Unlike in Dracula (1897). the Ma vampires do not drain the life from their human blood sources but rather exchange blood for sexual pleasure and emotional support. The Ina select humans across a wide range of ages, classes, races, and genders to become their "symbionts" (69), a term used in the novel to suggest the mutuality between humans and vampires who live blissfully together for the rest of their lives. Shori observes that "we don't have to injure the humans we take [blood] from ... land) we can't magically convert humans into our kind. We do keep those who join with us healthier, stronger, and harder to kill than they would be without us ... lengthening their lives by several decades" (69). Claiming that vampirism represents a symbiotic relationship between the Ina and their human hosts, the vampires of Fledgling share much with Butler's alien Tlic in her earlier story, "Bloodchild" (1984). Though "Bloodchild" is not a vampire tale, it traces the violent physical invasion and use of the human body by the non-human Tlie to create a claimed symbiotic bond between the two species. This theme of alien appropriation of human bodies for increased health and survival appears throughout Butler's writings. In Dawn (1987). Oankali aliens cure cancer in their host. Lilith. in exchange for the use of her reproductive capacities to interbreed their offspring with the human race. Butler's fiction continually raises questions of whether we will inevitably come to depend upon technologically-invasive processes such as genetic engineering in order to survive, in the process threatening whatever makes us truly "human." Like the Oankali of Dawn, "Bloodchild's" Tlic provide their human symbionts an escape from aging and suffering as well as an unparalleled pleasure offered through the consumption of intoxicating Tlic-procured eggs. In return, the Tlic co-opt humans as incubators for the creation of their own spawn. a process revealed to "consume" (15) their hosts through "painful and bloody" (16-17) "torture" (15) that nevertheless inspires inseparable closeness and the physical intimacy of sex. Like the emotionally conflicted, hierarchical bonds between the humans and the Tlic in "Bloodchild," the highly pleasurable exchange of fluids between the Ina and their human symbionts in Fledgling again raises questions of power and consent. The relationship between Ina and human calls into question how social and sexual decision-making is overdetermined by structures of power and desire. Although Shon's symbionts are initially bitten against their will, the fulfillment they receive from their Ina counterparts transforms their physical and emotional capabilities, sustaining their decision to remain in the relationship. As in "Bloodchild" and Dawn, this immensely enjoyable exchange is characterized by feelings of addiction: physical need and erotic transcendence preclude the possibility for escape. The sexual bond between humans and Ina. performed through genital stimulation and simultaneous biting, can result in death if humans are divorced from their Ina blood source: ''they die if they're taken from us or if we die, but their death is caused by another component of the venom. They die of strokes or heart attacks because we aren't there to take the extra red blood cells that our venom encourages their bodies to make" (80). The term "symbiont," accordingly, becomes a misnomer as Butler urges us to consider whether such relationships based on dependence can truly be regarded as symbiotic. The overwhelmingly positive and pleasurable nature of these relationships raises further concerns about whether humans would indeed choose to partake in an improved, more pleasurable existence if that existence were in fact a form of enslavement. Butler thus raises a complex ethical question of power and need. suggesting that consent might not be plausible because of the factors informing such decisions. Although in Fledgling humans are given an opportunity to evaluate their initiation into vampirism, appearing "to make up [their) own mind" (92) to continue this arousing relationship, such choices. Butler implies, are never removed from the social and interpersonal dynamics within which the decisions are made. Illuminating this critical need to recognize the complexities underlying sexual decision-making also points to a pervasive oversight within efforts to prevent the spread of HIV/AIDS. As argued by community health workers such as George Ayala of AIDS Project Los Angeles (APLA), the unilateral message that using condoms prevents the transmission of HIV/AIDS and the singular focus on barebacking/anal sex as a risk behavior for seroconversion overlooks the myriad of factors underlying human sexuality and sexual decision-making more broadly. As HIV prevention publications such as Holding Open Space and Corpus Magazine attest, by placing the sole focus of prevention messages on individual behavior and condom use, such campaigns fail to recognize how "sex is a social process that is larger and longer than the actual sexual act" (Ayala, Hu.sted, and Spieldenner 32). In reducing discussions of sex and sexuality to reflections on what sexual activities occurred and whether condom use was achieved, there remains little space for recognition of the cultural and interpersonal dimensions of sexuality that largely impact sexual behavior, including condom use itself. Such factors as homophobia, racism, gender identity, community, desire. poverty. drug use, power, and consent require that we regard sexuality as a complex social process rather than as an isolated biological event. Butler similarly urges us to recognize that questions of desire and consent are laden with inherent complexities and ambiguities related to power and identity. Though Shari, like many literary vampires, is far older than her youthful body suggests, her physical stature and appearance mark her as "a child of about tenor eleven" (24). In spite of her advanced years,. Shori is also considered sexually immature for a vampire, as she is regarded by other Ina as "a child" (300) still "too young to mate" (86) with others of her kind. Locating Shori in an indeterminate position between childhood and sexual maturity. Butler tackles the contradictions and complexities attached to biological age and sexual development. When Shori meets Wright. a "broad, and tall" (13) man of twenty-three, dual issues of consent arise concerning Wright's conversion to vampirism and his corresponding sexual desire for Shori. When Shori first bites Wright during a struggle in his car, he pulls her onto his lap, prompting her request to bite him again. His response. "if I do, what will you let me do?" (18), expresses his sexual attraction to the child in his passenger sea Short interprets this display of desire as permission to suck Wright's blood. observing that "I heard consent in his voice, and I hauled myself up and kissed the side of his neck" (18). Wright's physical desire for Shori prompts his own initiation into vampirism. When Wright brings Shori home, he ascertains from what she has told him about her hunting and eating habits that she is not human. When Shori asks, "what if I'm not ... what would that mean?" (26), Wright's immediate response is to ask Shori to take off her pants. Shari admits that "I don't know enough about myself to say what my age might be or even whether I'm human. But I'm old enough to have sex with you if you want to" (2 I). Shori's qualifier, "if you want to" (27), is repeated again in the following paragraph, emphasizing that sexual consent is Wright's "reward" (27) for allowing Shori to bite him. Any notion of Shori's youth as a legal and ethical barrier to sexual consent is negated by her vampirism. Here Butler plays on genetic conventions, suggesting that the novel's essence as science fiction and Shori's status as "not human" override the social and sexual codes governing informed decision-making and sexual representation. Following Shori's assertion that "I didn't have any idea how old I was or why my age should matter" (14). Butler's graphic representation of sex between a (fifty-three-year-old vampire in the body of a) pre-pubescent child and an adult stranger forces us to consider how all relationships contain structures of power that influence the process of sexual consent. Butler further complicates the boundaries of this vexing pairing as Shori is not only older and more experienced than Wright but is also far stronger and more powerful than her human companion. Sentiments that perhaps Wright is taking advantage of this -elfin little girl- (66) are undermined by the irrefutable power the vampire wields over her human blood source. While their relationship is de facto inappropriate. it is nevertheless treated with centrality and approval by the romance thread of the narrative, creating a sense of uneasiness that compels us to question our predetermined beliefs. Butler also recurrently emphasizes </w:t>
      </w:r>
      <w:r w:rsidRPr="0088636D">
        <w:rPr>
          <w:sz w:val="16"/>
          <w:szCs w:val="16"/>
        </w:rPr>
        <w:lastRenderedPageBreak/>
        <w:t xml:space="preserve">how Shori's ability to manipulate humans through sex is mutually advantageous for all parties. That erotic coercion and instinctive decisions driven by desire could yield an overwhelmingly positive outcome greatly complicates understandings of consent as it relates to risk and sex. By positioning erotic coercion and addiction as factors that may not necessarily be negative, even for the individual who is addicted or coerced. Butler complicates conceptions of consent and desire as they relate to the transmission of HIV. Not only is HIV/AIDS commonly associated with illegal substance abuse and forbidden sex but current debates about the criminalization of HIV transmission also raise questions about the capacity for sexual consent between two adults. </w:t>
      </w:r>
      <w:r w:rsidRPr="0088636D">
        <w:rPr>
          <w:rStyle w:val="StyleUnderline"/>
        </w:rPr>
        <w:t>By criminalizing</w:t>
      </w:r>
      <w:r w:rsidRPr="0088636D">
        <w:rPr>
          <w:sz w:val="16"/>
          <w:szCs w:val="16"/>
        </w:rPr>
        <w:t xml:space="preserve"> WV-positive </w:t>
      </w:r>
      <w:r w:rsidRPr="0088636D">
        <w:rPr>
          <w:rStyle w:val="StyleUnderline"/>
        </w:rPr>
        <w:t>individuals for transmitting the virus</w:t>
      </w:r>
      <w:r w:rsidRPr="0088636D">
        <w:rPr>
          <w:sz w:val="16"/>
          <w:szCs w:val="16"/>
        </w:rPr>
        <w:t xml:space="preserve">, </w:t>
      </w:r>
      <w:r w:rsidRPr="0088636D">
        <w:rPr>
          <w:rStyle w:val="StyleUnderline"/>
        </w:rPr>
        <w:t>even when their</w:t>
      </w:r>
      <w:r w:rsidRPr="0088636D">
        <w:rPr>
          <w:sz w:val="16"/>
          <w:szCs w:val="16"/>
        </w:rPr>
        <w:t xml:space="preserve"> WV-negative </w:t>
      </w:r>
      <w:r w:rsidRPr="0088636D">
        <w:rPr>
          <w:rStyle w:val="StyleUnderline"/>
        </w:rPr>
        <w:t>partners consent to the possibility of</w:t>
      </w:r>
      <w:r w:rsidRPr="0088636D">
        <w:rPr>
          <w:sz w:val="16"/>
          <w:szCs w:val="16"/>
        </w:rPr>
        <w:t xml:space="preserve"> sexual </w:t>
      </w:r>
      <w:r w:rsidRPr="0088636D">
        <w:rPr>
          <w:rStyle w:val="StyleUnderline"/>
        </w:rPr>
        <w:t>infection</w:t>
      </w:r>
      <w:r w:rsidRPr="0088636D">
        <w:rPr>
          <w:sz w:val="16"/>
          <w:szCs w:val="16"/>
        </w:rPr>
        <w:t xml:space="preserve"> (see Symington 9). s</w:t>
      </w:r>
      <w:r w:rsidRPr="0088636D">
        <w:rPr>
          <w:rStyle w:val="StyleUnderline"/>
        </w:rPr>
        <w:t>uch laws reflect the inability to acknowledge that humans would ever he willingly infected with a virus that could mark our bodies as diseased</w:t>
      </w:r>
      <w:r w:rsidRPr="0088636D">
        <w:rPr>
          <w:sz w:val="16"/>
          <w:szCs w:val="16"/>
        </w:rPr>
        <w:t xml:space="preserve">, as alien, as dependent. As addicted, </w:t>
      </w:r>
      <w:r w:rsidRPr="0088636D">
        <w:rPr>
          <w:rStyle w:val="StyleUnderline"/>
        </w:rPr>
        <w:t>as Other, or as queer</w:t>
      </w:r>
      <w:r w:rsidRPr="0088636D">
        <w:rPr>
          <w:sz w:val="16"/>
          <w:szCs w:val="16"/>
        </w:rPr>
        <w:t xml:space="preserve">. Denying the possibility that humans might actually choose to engage in unprotected sex or illegal drug use ignores the complexity of social and circumstantial factors informing our behavior. Framing sexual decision-making and desire as powerful and often contradictory forces. </w:t>
      </w:r>
      <w:r w:rsidRPr="0088636D">
        <w:rPr>
          <w:rStyle w:val="StyleUnderline"/>
        </w:rPr>
        <w:t>Butler's transgressive narrative compels us to consider disease as an extension of the complexities and indeterminacies underlying human sexuality</w:t>
      </w:r>
      <w:r w:rsidRPr="0088636D">
        <w:rPr>
          <w:sz w:val="16"/>
          <w:szCs w:val="16"/>
        </w:rPr>
        <w:t>. As identified by radical HIV prevention publications such as Corpus, unless we begin to represent sexuality in conjunction with cultural narratives affirming our broader identities, efforts to reduce harm within our sexual lives will remain incomplete. As a phenomenon that encapsulates these complexities of identity and sex. HIV/</w:t>
      </w:r>
      <w:r w:rsidRPr="0088636D">
        <w:rPr>
          <w:rStyle w:val="StyleUnderline"/>
        </w:rPr>
        <w:t>AIDS</w:t>
      </w:r>
      <w:r w:rsidRPr="0088636D">
        <w:rPr>
          <w:sz w:val="16"/>
          <w:szCs w:val="16"/>
        </w:rPr>
        <w:t xml:space="preserve"> is often framed as a democratizing virus that </w:t>
      </w:r>
      <w:r w:rsidRPr="0088636D">
        <w:rPr>
          <w:rStyle w:val="StyleUnderline"/>
        </w:rPr>
        <w:t>blurs the boundaries between heterosexuality and same-sex desire</w:t>
      </w:r>
      <w:r w:rsidRPr="0088636D">
        <w:rPr>
          <w:sz w:val="16"/>
          <w:szCs w:val="16"/>
        </w:rPr>
        <w:t xml:space="preserve">. Theorists including Julia Epstein and Steven Kruger </w:t>
      </w:r>
      <w:r w:rsidRPr="0088636D">
        <w:rPr>
          <w:rStyle w:val="StyleUnderline"/>
        </w:rPr>
        <w:t>expose the false dichotomies</w:t>
      </w:r>
      <w:r w:rsidRPr="0088636D">
        <w:rPr>
          <w:sz w:val="16"/>
          <w:szCs w:val="16"/>
        </w:rPr>
        <w:t xml:space="preserve"> established by health officials and by the media </w:t>
      </w:r>
      <w:r w:rsidRPr="0088636D">
        <w:rPr>
          <w:rStyle w:val="StyleUnderline"/>
        </w:rPr>
        <w:t>between queers and the</w:t>
      </w:r>
      <w:r w:rsidRPr="0088636D">
        <w:rPr>
          <w:sz w:val="16"/>
          <w:szCs w:val="16"/>
        </w:rPr>
        <w:t xml:space="preserve"> so-called "</w:t>
      </w:r>
      <w:r w:rsidRPr="0088636D">
        <w:rPr>
          <w:rStyle w:val="StyleUnderline"/>
        </w:rPr>
        <w:t>general</w:t>
      </w:r>
      <w:r w:rsidRPr="0088636D">
        <w:rPr>
          <w:sz w:val="16"/>
          <w:szCs w:val="16"/>
        </w:rPr>
        <w:t xml:space="preserve"> population." a </w:t>
      </w:r>
      <w:r w:rsidRPr="0088636D">
        <w:rPr>
          <w:rStyle w:val="StyleUnderline"/>
        </w:rPr>
        <w:t>category whose existence presumes that one's</w:t>
      </w:r>
      <w:r w:rsidRPr="0088636D">
        <w:rPr>
          <w:sz w:val="16"/>
          <w:szCs w:val="16"/>
        </w:rPr>
        <w:t xml:space="preserve"> heterosexual </w:t>
      </w:r>
      <w:r w:rsidRPr="0088636D">
        <w:rPr>
          <w:rStyle w:val="StyleUnderline"/>
        </w:rPr>
        <w:t>identity.</w:t>
      </w:r>
      <w:r w:rsidRPr="0088636D">
        <w:rPr>
          <w:sz w:val="16"/>
          <w:szCs w:val="16"/>
        </w:rPr>
        <w:t xml:space="preserve"> race, or geographical location </w:t>
      </w:r>
      <w:r w:rsidRPr="0088636D">
        <w:rPr>
          <w:rStyle w:val="StyleUnderline"/>
        </w:rPr>
        <w:t>should afford protection from viral transmission</w:t>
      </w:r>
      <w:r w:rsidRPr="0088636D">
        <w:rPr>
          <w:sz w:val="16"/>
          <w:szCs w:val="16"/>
        </w:rPr>
        <w:t xml:space="preserve">. Attempting to counter the perilous myth that HIV/AIDS should concern only self-proclaimed homosexual men, slogans such as "AIDS has no sexual preference" (Randolph 126) became popular maxims of HIV-prevention and consciousness- </w:t>
      </w:r>
    </w:p>
    <w:p w:rsidR="00DE5E47" w:rsidRDefault="00DE5E47" w:rsidP="00DE5E47"/>
    <w:p w:rsidR="00DE5E47" w:rsidRPr="0088636D" w:rsidRDefault="00DE5E47" w:rsidP="00DE5E47">
      <w:pPr>
        <w:pStyle w:val="Heading4"/>
      </w:pPr>
      <w:r w:rsidRPr="0088636D">
        <w:t>This desire to protect the figural Child from disease not only parallels but colludes with anti-queer sentiments articulated around reproductive futurity. This recreates the figure of the diseased monster that attacks children- the 20</w:t>
      </w:r>
      <w:r w:rsidRPr="0088636D">
        <w:rPr>
          <w:vertAlign w:val="superscript"/>
        </w:rPr>
        <w:t>th</w:t>
      </w:r>
      <w:r w:rsidRPr="0088636D">
        <w:t xml:space="preserve"> century tactic of queer quarantine is no longer enough to satiate the affirmative- they demand nothing less than the complete eradication of the dangerous, the other, the diseased, the queer</w:t>
      </w:r>
    </w:p>
    <w:p w:rsidR="00DE5E47" w:rsidRPr="0088636D" w:rsidRDefault="00DE5E47" w:rsidP="00DE5E47">
      <w:r w:rsidRPr="0088636D">
        <w:rPr>
          <w:rStyle w:val="Style13ptBold"/>
        </w:rPr>
        <w:t xml:space="preserve">Balogh 15 </w:t>
      </w:r>
      <w:r w:rsidRPr="0088636D">
        <w:t xml:space="preserve">[Péter, Doctor of philosophy and Canadian studies at Carleton university in Ottawa, Queer Quarantine: Conceptualizing State and Dominant Cultural Responses to Queer Threats as Discursive Tactics and Technologies of Quarantine, </w:t>
      </w:r>
      <w:hyperlink r:id="rId13" w:history="1">
        <w:r w:rsidRPr="0088636D">
          <w:rPr>
            <w:rStyle w:val="Hyperlink"/>
          </w:rPr>
          <w:t>https://curve.carleton.ca/system/files/etd/40421c8c-6530-423e-b2e3-8e8808dad749/etd_pdf/2338d8f1db0686069b3b97fee616e6ee/balogh-queerquarantineconceptualizingstateanddominant.pdf</w:t>
        </w:r>
      </w:hyperlink>
      <w:r w:rsidRPr="0088636D">
        <w:t xml:space="preserve">] </w:t>
      </w:r>
    </w:p>
    <w:p w:rsidR="00DE5E47" w:rsidRPr="0088636D" w:rsidRDefault="00DE5E47" w:rsidP="00DE5E47">
      <w:pPr>
        <w:rPr>
          <w:sz w:val="16"/>
          <w:szCs w:val="16"/>
        </w:rPr>
      </w:pPr>
      <w:r w:rsidRPr="0088636D">
        <w:rPr>
          <w:sz w:val="16"/>
          <w:szCs w:val="16"/>
        </w:rPr>
        <w:t xml:space="preserve">A different tactic, but one echoing the “de-gaying” deployed in the federal HIV/AIDS strategy discussed last chapter, is traceable throughout official government discourse around the anti-bullying legislation. It is recorded early in the debate via Conservative MPP Lisa MacLeod’s opening remarks to the legislature on November 23, 2011, a week before Bill 13 and Bill 14 were tabled. Noting that it would have been James Hubley’s sixteenth birthday that day, McLeod declared that he was bullied “because he was a figure skater,” “because of his sexuality,” and “because he was different.”64 She did not say that he was “gay” and focused her speech on the youth suicides prevention without referring to homophobia or systemic violence, at the same time noting that both kids and parents “expect us to work together to prevent suicide.”65 In this version of the obituary, rather than blaming the victim for being “openly gay,” the 63 “Ottawa Teen Who Killed Himself Was Bullied,” CBC News, October 18, 20122, accessed July 31, 2014, http://www.cbc.ca/news/canada/ottawa/gay-ottawa-teen-whokilled-himself-was-bullied-1.1009474. 64 Lisa MacLeod, Ontario, Legislative Assembly, November 23, 2011, accessed October 29, 2014, http://www.ontla.on.ca/web/houseproceedings/house_detail.do?Date=2011-11-23&amp;Parl=40&amp;Sess=1&amp;locale=en. 65 Ibid. 242 subtleness of MacLeod’s oblique reference to Hubley’s sexuality discursively quarantines his visible gayness or outness. Instead of blaming bullying on social inequities, this discourse blames Hubley for the attacks he suffered, “because he was a figure skater,” and “because he was different.” From the introduction of the anti-bullying bills on November 30, 2011 and throughout the legislative debates, official discourse was principally focused on the bills as measures to prevent youth suicide; they were generally not positioned as supporting gay and lesbian kids, and certainly not presented as helping kids to become queer. This is further evidenced by remarks made the same day by the Minister of Health, Laurel Broten, referencing youth suicide and declaring, “It is incumbent on each and every one of us—government, teachers, parents, peers, the whole community— to find the pathway to […] ensure that every student is safe and included and welcome in Ontario’s schools.."66 Broten makes no reference to sexuality, gender, gays and lesbians, or antihomosexual attitudes or violence. An exception to this general de-gaying occurred during the March 29, 2012 debates, which included two main speakers from the Liberal benches, Cheri Dinovo and Glen Murray, both of whom spoke passionately about </w:t>
      </w:r>
      <w:r w:rsidRPr="0088636D">
        <w:rPr>
          <w:sz w:val="16"/>
          <w:szCs w:val="16"/>
        </w:rPr>
        <w:lastRenderedPageBreak/>
        <w:t>LGBTQ issues, with Murray speaking in particular about his experience as a gay man, MPP and father.67 Otherwise, throughout the remaining proceedings dealing with Bills 13 and 14, references to gays 66 Lauren C. Broten, Ontario, Legislative Assembly, November 23, 2011, accessed October 29, 2014, http://www.ontla.on.ca/web/houseproceedings/house_detail.do?Date=2011-11-23&amp;Parl=40&amp;Sess=1&amp;locale=en. 67 Cheri Dinovo, Ontario, Legislative Assembly, March 29, 2012, accessed October 29, 2014, http://www.ontla.on.ca/web/house-proceedings/house_detail.do?Date=2012- 03-29&amp;Parl=40&amp;Sess=1&amp;locale=en; Glen Murray, Ontario, Legislative Assembly, March 29, 2012, accessed October 29, 2014, http://www.ontla.on.ca/web/houseproceedings/house_detail.do?Date=2012-03-29&amp;Parl=40&amp;Sess=1&amp;locale=en. 243 and lesbians or even the use of the word “gay” in reference to GSAs are almost entirely absent. Therefore the majority of speakers, and all but one of the Conservative members, avoided referencing queers. Despite the subject matter of the proceedings, and the debate about GSAs and queer kids taking place outside the legislature, notably in the media, there was an almost complete erasure of queers in official discourse in the Legislature. In my discourse analysis, I examined the Hansard for each debate on the bills, meticulously searching for, counting, and comparing the uses of various terms and phrases. Surprisingly, in debates comprising up to 10,000 words, there are no direct references to gay kids or homosexuality, even in debates focused squarely on GSAs. Presenters spoke elliptically, for example, referring to “certain” students or emphasizing “all children.” Lisa MacLeod’s summation of the public hearings provides a good example of this discursive tactic: Many people felt that legislating the name of one group for anti-bullying over others was divisive and problematic, created a perception of a “hierarchy of targets,” given special status by being named. To do so will only suggest certain children are more important than others, and I do not support that notion.68 The few exceptions to the outright quarantine of queerness in the legislature reveal interesting features that reflect a sustained conflation of queerness with negative attributes. Another speech by Lisa MacLeod in which she utters the word “gay,” offers a salient example: “We must remember why</w:t>
      </w:r>
      <w:r w:rsidRPr="00E543EC">
        <w:rPr>
          <w:rStyle w:val="StyleUnderline"/>
        </w:rPr>
        <w:t xml:space="preserve"> we are here: to make Ontario a better place for all Ontarians—not just some, but all; not just the strong, but also the weak; not just 68 My emphasis. 244 the straight, but also the gay.”69 This statement reveals that the conflation of queer with sickness and character weakness is enduring. It is so embedded in dominant discourse that even well-meaning speakers reproduce and recirculate such tropes</w:t>
      </w:r>
      <w:r w:rsidRPr="0088636D">
        <w:rPr>
          <w:sz w:val="16"/>
          <w:szCs w:val="16"/>
        </w:rPr>
        <w:t xml:space="preserve">, in some cases perhaps unintentionally. An overall effect of the general silence around gay and lesbian students in the legislative proceedings is that there were no actual debates in the Legislature. Speakers were split along party lines: those supporting Bill 13, spoke about anti-bullying measures for all students; those contesting the bill, decried the injustice of giving a “special status” to “certain children.” The public hearings on Bill 13 and Bill 14, however, were almost exclusively focused on GSAs. The few supporters, primarily from organizations representing gays and lesbians, explained that GSAs benefit schools and students. The majority of the deputations opposed Bill 13 and GSAs. In fact, so many groups and individuals wanted to present in opposition to the Bill that they could not all be heard before time ran out. Presentations supporting the legislation tended to cite research on GSAs and homophobia, and included personal narratives from students; deputations contesting the bill were organized around three main discursive formations: </w:t>
      </w:r>
      <w:r w:rsidRPr="0088636D">
        <w:rPr>
          <w:rStyle w:val="StyleUnderline"/>
        </w:rPr>
        <w:t>children as the future of the nation, children as innocent, and queers as sexual deviants and corrupters of children</w:t>
      </w:r>
      <w:r w:rsidRPr="0088636D">
        <w:rPr>
          <w:sz w:val="16"/>
          <w:szCs w:val="16"/>
        </w:rPr>
        <w:t xml:space="preserve">. </w:t>
      </w:r>
      <w:r w:rsidRPr="0088636D">
        <w:rPr>
          <w:rStyle w:val="StyleUnderline"/>
        </w:rPr>
        <w:t>Lauren Broten set the tone of the discourse around students</w:t>
      </w:r>
      <w:r w:rsidRPr="0088636D">
        <w:rPr>
          <w:sz w:val="16"/>
          <w:szCs w:val="16"/>
        </w:rPr>
        <w:t xml:space="preserve"> as the embodiment of the future </w:t>
      </w:r>
      <w:r w:rsidRPr="0088636D">
        <w:rPr>
          <w:rStyle w:val="StyleUnderline"/>
        </w:rPr>
        <w:t>with her remarks</w:t>
      </w:r>
      <w:r w:rsidRPr="0088636D">
        <w:rPr>
          <w:sz w:val="16"/>
          <w:szCs w:val="16"/>
        </w:rPr>
        <w:t xml:space="preserve"> in December 2011: </w:t>
      </w:r>
      <w:r w:rsidRPr="0088636D">
        <w:rPr>
          <w:rStyle w:val="StyleUnderline"/>
        </w:rPr>
        <w:t>The students in our schools today are people who will, in future, be treating our illnesses, growing our food</w:t>
      </w:r>
      <w:r w:rsidRPr="0088636D">
        <w:rPr>
          <w:sz w:val="16"/>
          <w:szCs w:val="16"/>
        </w:rPr>
        <w:t xml:space="preserve">, fixing our cars, teaching our children and creating our 69 Lisa MacLeod, Ontario, Legislative Assembly, March 26, 2012, accessed October 29, 2014, http://www.ontla.on.ca/web/house-proceedings/house_detail.do?Date=2012- 03-26&amp;Parl=40&amp;Sess=1&amp;locale=en. My emphasis. 245 laws. </w:t>
      </w:r>
      <w:r w:rsidRPr="0088636D">
        <w:rPr>
          <w:rStyle w:val="StyleUnderline"/>
        </w:rPr>
        <w:t>We will look to them to keep our economy strong and competitive</w:t>
      </w:r>
      <w:r w:rsidRPr="0088636D">
        <w:rPr>
          <w:sz w:val="16"/>
          <w:szCs w:val="16"/>
        </w:rPr>
        <w:t xml:space="preserve">, come up with innovative ideas to protect our environment and keep us on the cutting edge of technological change. </w:t>
      </w:r>
      <w:r w:rsidRPr="0088636D">
        <w:rPr>
          <w:rStyle w:val="StyleUnderline"/>
        </w:rPr>
        <w:t>They are our future</w:t>
      </w:r>
      <w:r w:rsidRPr="0088636D">
        <w:rPr>
          <w:sz w:val="16"/>
          <w:szCs w:val="16"/>
        </w:rPr>
        <w:t xml:space="preserve">.”70 Notably in line with Edelman’s concept of reproductive futurism, Broten’s remarks set the notion of the child as future within the neoliberal imperative of economic prosperity, technological innovation, and law and order. When children and the nation’s future are spoken of in the debates and hearings on the bills, there is no mention of gay kids. </w:t>
      </w:r>
      <w:r w:rsidRPr="00E543EC">
        <w:rPr>
          <w:rStyle w:val="StyleUnderline"/>
        </w:rPr>
        <w:t>Following Edelman, we could say that the future is kid stuff, but definitely not queer</w:t>
      </w:r>
      <w:r w:rsidRPr="0088636D">
        <w:rPr>
          <w:sz w:val="16"/>
          <w:szCs w:val="16"/>
        </w:rPr>
        <w:t xml:space="preserve">. Moreover, the nation has historically been constructed in dominant discourses as heterosexual. Writing in 2000, about the significant reliance of both nation and citizenship on hegemonic masculinity and heterosexuality, L. Pauline Rankin warned of “an escalation of the heterosexist nature of pan-Canadian nationalism in our increasingly globalized, neo-liberal society.”71 Thus, the hysterical public response to the legislation permitting GSAs in schools, with its focus on traditional family values and keeping children safe from sexual confusion is a salient instantiation of this sort of heterosexist nationalism at work. While the nation is heterosexually aligned, children, its heirs and future leaders, are generally cast as sexually innocent. Despite contemporary conceptualizations of human beings of all ages as sexual beings, the dominant cultural imagining is that the innocence of children should be protected so that they will “naturally” become heterosexual over (straight) time. Therefore, to counter the threat of GSAs in schools, 70 Lauren C. Broten, Ontario, Legislative Assembly, December 7, 2011, accessed October 29, 2014, http://ontla.on.ca/web/house-proceedings/house_detail.do?Date=2011- 12-07&amp;Parl=40&amp;Sess=1&amp;locale=fr. 71 L. Pauline Rankin, “Sexualities and National Identities: Re-Imagining Queer Nationalism,” Journal of Canadian Studies 35.2 (2000): 179, 192. 246 public opposition fervently deployed the trope of the innocent child under attack from the so-called gay agenda. Referring to Pierre Trudeau’s famous statement about the state remaining out of the bedrooms of the nation, one presenter opined: Today, this TDSB gender and sex curriculum ensures there is a place for the state in the children’s bedrooms of the nation; furthermore, what’s done in private between adults is the concern of the Education Act and should be taught explicitly to children. I appeal to you: Should this be? Why are Mr. Trudeau’s values passé now? If the state needs to stay out of the bedrooms of the adults, how much more should it stay out of the bedrooms of our children?72 The suggestion is that the government legislation of GSAs and its revised sex education curriculum facilitate the queering of innocent children. “Normal” children are considered both innocent and asexual. Catholic Bishops in Ontario had earlier sent a letter to school boards exhorting them “to consider groups other than gay-straight alliances, which ‘imply a self-identification with sexual orientation that is often premature among high-school students.’”73 Since for dominant culture gay kids cannot be asexual, the GSA is read as an inherently sexualized space, and thus a space for the sexualization and corruption of innocent (heterosexual) children. This type of logic led to the following question during the legislative hearings: “Are children in school going to be groomed into alternate lifestyles and sexuality by the education system?”74 Ultimately, the impulse to </w:t>
      </w:r>
      <w:r w:rsidRPr="0088636D">
        <w:rPr>
          <w:sz w:val="16"/>
          <w:szCs w:val="16"/>
        </w:rPr>
        <w:lastRenderedPageBreak/>
        <w:t xml:space="preserve">quarantine the contagious threat of queerness to schools resurfaces in discursive formations similar to those deployed 30 years prior through the invocation of queers as child molesters: 72 Gillian Lea, Ontario, Legislative Assembly, May 15, 2012, accessed October 29, 2014, http://www.ontla.on.ca/web/committeeproceedings/committee_transcripts_details.do?locale=en&amp;Date=2012-05- 15&amp;ParlCommID=8963&amp;BillID=2549&amp;Business=&amp;DocumentID=26339#P107_20636. 73 Hammer, “Halton Catholic School Board.” My emphasis. 74 John G. Gots, Ontario, Legislative Assembly, May 15, 2012, accessed October 29, 2014, http://www.ontla.on.ca/web/committeeproceedings/committee_transcripts_details.do?locale=en&amp;Date=2012-05- 15&amp;ParlCommID=8963&amp;BillID=2549&amp;Business=&amp;DocumentID=26339#P107_20636. 247 One of the concerns of people I have talked to is that there will be—as the program for sexual orientation, whatever that portion is—a planned program of recruitment and initiation. What that means is gays coming alongside non-gays and encouraging them to try the gay lifestyle (…) to the point of initiating a person against their will.75 While the debate over including GSAs in the ASA was won by those siding with gay and lesbian students, at least in the Ontario legislature, it is certainly is not over in terms of overall public discourse around queers in schools. As MPs did not actually debate the deputations, they posed few questions of the many presenters who spoke against GSAs and queers. In particular, they asked no questions and made no comments in response to presenters who linked gay kids and gay teachers to child molesters. In addition, I argue that as a technology of governmentality, the legislation around GSAs, while perhaps affording some gay and lesbian students who are out more safe space in which to gather, can also be read as a technology of queer quarantine itself. Although the government has not mandated them, it has legislated the GSA as the remedy for “homophobic bullying.” And although it has not prescribed the function of the GSA, it has set out its objectives. This officialization of GSAs in law, normalizes them, fixes them as part of the educational apparatus of the state that aims to normalize all kids, directing them into performing productive roles in the future of the nation under neoliberal terms. While it is not the scope of this study to theorize the impacts of GSAs on schools and students, we could ask going forward, in what ways are GSAs queer? In other words, do they really trouble systemic gender and sexual norms in the ways that so many Canadians fear, or to return to O’Rourke’s definition of queer, are they spaces of 75 David Blair, Ontario, Legislative Assembly, May 15, 2012, accessed October 29, 2014, http://www.ontla.on.ca/web/committeeproceedings/committee_transcripts_details.do?locale=en&amp;Date=2012-05- 15&amp;ParlCommID=8963&amp;BillID=2549&amp;Business=&amp;DocumentID=26339#P107_20636. 248 “undefinability,” “provisionality,” “not-yet-here-ness”? I suggest that while they can offer various kinds of peer support to some out gay kids, they cannot be queer in these terms. GSAs function to normalize “good” gay students, raising them alongside their heterosexual peers under the heteronormative conditions of the state governed educational institution. Moreover they act to quarantine the queer outlaw along with all the benefits of queer that queer kids have to offer. Kathryn Bond Stockton argues that the fruit of the queer child is in her growing sideways. 76 I suggest that state intervention in legislating GSAs is a disciplinary technology of queer quarantine compelling (good) gay kids to grow “straight” and (bad) queer kids to stay in the closet, isolated and at risk, or to disappear altogether. Enacted within legislation that aims for the protection of the child, the GSA must adhere to the imperative of reproductive futurism, and there is no future for queer under those terms.77 Queer Blood: Quarantining Queers from the National Blood System In different ways, the preoccupation with blood and the law has for nearly two centuries haunted the administration of sexuality.78 Around the same time that the Catholic School Board in Ontario was working to maintain its quarantine against queerness within the separate school system, CBS and its stakeholders were at work to ensure that queer blood would be kept out of the Canadian 76 Kathryn Bond Stockton, The Queer Child, or Growing Sideways in the Twentieth Century (Durham, NC: Duke University Press, 2009). 77 While it is also not within the scope of this study to suggest queer alternatives to GSAs, I will venture, following Stockton and Edelman, that a queer version cannot be legislated but could evolve rather through resistance by queer kids to the officialized GSA, growing sideways in extra-curricular ways. This is another area for future investigation. 78 Foucault, The History of Sexuality, 179. 249 national blood system. In this section, I undertake a focused re-reading of the revised deferral policy for MSM, which the CBS implemented in 2013, despite opposition from several important national organizations including the Canadian Federation of Students (CFS). My reading concentrates on the ways in which concepts of time, in particular futurity, are deployed in regards to queer men and the so-called deferral period. Given the CBS policy’s connection to my analysis on HIV/AIDS in Chapter Four, I am also interested in the ways queers are constructed in official discourse surrounding the CBS policy. I argue that </w:t>
      </w:r>
      <w:r w:rsidRPr="0088636D">
        <w:rPr>
          <w:rStyle w:val="StyleUnderline"/>
        </w:rPr>
        <w:t>the exclusion of MSM from donating blood can be read as a</w:t>
      </w:r>
      <w:r w:rsidRPr="0088636D">
        <w:rPr>
          <w:sz w:val="16"/>
          <w:szCs w:val="16"/>
        </w:rPr>
        <w:t xml:space="preserve"> disciplinary technology of </w:t>
      </w:r>
      <w:r w:rsidRPr="0088636D">
        <w:rPr>
          <w:rStyle w:val="StyleUnderline"/>
        </w:rPr>
        <w:t>queer quarantine</w:t>
      </w:r>
      <w:r w:rsidRPr="0088636D">
        <w:rPr>
          <w:sz w:val="16"/>
          <w:szCs w:val="16"/>
        </w:rPr>
        <w:t xml:space="preserve">, and suggest that the policy, arguably unjustified by medical science, is in large part </w:t>
      </w:r>
      <w:r w:rsidRPr="0088636D">
        <w:rPr>
          <w:rStyle w:val="StyleUnderline"/>
        </w:rPr>
        <w:t>rooted in the haunting legacy of the queer AIDS monster</w:t>
      </w:r>
      <w:r w:rsidRPr="0088636D">
        <w:rPr>
          <w:sz w:val="16"/>
          <w:szCs w:val="16"/>
        </w:rPr>
        <w:t xml:space="preserve"> </w:t>
      </w:r>
      <w:r w:rsidRPr="0088636D">
        <w:rPr>
          <w:rStyle w:val="StyleUnderline"/>
        </w:rPr>
        <w:t>and the unceasing construction of queer bodies and queer blood as always already infected.</w:t>
      </w:r>
      <w:r w:rsidRPr="0088636D">
        <w:rPr>
          <w:sz w:val="16"/>
          <w:szCs w:val="16"/>
        </w:rPr>
        <w:t xml:space="preserve"> As queers embody threats to the future of the nation via its blood supply, these threats are too symbolically charged for CBS to alter the MSM deferral policy to any significant degree. Canadian Blood Services and the Lifetime Ban on MSM In this section, I do not explore the history of HIV/AIDS and the Canadian blood system; however, I offer some background notes to contexualize the current case study. Little discussed in the policy-making documents produced in the lead-up to the publication of the Blueprint in 1990, HIV had a major impact on the Canadian blood system, Canadian health policy, and people who rely on blood products and blood transfusion services. Thousands have suffered and died as a result of HIV and other viral agents such as Hepatitis-C entering the national blood supply. Viruses were unknowingly passed on to clients through blood transfusions over many years before the gravity of the problem 250 became clear in the mid-to-late 1980s. Approximately 2000 Canadians were infected with HIV in this way until testing and screening procedures were implemented in 1985. There is a small body of scholarly work on the tainted blood scandal in Canada. It focuses primarily on the outcomes of the Krever Inquiry in terms of human rights, and medical policies and practices, and the state responsibilities. 79 Margaret Somerville and Norbert Gilmore’s oft-cited chapter in Blood Feuds documents the systemic failings that led to the tragedy.80 While Journalist André Picard’s bestselling book on the scandal and the subsequent Krever Inqiry is well known in Canada, 81 Orsini’s study is arguably the most critical scholarly work produced to date on the subject. Through his appraisal of Canadian “blood activism,” Orsini documents the history of the scandal and the resulting collective action, particularly the creation of the collective identity of “tainted blood victims,” and raises important questions about the responsibility of the state in terms of protecting citizens from risk. 82 In the mid-1980s, authorities discovered that the national blood supply system was fatally compromised, resulting in the infection of thousands of blood product recipients with HIV and Hepatitis C. The Canadian Red Cross Blood Transfusion Service 79 See: Paul J. Schmidt, “Blood, AIDS, and Bureaucracy: The Crisis and the Tragedy,” Transfusion Medicine Reviews 25.4 (2011): 335-343; Kumanan Wilson, “The Krever Commission—Ten Years Later,” Canadian Medical Association Journal 177.11 (2007): 1387-1389. 80 Margaret Somerville and Norbert Gilmore, “From Trust to Tragedy: HIV/AIDS and the Canadian Blood System,” in Blood Feuds: AIDS, Blood, and the </w:t>
      </w:r>
      <w:r w:rsidRPr="0088636D">
        <w:rPr>
          <w:sz w:val="16"/>
          <w:szCs w:val="16"/>
        </w:rPr>
        <w:lastRenderedPageBreak/>
        <w:t xml:space="preserve">Politics of Medical Disaster, ed. Eric A. Feldman and Ronald Bayer (New York: Oxford University Press, 1999), 127-60. 81 André Picard, The Gift of Death: Confronting Canada’s Tainted-Blood Tragedy (Toronto: HarperCollins, 1998). 82 Michael Orsini, “The Politics of Naming, Blaming and Claiming: HIV, Hepatitis C, and the Emergence of Blood Activism in Canada,” Canadian Journal of Political Science 35.3 (September 2002): 475-498; Orsini, “Blood, Blame and Belonging.” 251 (CRCBTS), then responsible for the national system, began asking individuals to refrain from donating blood if they were at risk for HIV and AIDS. Once Health Canada began overseeing the blood supply system, the CRCBTS implemented donor selection criteria, which resulted in a lifetime ban on blood donations from all MSM who had engaged in any sexual activity with men since 1977. It was this screening process, set up by the Red Cross to prevent MSM for donating blood, which James Thornton circumvented in Ottawa in 1988. In 1992, CBS was created to replace the CRCBTS and undertake the management of the Canadian blood system under the authority of Health Canada. The lifetime ban on MSM was directly incorporated into CBS screening policies. In 2006, CBS began conducting a review of its policies, and commissioned the University of Ottawa to review the MSM deferral policy. The following year, the McLaughlin Centre for Population Health Risk Assessment at the University of Ottawa produced its report for CBS on the MSM lifetime deferral from donating blood and related issues. It reviewed screening procedures, concerns about the deferral policy, alternative approaches to the MSM deferral, and estimates of residual risk, specifically the risk for HIV transmission after screening procedures are applied. In their evaluation of a possible one-year deferral, the authors concluded it “would represent an unethical type of risk transfer, from one social group to another, and therefore would be unacceptable.”83 The language of the report </w:t>
      </w:r>
      <w:r w:rsidRPr="00E543EC">
        <w:t xml:space="preserve">re-affirmed the notion of risk determined by group rather than by activities, </w:t>
      </w:r>
      <w:r w:rsidRPr="0088636D">
        <w:rPr>
          <w:sz w:val="16"/>
          <w:szCs w:val="16"/>
        </w:rPr>
        <w:t xml:space="preserve">and places MSM in opposition to CBS clients. There is no clear evidence that moving to a five-year ban would increase risk to blood product recipients, however, the authors recommended 83 William Leiss et al., “MSM Donor Deferral Risk Assessment: An Analysis using Risk Management Principles: A Report for Canadian Blood Services,” Ottawa: University of Ottawa, 2007, 3, my emphasis. 252 maintaining the current policy. CBS decided to uphold the lifetime ban on MSM blood donors but did agree to study future possibilities for a 5-year deferral. In 2011, after several other nations, including Australia, Hungary and Sweden, reduced their deferral periods for MSM donors to one year, CBS came under increased pressure to revise its policy. In particular, the CFS, which represents 600,000 students nationwide, organized the “End the Ban” campaign, holding demonstrations across the country to draw public attention to the discriminatory policy.84 In 2012, CBS responded to increasing pressure, commissioned a survey, and produced the report I examine below in advance of its adoption of the current 5-year ban for MSM. In May 2013, CBS announced the adoption of the revised policy. Acknowledging that for many stakeholders, the change “does not go far enough,” it declared the change “a first and prudent step forward on this policy.”85 The control measures CBS uses are based on principles of precaution, meaning that the outright ban on MSM donors was instituted before scientific research was applied to confirm the controls needed to maintain the system’s safety. This policy revision reflects a first attempt to mitigate the bad publicity caused by opponents of the MSM donor ban. Much has been written about the MSM donor ban and it is generally understood that it discriminates against gay men. The CBS itself acknowledges the discrimination but argues that it is necessary to protect the health of Canadians. The judge who presided 84 Megan Dolski, “New Blood Donation Rules Take Effect in Canada Two Decades After Tainted-Blood Inquiry,” Globe and Mail, July 22, 2013, accessed October 30, 2014, http://www.theglobeandmail.com/news/national/new-blood-donation-rules-takeeffect-in-canada-two-decades-after-tainted-blood-inquiry/article13353123/. 85 Canadian Blood Services, Changes to Blood Donor Guidelines, May 22, 2013, accessed October 30, 2014, http://www.blood.ca/CentreApps/Internet/UW_V502_MainEngine.nsf/page/MSM?Open Document. 253 over the 2010 case against Kyle Freeman concurred. CBS sued Freeman for lying on his screening form and donating blood despite having engaged in sex with men.86 Judge Aitken ruled that Freeman was liable and ordered him to pay damages to CBS; he also ruled that the Charter of Rights and Freedoms does not apply to the CBS. Fiddler et al. also concluded that since the objective of CBS’s precautionary principles is to maintain the safety and the reputation of the Canadian blood supply, its consultations with groups opposed to the MSM ban together with its maintenance of the screening policy “publicly reaffirm the dedication of the blood operator to managing blood risk at all costs.”87 Despite the discriminatory practice, they conclude the ban on MSM donations “effectively manages reputational risk.”88 Thus, I do not aim to establish that the MSM deferral policy is discriminatory; this is well established. I apply my discourse analytical framework to official documents produced by and for CBS to show how the discourse itself continues to deploy discursive formations as tactics that aim to quarantine the queer. Blood System Stakeholders Versus Queers As part of its review of the MSM policy, CBS engaged Ipsos Reid to survey its key stakeholders in Spring 2012. Respondents were divided into the following categories: the general public, active blood donors, members of the CFS, and members of the 86 See: Jeffrey Simpson, “The Act of Donating Blood is a Gift, Not a Right,” Globe and Mail, September 17, 2010, accessed October 30, 2014, http://www.theglobeandmail.com/globe-debate/the-act-of-donating-blood-is-a-gift-not-aright/article4389066/. 87 Jay Fiddler et al., “Blood Donation and Institutional Trust: Risk, Policy Rhetoric, and the Men Who Wave Sex With Men Lifetime Deferral Policy in Canada,” Canadian Review of Sociology 48.4 (November 2011): 386. 88 Ibid. 254 Community Based Research Centre (CBRC). The CBRC is a non-profit organization that brings together research to help inform queer health initiatives and programming across the country. This group, like the CGS, criticized the medically unfounded MSM exclusion policy. CBS was concerned that CBRC and CFS actions “may be contributing to the small percentage of new, young donors recruited overall.89” Although CBS used the survey as a risk assessment tool, it is also a technology deployed with the aim of creating “knowledge” to justify maintaining the ban on queer blood while attempting to increase overall blood supply. CBS acknowledges that it “has consistently failed to meet targets for new donor recruitment,” and with new donors comprising less than ten percent of overall blood donations, coupled with the aging national population, “failure to engage younger donors will become an increasing problem for CBS.” 90 The survey showed that while the MSM exclusion did not have a significant effect on public donations, sixty-six percent of CFS members said they would be less likely to donate blood because of the ban on MSM. In order to mitigate the negative publicity created by opponents, CBS sought to appease CFS and CBRC members by demonstrating movement on the MSM ban. It also needed to maintain the confidence of its user base and demonstrate compliance with the mandate it received following the Krever Inquiry: “Safety of the blood supply system is paramount.” 91 89Canadian Blood Services, Report on Donor Selection Criteria Relating to Men Who Have Sex With Men, Ottawa: March 7, 2012, 16, accessed October 30, 2014, http://www.blood.ca/CentreApps/Internet/UW_V502_MainEngine.nsf/resources/MSM/$ file/Report-on-Donor-Selection-Criteria-Relating-to-Men-Who-Have-Sex-with-Menl.pdf. 90 Ibid. This would be increasingly problematic, since CBS aims to increase its donor base by 50,000 new donors through 2015. 91 Canadian Blood Services, Krever Report, accessed November 14, 2014, http://www.bloodservices.ca/CentreApps/Internet/UW_V502_MainEngine.nsf/page/FAQ Krever?OpenDocument. 255 The primary issues that the CBS sought to elucidate through the Ipsos Reid survey thus included “perceptions of safety,” as well as “intentions to donate and trust in” the organization.92 The Executive Summary notes that CBS policy “was based on scientific evidence that some MSM are in the highest risk </w:t>
      </w:r>
      <w:r w:rsidRPr="0088636D">
        <w:rPr>
          <w:sz w:val="16"/>
          <w:szCs w:val="16"/>
        </w:rPr>
        <w:lastRenderedPageBreak/>
        <w:t xml:space="preserve">group for HIV/AIDS infection.” 93 Given that queers are read as “unsafe,” I suggest the MSM deferral is based in large part on dominant cultural perceptions of queers as “unsafe” and posing a group threat to the public and its confidence in the blood system. Ipsos Reid found that maintaining the lifetime ban on blood donations from gay men would negatively impact future donations by post-secondary students but not the general public and current donors. Yet, it did not find overwhelming support across stakeholders for a significant policy change. More than half of the general public did not show clear support for change, with the largest percentage of those, forty-five percent, saying that they did not know what they thought. A further forty-five percent of the donors who were critical of changing the policy cited the risk that gay men posed to the blood system; and, fifteen percent of the general public reported “they are against gay people donating blood.”94 My readings of the survey report reveal that </w:t>
      </w:r>
      <w:r w:rsidRPr="0088636D">
        <w:rPr>
          <w:rStyle w:val="StyleUnderline"/>
        </w:rPr>
        <w:t>gay men</w:t>
      </w:r>
      <w:r w:rsidRPr="0088636D">
        <w:rPr>
          <w:sz w:val="16"/>
          <w:szCs w:val="16"/>
        </w:rPr>
        <w:t xml:space="preserve">, as a group, </w:t>
      </w:r>
      <w:r w:rsidRPr="0088636D">
        <w:rPr>
          <w:rStyle w:val="StyleUnderline"/>
        </w:rPr>
        <w:t>and the symbolic power of blood</w:t>
      </w:r>
      <w:r w:rsidRPr="0088636D">
        <w:rPr>
          <w:sz w:val="16"/>
          <w:szCs w:val="16"/>
        </w:rPr>
        <w:t xml:space="preserve">, not blood itself, </w:t>
      </w:r>
      <w:r w:rsidRPr="0088636D">
        <w:rPr>
          <w:rStyle w:val="StyleUnderline"/>
        </w:rPr>
        <w:t>are the focus of the safe/unsafe binary</w:t>
      </w:r>
      <w:r w:rsidRPr="0088636D">
        <w:rPr>
          <w:sz w:val="16"/>
          <w:szCs w:val="16"/>
        </w:rPr>
        <w:t xml:space="preserve">. Gay men and MSM are presented as </w:t>
      </w:r>
      <w:r w:rsidRPr="0088636D">
        <w:rPr>
          <w:rStyle w:val="StyleUnderline"/>
        </w:rPr>
        <w:t>unsafe for the blood supply system/general public/nation,</w:t>
      </w:r>
      <w:r w:rsidRPr="0088636D">
        <w:rPr>
          <w:sz w:val="16"/>
          <w:szCs w:val="16"/>
        </w:rPr>
        <w:t xml:space="preserve"> </w:t>
      </w:r>
      <w:r w:rsidRPr="0088636D">
        <w:rPr>
          <w:rStyle w:val="StyleUnderline"/>
        </w:rPr>
        <w:t>and</w:t>
      </w:r>
      <w:r w:rsidRPr="0088636D">
        <w:rPr>
          <w:sz w:val="16"/>
          <w:szCs w:val="16"/>
        </w:rPr>
        <w:t xml:space="preserve"> thus a risk </w:t>
      </w:r>
      <w:r w:rsidRPr="0088636D">
        <w:rPr>
          <w:rStyle w:val="StyleUnderline"/>
        </w:rPr>
        <w:t>to the future</w:t>
      </w:r>
      <w:r w:rsidRPr="0088636D">
        <w:rPr>
          <w:sz w:val="16"/>
          <w:szCs w:val="16"/>
        </w:rPr>
        <w:t xml:space="preserve">. 92 Canadian Blood Services, Ipsos Reid Survey, Ottawa: 2012, 1, accessed October 30, 2014, http://www.blood.ca/CentreApps/Internet/UW_V502_MainEngine.nsf/resources/MSM/$ file/2012-Ipsos-Reid-Survey-Results.pdf. 93 Ibid. My emphasis. 94 Ibid., 2. 256 Calculating Queer Risks There are two issues for the CBS going forward from the five-year MSM deferral: a) switching to a “gender neutral” screener with “behaviour-based donor selection questions,” and b) the risk of emerging pathogens. Several nations have switched to gender-neutral screening. The UK and Australia have moved to a one-year deferral, while South Africa and Japan enforce a six-month deferral. Japan’s deferral applies to all individuals who have at least one new partner during the previous six months, regardless of gender or type of sexual activity. While the CBS states that it has medical research to support its position, research today demonstrates that the ban is not medially justifiable, with top HIV/AIDS specialists calling for a change in the CBS policy on MSM exclusion. In its own discussion of risk modelling, the CBS notes, “with a one year deferral, one additional HIV infection unit would be released into the Canadian blood supply every 500 years.”95 Moreover, in the 2012 MSM policy change report, the CBS states that since the window period for HIV is now less than ten days, “window period risk would be more than adequately covered by a one year deferral for risk factors.”96 Implementing a gender- and sexual orientation-neutral policy like the one used in Japan, CBS claims, “would result in excessive loss of currently donating safe donors.”97 It explains that up to fifteen percent of its (presumably heterosexual) donors will have 95CBS, Report on Donor Selection Criteria, 15. 96 Ibid., 8. In 2006, after extensive research, the “American Red Cross, America’s Blood Centres and the AABB recommend to the FDA changing deferral to 1 year for MSM-FDA chose to uphold the indefinite ban stating it was the best way to keep the nation’s blood supply safe.” Canadian Blood Services, Chronology of events related to the MSM Policy, accessed October 30, 2014, http://www.blood.ca/centreapps/internet/uw_v502_mainengine.nsf/page/Chronology-ofevents-related-to-the-MSM-Policy?OpenDocument. My emphasis. 97 CBS, Report on Donor Selection Criteria, 16. 257 had more than one sexual partner in a given year. It would lose these donors if a genderand sexuality-neutral policy were implemented. CBS also cites a Quebec study predicting only a one-percent increase in donors if a one-year MSM deferral were introduced.98 Clearly, CBS does not want to lose the fifteen percent of its heterosexual donors who would be considered promiscuous. Therefore, while CBS uses the term “safe” to describe promiscuous heterosexual donors, it considers all gay men and MSM both promiscuous and unsafe. Risk modelling theorizing potential threats to the safety of the blood system due to residual risks demonstrates that “these risks are now extremely low due to current policies and practices, including better process control and computerization.”99 Residual risks represent the possibility of a donated blood product turning up a false negative test result and “quarantine release errors,”100 which could occur if donated blood products were accidentally released before test results were received. Since apparently no recipient of blood has been infected with HIV since new measures were introduced almost thirty years ago, it is theorized that residual risks are virtually nil. Therefore, this disciplinary technology of </w:t>
      </w:r>
      <w:r w:rsidRPr="0088636D">
        <w:rPr>
          <w:rStyle w:val="StyleUnderline"/>
        </w:rPr>
        <w:t>queer quarantine is justified</w:t>
      </w:r>
      <w:r w:rsidRPr="0088636D">
        <w:rPr>
          <w:sz w:val="16"/>
          <w:szCs w:val="16"/>
        </w:rPr>
        <w:t xml:space="preserve"> not by medical research but </w:t>
      </w:r>
      <w:r w:rsidRPr="0088636D">
        <w:rPr>
          <w:rStyle w:val="StyleUnderline"/>
        </w:rPr>
        <w:t>by the public’s</w:t>
      </w:r>
      <w:r w:rsidRPr="0088636D">
        <w:rPr>
          <w:sz w:val="16"/>
          <w:szCs w:val="16"/>
        </w:rPr>
        <w:t xml:space="preserve"> continued </w:t>
      </w:r>
      <w:r w:rsidRPr="0088636D">
        <w:rPr>
          <w:rStyle w:val="StyleUnderline"/>
        </w:rPr>
        <w:t>perception that gay</w:t>
      </w:r>
      <w:r w:rsidRPr="0088636D">
        <w:rPr>
          <w:sz w:val="16"/>
          <w:szCs w:val="16"/>
        </w:rPr>
        <w:t xml:space="preserve"> men are not safe, their </w:t>
      </w:r>
      <w:r w:rsidRPr="0088636D">
        <w:rPr>
          <w:rStyle w:val="StyleUnderline"/>
        </w:rPr>
        <w:t>bodies</w:t>
      </w:r>
      <w:r w:rsidRPr="0088636D">
        <w:rPr>
          <w:sz w:val="16"/>
          <w:szCs w:val="16"/>
        </w:rPr>
        <w:t xml:space="preserve"> and blood </w:t>
      </w:r>
      <w:r w:rsidRPr="0088636D">
        <w:rPr>
          <w:rStyle w:val="StyleUnderline"/>
        </w:rPr>
        <w:t>present a risk of contagion</w:t>
      </w:r>
      <w:r w:rsidRPr="0088636D">
        <w:rPr>
          <w:sz w:val="16"/>
          <w:szCs w:val="16"/>
        </w:rPr>
        <w:t xml:space="preserve"> to the nation’s blood supply. </w:t>
      </w:r>
      <w:r w:rsidRPr="0088636D">
        <w:rPr>
          <w:rStyle w:val="StyleUnderline"/>
        </w:rPr>
        <w:t>The conflation of emerging pathogens with queers further links the impulse to quarantine</w:t>
      </w:r>
      <w:r w:rsidRPr="0088636D">
        <w:rPr>
          <w:sz w:val="16"/>
          <w:szCs w:val="16"/>
        </w:rPr>
        <w:t xml:space="preserve"> to dominant cultural fears about queer proliferation and makes the quarantining of queer blood a national imperative for CBS. 98 Marc Germain et al., “The Risks and Benefits of Accepting Men Who Have Had Sex With Men as Blood Donors,” Transfusion 43 (January 2003): 25-33. It is important to remember that these types of studies rely on “the prevalence of HIV among MSM” (p. 25), which can only be estimated, not known. 99 CBS, Report on Donor Selection Criteria, 15. 100 Ibid. 258 Queer Threats to the Nation’s Blood According to the CBS report, “the MSM population remains a high risk group for both prevalent and incident HIV infections in Canada, accounting for approximately half of new infections.” 101 While the statistics are correct and hold true, what is important about this statement for my reading is its context and the choice of the words “population” and “risk group.” Situated under the headings “MSM Population” and “Known infectious risks,” this section of the report positions MSM as infectious risks to the national blood supply. Furthermore, the term population is used to indicate all “men who have had sex with men.”102 The report also deploys the term “high risk group,” even though risk group is an obsolete term that has been widely replaced by risk activity in official discourse around epidemiology and infectious agents. The report also makes sweeping generalizations about MSM populations in Canada, including that they have a “high frequency of risk taking behaviours,” 103 and that the HIV sero-prevalence rate in “MSM populations in Canada” is ten to twenty percent.104 This is impossible to measure: no one knows how many MSM there are. Similar claims are made regarding the annual sero-conversion rate for MSM, listed as one percent. These statements are reminiscent of the anti-gay declarations liking queers with disease presented to the Standing Committee on Health and Welfare thirty years ago. While CBS claims that studies tend to focus on “highly sexually active” MSM, it does not explain what the term means, and then adds that the MSM population is also at 101 Ibid., 11. 102 Ibid. Although the report acronym list defines MSM as men who have sex with men, in the report itself, the term is broadened to include the past: men who have had sex with men. 103 Ibid., 12. 104 Ibid. 259 greater risk for hepatitis B and hepatitis C than the “general population.”105 This wording separates queers from the general population, making them a group apart. Finally, the report declares, “syphilis is also more prevalent in the MSM population, with frequent and wide-spread outbreaks being reported in MSM in Canada in the last 10 years.”106 The only reference given to substantiate this claim is a broken link to the PHAC website for information on syphilis.107 This text clearly positions gay men and MSM as sexually risktaking and as repositories of sexually transmitted infections. Besides labelling queers as sexual risk takers, CBS also depicts them as irrational liars. It cites an American study from 2005 showing 1.2 percent of male blood donors in the US were allegedly MSM even though, as in Canada, MSM are required to abstain from donating blood. After using survey results to extrapolate on how many life partners MSM donors might have (thereby imagining further risks to the blood supply),108 CBS suggests that such generalizations are unreliable anyway “since these individuals were not truthful in answering the donor health assessment questionnaire.”109 CBS also cites a similar study in the UK, and claims that in </w:t>
      </w:r>
      <w:r w:rsidRPr="0088636D">
        <w:rPr>
          <w:sz w:val="16"/>
          <w:szCs w:val="16"/>
        </w:rPr>
        <w:lastRenderedPageBreak/>
        <w:t xml:space="preserve">anonymous surveys of Canadian donors, around 0.8 percent of male donors acknowledge having engaged in MSM activity prior to donating blood. Although it avows, “failure to admit risk factors and to accept the donor selection criteria is complex,”110 it does not provide data about the failure of other 105 Ibid. 106 CBS, Report on Donor Selection Criteria, 12. 107 Accessed October 30, 2014, http://www.phac-aspc.gc.ca/publicat/epiu-aepi/stdmts/infsyph-eng.php. As I can find no information on the PHAC site to support this claim, I have written PHAC for clarification but have not received an answer. 108 It not clear here if CBS is using American data to theorize risks to the Canadian blood supply or if it is referring to the situation in the US. 109CBS, Report on Donor Selection Criteria, 12. 110 Ibid,. 15. 260 deferred groups to recuse themselves from donating. Accordingly, CBS characterizes the “MSM population” as a high risk and offers that unlike the “general population,” queers lie about their behaviour. The implication that some queers wilfully lie and break the rules in order to donate infected blood can be traced back to fears around contagious queers intentionally infecting others, as Gaëtan Dugas and James Thornton are imagined to have done. This subtext functions as a disciplinary discursive tactic of quarantine suggesting that queers are devious and that some of them possess monstrous intentions. </w:t>
      </w:r>
      <w:r w:rsidRPr="0088636D">
        <w:rPr>
          <w:rStyle w:val="StyleUnderline"/>
        </w:rPr>
        <w:t>Thus the haunting figure of the queer AIDS monster looms over</w:t>
      </w:r>
      <w:r w:rsidRPr="0088636D">
        <w:rPr>
          <w:sz w:val="16"/>
          <w:szCs w:val="16"/>
        </w:rPr>
        <w:t xml:space="preserve"> the blood system and </w:t>
      </w:r>
      <w:r w:rsidRPr="0088636D">
        <w:rPr>
          <w:rStyle w:val="StyleUnderline"/>
        </w:rPr>
        <w:t>the future of the nation</w:t>
      </w:r>
      <w:r w:rsidRPr="0088636D">
        <w:rPr>
          <w:sz w:val="16"/>
          <w:szCs w:val="16"/>
        </w:rPr>
        <w:t xml:space="preserve">. Emerging Queer Threats to the Future Since the early 2000s and the advent of SARS, microbiologists and specialists in the field of contagion, have focused on assessing risk factors for the emergence of new infectious diseases. This is also the case in terms of blood services and blood safety. 111 The term “emerging pathogens” is used in the blood safety context to refer to “infectious agents whose incidence has increased or threatens to increase in the near future.”112 Emerging pathogens can be currently known but threaten to expand or they can be new and unknown, suddenly appearing in a given population like HIV and SARS, which are notable past examples. Scientists develop and update theories that are used in risk management processes, including models used to determine risks to the blood supply from emerging infectious agents. One might expect that the maintenance of the ban on 111 See: Chintamani Atreya et al., “FDA Workshop on Emerging Infectious Diseases: Evaluating Emerging Infectious Diseases (EIDs) for Transfusion Safety,” Transfusion 51 (2011): 1855-1871. See also: Susan L. Stramer et al., “Emerging Infectious Disease Agents and Their Potential Threat to Transfusion Safety, Transfusion 49 (2009): 1S-29S. 112 CBS, Report on Donor Selection Criteria, 9. 261 queer blood in Canada would be due to the development of new strains of HIV in the socalled gay community; however, while new strains of HIV have developed in Africa, they have not been identified in MSM, “although in theory, they may occur in any HIV infected group.”113 Little known to most Canadians, including those who are aware of the ban, a principal rationale for excluding MSM from donating blood in Canada is the CBS fear of emerging pathogens that have yet to manifest: “The MSM population remains at higher risk for emerging agents that are sexually transmitted.” CBS theorizes that since HIV/AIDS appeared first in Canada predominantly (but not exclusively) in the gay community, the tainted-blood crisis of the 1980s originated with gay men (only) donating blood infected with HIV and Hepatitis C, which then made its way into the blood system. Deploying disputable statistics to suggest that the MSM population poses a higher risk for emerging pathogens like HIV, the CBS maintains that a new, deadly pathogen could irrupt in the gay community at any time (or may already have developed but not yet have been detected) and thereby threaten the national blood system.114 The theorization around emerging pathogens becomes clearer in the following justification of the five-year deferral on MSM blood donations: Individuals who have had no MSM partner for five years would be expected to be at lower risk for an emerging pathogen because by definition, the pathogen was not present at all or to the same extent five years ago. Additionally, the study by the REDS group, mentioned above, suggests that individuals with a remote history of MSM are not representative of the entire MSM group. Individuals with 113 Ibid., italics mine. 114 Note the McLaughlin Report’s discussion of emerging pathogens in 2007: “Furthermore, there is a concern about unknown pathogens that may be transmitted in a similar way to that of known pathogens. It is prudent therefore to continue to select donors for donation through application of criteria that reduce the chance of infectious blood being collected.” Page 6, citing King et al. 262 MSM behaviour more than five years prior to donation were much more likely to have had a limited number of sexual partners. Many of these individuals may have experimented with MSM behaviour, or had one MSM experience as an adolescent or young adult, but now identify themselves as heterosexual. Therefore, it is highly unlikely that an emerging sexually transmitted pathogen would first occur in individuals who have had no MSM behaviour for many years.115 CBS assumes that a new threat to the national blood system will most likely come from within the MSM population because an emerging pathogen is not likely present itself in individuals with a “remote history” of MSM. Since it is assumed to be highly unlikely for a new pathogen to develop in heterosexuals, CBS believes that a new deadly threat to the national blood system will emerge amongst MSM. </w:t>
      </w:r>
      <w:r w:rsidRPr="0088636D">
        <w:rPr>
          <w:rStyle w:val="StyleUnderline"/>
        </w:rPr>
        <w:t>The proliferation of queerness thus poses an unacceptable risk to the nation’</w:t>
      </w:r>
      <w:r w:rsidRPr="0088636D">
        <w:rPr>
          <w:sz w:val="16"/>
          <w:szCs w:val="16"/>
        </w:rPr>
        <w:t xml:space="preserve">s blood supply now and into the future, with gay men and MSM </w:t>
      </w:r>
      <w:r w:rsidRPr="0088636D">
        <w:rPr>
          <w:rStyle w:val="StyleUnderline"/>
        </w:rPr>
        <w:t>always already in the process of becoming</w:t>
      </w:r>
      <w:r w:rsidRPr="0088636D">
        <w:rPr>
          <w:sz w:val="16"/>
          <w:szCs w:val="16"/>
        </w:rPr>
        <w:t xml:space="preserve"> agents of new but as yet undiscovered </w:t>
      </w:r>
      <w:r w:rsidRPr="0088636D">
        <w:rPr>
          <w:rStyle w:val="StyleUnderline"/>
        </w:rPr>
        <w:t>contagion</w:t>
      </w:r>
      <w:r w:rsidRPr="0088636D">
        <w:rPr>
          <w:sz w:val="16"/>
          <w:szCs w:val="16"/>
        </w:rPr>
        <w:t xml:space="preserve">. The overall message is that queers, specifically MSM, are officially categorized as infected and contagious for at least five years after their last (homo)sexual contact. Furthermore, CBS implies that MSM cannot be considered “safe” so long as they continue to engage in homosexual acts. This accounts for the vast majority of adult gay men. Since gay men can only be considered safe if they totally abstain from sex for five years, </w:t>
      </w:r>
      <w:r w:rsidRPr="0088636D">
        <w:rPr>
          <w:rStyle w:val="StyleUnderline"/>
        </w:rPr>
        <w:t>the only “safe” gay men are</w:t>
      </w:r>
      <w:r w:rsidRPr="0088636D">
        <w:rPr>
          <w:sz w:val="16"/>
          <w:szCs w:val="16"/>
        </w:rPr>
        <w:t xml:space="preserve"> non-sexual gay men, which means virtually </w:t>
      </w:r>
      <w:r w:rsidRPr="0088636D">
        <w:rPr>
          <w:rStyle w:val="StyleUnderline"/>
        </w:rPr>
        <w:t>no gay men.</w:t>
      </w:r>
      <w:r w:rsidRPr="0088636D">
        <w:rPr>
          <w:sz w:val="16"/>
          <w:szCs w:val="16"/>
        </w:rPr>
        <w:t xml:space="preserve"> I suggest that the continued exclusion of gay men and MSM from donating blood in Canada is largely based on the imagined fear of queer contagion. CBS officials try to justify the MSM deferral through rhetoric around managing risk: a) the risk that queer 115 CBS, Report on Donor Selection Criteria, 12. CBS’s theorization is based on an US study of American MSM and the US blood donation system conducted in 2005. 263 blood infected with HIV will get through the viral testing process and end up being given to a recipient, and b) the risk that a new or existing sexually transmittable pathogen will enter the system via MSM if they are permitted to donate blood. I argue that these fears draw upon historical queer sex panics around HIV and AIDS, given the tainted-blood scandal, and the continued representation of queers in dominant culture as sex addicted, promiscuous, dirty and diseased. The panic around queer blood is further amplified by official discourse, which, through its allusions to the figure of the queer AIDS monster, continues to present queers as a threat to national futures, suggesting that some queers aim intentionally to infect the national blood system, while other queers seek to corrupt the nation’s children. As I demonstrate in the final section of this chapter, even the courts and the prison system are not immune to these imagined threats of queer contagion. Sex, Toxicity and Deceit: Quarantining the Queer AIDS Monster Friday May 7, 3pm: An Ottawa man is in police custody on nine counts of aggravated sexual assault for failure to disclose a sexually transmitted infection to a partner. The man appeared in court May 6, as of May 7 he is still in police custody.116 The day after the arrest of the then unnamed accused, on May 7, 2010, Ottawa Police Services undertook what they claimed was “an extraordinary measure—to ensure that all sexual partners are informed that medical follow-up is warranted.”117 They released the accused individual’s identity to the public, not only by publishing his name in a news release on their website </w:t>
      </w:r>
      <w:r w:rsidRPr="0088636D">
        <w:rPr>
          <w:sz w:val="16"/>
          <w:szCs w:val="16"/>
        </w:rPr>
        <w:lastRenderedPageBreak/>
        <w:t xml:space="preserve">but by including his photo, and sending a copy by email to a long 116 Noreen Fagan and Neil McKinnon, “UPDATE: Nine More Aggravated Sexual Assault Charges Laid Against Accused,” Daily Xtra! May 7, 2010, accessed November 14, 2014, http://dailyxtra.com/ottawa/news/update-nine-aggravated-sexual-assaultcharges-laid-accused. 117 Ibid. 264 list of individuals associated with the police, the committee on police relations with the gay community, and others within the community. The email was circulated rapidly and widely, with the photo of the accused in a yellow prisoner jumpsuit subsequently published by media outlets nationally and duplicated throughout the Internet. It was thus through “an extraordinary measure” allegedly aimed at protecting the public that the police initiated </w:t>
      </w:r>
      <w:r w:rsidRPr="0088636D">
        <w:rPr>
          <w:rStyle w:val="StyleUnderline"/>
        </w:rPr>
        <w:t>the creation of the “poz vampire,</w:t>
      </w:r>
      <w:r w:rsidRPr="0088636D">
        <w:rPr>
          <w:sz w:val="16"/>
          <w:szCs w:val="16"/>
        </w:rPr>
        <w:t xml:space="preserve">” Canada’s most notorious queer AIDS monster this century. The case, which I refer to hereafter as </w:t>
      </w:r>
      <w:r w:rsidRPr="0088636D">
        <w:rPr>
          <w:rStyle w:val="StyleUnderline"/>
        </w:rPr>
        <w:t>the Steven Boone case</w:t>
      </w:r>
      <w:r w:rsidRPr="0088636D">
        <w:rPr>
          <w:sz w:val="16"/>
          <w:szCs w:val="16"/>
        </w:rPr>
        <w:t xml:space="preserve">, quickly became spectacularized in national media and continues to this day. Hundreds of articles have been filed in the media on Steven Boone, his three trials, and his convictions for attempted murder. While the attention focused on this particular case has contributed to the discourse around the criminalization of HIV non-disclosure in Canada, there is to date little scholarly work that references the Steven Boone case and no work focusing specifically on the discourse produced around it. The criminalization of HIV nondisclosure was first put into discourse many years ago; however, I am interested in the official production of discourse around Steven Boone, particularly since this case developed at the same time as the GSA debates in Ontario and modification to the MSM blood donor ban, which </w:t>
      </w:r>
      <w:r w:rsidRPr="0088636D">
        <w:rPr>
          <w:rStyle w:val="StyleUnderline"/>
        </w:rPr>
        <w:t>served to reaffirm the toxicity of queer blood</w:t>
      </w:r>
      <w:r w:rsidRPr="0088636D">
        <w:rPr>
          <w:sz w:val="16"/>
          <w:szCs w:val="16"/>
        </w:rPr>
        <w:t xml:space="preserve">. In the remaining pages, I trace some of the ways in which </w:t>
      </w:r>
      <w:r w:rsidRPr="0088636D">
        <w:rPr>
          <w:rStyle w:val="StyleUnderline"/>
        </w:rPr>
        <w:t>tactics of queer quarantine have been deployed to reproduce the queer body as toxic, reanimate the queer AIDS monster, and literally isolate</w:t>
      </w:r>
      <w:r w:rsidRPr="0088636D">
        <w:rPr>
          <w:sz w:val="16"/>
          <w:szCs w:val="16"/>
        </w:rPr>
        <w:t xml:space="preserve"> Steven Boone in a state of multiple queer quarantine. Although the scope of my analysis does not include an exploration of the history of the case, I provide a brief explanation due to its complexity. According to police, </w:t>
      </w:r>
      <w:r w:rsidRPr="0088636D">
        <w:rPr>
          <w:rStyle w:val="StyleUnderline"/>
        </w:rPr>
        <w:t>the</w:t>
      </w:r>
      <w:r w:rsidRPr="0088636D">
        <w:rPr>
          <w:sz w:val="16"/>
          <w:szCs w:val="16"/>
        </w:rPr>
        <w:t xml:space="preserve"> 265 </w:t>
      </w:r>
      <w:r w:rsidRPr="0088636D">
        <w:rPr>
          <w:rStyle w:val="StyleUnderline"/>
        </w:rPr>
        <w:t>investigation into Steven Boone began</w:t>
      </w:r>
      <w:r w:rsidRPr="0088636D">
        <w:rPr>
          <w:sz w:val="16"/>
          <w:szCs w:val="16"/>
        </w:rPr>
        <w:t xml:space="preserve"> on April 13, 2010, </w:t>
      </w:r>
      <w:r w:rsidRPr="0088636D">
        <w:rPr>
          <w:rStyle w:val="StyleUnderline"/>
        </w:rPr>
        <w:t>after a man complained</w:t>
      </w:r>
      <w:r w:rsidRPr="0088636D">
        <w:rPr>
          <w:sz w:val="16"/>
          <w:szCs w:val="16"/>
        </w:rPr>
        <w:t xml:space="preserve"> to them </w:t>
      </w:r>
      <w:r w:rsidRPr="0088636D">
        <w:rPr>
          <w:rStyle w:val="StyleUnderline"/>
        </w:rPr>
        <w:t>that he had acquired HIV</w:t>
      </w:r>
      <w:r w:rsidRPr="0088636D">
        <w:rPr>
          <w:sz w:val="16"/>
          <w:szCs w:val="16"/>
        </w:rPr>
        <w:t xml:space="preserve"> though sexual relations with Boone, who had not informed him of his HIV-positive status. After investigating, </w:t>
      </w:r>
      <w:r w:rsidRPr="0088636D">
        <w:rPr>
          <w:rStyle w:val="StyleUnderline"/>
        </w:rPr>
        <w:t>Ottawa Police arrested Boone on nine counts of aggravated assault and broke protocol by issuing his photo</w:t>
      </w:r>
      <w:r w:rsidRPr="0088636D">
        <w:rPr>
          <w:sz w:val="16"/>
          <w:szCs w:val="16"/>
        </w:rPr>
        <w:t xml:space="preserve">, thereby violating his right to privacy. </w:t>
      </w:r>
      <w:r w:rsidRPr="0088636D">
        <w:rPr>
          <w:rStyle w:val="StyleUnderline"/>
        </w:rPr>
        <w:t>Police warned of “a serious public health threat”</w:t>
      </w:r>
      <w:r w:rsidRPr="0088636D">
        <w:rPr>
          <w:sz w:val="16"/>
          <w:szCs w:val="16"/>
        </w:rPr>
        <w:t xml:space="preserve"> and claimed: “he [Boone] has had multiple partners and we are very concerned (…) it's very alarming and serious.”118 This is the same tactic Ottawa Police used when it released the photo and personal details of James Thornton in 1988. The media record shows that the policecreated hysteria around this arrest had the effect of setting into motion a series of processes to identify, classify and ontologize Boone, who </w:t>
      </w:r>
      <w:r w:rsidRPr="0088636D">
        <w:rPr>
          <w:rStyle w:val="StyleUnderline"/>
        </w:rPr>
        <w:t>quickly became known</w:t>
      </w:r>
      <w:r w:rsidRPr="0088636D">
        <w:rPr>
          <w:sz w:val="16"/>
          <w:szCs w:val="16"/>
        </w:rPr>
        <w:t xml:space="preserve"> in the media and popular discourse </w:t>
      </w:r>
      <w:r w:rsidRPr="0088636D">
        <w:rPr>
          <w:rStyle w:val="StyleUnderline"/>
        </w:rPr>
        <w:t>as the “HIV vampire</w:t>
      </w:r>
      <w:r w:rsidRPr="0088636D">
        <w:rPr>
          <w:sz w:val="16"/>
          <w:szCs w:val="16"/>
        </w:rPr>
        <w:t xml:space="preserve">.”119 In the media release, Police declared: “Mr. Boone has had multiple sexual partners over the past months, approaching them using the internet (sic) for the most part.”120 I contend that the wording of this initial media release contains within it the seeds that led to Boone being cast as an insatiable, 118 Ibid., citing Chief Inspector John McGetrick. 119 The media uses the terms “poz vampire” and “HIV vampire” interchangeably in their references to Boone. I do not analyze the cultural significance of metaphors of vampirism in connection with HIV and AIDS here. A small body of scholarly work addressing this question already exists. Much of it draws on work by Watney and Treichler to explore the use of vampires and vampire metaphors in American pop culture subsequent to the advent of AIDS. See: Xavier Aldana Reyes, “‘Who Ordered the Hamburger with AIDS?’ Hematophilic Semiotics in Tru(e) Blood,” Gothic Studies 15.1 (May 2013): 55-65; Marty Fink, “AIDS Vampires: Reimagining Illness in Octavia Butler’s ‘Fledgling,’” Science Fiction Studies 37.3 (November 2010): 416-432; Edward Guerrero, “AIDS as Monster in Science Fiction and Horror Cinema,” Journal of Popular Film and Television 18:3 (1990), 86-93. 120 Ottawa Police Services, Media Release: Steven Boone, May 7, 2010. The media release was posted on the Ottawa Police Services website for four years but has recently been removed. 266 aggressive sex criminal and subsequently grew into the discursive formation of the queer AIDS monster. In early 2010, when Steven Boone engaged in what his lawyer, Ian Carter, termed “charged-up sexual talk” with other men on the Internet, it is hard to imagine he could foresee how his “private” online chats, which included “talk of infection for arousal purposes,” would become the focus of a search warrant by police.121 In a matter of months Boone’s fantasy talk became the object of intense scrutiny by police investigators and Crown prosecutors who were intent on Boone being convicted of attempted murder. And this is in fact what did happen.122 After he was arrested at a Tim Horton’s coffee shop on Bank Street in downtown Ottawa, Boone was quickly charged with three counts of attempted murder, nine counts of aggravated sexual assault and other charges. Although he was to be offered bail, investigations across Ontario in Kitchener-Waterloo also led police there to charge him and another man with three counts of aggravated sexual assault, as well as other crimes. Given the charges mounting against him, </w:t>
      </w:r>
      <w:r w:rsidRPr="0088636D">
        <w:rPr>
          <w:rStyle w:val="StyleUnderline"/>
        </w:rPr>
        <w:t>the Crown moved to have Steven Boone deemed a danger to the public</w:t>
      </w:r>
      <w:r w:rsidRPr="0088636D">
        <w:rPr>
          <w:sz w:val="16"/>
          <w:szCs w:val="16"/>
        </w:rPr>
        <w:t xml:space="preserve">. He was remanded into custody until both trials took place. As the case became a media spectacle other “potential victims” came forward, and eventually police laid charges of attempted murder in a third case in Ottawa, one which I argue was key to early constructions of Boone as a potential child molester. 121 Bradley Turcotte, “Boone Found Guilty of Attempted Murder in HIV Trial,” Daily Xtra! October 31, 2012, accessed August 3, 2014, http://dailyxtra.com/ottawa/news/boone-found-guilty-attempted-murder-in-hiv-trial. 122 As such, the case forces us to reflect on the ways that private sexual fantasy has become public through the Internet and to question the use of sexual fantasy against individuals in court. The Steven Boone trials could provide an interesting case for further research on this issue. 267 On October 31, 2012, at the end of the first trial in Ottawa, </w:t>
      </w:r>
      <w:r w:rsidRPr="0088636D">
        <w:rPr>
          <w:rStyle w:val="StyleUnderline"/>
        </w:rPr>
        <w:t>Boone was found guilty of</w:t>
      </w:r>
      <w:r w:rsidRPr="0088636D">
        <w:rPr>
          <w:sz w:val="16"/>
          <w:szCs w:val="16"/>
        </w:rPr>
        <w:t xml:space="preserve"> three counts of attempted murder, as well as “</w:t>
      </w:r>
      <w:r w:rsidRPr="0088636D">
        <w:rPr>
          <w:rStyle w:val="StyleUnderline"/>
        </w:rPr>
        <w:t>administering a noxious substance—his semen</w:t>
      </w:r>
      <w:r w:rsidRPr="0088636D">
        <w:rPr>
          <w:sz w:val="16"/>
          <w:szCs w:val="16"/>
        </w:rPr>
        <w:t xml:space="preserve">.” 123 He was not sentenced pending the outcome of the two other trials. In January 2013, despite the fact the judge in the second Ottawa trial believed that Boone “plotted to infect” another man,124 he was acquitted of the charges against him because there were too many inconsistencies in the testimonies against him to render a clear verdict. Finally, in the trial held in Kitchener-Waterloo, Boone and another man, Noel Bowland, were convicted of two counts of aggravated sexual assault. The court found Bowland to be “a clear follower in his relationship with Boone,”125 and sentenced him to 18 months in jail; media attention continued to focus on Boone. At this point, prosecutors initiated proceedings to have Boone declared a dangerous offender, which if accepted by the court, would have him incarcerated indefinitely. Because he was not sentenced in respect of the Ottawa convictions, the judge moved to have the proceedings regarding the dangerous offender status dealt with at the same time as the sentencing. On May 29, 2013, Boone was moved to “administrative segregation,” which is effectively solitary </w:t>
      </w:r>
      <w:r w:rsidRPr="0088636D">
        <w:rPr>
          <w:sz w:val="16"/>
          <w:szCs w:val="16"/>
        </w:rPr>
        <w:lastRenderedPageBreak/>
        <w:t xml:space="preserve">confinement, at the Ottawa Carleton Detention Centre (OCDC) because he was believed to be engaging in sexual activity with other inmates. Sex is prohibited in institutions administrated by Correctional Services Canada (CCS). During 123 “HIV-Positive Man Guilty of Attempted Murder,” CBC, November 1, 2012, accessed November 14, 2014, http://www.cbc.ca/news/canada/ottawa/hiv-positiveottawa-man-guilty-of-attempted-murder-1.1236403. 124 “‘Poz-Vampire’ Acquitted of Attempted Murder,” Star Phoenix, January 4, 2013, accessed November 14, 2014, http://www2.canada.com/saskatoonstarphoenix/news/story.html?id=867b7bb0-fcb7-4bef- 800c-bde4c79c9a58. 125 Brian Caldwell, “Jail for Two Men Who Didn’t Disclose HIV Status,” Waterloo Region Record, May 8, 2013, A1. 268 the following year, as preparations to proceed with the request for dangerous offender status moved very slowly, Boone was kept in administrative segregation. His appeals to be returned to regular inmate accommodations and to share a cell were denied by the judge in January 2014. In June at a hearing to set a date for sentencing and to deal with the dangerous offender issue, Boone’s lawyer, Ian Carter, removed himself from the case. At the hearing on July 2, 2014, Judge Warkentin found that it was lawful for CSC to continue to keep Boone in solitary confinement and set dates for sentencing preparations in the fall. Boone remains in segregation today, more than a year after first being isolated from the rest of the inmate population, an act that his lawyer has characterized as two punishments for one crime. The Embodiment of Toxicity I read the state’s use of administrative segregation and its threats to apply a dangerous offender designation to Boone as tactics and technologies of queer quarantine. I argue that the deployment of these measures draws on discursive constructions of Boone as contagious threat not only to public health, but also to the inmate population at the OCDC. Therefore, I began with a brief exploration of the state’s representation of Boone as the embodiment of contagion and monstrosity. The Crown could hardly have been more direct in its opening arguments at the beginning of Boone’s Ottawa trial with its conflation of HIV and poison. In order to establish that Steven Boone intended to infect his sexual partners with HIV, </w:t>
      </w:r>
      <w:r w:rsidRPr="0088636D">
        <w:rPr>
          <w:rStyle w:val="StyleUnderline"/>
        </w:rPr>
        <w:t>prosecuting lawyers declared, “Mr. Boone used sex, his own toxicity</w:t>
      </w:r>
      <w:r w:rsidRPr="0088636D">
        <w:rPr>
          <w:sz w:val="16"/>
          <w:szCs w:val="16"/>
        </w:rPr>
        <w:t xml:space="preserve"> and deceit </w:t>
      </w:r>
      <w:r w:rsidRPr="0088636D">
        <w:rPr>
          <w:rStyle w:val="StyleUnderline"/>
        </w:rPr>
        <w:t>to perpetrate</w:t>
      </w:r>
      <w:r w:rsidRPr="0088636D">
        <w:rPr>
          <w:sz w:val="16"/>
          <w:szCs w:val="16"/>
        </w:rPr>
        <w:t xml:space="preserve"> his 269 </w:t>
      </w:r>
      <w:r w:rsidRPr="0088636D">
        <w:rPr>
          <w:rStyle w:val="StyleUnderline"/>
        </w:rPr>
        <w:t>crimes.</w:t>
      </w:r>
      <w:r w:rsidRPr="0088636D">
        <w:rPr>
          <w:sz w:val="16"/>
          <w:szCs w:val="16"/>
        </w:rPr>
        <w:t xml:space="preserve">”126 As I discussed in the previous chapter, an effect of queer quarantine is the construction of queer bodies as always already infected. Some </w:t>
      </w:r>
      <w:r w:rsidRPr="0088636D">
        <w:rPr>
          <w:rStyle w:val="StyleUnderline"/>
        </w:rPr>
        <w:t>people with HIV have internalized this notion of contagion so deeply that they identify as the virus or the epidemic of HIV itself</w:t>
      </w:r>
      <w:r w:rsidRPr="0088636D">
        <w:rPr>
          <w:sz w:val="16"/>
          <w:szCs w:val="16"/>
        </w:rPr>
        <w:t xml:space="preserve">. Here, </w:t>
      </w:r>
      <w:r w:rsidRPr="0088636D">
        <w:rPr>
          <w:rStyle w:val="StyleUnderline"/>
        </w:rPr>
        <w:t>the likening of queers to disease is exaggerated even further through Boone’s representation as the embodiment of toxicity</w:t>
      </w:r>
      <w:r w:rsidRPr="0088636D">
        <w:rPr>
          <w:sz w:val="16"/>
          <w:szCs w:val="16"/>
        </w:rPr>
        <w:t xml:space="preserve"> per se. As this projection enters official discourse around HIV non-disclosure and queers, I argue </w:t>
      </w:r>
      <w:r w:rsidRPr="0088636D">
        <w:rPr>
          <w:rStyle w:val="StyleUnderline"/>
        </w:rPr>
        <w:t>that it further fixes queerness as contagion</w:t>
      </w:r>
      <w:r w:rsidRPr="0088636D">
        <w:rPr>
          <w:sz w:val="16"/>
          <w:szCs w:val="16"/>
        </w:rPr>
        <w:t xml:space="preserve"> in terms of </w:t>
      </w:r>
      <w:r w:rsidRPr="0088636D">
        <w:rPr>
          <w:rStyle w:val="StyleUnderline"/>
        </w:rPr>
        <w:t>both queer bodies and queer desires as being infectious and contagious</w:t>
      </w:r>
      <w:r w:rsidRPr="0088636D">
        <w:rPr>
          <w:sz w:val="16"/>
          <w:szCs w:val="16"/>
        </w:rPr>
        <w:t xml:space="preserve">. </w:t>
      </w:r>
      <w:r w:rsidRPr="0088636D">
        <w:rPr>
          <w:rStyle w:val="StyleUnderline"/>
        </w:rPr>
        <w:t>The</w:t>
      </w:r>
      <w:r w:rsidRPr="0088636D">
        <w:rPr>
          <w:sz w:val="16"/>
          <w:szCs w:val="16"/>
        </w:rPr>
        <w:t xml:space="preserve"> Crown’s </w:t>
      </w:r>
      <w:r w:rsidRPr="0088636D">
        <w:rPr>
          <w:rStyle w:val="StyleUnderline"/>
        </w:rPr>
        <w:t>discursive production of Boone as a poison both dehumanizes and criminalizes him. It also isolates him as forever contagious</w:t>
      </w:r>
      <w:r w:rsidRPr="0088636D">
        <w:rPr>
          <w:sz w:val="16"/>
          <w:szCs w:val="16"/>
        </w:rPr>
        <w:t xml:space="preserve">: everyone with whom he comes in contact is at risk for infection. This contagion is exemplified through the way </w:t>
      </w:r>
      <w:r w:rsidRPr="0088636D">
        <w:rPr>
          <w:rStyle w:val="StyleUnderline"/>
        </w:rPr>
        <w:t>his conflation with poison sticks to his body:</w:t>
      </w:r>
      <w:r w:rsidRPr="0088636D">
        <w:rPr>
          <w:sz w:val="16"/>
          <w:szCs w:val="16"/>
        </w:rPr>
        <w:t xml:space="preserve"> two years following the first trial, a letter Boone sent his former sexual partner in jail becomes read as “a poisonous note.”127 As of the October 31, 2012 conviction, whereby Boone was found guilty of three counts of attempting “to administer a noxious substance,”128 the legal and discursive precedents have been set. </w:t>
      </w:r>
      <w:r w:rsidRPr="0088636D">
        <w:rPr>
          <w:rStyle w:val="StyleUnderline"/>
        </w:rPr>
        <w:t>Queer semen can now be read as poison</w:t>
      </w:r>
      <w:r w:rsidRPr="0088636D">
        <w:rPr>
          <w:sz w:val="16"/>
          <w:szCs w:val="16"/>
        </w:rPr>
        <w:t xml:space="preserve">. Regardless of the technical discussions about viral loads and undetectable status, gay men are presented as the embodiment of HIV and AIDS. As notions of queer semen and queer bodies as 126 Joe Lofaro, “HIV Trial Verdict: Steven Boone Guilty of Attempted Murder,” Metro, October 31, 2012, accessed August 3, 2014, http://metronews.ca/news/ottawa/424190/hiv-trial-jury-finds-steven-boone-guilty-ofattempted-murder/. 127 Tony Spears, “‘Poz Vampire’ Steven Boone Wants Out of Segregation to Get Sex,” Ottawa Sun, December 11, 2014, accessed November 9, 2014, http://www.ottawasun.com/2013/12/11/poz-vampire-steven-boone-wants-out-ofsegregation-to-get-sex. 128 “HIV-Positive Man Guilty of Attempted Murder,” CBC. 270 noxious substances move throughout dominant discourse they continue to present grave implications for queers via evolving tactics and technologies of queer quarantine in the future. Moreover, I argue that Boone’s threat to public health is not only reflected in his embodied toxicity but also in his construction by the legal system and the media as contagious and intentionally seeking to infect others with his semen. As I noted above, however, </w:t>
      </w:r>
      <w:r w:rsidRPr="0088636D">
        <w:rPr>
          <w:rStyle w:val="StyleUnderline"/>
        </w:rPr>
        <w:t>this contagion is not based solely in his sero-positivity; it is</w:t>
      </w:r>
      <w:r w:rsidRPr="0088636D">
        <w:rPr>
          <w:sz w:val="16"/>
          <w:szCs w:val="16"/>
        </w:rPr>
        <w:t xml:space="preserve"> ultimately </w:t>
      </w:r>
      <w:r w:rsidRPr="0088636D">
        <w:rPr>
          <w:rStyle w:val="StyleUnderline"/>
        </w:rPr>
        <w:t>bound up with his queerness</w:t>
      </w:r>
      <w:r w:rsidRPr="0088636D">
        <w:rPr>
          <w:sz w:val="16"/>
          <w:szCs w:val="16"/>
        </w:rPr>
        <w:t xml:space="preserve"> and therefore, according to traditional constructions of queerness, a calculated, intentional agenda to convert others to HIV and to homosexuality. This is evidenced by continual references in the court proceedings, witness and CSC testimony, and legal decisions to Boone having insatiable sexual desires and engaging in “bug swapping” activities. Crown prosecutor Louise Tansey-Miller claimed that Boone was, “aroused by, and deeply committed to, achieving his goal of spreading HIV.”129 Boone’s alleged commitment to his “sick desire” of “spreading HIV to infect healthy men” is likened to an agenda, 130 and </w:t>
      </w:r>
      <w:r w:rsidRPr="0088636D">
        <w:rPr>
          <w:rStyle w:val="StyleUnderline"/>
        </w:rPr>
        <w:t>this discursive slippage between the so-called “gay agenda” and queer contagion is only further amplified by constructions</w:t>
      </w:r>
      <w:r w:rsidRPr="0088636D">
        <w:rPr>
          <w:sz w:val="16"/>
          <w:szCs w:val="16"/>
        </w:rPr>
        <w:t xml:space="preserve"> of Boone as </w:t>
      </w:r>
      <w:r w:rsidRPr="0088636D">
        <w:rPr>
          <w:rStyle w:val="StyleUnderline"/>
        </w:rPr>
        <w:t>seeking sex with young men and “boys</w:t>
      </w:r>
      <w:r w:rsidRPr="0088636D">
        <w:rPr>
          <w:sz w:val="16"/>
          <w:szCs w:val="16"/>
        </w:rPr>
        <w:t xml:space="preserve">” in order to infect them or convert them to HIV-positive status. Throughout the four-year long case, </w:t>
      </w:r>
      <w:r w:rsidRPr="0088636D">
        <w:rPr>
          <w:rStyle w:val="StyleUnderline"/>
        </w:rPr>
        <w:t>the media</w:t>
      </w:r>
      <w:r w:rsidRPr="0088636D">
        <w:rPr>
          <w:sz w:val="16"/>
          <w:szCs w:val="16"/>
        </w:rPr>
        <w:t xml:space="preserve"> </w:t>
      </w:r>
      <w:r w:rsidRPr="0088636D">
        <w:rPr>
          <w:rStyle w:val="StyleUnderline"/>
        </w:rPr>
        <w:t>has continually referred to Boone’s sexual partners as “boys</w:t>
      </w:r>
      <w:r w:rsidRPr="0088636D">
        <w:rPr>
          <w:sz w:val="16"/>
          <w:szCs w:val="16"/>
        </w:rPr>
        <w:t>.” This also includes mainstream gay media, such as Xtra!, which in its reporting on the first trial reported, “One 17-year-old male tested positive after a sexual encounter with the accused, although it cannot be known if the accused infected 129 Megan Gillis, “Hooked on Spreading HIV: Crown Says Accused Had Sick Desire to Infect Healthy Men,” Ottawa Sun, October 12, 2012, 4. 130 Ibid. 271 the boy.” 131 Furthermore, both Crown prosecutors and the media focused much attention on the disability of one of Boone’s partners, the alleged victim at the centre of the second trial in Ottawa. The man, who was twenty-one years old at the time, has a developmental disability and was consistently referred to by media in terms that compared him to a child: “Boone is set to stand trial on separate charges of attempted murder, attempted aggravated sexual assault, breach of probation and sexual assault on a developmentally delayed man in his 20s who functions at the level of a 13-year-old.” 132 The Sun even went so far as to repeatedly characterize the alleged victim as: “</w:t>
      </w:r>
      <w:r w:rsidRPr="0088636D">
        <w:rPr>
          <w:rStyle w:val="StyleUnderline"/>
        </w:rPr>
        <w:t>a 21-year-old man with the mind of a child.</w:t>
      </w:r>
      <w:r w:rsidRPr="0088636D">
        <w:rPr>
          <w:sz w:val="16"/>
          <w:szCs w:val="16"/>
        </w:rPr>
        <w:t>”133 Indeed</w:t>
      </w:r>
      <w:r w:rsidRPr="0088636D">
        <w:rPr>
          <w:rStyle w:val="StyleUnderline"/>
        </w:rPr>
        <w:t>, the representation of Boone as a danger to boys</w:t>
      </w:r>
      <w:r w:rsidRPr="0088636D">
        <w:rPr>
          <w:sz w:val="16"/>
          <w:szCs w:val="16"/>
        </w:rPr>
        <w:t xml:space="preserve"> throughout the trial </w:t>
      </w:r>
      <w:r w:rsidRPr="0088636D">
        <w:rPr>
          <w:rStyle w:val="StyleUnderline"/>
        </w:rPr>
        <w:t>has become deeply imbricated in discourse around the case</w:t>
      </w:r>
      <w:r w:rsidRPr="0088636D">
        <w:rPr>
          <w:sz w:val="16"/>
          <w:szCs w:val="16"/>
        </w:rPr>
        <w:t xml:space="preserve">. Crown prosecutor Meaghan Cunningham, for example, in discussing the likelihood of HIV transmission when an HIV-positive man has a low viral load, likened the threat of infection to a lightning strike </w:t>
      </w:r>
      <w:r w:rsidRPr="0088636D">
        <w:rPr>
          <w:rStyle w:val="StyleUnderline"/>
        </w:rPr>
        <w:t>using a metaphor that draws on this</w:t>
      </w:r>
      <w:r w:rsidRPr="0088636D">
        <w:rPr>
          <w:sz w:val="16"/>
          <w:szCs w:val="16"/>
        </w:rPr>
        <w:t xml:space="preserve"> discursive </w:t>
      </w:r>
      <w:r w:rsidRPr="0088636D">
        <w:rPr>
          <w:rStyle w:val="StyleUnderline"/>
        </w:rPr>
        <w:t>tactic</w:t>
      </w:r>
      <w:r w:rsidRPr="0088636D">
        <w:rPr>
          <w:sz w:val="16"/>
          <w:szCs w:val="16"/>
        </w:rPr>
        <w:t xml:space="preserve">: We all </w:t>
      </w:r>
      <w:r w:rsidRPr="0088636D">
        <w:rPr>
          <w:sz w:val="16"/>
          <w:szCs w:val="16"/>
        </w:rPr>
        <w:lastRenderedPageBreak/>
        <w:t xml:space="preserve">know </w:t>
      </w:r>
      <w:r w:rsidRPr="0088636D">
        <w:rPr>
          <w:rStyle w:val="StyleUnderline"/>
        </w:rPr>
        <w:t>the chance of being struck by lightning is</w:t>
      </w:r>
      <w:r w:rsidRPr="0088636D">
        <w:rPr>
          <w:sz w:val="16"/>
          <w:szCs w:val="16"/>
        </w:rPr>
        <w:t xml:space="preserve"> very </w:t>
      </w:r>
      <w:r w:rsidRPr="0088636D">
        <w:rPr>
          <w:rStyle w:val="StyleUnderline"/>
        </w:rPr>
        <w:t>small,</w:t>
      </w:r>
      <w:r w:rsidRPr="0088636D">
        <w:rPr>
          <w:sz w:val="16"/>
          <w:szCs w:val="16"/>
        </w:rPr>
        <w:t xml:space="preserve">” she said. “However, </w:t>
      </w:r>
      <w:r w:rsidRPr="0088636D">
        <w:rPr>
          <w:rStyle w:val="StyleUnderline"/>
        </w:rPr>
        <w:t>we</w:t>
      </w:r>
      <w:r w:rsidRPr="0088636D">
        <w:rPr>
          <w:sz w:val="16"/>
          <w:szCs w:val="16"/>
        </w:rPr>
        <w:t xml:space="preserve"> all get out of the swimming pool and </w:t>
      </w:r>
      <w:r w:rsidRPr="0088636D">
        <w:rPr>
          <w:rStyle w:val="StyleUnderline"/>
        </w:rPr>
        <w:t>pull our kids off the soccer field when it starts, even though the risk is very,</w:t>
      </w:r>
      <w:r w:rsidRPr="0088636D">
        <w:rPr>
          <w:sz w:val="16"/>
          <w:szCs w:val="16"/>
        </w:rPr>
        <w:t xml:space="preserve"> very </w:t>
      </w:r>
      <w:r w:rsidRPr="0088636D">
        <w:rPr>
          <w:rStyle w:val="StyleUnderline"/>
        </w:rPr>
        <w:t>small</w:t>
      </w:r>
      <w:r w:rsidRPr="0088636D">
        <w:rPr>
          <w:sz w:val="16"/>
          <w:szCs w:val="16"/>
        </w:rPr>
        <w:t xml:space="preserve">. We act because the potential consequence is so severe.134 </w:t>
      </w:r>
      <w:r w:rsidRPr="0088636D">
        <w:rPr>
          <w:rStyle w:val="StyleUnderline"/>
        </w:rPr>
        <w:t>If Steven Boone is HIV and infection with HIV is like a lightening strike, then Boone threatens our kids.</w:t>
      </w:r>
      <w:r w:rsidRPr="0088636D">
        <w:rPr>
          <w:sz w:val="16"/>
          <w:szCs w:val="16"/>
        </w:rPr>
        <w:t xml:space="preserve"> Through repeated references to his insatiable appetite for sex, such as, “Accused had ‘4 or 5’ partners a week,”135 sustained construction of his sexual partners 131 Turcotte, “Boone Found Guilty,” italics mine. 132 Ibid. My emphasis. 133 “Witness: Steven Boone Forced Oral Sex on Me,” Ottawa Sun, November 13, 2012, accessed August 3, 2014, http://www.ottawasun.com/videos/1967301179001. 134 Turcotte, “Boone Found Guilty.” 135 Megan Gillis, “Accused Had ‘4 or 5’ Partners a Week: Roommate,” Ottawa Sun, October 23, 2012, accessed October 31, 2014, 272 as “boys,” and insistence that his sexual relations were part of an agenda to infect and convert “healthy men,” discourse produced by the courts, the CSC and </w:t>
      </w:r>
      <w:r w:rsidRPr="0088636D">
        <w:rPr>
          <w:rStyle w:val="StyleUnderline"/>
        </w:rPr>
        <w:t>the media functions to characterize Boone as a queer child molester with monstrous intent to corrupt and murder boys with his semen.</w:t>
      </w:r>
      <w:r w:rsidRPr="0088636D">
        <w:rPr>
          <w:sz w:val="16"/>
          <w:szCs w:val="16"/>
        </w:rPr>
        <w:t xml:space="preserve"> This is in addition to the fact that Boone did, according to evidence presented in court, refer to himself at least once in his online chats as a “poz vampire.” Although Boone’s lawyer argued that the transcripts of the chats are the product of a “rich fantasy life,” 136 the media seized on the opportunity to stylize Boone as a vampire. Thus, the “poz vampire” is brought to life as the newest in a line of queer AIDS monsters, which can be traced back through James Thornton to Gaëtan Dugas, who threaten the future to the nation through both its boys and its blood. The Multiple Quarantine of Steven Boone The Steven Boone case has most certainly contributed to the developing discourse around the confinement of prisoners with HIV and those who are queer. Although sexual activity is not usually spoken about officially since it is not permitted in the Canadian prison system, this case puts questions around queer sexual acts in prisons back into official discourse. But this is more than just a question of the solitary confinement of one gay inmate living with HIV; this case has significance for transforming technologies of queer quarantine. Pursuant to the findings of the l995 Commission of Inquiry into Certain Events at the Prison for Women in Kingston (also known as the Arbour Commission), in which Supreme Court Judge Louise Arbour declared that segregation over a long term http://www.winnipegsun.com/2012/10/23/boone-likely-infected-teen-with-hiv-experttestifies. 136 Turcotte, “Boone Found Guilty.” 273 constituted cruel and unusual punishment, CSC was instructed to stop such practices. 137 CSC continues, however, to justify the solitary confinement of prisoners for various reasons, such as for the safety of the inmate in question, the safety of other inmates, or in the case where a prisoner requests his or her own segregation. Since his arrest in Ottawa on May 6, 2010, Boone has been constantly in police custody, in detention centres, and in solitary confinement. Given the number and severity of the charges he faced, in two separate locations in Ontario, he was not offered bail following his arrest. During the first two years of Boone’s detention at the OCDC, he allegedly participated in consensual sexual encounters with other inmates. With one man in particular, he is understood to have had an ongoing relationship.138 This man has since been transferred to another establishment, allegedly to receive psychiatric treatment.139 Only this inmate, referred to as M.D., provided corroborating evidence of the relationship. No other inmates cooperated with investigations into Boone’s alleged sexual activities. Therefore it can only be substantiated that Boone had consensual sexual activities during the time he was involved in a relationship with M.D. The CSC and the courts have used this sexual relationship, as I explain below, as evidence of Boone’s monstrous intentions to infect heterosexual men with HIV. The logic constructed around 137 Shauna Bottos, Profile of Offenders in Administrative Segregation: A Review of the Literature, Research Branch, Correctional Service Canada, Ottawa: September 2007, accessed October 31, 2014, http://www.csc-scc.gc.ca/research/b39-eng.shtml; Louise Abour, Commission of Inquiry into Certain Events at the Prison for Women in Kingston, Public Works and Government Services, Ottawa: 1996, accessed October 31, 2014, http://www.justicebehindthewalls.net/resources/arbour_report/arbour_rpt.htm. 138 R. v. Boone, 2014 ONSC 370 (CanLII), January 16, 2014, Paragraph14, accessed November 9, 2014, https://www.canlii.org/en/on/onsc/doc/2014/2014onsc370/2014onsc370.html?searchUrlH ash=AAAAAQAFYm9vbmUAAAAAAQ. 139 Ibid., Paragraph 13. 274 </w:t>
      </w:r>
      <w:r w:rsidRPr="0088636D">
        <w:rPr>
          <w:rStyle w:val="StyleUnderline"/>
        </w:rPr>
        <w:t>the queer AIDS monster is that no one is safe around him, not even other prisoners. He is just as “toxic” in prison</w:t>
      </w:r>
      <w:r w:rsidRPr="0088636D">
        <w:rPr>
          <w:sz w:val="16"/>
          <w:szCs w:val="16"/>
        </w:rPr>
        <w:t xml:space="preserve">; therefore, </w:t>
      </w:r>
      <w:r w:rsidRPr="0088636D">
        <w:rPr>
          <w:rStyle w:val="StyleUnderline"/>
        </w:rPr>
        <w:t>even fellow inmates must be protected from him</w:t>
      </w:r>
      <w:r w:rsidRPr="0088636D">
        <w:rPr>
          <w:sz w:val="16"/>
          <w:szCs w:val="16"/>
        </w:rPr>
        <w:t xml:space="preserve">. During his last trial in Waterloo, Ontario, which took place in Winter 2013 he was housed at the Maplehurst Correctional Complex in Milton, Ontario for some time before being sent back to the OCDC. Upon arrival at the OCDC on May 29, 2013, </w:t>
      </w:r>
      <w:r w:rsidRPr="0088636D">
        <w:rPr>
          <w:rStyle w:val="StyleUnderline"/>
        </w:rPr>
        <w:t>he was placed in solitary confinement where he remains</w:t>
      </w:r>
      <w:r w:rsidRPr="0088636D">
        <w:rPr>
          <w:sz w:val="16"/>
          <w:szCs w:val="16"/>
        </w:rPr>
        <w:t xml:space="preserve"> up until the writing of this chapter. As he is scheduled for sentencing in Ottawa in late fall 2014, it is now assumed that he will remain in administrative segregation until that time. Despite legal requirements that call for detainees to be given notice to appeal their isolation every five days, according to Boone, this requirement has not been fulfilled. He has thus been held continuously in solitary confinement and the only explanations he has been given are “for liability reasons” and “you should know the reasons.”140 Two options were given to Boone that would, according to the CSC and the presiding judge, reduce the psychological harm Boone faced due to his complete segregation from other prisoners. The first proposal was to house him in the medical ward, known as the Pod-A medical area, of the OCDC where he would have a single cell for the night but be able to socialize in a common area during the day.141 This option, however, “involved some loss of privacy as there are observation windows in these medical cells.” 142 The other option was to move him to Cambridge facilities, where he would have a single cell but also be able to socialize with other inmates during the 140 Ibid., Paragraph 22. 141 Ibid., Paragraph 25. 142 Ibid. 275 daytime. Boone rejected both options and requested that he be released from solitary confinement and be allowed to have a cellmate like the other inmates at the OCDC. The two options to move Boone are revealing because they offer him freedom to socialize during the day but would see him sequestered at night, ensuring his isolation from others. The logic surrounding this confinement is that if he had a cellmate, he would engage in sexual activity with that person at night. This decision is based on the logic of “straight time,” which assumes that sexual activity takes place at night in a bed(room). It is imaginable, however, that sex acts of various kinds occur in prisons and other detention centres at various times of day under diverse conditions allowing prisoners to interact out of view of the surveillance system of the prison. The judge’s decision does not say why Boone declined the offers to move; rather, it indicates that the offers permitted socialization with others under surveillance and that he rejected them, requesting a return to normalized inmate conditions where prisoners have cellmates. The decision does not state that he wanted a cellmate for sex; the judge alludes to this throughout her decision. Following the December 2013 hearing, the media conflated queerness once again with sex addiction and predation, claiming, “‘Poz Vampire’ Steven Boone Wants Out of Segregation to Get Sex,” and, “Jail hasn’t curtailed the sex life of [the] predatory HIVpositive man convicted of trying to infect others with the dread disease.”143 Finally, an application to suspend </w:t>
      </w:r>
      <w:r w:rsidRPr="0088636D">
        <w:rPr>
          <w:sz w:val="16"/>
          <w:szCs w:val="16"/>
        </w:rPr>
        <w:lastRenderedPageBreak/>
        <w:t xml:space="preserve">the “administrative segregation” of Steven Boone was heard mid-December 2013. In his January 2014 decision on the OCDC’s request to maintain Boone’s segregation from other inmates at OCDC, Mr. Justice Robert J. Smith, wrote that: 143 Tony Spears “‘Poz Vampire.’” 276 The Deputy Superintendent testified that the applicant has been placed in segregation in order to protect other inmates from his manipulative sexual behaviour and possible infection with HIV. The Superintendent is aware of incidents of sexual activities between the applicant and other inmates while he was being held at the OCDC. The Superintendent denied that the applicant’s sexual orientation or the fact that he is HIV positive was the reason he was placed in segregation. I accept his evidence in this regard.144 In the decision, which denied Boone’s request to be released from segregation, the judge stated his rationale for his maintaining Boone’s solitary confinement: I find that if the applicant is placed with a cellmate there is a very high risk that the applicant would manipulate the cellmate into having sexual intercourse and a high risk that this cellmate would contact (sic) HIV putting any such cellmate in a dangerous situation if placed with the applicant.145 Contrary to the opinion of the Superintendent and the Ontario Superior Court Judge, I contend that Steven Boone’s incarceration in “administrative segregation,” indeed the whole case, including the attempted murder conviction, has everything to do with his sexual orientation and his HIV sero-positivity. </w:t>
      </w:r>
      <w:r w:rsidRPr="0088636D">
        <w:rPr>
          <w:rStyle w:val="StyleUnderline"/>
        </w:rPr>
        <w:t>But for his queerness</w:t>
      </w:r>
      <w:r w:rsidRPr="0088636D">
        <w:rPr>
          <w:sz w:val="16"/>
          <w:szCs w:val="16"/>
        </w:rPr>
        <w:t xml:space="preserve"> and his HIV-positive status, </w:t>
      </w:r>
      <w:r w:rsidRPr="0088636D">
        <w:rPr>
          <w:rStyle w:val="StyleUnderline"/>
        </w:rPr>
        <w:t>Steven Boone would not be in the predicament he is in in the first place</w:t>
      </w:r>
      <w:r w:rsidRPr="0088636D">
        <w:rPr>
          <w:sz w:val="16"/>
          <w:szCs w:val="16"/>
        </w:rPr>
        <w:t xml:space="preserve">.146 The more persuasive evidence of this, however, lies in a reading of the judge’s decision itself. This latest in a series of legal decisions against Boone continues to rely on strategies of queer quarantine re-circulated throughout discourse in which Boone is always already recast as a queer sexual predator and a toxic queer body: a queer AIDS monster. Although he is only known to have engaged in one sexual relationship while incarcerated, in official documents that include court proceedings and decisions against him, it is alleged he had multiple sexual encounters with other inmates and used the language of predation. 144 R. v. Boone, 2014 ONSC 370, Paragraph 2. 145 Ibid., Paragraph 8. 146 If he were not gay, he would not likely be seeking sex partners in jail; if he were not HIV-positive, the legal system would have a more difficult time confirming his “toxicity.” I have discussed, queers are considered always already infected. 277 Moreover, throughout the more than three-year ordeal, Boone is positioned as manipulative, cunning and deceitful, able to dominate other young men and “boys.” In her ruling following the Kitchener-Waterloo trial, Justice Bonnie Warkentin wrote that Boone “bragged about his ability to manipulate young men into having unprotected sex with him,”147 and is described “as someone who is manipulative and who finds it quite easy to find willing sexual partners.”148 These statements by Justice Warkentin are picked up and re-circulated by Justice Robert J. Smith in his decision on Boone’s continuing segregation. While they do not call him a sexual predator outright, </w:t>
      </w:r>
      <w:r w:rsidRPr="0088636D">
        <w:rPr>
          <w:rStyle w:val="StyleUnderline"/>
        </w:rPr>
        <w:t>official legal discourse</w:t>
      </w:r>
      <w:r w:rsidRPr="0088636D">
        <w:rPr>
          <w:sz w:val="16"/>
          <w:szCs w:val="16"/>
        </w:rPr>
        <w:t xml:space="preserve"> around Boone </w:t>
      </w:r>
      <w:r w:rsidRPr="0088636D">
        <w:rPr>
          <w:rStyle w:val="StyleUnderline"/>
        </w:rPr>
        <w:t>links him directly to the trope of the queer child molester by</w:t>
      </w:r>
      <w:r w:rsidRPr="0088636D">
        <w:rPr>
          <w:sz w:val="16"/>
          <w:szCs w:val="16"/>
        </w:rPr>
        <w:t xml:space="preserve"> continually </w:t>
      </w:r>
      <w:r w:rsidRPr="0088636D">
        <w:rPr>
          <w:rStyle w:val="StyleUnderline"/>
        </w:rPr>
        <w:t>positioning him as taking advantage of weaker young men and boys</w:t>
      </w:r>
      <w:r w:rsidRPr="0088636D">
        <w:rPr>
          <w:sz w:val="16"/>
          <w:szCs w:val="16"/>
        </w:rPr>
        <w:t xml:space="preserve">. This connection is broadened by the notion that in the prison setting he has a captive audience of supposedly heterosexual men vulnerable to his sexual advances. Of course, </w:t>
      </w:r>
      <w:r w:rsidRPr="0088636D">
        <w:rPr>
          <w:rStyle w:val="StyleUnderline"/>
        </w:rPr>
        <w:t>this draws upon</w:t>
      </w:r>
      <w:r w:rsidRPr="0088636D">
        <w:rPr>
          <w:sz w:val="16"/>
          <w:szCs w:val="16"/>
        </w:rPr>
        <w:t xml:space="preserve"> and plays into fears of </w:t>
      </w:r>
      <w:r w:rsidRPr="0088636D">
        <w:rPr>
          <w:rStyle w:val="StyleUnderline"/>
        </w:rPr>
        <w:t>the queer AIDS monster/molester</w:t>
      </w:r>
      <w:r w:rsidRPr="0088636D">
        <w:rPr>
          <w:sz w:val="16"/>
          <w:szCs w:val="16"/>
        </w:rPr>
        <w:t xml:space="preserve"> seeking to corrupt innocent straight boys. The second trope that keeps Steven Boone in queer quarantine is that of </w:t>
      </w:r>
      <w:r w:rsidRPr="0088636D">
        <w:rPr>
          <w:rStyle w:val="StyleUnderline"/>
        </w:rPr>
        <w:t>the poisonous</w:t>
      </w:r>
      <w:r w:rsidRPr="0088636D">
        <w:rPr>
          <w:sz w:val="16"/>
          <w:szCs w:val="16"/>
        </w:rPr>
        <w:t xml:space="preserve"> HIV-infected </w:t>
      </w:r>
      <w:r w:rsidRPr="0088636D">
        <w:rPr>
          <w:rStyle w:val="StyleUnderline"/>
        </w:rPr>
        <w:t>body and the putative desire of queers</w:t>
      </w:r>
      <w:r w:rsidRPr="0088636D">
        <w:rPr>
          <w:sz w:val="16"/>
          <w:szCs w:val="16"/>
        </w:rPr>
        <w:t xml:space="preserve">, in the fashion of the first queer AIDS monsters, Patient Zero/ Gaëtan Dugas and James Thornton, to willfully infect not only other gay men but the overall heterosexual population with HIV and further the AIDS epidemic. Deploying language familiar to those who have read official HIV/AIDS discourse produced by medical authorities and the state for three decades, the 147 R. v. Boone, 2013 ONSC 79 (CanLII), January 3, 2013, Paragraph 33, accessed November 9, 2014, https://www.canlii.org/en/on/onsc/doc/2013/2013onsc79/2013onsc79.html?searchUrlHas h=AAAAAQAFYm9vbmUAAAAAAQ. 148 Ibid., 35 278 court documents and decisions for this case continually refer to Steven Boone in terms of his being a high risk to others. In other words, his body is read as toxic and given his putative propensity for manipulative, unprotected anal sex, it is assumed that anyone made to share a cell with him would certainly be at high risk for HIV infection. This is underscored by the way Boone, as a gay man, is characterized as constantly in search of partners to satisfy his insatiable need for sex. Justice Warkentin’s January 2013 decision, R. v. Boone, 2013 ONSC 79, is cited in Justice Robert J. Smith’s January 2014 decision, where he notes that Boone “bragged about his ability to infect others with HIV by lying to them about his HIV positive status.” 149 This is hauntingly reminiscent of Randy Shilts’s depiction of rumours about Gaëtan Dugas allegedly turning up the lights in his cell-like room in a San Francisco bathhouse to point to his Kaposi sarcoma lesions and declare to his sex partners, “I’ve got gay cancer…I’m going to die and so are you.” 150 Separated by much time and space, these two episodes are nonetheless cathected via fear inducing tactics of quarantine that represent queer bodies as always already infected with HIV and queers as possessing uncontrollable desires for anal sex and to pass their infectious queerness on to others. Thus, Steven Boone remains multiply quarantined. Quarantined because of his queerness, and as a person living with HIV, he is also doubly quarantined within the prison system itself, where he is confined to “administrative segregation” because his “toxicity” and “ability to manipulate” is perceived as threats to the prison population. Today, the Steven Boone case stands as a testimony to the perceived threats of the queer AIDS monster to the future of the nation via its children and its blood. These threats are 149 R. v. Boone, 2014 ONSC 370, Paragraph 33. 150 Randy Shilts, And the Band Played On, 165. 279 imagined to be so dire that Steven Boone remains quarantined in solitary confinement even though he has not yet been sentenced for the crimes he was convicted of committing in Ottawa in 2012. Moreover, if the superior court accepts the request by Crown prosecutors to classify Boone as a dangerous offender, he will be literally quarantined indefinitely. In the meantime, the highly charged discourse around the “poz vampire” should be read as a warning to queers about the effects of discursive tactics and technologies of queer quarantine. Since queerness is always already discursively linked with sickness and monstrosity, the liminal figure of the “poz vampire” serves to remind us that for the state, its institutions and dominant culture, queer men are potential queer AIDS monsters. From the outset, the Steven Boone case added much momentum to the sex panic around HIV non-disclosure, with one result being a chilling effect on talk between gay men and MSM about HIV, as well as on their desire to get tested for HIV.151 At the same time, I argue that the strategic effects of the tactics and technologies of queer quarantine deployed during the ASA debates on GSAs, through the repositioning of the ban by the CBS on queer blood, and as a result of the queer quarantine of Steven Boone, have yet to be felt. The simultaneous unfolding of these three events suggests that </w:t>
      </w:r>
      <w:r w:rsidRPr="0088636D">
        <w:rPr>
          <w:rStyle w:val="StyleUnderline"/>
        </w:rPr>
        <w:t>the machinery of queer quarantine continues to be deployed</w:t>
      </w:r>
      <w:r w:rsidRPr="0088636D">
        <w:rPr>
          <w:sz w:val="16"/>
          <w:szCs w:val="16"/>
        </w:rPr>
        <w:t xml:space="preserve"> on several levels in dominant culture </w:t>
      </w:r>
      <w:r w:rsidRPr="0088636D">
        <w:rPr>
          <w:rStyle w:val="StyleUnderline"/>
        </w:rPr>
        <w:t>in aid of reproductive futurism</w:t>
      </w:r>
      <w:r w:rsidRPr="0088636D">
        <w:rPr>
          <w:sz w:val="16"/>
          <w:szCs w:val="16"/>
        </w:rPr>
        <w:t>. Writing in the aftermath of AIDS, Jonathon Dollimore noted, “</w:t>
      </w:r>
      <w:r w:rsidRPr="0088636D">
        <w:rPr>
          <w:rStyle w:val="StyleUnderline"/>
        </w:rPr>
        <w:t>homosexuality is seen as death-driven, death-desiring, and thereby death-dealing.</w:t>
      </w:r>
      <w:r w:rsidRPr="0088636D">
        <w:rPr>
          <w:sz w:val="16"/>
          <w:szCs w:val="16"/>
        </w:rPr>
        <w:t xml:space="preserve">”152 151 Fagan and McKinnon, “UPDATE: Nine More,” Daily Xtra! 152 Jonathan Dollimore, Death, Desire, and Loss in Western Culture (New </w:t>
      </w:r>
      <w:r w:rsidRPr="0088636D">
        <w:rPr>
          <w:sz w:val="16"/>
          <w:szCs w:val="16"/>
        </w:rPr>
        <w:lastRenderedPageBreak/>
        <w:t xml:space="preserve">York: Routledge, 1998), xi. 280 </w:t>
      </w:r>
      <w:r w:rsidRPr="0088636D">
        <w:rPr>
          <w:rStyle w:val="StyleUnderline"/>
        </w:rPr>
        <w:t>The fear of queerness</w:t>
      </w:r>
      <w:r w:rsidRPr="0088636D">
        <w:rPr>
          <w:sz w:val="16"/>
          <w:szCs w:val="16"/>
        </w:rPr>
        <w:t xml:space="preserve"> as inherently death provoking </w:t>
      </w:r>
      <w:r w:rsidRPr="0088636D">
        <w:rPr>
          <w:rStyle w:val="StyleUnderline"/>
        </w:rPr>
        <w:t>continues to haunt the national imagination, and can be traced through the</w:t>
      </w:r>
      <w:r w:rsidRPr="0088636D">
        <w:rPr>
          <w:sz w:val="16"/>
          <w:szCs w:val="16"/>
        </w:rPr>
        <w:t xml:space="preserve"> means in which dominant culture deploys </w:t>
      </w:r>
      <w:r w:rsidRPr="0088636D">
        <w:rPr>
          <w:rStyle w:val="StyleUnderline"/>
        </w:rPr>
        <w:t>tactics</w:t>
      </w:r>
      <w:r w:rsidRPr="0088636D">
        <w:rPr>
          <w:sz w:val="16"/>
          <w:szCs w:val="16"/>
        </w:rPr>
        <w:t xml:space="preserve"> and technologies </w:t>
      </w:r>
      <w:r w:rsidRPr="0088636D">
        <w:rPr>
          <w:rStyle w:val="StyleUnderline"/>
        </w:rPr>
        <w:t>to quarantine queerness, from</w:t>
      </w:r>
      <w:r w:rsidRPr="0088636D">
        <w:rPr>
          <w:sz w:val="16"/>
          <w:szCs w:val="16"/>
        </w:rPr>
        <w:t xml:space="preserve"> </w:t>
      </w:r>
      <w:r w:rsidRPr="0088636D">
        <w:rPr>
          <w:rStyle w:val="StyleUnderline"/>
        </w:rPr>
        <w:t>national institutions charged with citizen formation</w:t>
      </w:r>
      <w:r w:rsidRPr="0088636D">
        <w:rPr>
          <w:sz w:val="16"/>
          <w:szCs w:val="16"/>
        </w:rPr>
        <w:t xml:space="preserve"> and reform—</w:t>
      </w:r>
      <w:r w:rsidRPr="0088636D">
        <w:rPr>
          <w:rStyle w:val="StyleUnderline"/>
        </w:rPr>
        <w:t>schools</w:t>
      </w:r>
      <w:r w:rsidRPr="0088636D">
        <w:rPr>
          <w:sz w:val="16"/>
          <w:szCs w:val="16"/>
        </w:rPr>
        <w:t xml:space="preserve"> and prisons—to symbols of national health, such as the national blood supply system.</w:t>
      </w:r>
    </w:p>
    <w:bookmarkEnd w:id="42"/>
    <w:p w:rsidR="00DE5E47" w:rsidRPr="0088636D" w:rsidRDefault="00DE5E47" w:rsidP="00DE5E47">
      <w:pPr>
        <w:rPr>
          <w:sz w:val="16"/>
          <w:szCs w:val="16"/>
        </w:rPr>
      </w:pPr>
    </w:p>
    <w:p w:rsidR="00DE5E47" w:rsidRDefault="00DE5E47" w:rsidP="00DE5E47">
      <w:pPr>
        <w:pStyle w:val="Heading3"/>
      </w:pPr>
      <w:bookmarkStart w:id="43" w:name="_Toc489138935"/>
      <w:r>
        <w:lastRenderedPageBreak/>
        <w:t>***Advantage Links***</w:t>
      </w:r>
      <w:bookmarkEnd w:id="43"/>
    </w:p>
    <w:p w:rsidR="00DE5E47" w:rsidRDefault="00DE5E47" w:rsidP="00DE5E47">
      <w:pPr>
        <w:pStyle w:val="Heading3"/>
      </w:pPr>
      <w:bookmarkStart w:id="44" w:name="_Toc489138936"/>
      <w:r>
        <w:lastRenderedPageBreak/>
        <w:t>Link: Apocalyptic Reps</w:t>
      </w:r>
      <w:bookmarkEnd w:id="44"/>
    </w:p>
    <w:p w:rsidR="00DE5E47" w:rsidRPr="001E2570" w:rsidRDefault="00DE5E47" w:rsidP="00DE5E47">
      <w:pPr>
        <w:pStyle w:val="Heading4"/>
        <w:tabs>
          <w:tab w:val="left" w:pos="5220"/>
        </w:tabs>
      </w:pPr>
      <w:r>
        <w:t>Their apocalyptic representations are defined by a utopian desire for The Child and the future</w:t>
      </w:r>
    </w:p>
    <w:p w:rsidR="00DE5E47" w:rsidRPr="00D02F02" w:rsidRDefault="00DE5E47" w:rsidP="00DE5E47">
      <w:r w:rsidRPr="00A656E8">
        <w:rPr>
          <w:rStyle w:val="Style13ptBold"/>
        </w:rPr>
        <w:t>Palmer</w:t>
      </w:r>
      <w:r>
        <w:t xml:space="preserve"> 20</w:t>
      </w:r>
      <w:r w:rsidRPr="00A656E8">
        <w:rPr>
          <w:rStyle w:val="Style13ptBold"/>
        </w:rPr>
        <w:t xml:space="preserve">17 </w:t>
      </w:r>
      <w:r>
        <w:t xml:space="preserve">(Jonathan Andrew Byron P., August, ‘“All this over a family squabble…healthy babies”: Reproductive Futurism and the Post Apocalypse,’ Master of Arts in English in the College of Arts &amp; Humanities, California State University, Fresno, pg. 24-26, </w:t>
      </w:r>
      <w:r w:rsidRPr="00A656E8">
        <w:t>https://repository.library.fresnostate.edu/bitstream/handle/10211.3/192457/Palmer_csu_6050N_10416.pdf?sequence=1</w:t>
      </w:r>
      <w:r>
        <w:t xml:space="preserve"> –CR)</w:t>
      </w:r>
    </w:p>
    <w:p w:rsidR="00DE5E47" w:rsidRPr="001E2570" w:rsidRDefault="00DE5E47" w:rsidP="00DE5E47">
      <w:pPr>
        <w:rPr>
          <w:sz w:val="16"/>
        </w:rPr>
      </w:pPr>
      <w:r w:rsidRPr="00D02F02">
        <w:rPr>
          <w:rStyle w:val="StyleUnderline"/>
        </w:rPr>
        <w:t>Escape from</w:t>
      </w:r>
      <w:r w:rsidRPr="001E2570">
        <w:rPr>
          <w:sz w:val="16"/>
        </w:rPr>
        <w:t xml:space="preserve"> the destructive force of </w:t>
      </w:r>
      <w:r w:rsidRPr="00D02F02">
        <w:rPr>
          <w:rStyle w:val="StyleUnderline"/>
        </w:rPr>
        <w:t>the apocalypse is</w:t>
      </w:r>
      <w:r w:rsidRPr="001E2570">
        <w:rPr>
          <w:sz w:val="16"/>
        </w:rPr>
        <w:t xml:space="preserve"> perhaps unsurprisingly </w:t>
      </w:r>
      <w:r w:rsidRPr="00D02F02">
        <w:rPr>
          <w:rStyle w:val="StyleUnderline"/>
        </w:rPr>
        <w:t xml:space="preserve">associated with a journey or escape down the road. Journeys entail </w:t>
      </w:r>
      <w:r w:rsidRPr="001E2570">
        <w:rPr>
          <w:sz w:val="16"/>
        </w:rPr>
        <w:t>hardships,</w:t>
      </w:r>
      <w:r w:rsidRPr="00D02F02">
        <w:rPr>
          <w:rStyle w:val="StyleUnderline"/>
        </w:rPr>
        <w:t xml:space="preserve"> sacrifice and a reordering of the world around a traveler</w:t>
      </w:r>
      <w:r w:rsidRPr="001E2570">
        <w:rPr>
          <w:sz w:val="16"/>
        </w:rPr>
        <w:t xml:space="preserve">. In postapocalyptic narratives, </w:t>
      </w:r>
      <w:r w:rsidRPr="00D02F02">
        <w:rPr>
          <w:rStyle w:val="StyleUnderline"/>
        </w:rPr>
        <w:t>the road becomes the medium of that journey and a place of growth</w:t>
      </w:r>
      <w:r w:rsidRPr="001E2570">
        <w:rPr>
          <w:sz w:val="16"/>
        </w:rPr>
        <w:t xml:space="preserve">. Even the prototypical apocalyptic narrative The Last Man heavily features journey </w:t>
      </w:r>
      <w:r w:rsidRPr="00D02F02">
        <w:rPr>
          <w:rStyle w:val="StyleUnderline"/>
        </w:rPr>
        <w:t>as an escape</w:t>
      </w:r>
      <w:r w:rsidRPr="001E2570">
        <w:rPr>
          <w:sz w:val="16"/>
        </w:rPr>
        <w:t xml:space="preserve"> from the destructive power of the flu. </w:t>
      </w:r>
      <w:r w:rsidRPr="00D02F02">
        <w:rPr>
          <w:rStyle w:val="StyleUnderline"/>
        </w:rPr>
        <w:t>The trope of the road becomes embedded in humanity’s flight</w:t>
      </w:r>
      <w:r w:rsidRPr="001E2570">
        <w:rPr>
          <w:sz w:val="16"/>
        </w:rPr>
        <w:t xml:space="preserve"> response to the apocalypse </w:t>
      </w:r>
      <w:r w:rsidRPr="00D02F02">
        <w:rPr>
          <w:rStyle w:val="StyleUnderline"/>
        </w:rPr>
        <w:t>and a necessity for survival</w:t>
      </w:r>
      <w:r w:rsidRPr="001E2570">
        <w:rPr>
          <w:sz w:val="16"/>
        </w:rPr>
        <w:t xml:space="preserve">. While </w:t>
      </w:r>
      <w:r w:rsidRPr="00D02F02">
        <w:rPr>
          <w:rStyle w:val="StyleUnderline"/>
        </w:rPr>
        <w:t xml:space="preserve">roads </w:t>
      </w:r>
      <w:r w:rsidRPr="001E2570">
        <w:rPr>
          <w:sz w:val="16"/>
        </w:rPr>
        <w:t xml:space="preserve">sometimes </w:t>
      </w:r>
      <w:r w:rsidRPr="00D02F02">
        <w:rPr>
          <w:rStyle w:val="StyleUnderline"/>
        </w:rPr>
        <w:t>operate as spaces of possibility</w:t>
      </w:r>
      <w:r w:rsidRPr="001E2570">
        <w:rPr>
          <w:sz w:val="16"/>
        </w:rPr>
        <w:t xml:space="preserve"> especially in light of the American frontier, </w:t>
      </w:r>
      <w:r w:rsidRPr="00D02F02">
        <w:rPr>
          <w:rStyle w:val="StyleUnderline"/>
        </w:rPr>
        <w:t>they are often</w:t>
      </w:r>
      <w:r w:rsidRPr="001E2570">
        <w:rPr>
          <w:sz w:val="16"/>
        </w:rPr>
        <w:t xml:space="preserve"> more like </w:t>
      </w:r>
      <w:r w:rsidRPr="00D02F02">
        <w:rPr>
          <w:rStyle w:val="StyleUnderline"/>
        </w:rPr>
        <w:t>channels through which humanity is funneled</w:t>
      </w:r>
      <w:r w:rsidRPr="001E2570">
        <w:rPr>
          <w:sz w:val="16"/>
        </w:rPr>
        <w:t xml:space="preserve"> into </w:t>
      </w:r>
      <w:r w:rsidRPr="00D02F02">
        <w:rPr>
          <w:rStyle w:val="StyleUnderline"/>
        </w:rPr>
        <w:t>as options</w:t>
      </w:r>
      <w:r w:rsidRPr="001E2570">
        <w:rPr>
          <w:sz w:val="16"/>
        </w:rPr>
        <w:t xml:space="preserve"> begin to </w:t>
      </w:r>
      <w:r w:rsidRPr="00D02F02">
        <w:rPr>
          <w:rStyle w:val="StyleUnderline"/>
        </w:rPr>
        <w:t>fail and disappear</w:t>
      </w:r>
      <w:r w:rsidRPr="001E2570">
        <w:rPr>
          <w:sz w:val="16"/>
        </w:rPr>
        <w:t xml:space="preserve"> in light of the apocalypse. </w:t>
      </w:r>
      <w:r w:rsidRPr="00D02F02">
        <w:rPr>
          <w:rStyle w:val="StyleUnderline"/>
        </w:rPr>
        <w:t>These channels</w:t>
      </w:r>
      <w:r w:rsidRPr="001E2570">
        <w:rPr>
          <w:sz w:val="16"/>
        </w:rPr>
        <w:t xml:space="preserve"> were at one time desirable for travel but</w:t>
      </w:r>
      <w:r w:rsidRPr="00D02F02">
        <w:rPr>
          <w:rStyle w:val="StyleUnderline"/>
        </w:rPr>
        <w:t xml:space="preserve"> have fallen into disrepair </w:t>
      </w:r>
      <w:r w:rsidRPr="001E2570">
        <w:rPr>
          <w:sz w:val="16"/>
        </w:rPr>
        <w:t xml:space="preserve">and danger. What once facilitated travel now is beset by those who would prey on the traveler. </w:t>
      </w:r>
      <w:r w:rsidRPr="00D02F02">
        <w:rPr>
          <w:rStyle w:val="StyleUnderline"/>
        </w:rPr>
        <w:t>Other constraints are present</w:t>
      </w:r>
      <w:r w:rsidRPr="001E2570">
        <w:rPr>
          <w:sz w:val="16"/>
        </w:rPr>
        <w:t xml:space="preserve"> on the road as well. The road is an unnatural clearing that cuts through the frontier. </w:t>
      </w:r>
      <w:r w:rsidRPr="00D02F02">
        <w:rPr>
          <w:rStyle w:val="StyleUnderline"/>
        </w:rPr>
        <w:t>Clearings aid travel but they also focus travelers onto a narrow path.</w:t>
      </w:r>
      <w:r w:rsidRPr="001E2570">
        <w:rPr>
          <w:sz w:val="16"/>
        </w:rPr>
        <w:t xml:space="preserve"> A narrative like </w:t>
      </w:r>
      <w:r w:rsidRPr="00D02F02">
        <w:rPr>
          <w:rStyle w:val="StyleUnderline"/>
        </w:rPr>
        <w:t xml:space="preserve">Children of Men portrays society’s </w:t>
      </w:r>
      <w:r w:rsidRPr="001E2570">
        <w:rPr>
          <w:sz w:val="16"/>
        </w:rPr>
        <w:t>slow</w:t>
      </w:r>
      <w:r w:rsidRPr="00D02F02">
        <w:rPr>
          <w:rStyle w:val="StyleUnderline"/>
        </w:rPr>
        <w:t xml:space="preserve"> descent into madness after mothers can no longer reproduce. The apocalypse, represented by the loss of reproduction, and the postapocalypse, society’s long descent into chaos </w:t>
      </w:r>
      <w:r w:rsidRPr="001E2570">
        <w:rPr>
          <w:sz w:val="16"/>
        </w:rPr>
        <w:t xml:space="preserve">due to that loss of reproduction, </w:t>
      </w:r>
      <w:r w:rsidRPr="00D02F02">
        <w:rPr>
          <w:rStyle w:val="StyleUnderline"/>
        </w:rPr>
        <w:t>become blurred and indistinguishable</w:t>
      </w:r>
      <w:r w:rsidRPr="001E2570">
        <w:rPr>
          <w:sz w:val="16"/>
        </w:rPr>
        <w:t xml:space="preserve">. Apocalypse can be portrayed in a multitude of ways, but </w:t>
      </w:r>
      <w:r w:rsidRPr="00D02F02">
        <w:rPr>
          <w:rStyle w:val="StyleUnderline"/>
        </w:rPr>
        <w:t xml:space="preserve">the most common defining feature </w:t>
      </w:r>
      <w:r w:rsidRPr="001E2570">
        <w:rPr>
          <w:sz w:val="16"/>
        </w:rPr>
        <w:t xml:space="preserve">of the apocalypse </w:t>
      </w:r>
      <w:r w:rsidRPr="00D02F02">
        <w:rPr>
          <w:rStyle w:val="StyleUnderline"/>
        </w:rPr>
        <w:t>is how it affects humanity’s ability to survive and carry on; hence</w:t>
      </w:r>
      <w:r w:rsidRPr="001E2570">
        <w:rPr>
          <w:sz w:val="16"/>
        </w:rPr>
        <w:t xml:space="preserve"> my </w:t>
      </w:r>
      <w:r w:rsidRPr="00D02F02">
        <w:rPr>
          <w:rStyle w:val="StyleUnderline"/>
        </w:rPr>
        <w:t>focus on reproduction and its conditions</w:t>
      </w:r>
      <w:r w:rsidRPr="001E2570">
        <w:rPr>
          <w:sz w:val="16"/>
        </w:rPr>
        <w:t xml:space="preserve"> in post-apocalyptic narratives. </w:t>
      </w:r>
      <w:r w:rsidRPr="00D02F02">
        <w:rPr>
          <w:rStyle w:val="StyleUnderline"/>
        </w:rPr>
        <w:t>The road is a</w:t>
      </w:r>
      <w:r w:rsidRPr="001E2570">
        <w:rPr>
          <w:sz w:val="16"/>
        </w:rPr>
        <w:t xml:space="preserve">n obvious </w:t>
      </w:r>
      <w:r w:rsidRPr="00D02F02">
        <w:rPr>
          <w:rStyle w:val="StyleUnderline"/>
        </w:rPr>
        <w:t>place to explore the conditions surrounding reproduction</w:t>
      </w:r>
      <w:r w:rsidRPr="001E2570">
        <w:rPr>
          <w:sz w:val="16"/>
        </w:rPr>
        <w:t xml:space="preserve"> in the post-apocalypse, both </w:t>
      </w:r>
      <w:r w:rsidRPr="00D02F02">
        <w:rPr>
          <w:rStyle w:val="StyleUnderline"/>
        </w:rPr>
        <w:t>because it is a place of possibility but also</w:t>
      </w:r>
      <w:r w:rsidRPr="001E2570">
        <w:rPr>
          <w:sz w:val="16"/>
        </w:rPr>
        <w:t xml:space="preserve"> a place </w:t>
      </w:r>
      <w:r w:rsidRPr="00D02F02">
        <w:rPr>
          <w:rStyle w:val="StyleUnderline"/>
        </w:rPr>
        <w:t>of great constraint</w:t>
      </w:r>
      <w:r w:rsidRPr="001E2570">
        <w:rPr>
          <w:sz w:val="16"/>
        </w:rPr>
        <w:t xml:space="preserve">. The frontier of possibilities is replaced by narrowing channels of danger where a misstep could lead to the snuffing out of all human life. William H. Katerberg points to the way </w:t>
      </w:r>
      <w:r w:rsidRPr="0090289C">
        <w:rPr>
          <w:rStyle w:val="StyleUnderline"/>
        </w:rPr>
        <w:t>frontier myths configure the future as a place of possibility</w:t>
      </w:r>
      <w:r w:rsidRPr="001E2570">
        <w:rPr>
          <w:sz w:val="16"/>
        </w:rPr>
        <w:t xml:space="preserve"> even in postapocalyptic narratives that radically show humanity’s fragility. In stories like these set in the American West itself in the future, </w:t>
      </w:r>
      <w:r w:rsidRPr="0090289C">
        <w:rPr>
          <w:rStyle w:val="StyleUnderline"/>
        </w:rPr>
        <w:t xml:space="preserve">society has been swept away by </w:t>
      </w:r>
      <w:r w:rsidRPr="001E2570">
        <w:rPr>
          <w:sz w:val="16"/>
        </w:rPr>
        <w:t>some kind of</w:t>
      </w:r>
      <w:r w:rsidRPr="0090289C">
        <w:rPr>
          <w:rStyle w:val="StyleUnderline"/>
        </w:rPr>
        <w:t xml:space="preserve"> </w:t>
      </w:r>
      <w:r w:rsidRPr="0090289C">
        <w:rPr>
          <w:rStyle w:val="Emphasis"/>
        </w:rPr>
        <w:t>natural disaster or human-made holocaust</w:t>
      </w:r>
      <w:r w:rsidRPr="001E2570">
        <w:rPr>
          <w:sz w:val="16"/>
        </w:rPr>
        <w:t xml:space="preserve">. In the primitive conditions that ensue, </w:t>
      </w:r>
      <w:r w:rsidRPr="0090289C">
        <w:rPr>
          <w:rStyle w:val="StyleUnderline"/>
        </w:rPr>
        <w:t>survivors</w:t>
      </w:r>
      <w:r w:rsidRPr="001E2570">
        <w:rPr>
          <w:sz w:val="16"/>
        </w:rPr>
        <w:t xml:space="preserve"> have been </w:t>
      </w:r>
      <w:r w:rsidRPr="0090289C">
        <w:rPr>
          <w:rStyle w:val="StyleUnderline"/>
        </w:rPr>
        <w:t>forced to start over and</w:t>
      </w:r>
      <w:r w:rsidRPr="001E2570">
        <w:rPr>
          <w:sz w:val="16"/>
        </w:rPr>
        <w:t xml:space="preserve"> perhaps </w:t>
      </w:r>
      <w:r w:rsidRPr="0090289C">
        <w:rPr>
          <w:rStyle w:val="StyleUnderline"/>
        </w:rPr>
        <w:t>build a new kind of society</w:t>
      </w:r>
      <w:r w:rsidRPr="001E2570">
        <w:rPr>
          <w:sz w:val="16"/>
        </w:rPr>
        <w:t xml:space="preserve">. But it is </w:t>
      </w:r>
      <w:r w:rsidRPr="0090289C">
        <w:rPr>
          <w:rStyle w:val="StyleUnderline"/>
        </w:rPr>
        <w:t>frontier conditions</w:t>
      </w:r>
      <w:r w:rsidRPr="001E2570">
        <w:rPr>
          <w:sz w:val="16"/>
        </w:rPr>
        <w:t xml:space="preserve"> that </w:t>
      </w:r>
      <w:r w:rsidRPr="0090289C">
        <w:rPr>
          <w:rStyle w:val="StyleUnderline"/>
        </w:rPr>
        <w:t>erase the problems of the past and make a better future possible</w:t>
      </w:r>
      <w:r w:rsidRPr="001E2570">
        <w:rPr>
          <w:sz w:val="16"/>
        </w:rPr>
        <w:t xml:space="preserve">. At the same time, and contradictorily, such stories indicate that in postapocalyptic new worlds </w:t>
      </w:r>
      <w:r w:rsidRPr="001E2570">
        <w:rPr>
          <w:rStyle w:val="StyleUnderline"/>
        </w:rPr>
        <w:t>the past cannot be swept away easily</w:t>
      </w:r>
      <w:r w:rsidRPr="001E2570">
        <w:rPr>
          <w:sz w:val="16"/>
        </w:rPr>
        <w:t xml:space="preserve">. (Katerberg 5) The roads of the post-apocalypse exist in a dual state of possibility and constraints. Securing the future will not easy, but these narratives hopefully imply that it can be secured. To that end post-apocalyptic </w:t>
      </w:r>
      <w:r w:rsidRPr="001E2570">
        <w:rPr>
          <w:rStyle w:val="StyleUnderline"/>
        </w:rPr>
        <w:t>narratives</w:t>
      </w:r>
      <w:r w:rsidRPr="001E2570">
        <w:rPr>
          <w:sz w:val="16"/>
        </w:rPr>
        <w:t xml:space="preserve">, no matter how bleak or depressing </w:t>
      </w:r>
      <w:r w:rsidRPr="001E2570">
        <w:rPr>
          <w:rStyle w:val="StyleUnderline"/>
        </w:rPr>
        <w:t>imply something hopeful</w:t>
      </w:r>
      <w:r w:rsidRPr="001E2570">
        <w:rPr>
          <w:sz w:val="16"/>
        </w:rPr>
        <w:t xml:space="preserve"> about the future: namely, that there is one. Returning to Lee Edelman, </w:t>
      </w:r>
      <w:r w:rsidRPr="001E2570">
        <w:rPr>
          <w:rStyle w:val="StyleUnderline"/>
        </w:rPr>
        <w:t>the trope of the child represents the future.</w:t>
      </w:r>
      <w:r w:rsidRPr="001E2570">
        <w:rPr>
          <w:sz w:val="16"/>
        </w:rPr>
        <w:t xml:space="preserve"> Even in the apocalypse, </w:t>
      </w:r>
      <w:r w:rsidRPr="001E2570">
        <w:rPr>
          <w:rStyle w:val="Emphasis"/>
        </w:rPr>
        <w:t>futurity and the child are tied together.</w:t>
      </w:r>
      <w:r w:rsidRPr="001E2570">
        <w:rPr>
          <w:sz w:val="16"/>
        </w:rPr>
        <w:t xml:space="preserve"> Echoing one of Edelman’s rhetorical questions, What would it signify to not fight for the child in the post-apocalypse? </w:t>
      </w:r>
      <w:r w:rsidRPr="001E2570">
        <w:rPr>
          <w:rStyle w:val="StyleUnderline"/>
        </w:rPr>
        <w:t xml:space="preserve">Edelman, writing in the shadow of the aids epidemic, laments looking towards a promised future that is always coming but </w:t>
      </w:r>
      <w:r w:rsidRPr="001E2570">
        <w:rPr>
          <w:rStyle w:val="Emphasis"/>
        </w:rPr>
        <w:t>never comes</w:t>
      </w:r>
      <w:r w:rsidRPr="001E2570">
        <w:rPr>
          <w:sz w:val="16"/>
        </w:rPr>
        <w:t xml:space="preserve"> (Edelman 296). </w:t>
      </w:r>
    </w:p>
    <w:p w:rsidR="005A160F" w:rsidRDefault="005A160F" w:rsidP="005A160F">
      <w:pPr>
        <w:pStyle w:val="Heading3"/>
      </w:pPr>
      <w:bookmarkStart w:id="45" w:name="_Toc489138937"/>
      <w:r>
        <w:lastRenderedPageBreak/>
        <w:t>Link: Climate</w:t>
      </w:r>
      <w:bookmarkEnd w:id="45"/>
    </w:p>
    <w:p w:rsidR="005A160F" w:rsidRPr="006471D1" w:rsidRDefault="005A160F" w:rsidP="005A160F">
      <w:pPr>
        <w:pStyle w:val="Heading4"/>
        <w:rPr>
          <w:rStyle w:val="Style13ptBold"/>
          <w:rFonts w:cs="Times New Roman"/>
          <w:b/>
        </w:rPr>
      </w:pPr>
      <w:r w:rsidRPr="006471D1">
        <w:rPr>
          <w:rStyle w:val="Style13ptBold"/>
          <w:rFonts w:cs="Times New Roman"/>
          <w:b/>
        </w:rPr>
        <w:t>The affirmative is hostage-taking – framing climate as an apolitical, global threat while deploying climate anxiety for foreign policy agendas depoliticizes public responses while allowing its explicitly political use as a tool for international coercion, intervention, and pre-emption – the result is horrifying violence and facile market solutions doomed to failure.</w:t>
      </w:r>
    </w:p>
    <w:p w:rsidR="005A160F" w:rsidRPr="006471D1" w:rsidRDefault="005A160F" w:rsidP="005A160F">
      <w:r w:rsidRPr="006471D1">
        <w:rPr>
          <w:rStyle w:val="Style13ptBold"/>
        </w:rPr>
        <w:t>Chaturvedi &amp; Doyle 15</w:t>
      </w:r>
      <w:r w:rsidRPr="006471D1">
        <w:rPr>
          <w:rStyle w:val="Style13ptBold"/>
          <w:b w:val="0"/>
          <w:sz w:val="16"/>
          <w:szCs w:val="16"/>
        </w:rPr>
        <w:t xml:space="preserve"> </w:t>
      </w:r>
      <w:r w:rsidRPr="006471D1">
        <w:t xml:space="preserve">(Sanjay Chaturvedi, Professor of Political Science, Centre for the Study of Geopolitics, Department of Political Science, Panjab University, India, and Timothy Doyle, Professor of Politics and International Studies at the University of Adelaide; Distinguished Research Fellow of Indian Ocean Futures at Curtin University; and Chair of Politics and International Relations at Keele University. </w:t>
      </w:r>
      <w:r w:rsidRPr="006471D1">
        <w:rPr>
          <w:i/>
        </w:rPr>
        <w:t>Climate Terror: A Critical Geopolitics of Climate Change.</w:t>
      </w:r>
      <w:r w:rsidRPr="006471D1">
        <w:t xml:space="preserve"> Intro. Palgrave Macmillan. | prs)</w:t>
      </w:r>
    </w:p>
    <w:p w:rsidR="005A160F" w:rsidRPr="006471D1" w:rsidRDefault="005A160F" w:rsidP="005A160F">
      <w:pPr>
        <w:rPr>
          <w:rStyle w:val="StyleUnderline"/>
        </w:rPr>
      </w:pPr>
      <w:r w:rsidRPr="006471D1">
        <w:rPr>
          <w:sz w:val="16"/>
        </w:rPr>
        <w:t xml:space="preserve">Susan Roberts, Anna Secor and Matthew Sparke (2003: 886) draw attention to ‘a more widespread form of neoliberal geopolitics implicated in the war- making.’ </w:t>
      </w:r>
      <w:r w:rsidRPr="006471D1">
        <w:rPr>
          <w:rStyle w:val="StyleUnderline"/>
        </w:rPr>
        <w:t>What we find in this geopolitical world vision is the ‘neoliberal idealism about the virtues of free markets, openness, and global economic integration’ linked to ‘an extreme form of American unilateralism’</w:t>
      </w:r>
      <w:r w:rsidRPr="006471D1">
        <w:rPr>
          <w:sz w:val="16"/>
        </w:rPr>
        <w:t xml:space="preserve"> (ibid.). Furthermore, in contrast to the ‘ideological geopolitics’ of the Cold War era (Agnew 1998), where danger was perceived as ‘something that should be contained at a disconnected distance’, today it is the disconnection from the US lead globalization project that is understood to represent dangers of various kinds. In Chapter 6, we return to a detailed discussion of </w:t>
      </w:r>
      <w:r w:rsidRPr="006471D1">
        <w:rPr>
          <w:rStyle w:val="StyleUnderline"/>
        </w:rPr>
        <w:t xml:space="preserve">how a neoliberal geopolitical response appears to insist on enforcing reconnection, in the context of highly uneven geographies of globalization, through a hybrid strategy of </w:t>
      </w:r>
      <w:r w:rsidRPr="006471D1">
        <w:rPr>
          <w:rStyle w:val="Emphasis"/>
        </w:rPr>
        <w:t>persuasion and coercion</w:t>
      </w:r>
      <w:r w:rsidRPr="006471D1">
        <w:rPr>
          <w:sz w:val="16"/>
        </w:rPr>
        <w:t xml:space="preserve"> (Sparke 2013). Geopolitics of climate fear: sites and sights </w:t>
      </w:r>
      <w:r w:rsidRPr="006471D1">
        <w:rPr>
          <w:rStyle w:val="StyleUnderline"/>
        </w:rPr>
        <w:t xml:space="preserve">The key concern here is with </w:t>
      </w:r>
      <w:r w:rsidRPr="006471D1">
        <w:rPr>
          <w:rStyle w:val="Emphasis"/>
        </w:rPr>
        <w:t>the fear- inducing narratives</w:t>
      </w:r>
      <w:r w:rsidRPr="006471D1">
        <w:rPr>
          <w:rStyle w:val="StyleUnderline"/>
        </w:rPr>
        <w:t xml:space="preserve"> constructed and used by policy makers and politicians in pursuit of their so- called ‘</w:t>
      </w:r>
      <w:r w:rsidRPr="006471D1">
        <w:rPr>
          <w:rStyle w:val="Emphasis"/>
        </w:rPr>
        <w:t>national interests’</w:t>
      </w:r>
      <w:r w:rsidRPr="006471D1">
        <w:rPr>
          <w:rStyle w:val="StyleUnderline"/>
        </w:rPr>
        <w:t xml:space="preserve"> and related </w:t>
      </w:r>
      <w:r w:rsidRPr="006471D1">
        <w:rPr>
          <w:rStyle w:val="Emphasis"/>
        </w:rPr>
        <w:t>foreign policy- diplomatic agendas</w:t>
      </w:r>
      <w:r w:rsidRPr="006471D1">
        <w:rPr>
          <w:sz w:val="16"/>
        </w:rPr>
        <w:t xml:space="preserve">. These can be found in the speeches delivered and/or statements made by the politicians, including for example those posted as a matter of routine on the official websites of the ministries of ‘foreign’ or ‘external’ affairs. </w:t>
      </w:r>
      <w:r w:rsidRPr="006471D1">
        <w:rPr>
          <w:rStyle w:val="StyleUnderline"/>
        </w:rPr>
        <w:t>The key challenge here is to discern and deconstruct the ‘practical geopolitical reasoning’ in a foreign policy discourse</w:t>
      </w:r>
      <w:r w:rsidRPr="006471D1">
        <w:rPr>
          <w:sz w:val="16"/>
        </w:rPr>
        <w:t xml:space="preserve"> (see Ó Tuathail and Agnew 1992); ‘ ... </w:t>
      </w:r>
      <w:r w:rsidRPr="006471D1">
        <w:rPr>
          <w:rStyle w:val="StyleUnderline"/>
        </w:rPr>
        <w:t>reasoning by means of consensual and unremarkable assumptions about places and their particular identities’</w:t>
      </w:r>
      <w:r w:rsidRPr="006471D1">
        <w:rPr>
          <w:sz w:val="16"/>
        </w:rPr>
        <w:t xml:space="preserve"> (ibid.: 96). For example, through the 2002 State of the Union address, former US president George W. Bush could evoke the imaginative geographies of an ‘axis of evil’ by naming Iran, Iraq, and North Korea in conjunction with their alleged ‘terrorist allies’. The </w:t>
      </w:r>
      <w:r w:rsidRPr="006471D1">
        <w:rPr>
          <w:rStyle w:val="Emphasis"/>
        </w:rPr>
        <w:t>scenarios and spectacles</w:t>
      </w:r>
      <w:r w:rsidRPr="006471D1">
        <w:rPr>
          <w:sz w:val="16"/>
        </w:rPr>
        <w:t xml:space="preserve"> </w:t>
      </w:r>
      <w:r w:rsidRPr="006471D1">
        <w:rPr>
          <w:rStyle w:val="StyleUnderline"/>
        </w:rPr>
        <w:t>outlined by practical geopolitics, often with the help of certain metaphors</w:t>
      </w:r>
      <w:r w:rsidRPr="006471D1">
        <w:rPr>
          <w:sz w:val="16"/>
        </w:rPr>
        <w:t xml:space="preserve"> (e.g. ‘rogue’ states, ‘domino effects’), </w:t>
      </w:r>
      <w:r w:rsidRPr="006471D1">
        <w:rPr>
          <w:rStyle w:val="StyleUnderline"/>
        </w:rPr>
        <w:t xml:space="preserve">are </w:t>
      </w:r>
      <w:r w:rsidRPr="006471D1">
        <w:rPr>
          <w:rStyle w:val="Emphasis"/>
        </w:rPr>
        <w:t>not always explicit or alarmist</w:t>
      </w:r>
      <w:r w:rsidRPr="006471D1">
        <w:rPr>
          <w:sz w:val="16"/>
        </w:rPr>
        <w:t xml:space="preserve">. </w:t>
      </w:r>
      <w:r w:rsidRPr="006471D1">
        <w:rPr>
          <w:rStyle w:val="Emphasis"/>
        </w:rPr>
        <w:t>The accumulative effect of repetitive utterances</w:t>
      </w:r>
      <w:r w:rsidRPr="006471D1">
        <w:rPr>
          <w:sz w:val="16"/>
        </w:rPr>
        <w:t xml:space="preserve">, </w:t>
      </w:r>
      <w:r w:rsidRPr="006471D1">
        <w:rPr>
          <w:rStyle w:val="StyleUnderline"/>
        </w:rPr>
        <w:t xml:space="preserve">however, need to be </w:t>
      </w:r>
      <w:r w:rsidRPr="006471D1">
        <w:rPr>
          <w:rStyle w:val="Emphasis"/>
        </w:rPr>
        <w:t>carefully mapped</w:t>
      </w:r>
      <w:r w:rsidRPr="006471D1">
        <w:rPr>
          <w:rStyle w:val="StyleUnderline"/>
        </w:rPr>
        <w:t xml:space="preserve"> because ‘</w:t>
      </w:r>
      <w:r w:rsidRPr="006471D1">
        <w:rPr>
          <w:rStyle w:val="Emphasis"/>
        </w:rPr>
        <w:t xml:space="preserve">the power </w:t>
      </w:r>
      <w:r w:rsidRPr="006471D1">
        <w:rPr>
          <w:sz w:val="16"/>
        </w:rPr>
        <w:t xml:space="preserve">10 Climate Terror </w:t>
      </w:r>
      <w:r w:rsidRPr="006471D1">
        <w:rPr>
          <w:rStyle w:val="Emphasis"/>
        </w:rPr>
        <w:t>of practical geopolitics is in its banality</w:t>
      </w:r>
      <w:r w:rsidRPr="006471D1">
        <w:rPr>
          <w:sz w:val="16"/>
        </w:rPr>
        <w:t xml:space="preserve">. </w:t>
      </w:r>
      <w:r w:rsidRPr="006471D1">
        <w:rPr>
          <w:rStyle w:val="Emphasis"/>
        </w:rPr>
        <w:t>Geopolitical ideas often appear so ordinary as to be invisibl</w:t>
      </w:r>
      <w:r w:rsidRPr="006471D1">
        <w:rPr>
          <w:sz w:val="16"/>
        </w:rPr>
        <w:t xml:space="preserve">e ... </w:t>
      </w:r>
      <w:r w:rsidRPr="006471D1">
        <w:rPr>
          <w:rStyle w:val="StyleUnderline"/>
        </w:rPr>
        <w:t>The repetition of geopolitical ideas within the practical performance of politics serves to naturalize certain categorizations of the world: for example, developed/less developed, core/periphery, or simply “us” and “them”</w:t>
      </w:r>
      <w:r w:rsidRPr="006471D1">
        <w:rPr>
          <w:sz w:val="16"/>
        </w:rPr>
        <w:t xml:space="preserve">. </w:t>
      </w:r>
      <w:r w:rsidRPr="006471D1">
        <w:rPr>
          <w:rStyle w:val="StyleUnderline"/>
        </w:rPr>
        <w:t>These phrases</w:t>
      </w:r>
      <w:r w:rsidRPr="006471D1">
        <w:rPr>
          <w:sz w:val="16"/>
        </w:rPr>
        <w:t xml:space="preserve"> </w:t>
      </w:r>
      <w:r w:rsidRPr="006471D1">
        <w:rPr>
          <w:rStyle w:val="StyleUnderline"/>
        </w:rPr>
        <w:t>may seem innocuous, but they are affirming particular political perspectives and legitimizing foreign policy decisions’</w:t>
      </w:r>
      <w:r w:rsidRPr="006471D1">
        <w:rPr>
          <w:sz w:val="16"/>
        </w:rPr>
        <w:t xml:space="preserve"> (Painter and Jeffrey 2009: 208). In our analysis of the geopolitics of climate change we would be deploying critical geopolitical perspectives in order to expose what John Agnew describes as ‘the techniques of concealment and spatial fixing associated with the dual geopolitical disciplining and intellectual naturalization of the world political map’ (Agnew 2010: 570). </w:t>
      </w:r>
      <w:r w:rsidRPr="006471D1">
        <w:rPr>
          <w:rStyle w:val="StyleUnderline"/>
        </w:rPr>
        <w:t>The manner in which masses are being socialized into dominant representations of other places and peoples</w:t>
      </w:r>
      <w:r w:rsidRPr="006471D1">
        <w:rPr>
          <w:sz w:val="16"/>
        </w:rPr>
        <w:t xml:space="preserve"> (positive or negative) through media, cinema, cartoons, books and magazines </w:t>
      </w:r>
      <w:r w:rsidRPr="006471D1">
        <w:rPr>
          <w:rStyle w:val="StyleUnderline"/>
        </w:rPr>
        <w:t>is the subject matter of popular geopolitics.</w:t>
      </w:r>
      <w:r w:rsidRPr="006471D1">
        <w:rPr>
          <w:sz w:val="16"/>
        </w:rPr>
        <w:t xml:space="preserve"> As the political geographer Joanne Sharp (2000: 31) puts it, ‘hegemony is constructed not only through political ideologies but also, more immediately, through detailed scripting of some of the most ordinary and mundane aspects of everyday life.’ Sharp (ibid.) has shown how, during the Cold War era, various contributions to the Reader’s Digest highly exaggerated the ‘red’ threat from the Soviet Union, called by the former U.S. president Ronald Regan the ‘evil empire’. In our view, </w:t>
      </w:r>
      <w:r w:rsidRPr="006471D1">
        <w:rPr>
          <w:rStyle w:val="StyleUnderline"/>
        </w:rPr>
        <w:t xml:space="preserve">critical geopolitics needs to pay a far more serious and systematic attention to how </w:t>
      </w:r>
      <w:r w:rsidRPr="006471D1">
        <w:rPr>
          <w:rStyle w:val="Emphasis"/>
        </w:rPr>
        <w:t>imaginative geographies</w:t>
      </w:r>
      <w:r w:rsidRPr="006471D1">
        <w:rPr>
          <w:rStyle w:val="StyleUnderline"/>
        </w:rPr>
        <w:t xml:space="preserve">, </w:t>
      </w:r>
      <w:r w:rsidRPr="006471D1">
        <w:rPr>
          <w:rStyle w:val="Emphasis"/>
        </w:rPr>
        <w:lastRenderedPageBreak/>
        <w:t>anchored in fear</w:t>
      </w:r>
      <w:r w:rsidRPr="006471D1">
        <w:rPr>
          <w:rStyle w:val="StyleUnderline"/>
        </w:rPr>
        <w:t xml:space="preserve">, are deployed at the service of </w:t>
      </w:r>
      <w:r w:rsidRPr="006471D1">
        <w:rPr>
          <w:rStyle w:val="Emphasis"/>
        </w:rPr>
        <w:t>objectification</w:t>
      </w:r>
      <w:r w:rsidRPr="006471D1">
        <w:rPr>
          <w:rStyle w:val="StyleUnderline"/>
        </w:rPr>
        <w:t xml:space="preserve">, </w:t>
      </w:r>
      <w:r w:rsidRPr="006471D1">
        <w:rPr>
          <w:rStyle w:val="Emphasis"/>
        </w:rPr>
        <w:t>embodiment</w:t>
      </w:r>
      <w:r w:rsidRPr="006471D1">
        <w:rPr>
          <w:rStyle w:val="StyleUnderline"/>
        </w:rPr>
        <w:t xml:space="preserve"> and </w:t>
      </w:r>
      <w:r w:rsidRPr="006471D1">
        <w:rPr>
          <w:rStyle w:val="Emphasis"/>
        </w:rPr>
        <w:t>instrumentalization</w:t>
      </w:r>
      <w:r w:rsidRPr="006471D1">
        <w:rPr>
          <w:rStyle w:val="StyleUnderline"/>
        </w:rPr>
        <w:t xml:space="preserve"> of abstract risks, threats and dangers</w:t>
      </w:r>
      <w:r w:rsidRPr="006471D1">
        <w:rPr>
          <w:sz w:val="16"/>
        </w:rPr>
        <w:t xml:space="preserve">. </w:t>
      </w:r>
      <w:r w:rsidRPr="006471D1">
        <w:rPr>
          <w:rStyle w:val="StyleUnderline"/>
        </w:rPr>
        <w:t xml:space="preserve">The strategies deployed to objectify and embody abstractions through evidence deserve scrutiny. </w:t>
      </w:r>
      <w:r w:rsidRPr="006471D1">
        <w:rPr>
          <w:sz w:val="16"/>
        </w:rPr>
        <w:t xml:space="preserve">These imaginative, imagined, ideational, and emotional geographies in some cases (as demonstrated in Chapter 5) could be far more complex and compelling than the material geographies. Critical geopolitical perspectives on mapping risks further reveal that </w:t>
      </w:r>
      <w:r w:rsidRPr="006471D1">
        <w:rPr>
          <w:rStyle w:val="StyleUnderline"/>
        </w:rPr>
        <w:t xml:space="preserve">discourses framing </w:t>
      </w:r>
      <w:r w:rsidRPr="006471D1">
        <w:rPr>
          <w:rStyle w:val="Emphasis"/>
        </w:rPr>
        <w:t>local</w:t>
      </w:r>
      <w:r w:rsidRPr="006471D1">
        <w:rPr>
          <w:rStyle w:val="StyleUnderline"/>
        </w:rPr>
        <w:t xml:space="preserve"> and </w:t>
      </w:r>
      <w:r w:rsidRPr="006471D1">
        <w:rPr>
          <w:rStyle w:val="Emphasis"/>
        </w:rPr>
        <w:t>distant dangers</w:t>
      </w:r>
      <w:r w:rsidRPr="006471D1">
        <w:rPr>
          <w:rStyle w:val="StyleUnderline"/>
        </w:rPr>
        <w:t xml:space="preserve"> in </w:t>
      </w:r>
      <w:r w:rsidRPr="006471D1">
        <w:rPr>
          <w:rStyle w:val="Emphasis"/>
        </w:rPr>
        <w:t>neo- Malthusian terms</w:t>
      </w:r>
      <w:r w:rsidRPr="006471D1">
        <w:rPr>
          <w:rStyle w:val="StyleUnderline"/>
        </w:rPr>
        <w:t xml:space="preserve"> are often anchored in geographically vague and imprecise reformulations in spatial terms. </w:t>
      </w:r>
      <w:r w:rsidRPr="006471D1">
        <w:rPr>
          <w:sz w:val="16"/>
        </w:rPr>
        <w:t xml:space="preserve">In geopolitical terms, then, ‘the environmental challenges of the 21st century represent a dialectic of territorialization and deterritorialization, a mixture of spatial fixity and unfixity. It is here, though, that things start to get really interesting and complicated’ (Castree 2003: 427). </w:t>
      </w:r>
      <w:r w:rsidRPr="006471D1">
        <w:rPr>
          <w:rStyle w:val="StyleUnderline"/>
        </w:rPr>
        <w:t xml:space="preserve">Ecological degradation or climate change is a problem frequently attributed to the ‘ over- populated’ global ‘South’. What is very much in vogue here is the geopolitical impulse that divides the </w:t>
      </w:r>
      <w:r w:rsidRPr="006471D1">
        <w:rPr>
          <w:sz w:val="16"/>
        </w:rPr>
        <w:t xml:space="preserve">An Introduction 11 </w:t>
      </w:r>
      <w:r w:rsidRPr="006471D1">
        <w:rPr>
          <w:rStyle w:val="StyleUnderline"/>
        </w:rPr>
        <w:t>world into blocks with specific attributes</w:t>
      </w:r>
      <w:r w:rsidRPr="006471D1">
        <w:rPr>
          <w:sz w:val="16"/>
        </w:rPr>
        <w:t xml:space="preserve">. While modernity endangers itself in several ways, as brought out by Ulrich Beck (1992) in his theory of risk society, most of these dangers are still frequently framed and flagged in reference to ‘external’ causes. As pointed out by Simon Dalby (2003: 445), ‘ ... </w:t>
      </w:r>
      <w:r w:rsidRPr="006471D1">
        <w:rPr>
          <w:rStyle w:val="StyleUnderline"/>
        </w:rPr>
        <w:t>the geography of specifying the environmental threat as somehow external obscures the fact that these threats might better be understood in terms of the unintended long- term and long- distance consequences of our own action</w:t>
      </w:r>
      <w:r w:rsidRPr="006471D1">
        <w:rPr>
          <w:sz w:val="16"/>
        </w:rPr>
        <w:t xml:space="preserve">.’ </w:t>
      </w:r>
      <w:r w:rsidRPr="006471D1">
        <w:rPr>
          <w:rStyle w:val="StyleUnderline"/>
        </w:rPr>
        <w:t xml:space="preserve">A critical geopolitics of climate fear, in our view, should pay equal attention to both the </w:t>
      </w:r>
      <w:r w:rsidRPr="006471D1">
        <w:rPr>
          <w:rStyle w:val="Emphasis"/>
        </w:rPr>
        <w:t>geographical</w:t>
      </w:r>
      <w:r w:rsidRPr="006471D1">
        <w:rPr>
          <w:rStyle w:val="StyleUnderline"/>
        </w:rPr>
        <w:t xml:space="preserve"> and political </w:t>
      </w:r>
      <w:r w:rsidRPr="006471D1">
        <w:rPr>
          <w:rStyle w:val="Emphasis"/>
        </w:rPr>
        <w:t>dimensions</w:t>
      </w:r>
      <w:r w:rsidRPr="006471D1">
        <w:rPr>
          <w:sz w:val="16"/>
        </w:rPr>
        <w:t xml:space="preserve">. It looks like the concept of fear has received much greater attention of geographers than of political scientists. Writing on the subject in the immediate aftermath of 9/11, John Keane (2001) expressed concern over the huge neglect of the concept of fear by political scientists, and raised a number of compelling issues with regard to fear and democracy, which deserve reflection in the context of climate change. Drawing attention to the ‘fear economy’ that followed, he argued that, ‘the spread of fear outward from the United States, helped by the rapid circulation across borders of images, sounds and reported speech, arguably represents a new phase of globalization of fear that began after World War One and was reinforced by the events of the following world war and the invention and deployment of nuclear weapons’ (Keane 2001: 3). While giving due credit to Montesquieu for drawing attention to how despotic regimes represent ‘a type of arbitrary rule structured by fear’ (ibid.: 4), Keane critically engages with the contention that established democracies tend to ‘privatize’ fear and are in a better position to reduce and control fears through innovative ways. While agreeing with Montesquieu that different political systems have exhibited remarkably different forms and intensities of fear, Keane argues that the phenomenon of fear, as a ‘particular type of physical and bodily abreaction of an individual and group’, should be approached and analyzed ‘within a triangle of inter- related experiences’, namely ‘objective circumstances’, ‘subjective systems’ and ‘abreactions’. What goes on within this triangle is a multitude of reactions triggered by wideranging circumstances sensed by individuals and groups as ‘ ill- boding, sinister, menacing, and perhaps even life- threatening’ (ibid.: 18). Keane calls for a critical scrutiny of how several counter- trends – including institutions of statecraft flagging and fanning the fear of war, civil societies mourning ‘the loss of imagined stable communities of the past’, and media fascinated with fear consciously or unconsciously – ensure that fears, rather than being trivialized and eliminated, become a 12 Climate Terror permanent ‘public problem within both potential and actually existing democracies’. Even though located a considerable geographical distance from the theatres of ‘just wars’, the so- called tamed democratic zone of peace, prosperity and stability and its inhabitants find themselves in highly discomforting geopolitical proximity to the complex geometry of globalized fears centered on allegedly wild and unpredictable parts of the global South. The boundary between the public and the private domains of fears is therefore increasingly difficult to maintain. To the extent that fears once suffered in private have come to be perceived and dealt with as public problems, the ground is prepared for the understanding of fear as contingent, as a political problem. This long term transformation may be described as the ‘democratisation’ of fear, not in the ridiculous sense that everyone comes to exercise their right to be afraid, or is duty- bound to be so, but rather that fear, especially its debilitating and anti- democratic forms, ceases to be seen as ‘natural’ and comes instead to be understood as a contingent human experience, as a publicly treatable phenomenon, as a political problem for which tried and tested political remedies may be found. (Keane 2001: 32–35; emphasis added) Keane is absolutely right in reminding the subjects, analysts and even the practitioners of various kinds of fear – including those social scientists who are ‘fearful’ of being misunderstood as siding with the climate skeptics and therefore shy away from dissecting the dichotomy of ‘climate fear’ – that, ‘the political effort to identify fears, to name them, to witness and care for their victims, and to hunt down their perpetrators so that they might be brought before courts of law, is something positive, yet incomplete’ (ibid.: 35). Moreover, concludes Keane, ‘It is hard to know where today’s democracies are positioned on the scale of either understanding the fears that they (or other regimes) generate, or their counter- capacity to cultivate fearlessness, for instance through publicly witnessing the dastardly effects of fear’ (ibid.). If we were to glean from the various insights offered by Keane the proverbial billion dollar question for the purposes of critically examining the ‘new’ but nuanced category of ‘climate fear/terror’, it might be this: against the backdrop of the growing ‘democratization’ of ‘globalized’ fears, how do we distinguish and define the concept of ‘climate fear’, demarcate its spaces, and identify its ‘objective circumstances’, ‘subjective systems’ and ‘abreactions’? Needless to say this question begs insights from various other disciplines, especially geography. </w:t>
      </w:r>
      <w:r w:rsidRPr="006471D1">
        <w:rPr>
          <w:rStyle w:val="StyleUnderline"/>
        </w:rPr>
        <w:t>The new geopolitics of fear</w:t>
      </w:r>
      <w:r w:rsidRPr="006471D1">
        <w:rPr>
          <w:sz w:val="16"/>
        </w:rPr>
        <w:t xml:space="preserve">, argues Rachel An Introduction 13 Pain (2009) </w:t>
      </w:r>
      <w:r w:rsidRPr="006471D1">
        <w:rPr>
          <w:rStyle w:val="Emphasis"/>
        </w:rPr>
        <w:t>is ‘globalized’</w:t>
      </w:r>
      <w:r w:rsidRPr="006471D1">
        <w:rPr>
          <w:sz w:val="16"/>
        </w:rPr>
        <w:t xml:space="preserve"> </w:t>
      </w:r>
      <w:r w:rsidRPr="006471D1">
        <w:rPr>
          <w:rStyle w:val="StyleUnderline"/>
        </w:rPr>
        <w:t>in the sense that ‘emotions are positioned as primarily being produced and circulating on a global scale</w:t>
      </w:r>
      <w:r w:rsidRPr="006471D1">
        <w:rPr>
          <w:sz w:val="16"/>
        </w:rPr>
        <w:t xml:space="preserve">, rather than rooted in the existing biographies of places and their social relations; and second, in that they tend to be discussed as though they apply to everyone all of the time. </w:t>
      </w:r>
      <w:r w:rsidRPr="006471D1">
        <w:rPr>
          <w:rStyle w:val="StyleUnderline"/>
        </w:rPr>
        <w:t>Globalized fear is a ‘metanarrative that tends to constitute fear as omnipresent and connected, yet at the same time analyses it remotely, lacking grounding, embodiment or emotion’</w:t>
      </w:r>
      <w:r w:rsidRPr="006471D1">
        <w:rPr>
          <w:sz w:val="16"/>
        </w:rPr>
        <w:t xml:space="preserve"> (Pain 2009: 467). She </w:t>
      </w:r>
      <w:r w:rsidRPr="006471D1">
        <w:rPr>
          <w:sz w:val="16"/>
        </w:rPr>
        <w:lastRenderedPageBreak/>
        <w:t xml:space="preserve">would argue that </w:t>
      </w:r>
      <w:r w:rsidRPr="006471D1">
        <w:rPr>
          <w:rStyle w:val="StyleUnderline"/>
        </w:rPr>
        <w:t>there is a significant geography to the so- called ‘globalized’ fear in the sense that ‘</w:t>
      </w:r>
      <w:r w:rsidRPr="006471D1">
        <w:rPr>
          <w:rStyle w:val="Emphasis"/>
        </w:rPr>
        <w:t>Global risks and threats do not map neatly onto local fears’</w:t>
      </w:r>
      <w:r w:rsidRPr="006471D1">
        <w:rPr>
          <w:sz w:val="16"/>
        </w:rPr>
        <w:t xml:space="preserve"> (Pain 2010) and moreover ‘</w:t>
      </w:r>
      <w:r w:rsidRPr="006471D1">
        <w:rPr>
          <w:rStyle w:val="StyleUnderline"/>
        </w:rPr>
        <w:t>those most affected by fear in the current geopolitical climate are marginalized minority groups’ (</w:t>
      </w:r>
      <w:r w:rsidRPr="006471D1">
        <w:rPr>
          <w:sz w:val="16"/>
        </w:rPr>
        <w:t xml:space="preserve">ibid.). Our analysis of the new geopolitics of climate fear in the chapters to follow endorses these insights. A critical geographical- politics of ‘climate terror’ cannot afford to downplay the trends that suggest </w:t>
      </w:r>
      <w:r w:rsidRPr="006471D1">
        <w:rPr>
          <w:rStyle w:val="StyleUnderline"/>
        </w:rPr>
        <w:t xml:space="preserve">a </w:t>
      </w:r>
      <w:r w:rsidRPr="006471D1">
        <w:rPr>
          <w:rStyle w:val="Emphasis"/>
        </w:rPr>
        <w:t>strong political push</w:t>
      </w:r>
      <w:r w:rsidRPr="006471D1">
        <w:rPr>
          <w:rStyle w:val="StyleUnderline"/>
        </w:rPr>
        <w:t xml:space="preserve"> by the nascent transnational coalition devoted to – and hoping to benefit from – </w:t>
      </w:r>
      <w:r w:rsidRPr="006471D1">
        <w:rPr>
          <w:rStyle w:val="Emphasis"/>
        </w:rPr>
        <w:t>scientific- technological innovations</w:t>
      </w:r>
      <w:r w:rsidRPr="006471D1">
        <w:rPr>
          <w:rStyle w:val="StyleUnderline"/>
        </w:rPr>
        <w:t xml:space="preserve"> in the </w:t>
      </w:r>
      <w:r w:rsidRPr="006471D1">
        <w:rPr>
          <w:rStyle w:val="Emphasis"/>
        </w:rPr>
        <w:t>green industry,</w:t>
      </w:r>
      <w:r w:rsidRPr="006471D1">
        <w:rPr>
          <w:rStyle w:val="StyleUnderline"/>
        </w:rPr>
        <w:t xml:space="preserve"> toward </w:t>
      </w:r>
      <w:r w:rsidRPr="006471D1">
        <w:rPr>
          <w:rStyle w:val="Emphasis"/>
        </w:rPr>
        <w:t>frightening the masses</w:t>
      </w:r>
      <w:r w:rsidRPr="006471D1">
        <w:rPr>
          <w:rStyle w:val="StyleUnderline"/>
        </w:rPr>
        <w:t xml:space="preserve"> – especially the marginalized and the vulnerable – </w:t>
      </w:r>
      <w:r w:rsidRPr="006471D1">
        <w:rPr>
          <w:rStyle w:val="Emphasis"/>
        </w:rPr>
        <w:t>away from politics and the political</w:t>
      </w:r>
      <w:r w:rsidRPr="006471D1">
        <w:rPr>
          <w:sz w:val="16"/>
        </w:rPr>
        <w:t xml:space="preserve">. To note an example in passing, </w:t>
      </w:r>
      <w:r w:rsidRPr="006471D1">
        <w:rPr>
          <w:rStyle w:val="StyleUnderline"/>
        </w:rPr>
        <w:t xml:space="preserve">the first national adaptation plan of the United Kingdom, announced on 1 July 2013, describes climate change as a ‘big business opportunity’, </w:t>
      </w:r>
      <w:r w:rsidRPr="006471D1">
        <w:rPr>
          <w:sz w:val="16"/>
        </w:rPr>
        <w:t xml:space="preserve">claims global leadership for the UK in this industry and market for the future, and reassures the UK companies of full government support (United Kingdom 2013). </w:t>
      </w:r>
      <w:r w:rsidRPr="006471D1">
        <w:rPr>
          <w:rStyle w:val="StyleUnderline"/>
        </w:rPr>
        <w:t xml:space="preserve">What appears to be </w:t>
      </w:r>
      <w:r w:rsidRPr="006471D1">
        <w:rPr>
          <w:rStyle w:val="Emphasis"/>
        </w:rPr>
        <w:t>common to both the war on terror</w:t>
      </w:r>
      <w:r w:rsidRPr="006471D1">
        <w:rPr>
          <w:rStyle w:val="StyleUnderline"/>
        </w:rPr>
        <w:t xml:space="preserve"> and the </w:t>
      </w:r>
      <w:r w:rsidRPr="006471D1">
        <w:rPr>
          <w:rStyle w:val="Emphasis"/>
        </w:rPr>
        <w:t>securitization</w:t>
      </w:r>
      <w:r w:rsidRPr="006471D1">
        <w:rPr>
          <w:rStyle w:val="StyleUnderline"/>
        </w:rPr>
        <w:t xml:space="preserve">/militarization </w:t>
      </w:r>
      <w:r w:rsidRPr="006471D1">
        <w:rPr>
          <w:rStyle w:val="Emphasis"/>
        </w:rPr>
        <w:t>of climate change</w:t>
      </w:r>
      <w:r w:rsidRPr="006471D1">
        <w:rPr>
          <w:rStyle w:val="StyleUnderline"/>
        </w:rPr>
        <w:t xml:space="preserve"> is the </w:t>
      </w:r>
      <w:r w:rsidRPr="006471D1">
        <w:rPr>
          <w:rStyle w:val="Emphasis"/>
        </w:rPr>
        <w:t>speculative preemption</w:t>
      </w:r>
      <w:r w:rsidRPr="006471D1">
        <w:rPr>
          <w:rStyle w:val="StyleUnderline"/>
        </w:rPr>
        <w:t xml:space="preserve"> of </w:t>
      </w:r>
      <w:r w:rsidRPr="006471D1">
        <w:rPr>
          <w:rStyle w:val="Emphasis"/>
        </w:rPr>
        <w:t>future threats and dangers to justify the manipulation of socio- spatial consciousness</w:t>
      </w:r>
      <w:r w:rsidRPr="006471D1">
        <w:rPr>
          <w:rStyle w:val="StyleUnderline"/>
        </w:rPr>
        <w:t xml:space="preserve"> and policy interventions by the powers that be in the name of a moral economy that is </w:t>
      </w:r>
      <w:r w:rsidRPr="006471D1">
        <w:rPr>
          <w:rStyle w:val="Emphasis"/>
        </w:rPr>
        <w:t>heavily skewed in favor of the securing of the future citizen</w:t>
      </w:r>
      <w:r w:rsidRPr="006471D1">
        <w:rPr>
          <w:sz w:val="16"/>
        </w:rPr>
        <w:t xml:space="preserve">. Challenging the accumulative terrorizing effects of climate fears is not an easy task since what is at stake are the interests and agendas of various state and non- state actors. Describing various facets of the ‘ non- political politics of climate change’, Erik Swyngedouw (2013) points out a ‘paradoxical situation whereby </w:t>
      </w:r>
      <w:r w:rsidRPr="006471D1">
        <w:rPr>
          <w:rStyle w:val="StyleUnderline"/>
        </w:rPr>
        <w:t>the environment is politically mobilized, yet this political concern with the environment</w:t>
      </w:r>
      <w:r w:rsidRPr="006471D1">
        <w:rPr>
          <w:sz w:val="16"/>
        </w:rPr>
        <w:t xml:space="preserve">, as presently articulated, </w:t>
      </w:r>
      <w:r w:rsidRPr="006471D1">
        <w:rPr>
          <w:rStyle w:val="Emphasis"/>
        </w:rPr>
        <w:t>is argued to suspend the proper political dimension.’</w:t>
      </w:r>
      <w:r w:rsidRPr="006471D1">
        <w:rPr>
          <w:sz w:val="16"/>
        </w:rPr>
        <w:t xml:space="preserve"> </w:t>
      </w:r>
      <w:r w:rsidRPr="006471D1">
        <w:rPr>
          <w:rStyle w:val="StyleUnderline"/>
        </w:rPr>
        <w:t xml:space="preserve">He underlines the need to further explore ‘how the elevation of the environment to a public concern is both a </w:t>
      </w:r>
      <w:r w:rsidRPr="006471D1">
        <w:rPr>
          <w:rStyle w:val="Emphasis"/>
        </w:rPr>
        <w:t>marker of</w:t>
      </w:r>
      <w:r w:rsidRPr="006471D1">
        <w:rPr>
          <w:rStyle w:val="StyleUnderline"/>
        </w:rPr>
        <w:t xml:space="preserve"> and </w:t>
      </w:r>
      <w:r w:rsidRPr="006471D1">
        <w:rPr>
          <w:rStyle w:val="Emphasis"/>
        </w:rPr>
        <w:t>constituent force</w:t>
      </w:r>
      <w:r w:rsidRPr="006471D1">
        <w:rPr>
          <w:rStyle w:val="StyleUnderline"/>
        </w:rPr>
        <w:t xml:space="preserve"> in the </w:t>
      </w:r>
      <w:r w:rsidRPr="006471D1">
        <w:rPr>
          <w:rStyle w:val="Emphasis"/>
        </w:rPr>
        <w:t>production of de- politicization</w:t>
      </w:r>
      <w:r w:rsidRPr="006471D1">
        <w:rPr>
          <w:rStyle w:val="StyleUnderline"/>
        </w:rPr>
        <w:t>’</w:t>
      </w:r>
      <w:r w:rsidRPr="006471D1">
        <w:rPr>
          <w:sz w:val="16"/>
        </w:rPr>
        <w:t xml:space="preserve"> (ibid.: 2– 3). Ulrich Beck, in agreement with this contention would point out that by citing certain ‘indisputable facts’ and predicting a catastrophic future for humanity, ‘</w:t>
      </w:r>
      <w:r w:rsidRPr="006471D1">
        <w:rPr>
          <w:rStyle w:val="StyleUnderline"/>
        </w:rPr>
        <w:t xml:space="preserve">green politics has </w:t>
      </w:r>
      <w:r w:rsidRPr="006471D1">
        <w:rPr>
          <w:sz w:val="16"/>
        </w:rPr>
        <w:t xml:space="preserve">14 Climate Terror </w:t>
      </w:r>
      <w:r w:rsidRPr="006471D1">
        <w:rPr>
          <w:rStyle w:val="StyleUnderline"/>
        </w:rPr>
        <w:t xml:space="preserve">succeeded in </w:t>
      </w:r>
      <w:r w:rsidRPr="006471D1">
        <w:rPr>
          <w:rStyle w:val="Emphasis"/>
        </w:rPr>
        <w:t>de- politicizing political passions</w:t>
      </w:r>
      <w:r w:rsidRPr="006471D1">
        <w:rPr>
          <w:rStyle w:val="StyleUnderline"/>
        </w:rPr>
        <w:t xml:space="preserve"> to the point of leaving citizens nothing but </w:t>
      </w:r>
      <w:r w:rsidRPr="006471D1">
        <w:rPr>
          <w:rStyle w:val="Emphasis"/>
        </w:rPr>
        <w:t>gloomy asceticism</w:t>
      </w:r>
      <w:r w:rsidRPr="006471D1">
        <w:rPr>
          <w:sz w:val="16"/>
        </w:rPr>
        <w:t xml:space="preserve">, </w:t>
      </w:r>
      <w:r w:rsidRPr="006471D1">
        <w:rPr>
          <w:rStyle w:val="Emphasis"/>
        </w:rPr>
        <w:t>a terror of violating nature</w:t>
      </w:r>
      <w:r w:rsidRPr="006471D1">
        <w:rPr>
          <w:sz w:val="16"/>
        </w:rPr>
        <w:t xml:space="preserve"> </w:t>
      </w:r>
      <w:r w:rsidRPr="006471D1">
        <w:rPr>
          <w:rStyle w:val="StyleUnderline"/>
        </w:rPr>
        <w:t xml:space="preserve">and an </w:t>
      </w:r>
      <w:r w:rsidRPr="006471D1">
        <w:rPr>
          <w:rStyle w:val="Emphasis"/>
        </w:rPr>
        <w:t>indifference</w:t>
      </w:r>
      <w:r w:rsidRPr="006471D1">
        <w:rPr>
          <w:rStyle w:val="StyleUnderline"/>
        </w:rPr>
        <w:t xml:space="preserve"> towards the modernization of modernity’</w:t>
      </w:r>
      <w:r w:rsidRPr="006471D1">
        <w:rPr>
          <w:sz w:val="16"/>
        </w:rPr>
        <w:t xml:space="preserve"> (Beck 2010: 263). Swyngedouw (2013: 3) would go on to argue that notwithstanding the fact that Nature continues to be mean different things to different individuals and social groups embedded in diverse cultural settings, </w:t>
      </w:r>
      <w:r w:rsidRPr="006471D1">
        <w:rPr>
          <w:rStyle w:val="StyleUnderline"/>
        </w:rPr>
        <w:t>we find an overwhelming consensus ‘over the seriousness of the environmental condition and the precariousness of our socio- ecological predicament’</w:t>
      </w:r>
      <w:r w:rsidRPr="006471D1">
        <w:rPr>
          <w:sz w:val="16"/>
        </w:rPr>
        <w:t xml:space="preserve">. Few, in his view, would dispute the imperatives of environmental sustainability if disasters were to be averted. According to Swyngedouw, In this consensual setting, </w:t>
      </w:r>
      <w:r w:rsidRPr="006471D1">
        <w:rPr>
          <w:rStyle w:val="StyleUnderline"/>
        </w:rPr>
        <w:t xml:space="preserve">environmental problems are generally staged as </w:t>
      </w:r>
      <w:r w:rsidRPr="006471D1">
        <w:rPr>
          <w:rStyle w:val="Emphasis"/>
        </w:rPr>
        <w:t>universally threatening</w:t>
      </w:r>
      <w:r w:rsidRPr="006471D1">
        <w:rPr>
          <w:rStyle w:val="StyleUnderline"/>
        </w:rPr>
        <w:t xml:space="preserve"> to the survival of humankind</w:t>
      </w:r>
      <w:r w:rsidRPr="006471D1">
        <w:rPr>
          <w:sz w:val="16"/>
        </w:rPr>
        <w:t xml:space="preserve"> </w:t>
      </w:r>
      <w:r w:rsidRPr="006471D1">
        <w:rPr>
          <w:rStyle w:val="StyleUnderline"/>
        </w:rPr>
        <w:t>and sustained by</w:t>
      </w:r>
      <w:r w:rsidRPr="006471D1">
        <w:rPr>
          <w:sz w:val="16"/>
        </w:rPr>
        <w:t xml:space="preserve"> what Mike Davis (1999) called ‘</w:t>
      </w:r>
      <w:r w:rsidRPr="006471D1">
        <w:rPr>
          <w:rStyle w:val="Emphasis"/>
        </w:rPr>
        <w:t xml:space="preserve">ecologies of </w:t>
      </w:r>
      <w:r w:rsidRPr="006471D1">
        <w:rPr>
          <w:rStyle w:val="StyleUnderline"/>
        </w:rPr>
        <w:t xml:space="preserve">fear’ on the one hand and a series of </w:t>
      </w:r>
      <w:r w:rsidRPr="006471D1">
        <w:rPr>
          <w:rStyle w:val="Emphasis"/>
        </w:rPr>
        <w:t xml:space="preserve">decidedly populist gestures </w:t>
      </w:r>
      <w:r w:rsidRPr="006471D1">
        <w:rPr>
          <w:rStyle w:val="StyleUnderline"/>
        </w:rPr>
        <w:t>on the other</w:t>
      </w:r>
      <w:r w:rsidRPr="006471D1">
        <w:rPr>
          <w:sz w:val="16"/>
        </w:rPr>
        <w:t xml:space="preserve">. </w:t>
      </w:r>
      <w:r w:rsidRPr="006471D1">
        <w:rPr>
          <w:rStyle w:val="StyleUnderline"/>
        </w:rPr>
        <w:t xml:space="preserve">The discursive matrix through which the contemporary meaning of the environmental condition is woven is one quilted by the </w:t>
      </w:r>
      <w:r w:rsidRPr="006471D1">
        <w:rPr>
          <w:rStyle w:val="Emphasis"/>
        </w:rPr>
        <w:t>invocation of fear and danger</w:t>
      </w:r>
      <w:r w:rsidRPr="006471D1">
        <w:rPr>
          <w:sz w:val="16"/>
        </w:rPr>
        <w:t xml:space="preserve">, and </w:t>
      </w:r>
      <w:r w:rsidRPr="006471D1">
        <w:rPr>
          <w:rStyle w:val="StyleUnderline"/>
        </w:rPr>
        <w:t>the specter of ecological annihilation or at least seriously distressed socio- ecological conditions for many people in the near future</w:t>
      </w:r>
      <w:r w:rsidRPr="006471D1">
        <w:rPr>
          <w:sz w:val="16"/>
        </w:rPr>
        <w:t xml:space="preserve">. (Swyngedouw 2013: 3) The politics of non- political and the post- political is no doubt gaining momentum but not without inviting significant resistance, emanating from a growing awareness of unequal geographies of neo- liberal globalization in various parts of the globe, and articulated through trans- local networks. We agree with David Featherstone that </w:t>
      </w:r>
      <w:r w:rsidRPr="006471D1">
        <w:rPr>
          <w:rStyle w:val="StyleUnderline"/>
        </w:rPr>
        <w:t xml:space="preserve">a politics that </w:t>
      </w:r>
      <w:r w:rsidRPr="006471D1">
        <w:rPr>
          <w:rStyle w:val="Emphasis"/>
        </w:rPr>
        <w:t>fails to question</w:t>
      </w:r>
      <w:r w:rsidRPr="006471D1">
        <w:rPr>
          <w:rStyle w:val="StyleUnderline"/>
        </w:rPr>
        <w:t xml:space="preserve"> hierarchical power relations related to climate change runs the risk of </w:t>
      </w:r>
      <w:r w:rsidRPr="006471D1">
        <w:rPr>
          <w:rStyle w:val="Emphasis"/>
        </w:rPr>
        <w:t>becoming redundant</w:t>
      </w:r>
      <w:r w:rsidRPr="006471D1">
        <w:rPr>
          <w:rStyle w:val="StyleUnderline"/>
        </w:rPr>
        <w:t>.</w:t>
      </w:r>
      <w:r w:rsidRPr="006471D1">
        <w:rPr>
          <w:sz w:val="16"/>
        </w:rPr>
        <w:t xml:space="preserve"> </w:t>
      </w:r>
      <w:r w:rsidRPr="006471D1">
        <w:rPr>
          <w:rStyle w:val="StyleUnderline"/>
        </w:rPr>
        <w:t>Engaged in this counter- politics directed at unequal power relations and nation- state centric narratives of the political which continue to dictate the debate on the ‘ post- political’ are equally innovative ‘alliances and exchanges between different groups and activists based in different parts of the world’</w:t>
      </w:r>
      <w:r w:rsidRPr="006471D1">
        <w:rPr>
          <w:sz w:val="16"/>
        </w:rPr>
        <w:t xml:space="preserve"> (Featherstone 2013: 50). Featherstone further argues that scholars like Erik Swyngedouw tend ‘to ignore the ways in which contestation to climate change, such as the organizing in advance of COP15 and the alliances configured through the protests, exceed, unsettle and undermine attempts to contain contestation within the nation. These mobilizations suggest that forms of contentious politics shape more generative geographies of antagonism </w:t>
      </w:r>
      <w:r w:rsidRPr="006471D1">
        <w:rPr>
          <w:sz w:val="16"/>
        </w:rPr>
        <w:lastRenderedPageBreak/>
        <w:t>and more diverse modalities of contestation than is acknowledged by theorists of the post political’ (Featherstone 2013: 47). An Introduction 15 In some ways ‘</w:t>
      </w:r>
      <w:r w:rsidRPr="006471D1">
        <w:rPr>
          <w:rStyle w:val="StyleUnderline"/>
        </w:rPr>
        <w:t>climate fear’ is similar to other forms of fear</w:t>
      </w:r>
      <w:r w:rsidRPr="006471D1">
        <w:rPr>
          <w:sz w:val="16"/>
        </w:rPr>
        <w:t xml:space="preserve"> (including ‘globalized’ and ‘everyday’) and yet distinct in several ways. As Pain and Smith (2008) have pointed out, ‘it is more useful to see fear as made up of a range of multiscalar influences constituting an assemblage, rather than assuming the spatial hierarchy where global processes have local impacts on feelings.’ </w:t>
      </w:r>
      <w:r w:rsidRPr="006471D1">
        <w:rPr>
          <w:rStyle w:val="StyleUnderline"/>
        </w:rPr>
        <w:t>The category of climate fear also appears to defy both spatial and temporal compartmentalization.</w:t>
      </w:r>
      <w:r w:rsidRPr="006471D1">
        <w:rPr>
          <w:sz w:val="16"/>
        </w:rPr>
        <w:t xml:space="preserve"> As an assemblage of geopolitical, geoeconomic and strategic- military agencies, agendas and policies – anchored in earth climate science – ‘</w:t>
      </w:r>
      <w:r w:rsidRPr="006471D1">
        <w:rPr>
          <w:rStyle w:val="StyleUnderline"/>
        </w:rPr>
        <w:t xml:space="preserve">climate fear’ draws, on the one hand, on the anxieties emanating from </w:t>
      </w:r>
      <w:r w:rsidRPr="006471D1">
        <w:rPr>
          <w:rStyle w:val="Emphasis"/>
        </w:rPr>
        <w:t xml:space="preserve">natural- social- political disasters </w:t>
      </w:r>
      <w:r w:rsidRPr="006471D1">
        <w:rPr>
          <w:rStyle w:val="StyleUnderline"/>
        </w:rPr>
        <w:t>of various magnitudes and scales</w:t>
      </w:r>
      <w:r w:rsidRPr="006471D1">
        <w:rPr>
          <w:sz w:val="16"/>
        </w:rPr>
        <w:t xml:space="preserve">. On the other hand, </w:t>
      </w:r>
      <w:r w:rsidRPr="006471D1">
        <w:rPr>
          <w:rStyle w:val="StyleUnderline"/>
        </w:rPr>
        <w:t>its roots can be traced back to the geographical politics of ‘nuclear winter’ during the cold period.</w:t>
      </w:r>
      <w:r w:rsidRPr="006471D1">
        <w:rPr>
          <w:sz w:val="16"/>
        </w:rPr>
        <w:t xml:space="preserve"> Before we attempt to briefly map various routes that fear- terror inducing climate change discourses have taken, a brief reflection on some of its roots could be highly illuminating. As the industrialized nations and the vested interest groups, having lead the globalization project, struggle to put a gloss over the causes of climate change by invoking the catastrophic consequences of the socalled ‘global’ challenge, </w:t>
      </w:r>
      <w:r w:rsidRPr="006471D1">
        <w:rPr>
          <w:rStyle w:val="StyleUnderline"/>
        </w:rPr>
        <w:t>the ‘strategic’ deployment of old metaphors to frame the new geopolitics of climate terror has assumed intriguing features.</w:t>
      </w:r>
    </w:p>
    <w:p w:rsidR="005A160F" w:rsidRPr="003E0AE5" w:rsidRDefault="005A160F" w:rsidP="005A160F"/>
    <w:p w:rsidR="003B7098" w:rsidRDefault="004143C4" w:rsidP="003B7098">
      <w:pPr>
        <w:pStyle w:val="Heading3"/>
      </w:pPr>
      <w:bookmarkStart w:id="46" w:name="_Toc489138938"/>
      <w:r>
        <w:lastRenderedPageBreak/>
        <w:t xml:space="preserve">Link: </w:t>
      </w:r>
      <w:r w:rsidR="003B7098">
        <w:t>Economy</w:t>
      </w:r>
      <w:bookmarkEnd w:id="46"/>
    </w:p>
    <w:p w:rsidR="003B7098" w:rsidRPr="00751B55" w:rsidRDefault="003B7098" w:rsidP="003B7098">
      <w:pPr>
        <w:pStyle w:val="Heading4"/>
      </w:pPr>
      <w:r>
        <w:t xml:space="preserve">The historical processes of economic development and trade modernization are grounded in Western imperial spatial and temporal hierarchies. The tropes of degeneracy and decadence were grafted from the perverse homosexual onto the ‘undevelopable’ nation legitimizing Western neocolonial wars and the capitalist procreative nuclear family. </w:t>
      </w:r>
    </w:p>
    <w:p w:rsidR="003B7098" w:rsidRDefault="003B7098" w:rsidP="003B7098">
      <w:r w:rsidRPr="00F54C98">
        <w:rPr>
          <w:rStyle w:val="Style13ptBold"/>
        </w:rPr>
        <w:t>Weber 16</w:t>
      </w:r>
      <w:r>
        <w:br/>
      </w:r>
      <w:r w:rsidRPr="00F54C98">
        <w:t>Cynthia.</w:t>
      </w:r>
      <w:r>
        <w:t xml:space="preserve"> </w:t>
      </w:r>
      <w:r w:rsidRPr="00F54C98">
        <w:t xml:space="preserve">Professor of International Relations at Sussex University, UK </w:t>
      </w:r>
      <w:r>
        <w:t>“</w:t>
      </w:r>
      <w:r w:rsidRPr="00F54C98">
        <w:t>Queer International Relations</w:t>
      </w:r>
      <w:r>
        <w:t>”</w:t>
      </w:r>
      <w:r w:rsidRPr="00F54C98">
        <w:t xml:space="preserve"> Oxford University Press, 2016.</w:t>
      </w:r>
    </w:p>
    <w:p w:rsidR="003B7098" w:rsidRPr="00751B55" w:rsidRDefault="003B7098" w:rsidP="003B7098">
      <w:pPr>
        <w:rPr>
          <w:sz w:val="16"/>
        </w:rPr>
      </w:pPr>
      <w:r w:rsidRPr="0087222B">
        <w:rPr>
          <w:rStyle w:val="StyleUnderline"/>
        </w:rPr>
        <w:t>To woo the ‘underdeveloped’ away from communism was to maintain him within the Western capitalist bloc; the ‘underdeveloped’ was stabilized in international relation theory and practice as a specific problem that the Western bloc of sovereign states urgently had to address. This was done by figuring the ‘underdeveloped’ as socially, psychologically, economically, and politically primitive through modernization and development theory</w:t>
      </w:r>
      <w:r w:rsidRPr="00751B55">
        <w:rPr>
          <w:sz w:val="16"/>
        </w:rPr>
        <w:t xml:space="preserve">, ‘the latest manifestation of a Great Dichotomy between more primitive and more advanced societies’ (Huntington 1971, 285). Borrowing primarily from the structural-functionalist evolutionary sociology of Talcott Parsons (1966) and the stages of growth evolutionary economic analysis of Walt Rostow (1960), </w:t>
      </w:r>
      <w:r w:rsidRPr="0087222B">
        <w:rPr>
          <w:rStyle w:val="StyleUnderline"/>
        </w:rPr>
        <w:t>comparative and international relation theorists created systems theories</w:t>
      </w:r>
      <w:r w:rsidRPr="00751B55">
        <w:rPr>
          <w:sz w:val="16"/>
        </w:rPr>
        <w:t xml:space="preserve"> (Easton 1957; 1967) </w:t>
      </w:r>
      <w:r w:rsidRPr="0087222B">
        <w:rPr>
          <w:rStyle w:val="StyleUnderline"/>
        </w:rPr>
        <w:t>and development theories</w:t>
      </w:r>
      <w:r w:rsidRPr="00751B55">
        <w:rPr>
          <w:sz w:val="16"/>
        </w:rPr>
        <w:t xml:space="preserve"> (Almond and Powell 1966) </w:t>
      </w:r>
      <w:r w:rsidRPr="0087222B">
        <w:rPr>
          <w:rStyle w:val="StyleUnderline"/>
        </w:rPr>
        <w:t>that stabilized the ‘underdeveloped’ as a primitive ignorant species-life whose political socialization and political development required Western guidance</w:t>
      </w:r>
      <w:r w:rsidRPr="00751B55">
        <w:rPr>
          <w:sz w:val="16"/>
        </w:rPr>
        <w:t xml:space="preserve">. This guidance invariably recommended implanting the ‘underdeveloped’ with a desire for the right kind of development and then placing him on a civilizing course from decadence to decency that mapped exactly to a political and economic progression from irrational, local tribalism toward modern Western capitalism and (usually) political liberalism (exceptionally, see Huntington 1969). In this way, ‘The bridge across the Great Dichotomy between modern and traditional societies [became] the Grand Process of Modernization’ (Huntington 1971, 288). At the same time, </w:t>
      </w:r>
      <w:r w:rsidRPr="0087222B">
        <w:rPr>
          <w:rStyle w:val="StyleUnderline"/>
        </w:rPr>
        <w:t>the modernization and development process identified the ‘undevelopable’ as those who would not or could not achieve Western-style development and who were accordingly cast as pure threats to Western global security</w:t>
      </w:r>
      <w:r w:rsidRPr="00751B55">
        <w:rPr>
          <w:sz w:val="16"/>
        </w:rPr>
        <w:t xml:space="preserve">. By adapting the Great Dichotomy to international political theorizing, comparative and international relation theorists stabilized all those understandings found in the Great Dichotomy and refined them for political analysis and public policy. </w:t>
      </w:r>
      <w:r w:rsidRPr="0087222B">
        <w:rPr>
          <w:rStyle w:val="StyleUnderline"/>
        </w:rPr>
        <w:t>Their ‘sovereign man’ and his opposite were precisely those of the Great Dichotomy—civilized, rational, modern,</w:t>
      </w:r>
      <w:r w:rsidRPr="00751B55">
        <w:rPr>
          <w:sz w:val="16"/>
        </w:rPr>
        <w:t xml:space="preserve"> (p.51) </w:t>
      </w:r>
      <w:r w:rsidRPr="0087222B">
        <w:rPr>
          <w:rStyle w:val="StyleUnderline"/>
        </w:rPr>
        <w:t>often imperial, presumptively Christian and always ‘developed man’ in his singular, ahistorical abstraction opposed to potentially dangerous, plural, uncivilized</w:t>
      </w:r>
      <w:r w:rsidRPr="00751B55">
        <w:rPr>
          <w:sz w:val="16"/>
        </w:rPr>
        <w:t xml:space="preserve"> (or uncivilizable), </w:t>
      </w:r>
      <w:r w:rsidRPr="0087222B">
        <w:rPr>
          <w:rStyle w:val="StyleUnderline"/>
        </w:rPr>
        <w:t>irrational, traditional ‘underdeveloped’ or ‘undevelopable man’ mired in</w:t>
      </w:r>
      <w:r w:rsidRPr="00751B55">
        <w:rPr>
          <w:sz w:val="16"/>
        </w:rPr>
        <w:t xml:space="preserve"> (while often excluded from modern) </w:t>
      </w:r>
      <w:r w:rsidRPr="0087222B">
        <w:rPr>
          <w:rStyle w:val="StyleUnderline"/>
        </w:rPr>
        <w:t>history</w:t>
      </w:r>
      <w:r w:rsidRPr="00751B55">
        <w:rPr>
          <w:sz w:val="16"/>
        </w:rPr>
        <w:t xml:space="preserve">. </w:t>
      </w:r>
      <w:r w:rsidRPr="0087222B">
        <w:rPr>
          <w:rStyle w:val="StyleUnderline"/>
        </w:rPr>
        <w:t>These theorists organized these figures into an order-versus-anarchy dichotomy that hierarchized ‘developed’ over ‘underdeveloped’ and ‘undevelopable’ populations and territories and designated ‘developed’ populations and states as a form of Western sovereign man who should be aspired to by ‘underdeveloped’ postcolonial populations as the foundation of their newly emerging sovereign nation-states</w:t>
      </w:r>
      <w:r w:rsidRPr="00751B55">
        <w:rPr>
          <w:sz w:val="16"/>
        </w:rPr>
        <w:t xml:space="preserve">. </w:t>
      </w:r>
      <w:r w:rsidRPr="0087222B">
        <w:rPr>
          <w:rStyle w:val="StyleUnderline"/>
        </w:rPr>
        <w:t>They located these figures within the linear, progressive logic of modernization</w:t>
      </w:r>
      <w:r w:rsidRPr="00751B55">
        <w:rPr>
          <w:sz w:val="16"/>
        </w:rPr>
        <w:t xml:space="preserve">, albeit at different moments (the beginning of the modernization process for the ‘underdeveloped’; not a part of the modernization process for the ‘undevelopable’) and in different geographic locations (the ‘non-West’ or the ‘South’ vs. the ‘West’ or the ‘North’). And </w:t>
      </w:r>
      <w:r w:rsidRPr="0087222B">
        <w:rPr>
          <w:rStyle w:val="StyleUnderline"/>
        </w:rPr>
        <w:t>they understood the process of modernization as a mechanism for implanting a desire for capitalist development in ‘underdeveloped’ populations and newly emerging sovereign nation-states, as a way to solve the Western bloc’s problem of the ‘underdeveloped’ as a global security issue</w:t>
      </w:r>
      <w:r w:rsidRPr="00751B55">
        <w:rPr>
          <w:sz w:val="16"/>
        </w:rPr>
        <w:t xml:space="preserve">. Finally, the ‘underdeveloped’ and the ‘undevelopable’ were regimented in a diverse array of foreign policies. US foreign policies offer some examples. President Harry </w:t>
      </w:r>
      <w:r w:rsidRPr="0087222B">
        <w:rPr>
          <w:rStyle w:val="StyleUnderline"/>
        </w:rPr>
        <w:t>Truman’s policies, which encouraged modernization as a function of nation building as a way of containing communism while avoiding direct wars</w:t>
      </w:r>
      <w:r w:rsidRPr="00751B55">
        <w:rPr>
          <w:sz w:val="16"/>
        </w:rPr>
        <w:t xml:space="preserve"> (Merrill 2006), and President </w:t>
      </w:r>
      <w:r w:rsidRPr="0087222B">
        <w:rPr>
          <w:rStyle w:val="StyleUnderline"/>
        </w:rPr>
        <w:t>Kennedy’s establishment of the Peace Corps</w:t>
      </w:r>
      <w:r w:rsidRPr="00751B55">
        <w:rPr>
          <w:sz w:val="16"/>
        </w:rPr>
        <w:t xml:space="preserve"> (Almond 1970a, 23) are but two illustrations. Such </w:t>
      </w:r>
      <w:r w:rsidRPr="0087222B">
        <w:rPr>
          <w:rStyle w:val="StyleUnderline"/>
        </w:rPr>
        <w:t xml:space="preserve">policies were often less focused on having the ‘underdeveloped’ much less the ‘undevelopable’ achieve the end goal of development than they </w:t>
      </w:r>
      <w:r w:rsidRPr="0087222B">
        <w:rPr>
          <w:rStyle w:val="StyleUnderline"/>
        </w:rPr>
        <w:lastRenderedPageBreak/>
        <w:t>were with maintaining the ‘underdeveloped’ and the ‘undevelopable’ in systems of biopolitical surveillance, administration, management, and constant correction and securitization, first in support of and supported by a globalized liberalism and later by a globalized neoliberalism</w:t>
      </w:r>
      <w:r w:rsidRPr="00751B55">
        <w:rPr>
          <w:sz w:val="16"/>
        </w:rPr>
        <w:t xml:space="preserve"> (Doty 1996; Duffield 2007). For the ‘undevelopable’, the </w:t>
      </w:r>
      <w:r w:rsidRPr="00680029">
        <w:rPr>
          <w:rStyle w:val="StyleUnderline"/>
        </w:rPr>
        <w:t>biopolitical management of life gave way to the necropolitical management of death</w:t>
      </w:r>
      <w:r w:rsidRPr="00751B55">
        <w:rPr>
          <w:sz w:val="16"/>
        </w:rPr>
        <w:t xml:space="preserve"> (Mbembe 2003), since the (p.52) ‘undevelopable’ not only could not be assimilated through the development process, but constituted a pure threat to the development process itself. Sometimes </w:t>
      </w:r>
      <w:r w:rsidRPr="00680029">
        <w:rPr>
          <w:rStyle w:val="StyleUnderline"/>
        </w:rPr>
        <w:t>this occurred directly through violent wars</w:t>
      </w:r>
      <w:r w:rsidRPr="00751B55">
        <w:rPr>
          <w:sz w:val="16"/>
        </w:rPr>
        <w:t xml:space="preserve"> (in Korea and Vietnam, for example); other times it occurred </w:t>
      </w:r>
      <w:r w:rsidRPr="00680029">
        <w:rPr>
          <w:rStyle w:val="StyleUnderline"/>
        </w:rPr>
        <w:t>through the ‘defensive’ containment of dangerous difference</w:t>
      </w:r>
      <w:r w:rsidRPr="00751B55">
        <w:rPr>
          <w:sz w:val="16"/>
        </w:rPr>
        <w:t xml:space="preserve">. For example, </w:t>
      </w:r>
      <w:r w:rsidRPr="00680029">
        <w:rPr>
          <w:rStyle w:val="StyleUnderline"/>
        </w:rPr>
        <w:t>before he became secretary of state</w:t>
      </w:r>
      <w:r w:rsidRPr="00751B55">
        <w:rPr>
          <w:sz w:val="16"/>
        </w:rPr>
        <w:t xml:space="preserve">, Henry </w:t>
      </w:r>
      <w:r w:rsidRPr="00680029">
        <w:rPr>
          <w:rStyle w:val="StyleUnderline"/>
        </w:rPr>
        <w:t>Kissinger claimed, ‘We must construct an international order before a crisis imposes it as a necessity’</w:t>
      </w:r>
      <w:r w:rsidRPr="00751B55">
        <w:rPr>
          <w:sz w:val="16"/>
        </w:rPr>
        <w:t xml:space="preserve"> (1966, 529). </w:t>
      </w:r>
      <w:r w:rsidRPr="00680029">
        <w:rPr>
          <w:rStyle w:val="StyleUnderline"/>
        </w:rPr>
        <w:t>This claim is rooted in Kissinger’s observation that ‘the instability of the contemporary world order may … have at its core a philosophical schism’ between the ‘West’ and the ‘new countries’, which ‘have retained the essentially pre-Newtonian view that the real world is almost completely internal to the observer</w:t>
      </w:r>
      <w:r w:rsidRPr="00751B55">
        <w:rPr>
          <w:sz w:val="16"/>
        </w:rPr>
        <w:t xml:space="preserve">’ (1966, 528), making Western-style development and its accompanying domestic political structures and international diplomacy unattainable (also see discussion in Said 1978, 46–47). As secretary of state, </w:t>
      </w:r>
      <w:r w:rsidRPr="00680029">
        <w:rPr>
          <w:rStyle w:val="StyleUnderline"/>
        </w:rPr>
        <w:t>Kissinger acted on this claim to oppose ‘revolutionary states’ and their ‘prophetic’ leaders in Vietnam</w:t>
      </w:r>
      <w:r w:rsidRPr="00751B55">
        <w:rPr>
          <w:sz w:val="16"/>
        </w:rPr>
        <w:t xml:space="preserve"> (1966). Through each of these sometimes very different foreign policies, </w:t>
      </w:r>
      <w:r w:rsidRPr="00680029">
        <w:rPr>
          <w:rStyle w:val="StyleUnderline"/>
        </w:rPr>
        <w:t>modernization became a securitizing system of management and rule to be imposed by the ‘developed’ on the ‘underdeveloped’ and the ‘undevelopable’ to tame or to destroy their dangerous anarchy</w:t>
      </w:r>
      <w:r w:rsidRPr="00751B55">
        <w:rPr>
          <w:sz w:val="16"/>
        </w:rPr>
        <w:t xml:space="preserve"> </w:t>
      </w:r>
      <w:r w:rsidRPr="00680029">
        <w:rPr>
          <w:rStyle w:val="StyleUnderline"/>
        </w:rPr>
        <w:t>that</w:t>
      </w:r>
      <w:r w:rsidRPr="00751B55">
        <w:rPr>
          <w:sz w:val="16"/>
        </w:rPr>
        <w:t>—if left unmonitored, unmanaged, and unmodernized—</w:t>
      </w:r>
      <w:r w:rsidRPr="00680029">
        <w:rPr>
          <w:rStyle w:val="StyleUnderline"/>
        </w:rPr>
        <w:t>threated Western capitalist states and Western civilizational order itself</w:t>
      </w:r>
      <w:r w:rsidRPr="00751B55">
        <w:rPr>
          <w:sz w:val="16"/>
        </w:rPr>
        <w:t xml:space="preserve"> (Doty 1996). Th</w:t>
      </w:r>
      <w:r w:rsidRPr="00680029">
        <w:rPr>
          <w:rStyle w:val="StyleUnderline"/>
        </w:rPr>
        <w:t>e ‘Great Dichotomy between more primitive and more advanced societies’</w:t>
      </w:r>
      <w:r w:rsidRPr="00751B55">
        <w:rPr>
          <w:sz w:val="16"/>
        </w:rPr>
        <w:t xml:space="preserve"> and its figuration of the ‘underdeveloped’ and the ‘undevelopable’ did not originate in international relation theory. Rather, it ‘</w:t>
      </w:r>
      <w:r w:rsidRPr="00680029">
        <w:rPr>
          <w:rStyle w:val="StyleUnderline"/>
        </w:rPr>
        <w:t xml:space="preserve">has been a common feature of Western social thought for the past one hundred years’ and more </w:t>
      </w:r>
      <w:r w:rsidRPr="00751B55">
        <w:rPr>
          <w:sz w:val="16"/>
        </w:rPr>
        <w:t xml:space="preserve">(Huntington 1971, 285). Variously described as traditional versus modern, uncivilized versus civilized, or underdeveloped versus developed, </w:t>
      </w:r>
      <w:r w:rsidRPr="00680029">
        <w:rPr>
          <w:rStyle w:val="StyleUnderline"/>
        </w:rPr>
        <w:t>this Great Dichotomy places the ‘underdeveloped’ and the ‘undevelopable’ on the lesser side of its dominant imperial spatial hierarch</w:t>
      </w:r>
      <w:r w:rsidRPr="00751B55">
        <w:rPr>
          <w:sz w:val="16"/>
        </w:rPr>
        <w:t xml:space="preserve">y. It is able to do so largely </w:t>
      </w:r>
      <w:r w:rsidRPr="00680029">
        <w:rPr>
          <w:rStyle w:val="StyleUnderline"/>
        </w:rPr>
        <w:t>because it temporalizes this hierarchy through its use of nineteenth- and twentieth-century understandings of time such as those found in evolutionary biological, psychological, social, and political development.</w:t>
      </w:r>
      <w:r w:rsidRPr="00751B55">
        <w:rPr>
          <w:sz w:val="16"/>
        </w:rPr>
        <w:t xml:space="preserve"> In these ways, </w:t>
      </w:r>
      <w:r w:rsidRPr="00680029">
        <w:rPr>
          <w:rStyle w:val="StyleUnderline"/>
        </w:rPr>
        <w:t>the ‘underdeveloped’ and the ‘undevelopable’ are figured as perversions in/of evolutionary time</w:t>
      </w:r>
      <w:r w:rsidRPr="00751B55">
        <w:rPr>
          <w:sz w:val="16"/>
        </w:rPr>
        <w:t xml:space="preserve">. (p.53) From a post–World War II Western perspective, what is at stake </w:t>
      </w:r>
      <w:r w:rsidRPr="00680029">
        <w:rPr>
          <w:rStyle w:val="StyleUnderline"/>
        </w:rPr>
        <w:t>in the perverting of evolutionary temporality is the very security of the ‘West’ itself. For modernization and development is always both a theory and a practice aimed at securing the West against the other great modern theory of development undergirded by its own understandings of evolutionary time—Marxism</w:t>
      </w:r>
      <w:r w:rsidRPr="00751B55">
        <w:rPr>
          <w:sz w:val="16"/>
        </w:rPr>
        <w:t xml:space="preserve">. What this means, then, is that precisely how the ‘underdeveloped’ and the ‘undevelopable’ are temporally figured and what makes their figurations as temporally perverse possible has had direct significance for how post–World War II international relation theory is conceptualized and practiced. Furthermore, </w:t>
      </w:r>
      <w:r w:rsidRPr="00680029">
        <w:rPr>
          <w:rStyle w:val="StyleUnderline"/>
        </w:rPr>
        <w:t>how understandings of the ‘underdeveloped’ and the ‘undevelopable’ are frozen, refigured, and remobilized to figure contemporary understandings of the ‘unwanted im/migrant’ and the ‘terrorist’ means that their significance continues to this day</w:t>
      </w:r>
      <w:r w:rsidRPr="00751B55">
        <w:rPr>
          <w:sz w:val="16"/>
        </w:rPr>
        <w:t xml:space="preserve"> (e.g., see Soguk 1999; Berman 2003). It is for these reasons that I spend the rest of this chapter analyzing precisely how </w:t>
      </w:r>
      <w:r w:rsidRPr="00680029">
        <w:rPr>
          <w:rStyle w:val="StyleUnderline"/>
        </w:rPr>
        <w:t>the ‘West’ figured the ‘underdeveloped’ and the ‘undeveloped’ as perversions in/of their conceptualization of evolutionary time.</w:t>
      </w:r>
      <w:r>
        <w:rPr>
          <w:rStyle w:val="StyleUnderline"/>
        </w:rPr>
        <w:t xml:space="preserve"> </w:t>
      </w:r>
      <w:r w:rsidRPr="00751B55">
        <w:rPr>
          <w:sz w:val="16"/>
        </w:rPr>
        <w:t xml:space="preserve">To do this, I focus on how </w:t>
      </w:r>
      <w:r w:rsidRPr="00680029">
        <w:rPr>
          <w:rStyle w:val="StyleUnderline"/>
        </w:rPr>
        <w:t>the tropes of degeneracy and decadence performatively figure the ‘temporally perverse underdeveloped’ and ‘undevelopable’ and participate in the worlding of specific sexualized orders of international relations though their organization of modern/modernizing and developed/developing spaces, times, and desires</w:t>
      </w:r>
      <w:r w:rsidRPr="00751B55">
        <w:rPr>
          <w:sz w:val="16"/>
        </w:rPr>
        <w:t xml:space="preserve">. These international orders are sexualized orders because—as Neville Hoad shows in relation to Freudian psychoanalysis and I show in relation to Gabriel Almond’s modernization and development theory—figurations of sexuality are so intimately intermingled with the tropes of degeneracy and decadence that </w:t>
      </w:r>
      <w:r w:rsidRPr="00680029">
        <w:rPr>
          <w:rStyle w:val="StyleUnderline"/>
        </w:rPr>
        <w:t>the figuration of the ‘temporally perverse underdeveloped’ and ‘undevelopable’ is always/also a figuration of the ‘temporally perverse homosexual’</w:t>
      </w:r>
      <w:r w:rsidRPr="00751B55">
        <w:rPr>
          <w:sz w:val="16"/>
        </w:rPr>
        <w:t>. Following Hoad, I read how the ‘</w:t>
      </w:r>
      <w:r w:rsidRPr="00680029">
        <w:rPr>
          <w:rStyle w:val="StyleUnderline"/>
        </w:rPr>
        <w:t>temporally perverse underdeveloped’ and ‘undevelopable’ are figured in evolutionary biological, psychological, social, and political development narratives through two dominant temporal tropes—degeneracy and decadence</w:t>
      </w:r>
      <w:r w:rsidRPr="00751B55">
        <w:rPr>
          <w:sz w:val="16"/>
        </w:rPr>
        <w:t xml:space="preserve">. As </w:t>
      </w:r>
      <w:r w:rsidRPr="00751B55">
        <w:rPr>
          <w:sz w:val="16"/>
        </w:rPr>
        <w:lastRenderedPageBreak/>
        <w:t xml:space="preserve">Neville Hoad explains, ‘Decadence and degeneracy … are both developmental tropes; </w:t>
      </w:r>
      <w:r w:rsidRPr="00680029">
        <w:rPr>
          <w:rStyle w:val="StyleUnderline"/>
        </w:rPr>
        <w:t xml:space="preserve">degeneracy implying a falling back into an earlier time, an anxious space of the </w:t>
      </w:r>
      <w:r w:rsidRPr="00751B55">
        <w:rPr>
          <w:sz w:val="16"/>
        </w:rPr>
        <w:t xml:space="preserve">(p.54) </w:t>
      </w:r>
      <w:r w:rsidRPr="00680029">
        <w:rPr>
          <w:rStyle w:val="StyleUnderline"/>
        </w:rPr>
        <w:t>past in the future</w:t>
      </w:r>
      <w:r w:rsidRPr="00751B55">
        <w:rPr>
          <w:sz w:val="16"/>
        </w:rPr>
        <w:t xml:space="preserve">, </w:t>
      </w:r>
      <w:r w:rsidRPr="00680029">
        <w:rPr>
          <w:rStyle w:val="StyleUnderline"/>
        </w:rPr>
        <w:t>and decadence connoting a bringing into the present of some very late, perhaps never-to-be reached state, an anxious space of premature death’</w:t>
      </w:r>
      <w:r w:rsidRPr="00751B55">
        <w:rPr>
          <w:sz w:val="16"/>
        </w:rPr>
        <w:t xml:space="preserve"> (2000, 137). The evolutionary trope of degeneracy gives rise to a figuration of the ‘underdeveloped’ as suffering from ‘arrested’ development, while the evolutionary trope of decadence gives rise to the ‘undevelopable’ as developmentally nonfunctional. The first of these figurations is found in Sigmund Freud’ psychoanalytic theory (see Hoad 2000), while the second is found in the structural-functionalist modernization and development theory of Gabriel Almond (Almond and Powell 1966; Almond 1970a; 1970b).3 What I suggest here is that both Freud’s and Almond’s figurations of the ‘temporally perverse underdeveloped’ rely either explicitly (in Freud’s case) or implicitly (in Almond’s case) upon the figuration of the ‘homosexual’ as temporally perverse. For Freud, this is because he links sexual development to civilizational development through his reading of ‘homosexual sex’ and of the ‘homosexual’. For </w:t>
      </w:r>
      <w:r w:rsidRPr="00680029">
        <w:rPr>
          <w:rStyle w:val="StyleUnderline"/>
        </w:rPr>
        <w:t>Almond</w:t>
      </w:r>
      <w:r w:rsidRPr="00751B55">
        <w:rPr>
          <w:sz w:val="16"/>
        </w:rPr>
        <w:t xml:space="preserve">, it is because his </w:t>
      </w:r>
      <w:r w:rsidRPr="00680029">
        <w:rPr>
          <w:rStyle w:val="StyleUnderline"/>
        </w:rPr>
        <w:t>understanding of political development owes fundamental debts to</w:t>
      </w:r>
      <w:r w:rsidRPr="00751B55">
        <w:rPr>
          <w:sz w:val="16"/>
        </w:rPr>
        <w:t xml:space="preserve"> Talcott </w:t>
      </w:r>
      <w:r w:rsidRPr="00680029">
        <w:rPr>
          <w:rStyle w:val="StyleUnderline"/>
        </w:rPr>
        <w:t>Parsons’s structural-functionalist understanding of ‘heterosexual sex’ and the ‘heterosexual’ as presumably practiced by and embodied in the procreative nuclear family</w:t>
      </w:r>
      <w:r w:rsidRPr="00751B55">
        <w:rPr>
          <w:sz w:val="16"/>
        </w:rPr>
        <w:t xml:space="preserve">. For Parsons, </w:t>
      </w:r>
      <w:r w:rsidRPr="00680029">
        <w:rPr>
          <w:rStyle w:val="StyleUnderline"/>
        </w:rPr>
        <w:t xml:space="preserve">the </w:t>
      </w:r>
      <w:r w:rsidRPr="00751B55">
        <w:rPr>
          <w:sz w:val="16"/>
        </w:rPr>
        <w:t xml:space="preserve">presumptively </w:t>
      </w:r>
      <w:r w:rsidRPr="00680029">
        <w:rPr>
          <w:rStyle w:val="StyleUnderline"/>
        </w:rPr>
        <w:t>procreative heterosexual nuclear family drives social development because it drives biological and therefore social reproduction.</w:t>
      </w:r>
      <w:r w:rsidRPr="00751B55">
        <w:rPr>
          <w:sz w:val="16"/>
        </w:rPr>
        <w:t xml:space="preserve"> In contrast, ‘</w:t>
      </w:r>
      <w:r w:rsidRPr="00680029">
        <w:rPr>
          <w:rStyle w:val="StyleUnderline"/>
        </w:rPr>
        <w:t>homosexual sex’ and the ‘homosexual’ have no developmental function in society because they have no reproductive function in biology</w:t>
      </w:r>
      <w:r w:rsidRPr="00751B55">
        <w:rPr>
          <w:sz w:val="16"/>
        </w:rPr>
        <w:t xml:space="preserve"> (Parsons 1966).</w:t>
      </w:r>
    </w:p>
    <w:p w:rsidR="003B7098" w:rsidRPr="00802400" w:rsidRDefault="003B7098" w:rsidP="003B7098"/>
    <w:p w:rsidR="003B7098" w:rsidRDefault="004143C4" w:rsidP="003B7098">
      <w:pPr>
        <w:pStyle w:val="Heading3"/>
      </w:pPr>
      <w:bookmarkStart w:id="47" w:name="_Toc489138939"/>
      <w:r>
        <w:lastRenderedPageBreak/>
        <w:t xml:space="preserve">Link: </w:t>
      </w:r>
      <w:r w:rsidR="003B7098">
        <w:t>Hegemony</w:t>
      </w:r>
      <w:bookmarkEnd w:id="47"/>
    </w:p>
    <w:p w:rsidR="003B7098" w:rsidRDefault="003B7098" w:rsidP="003B7098">
      <w:pPr>
        <w:pStyle w:val="Heading4"/>
      </w:pPr>
      <w:r>
        <w:t>The Affirmative is an transmutation of the heteronormative nuclear-familial domestic space onto the sexualized order of international relations, this posits the Western, civilized, developed sovereign man as manager of the home and the homeland and weds the tropes of ‘illegal immigrant’ and ‘Islamic terrorist’ to perverse homosexuality in order to normalize sovereign acts of violence and war as ‘rational’ and ‘just’.</w:t>
      </w:r>
    </w:p>
    <w:p w:rsidR="003B7098" w:rsidRPr="00803960" w:rsidRDefault="003B7098" w:rsidP="003B7098">
      <w:r w:rsidRPr="00F54C98">
        <w:rPr>
          <w:rStyle w:val="Style13ptBold"/>
        </w:rPr>
        <w:t>Weber 16</w:t>
      </w:r>
      <w:r>
        <w:br/>
      </w:r>
      <w:r w:rsidRPr="00F54C98">
        <w:t>Cynthia.</w:t>
      </w:r>
      <w:r>
        <w:t xml:space="preserve"> </w:t>
      </w:r>
      <w:r w:rsidRPr="00F54C98">
        <w:t xml:space="preserve">Professor of International Relations at Sussex University, UK </w:t>
      </w:r>
      <w:r>
        <w:t>“</w:t>
      </w:r>
      <w:r w:rsidRPr="00F54C98">
        <w:t>Queer International Relations</w:t>
      </w:r>
      <w:r>
        <w:t>”</w:t>
      </w:r>
      <w:r w:rsidRPr="00F54C98">
        <w:t xml:space="preserve"> Oxford University Press, 2016.</w:t>
      </w:r>
    </w:p>
    <w:p w:rsidR="003B7098" w:rsidRPr="004A7A7E" w:rsidRDefault="003B7098" w:rsidP="003B7098">
      <w:pPr>
        <w:rPr>
          <w:sz w:val="14"/>
        </w:rPr>
      </w:pPr>
      <w:r w:rsidRPr="004A7A7E">
        <w:rPr>
          <w:sz w:val="14"/>
        </w:rPr>
        <w:t xml:space="preserve">In their analyses of queer migration and queer diaspora, queer migrations scholars demonstrate how </w:t>
      </w:r>
      <w:r w:rsidRPr="00751B55">
        <w:rPr>
          <w:rStyle w:val="StyleUnderline"/>
        </w:rPr>
        <w:t>any attempt to posit home and homeland as secure ontological places is confounded by encounters with movement and queerness inside the home/land</w:t>
      </w:r>
      <w:r w:rsidRPr="004A7A7E">
        <w:rPr>
          <w:sz w:val="14"/>
        </w:rPr>
        <w:t xml:space="preserve"> (Eng 1997; Ahmed 2000; Fortier 2001; 2003; Luibhéid 2002; 2008; 2013; Luibhéid and Cantú 2005; Luibhéid, Buffington, and Guy 2014). As this chapter demonstrates, their conclusion is as true in IR as it is in queer migration studies. For </w:t>
      </w:r>
      <w:r w:rsidRPr="00751B55">
        <w:rPr>
          <w:rStyle w:val="StyleUnderline"/>
        </w:rPr>
        <w:t>the</w:t>
      </w:r>
      <w:r w:rsidRPr="004A7A7E">
        <w:rPr>
          <w:sz w:val="14"/>
        </w:rPr>
        <w:t xml:space="preserve"> (sometimes) </w:t>
      </w:r>
      <w:r w:rsidRPr="00751B55">
        <w:rPr>
          <w:rStyle w:val="StyleUnderline"/>
        </w:rPr>
        <w:t>queer movements of the ‘unwanted im/migrant’ and the ‘al-Qaeda</w:t>
      </w:r>
      <w:r w:rsidRPr="004A7A7E">
        <w:rPr>
          <w:sz w:val="14"/>
        </w:rPr>
        <w:t xml:space="preserve"> (p.102) </w:t>
      </w:r>
      <w:r w:rsidRPr="00751B55">
        <w:rPr>
          <w:rStyle w:val="StyleUnderline"/>
        </w:rPr>
        <w:t>terrorist’—as civilizational and sexual development on the move and as civilizational and sexual barbarism on the move—occur across, between, and within heteronormatively understood homes, homelands, and sexualities in ways that expose these foundational sites of national/civilizational reproduction as irregular, indeterminate, and transposable</w:t>
      </w:r>
      <w:r w:rsidRPr="004A7A7E">
        <w:rPr>
          <w:sz w:val="14"/>
        </w:rPr>
        <w:t xml:space="preserve">. </w:t>
      </w:r>
      <w:r w:rsidRPr="00751B55">
        <w:rPr>
          <w:rStyle w:val="StyleUnderline"/>
        </w:rPr>
        <w:t>Western responses to these irregularities</w:t>
      </w:r>
      <w:r w:rsidRPr="004A7A7E">
        <w:rPr>
          <w:sz w:val="14"/>
        </w:rPr>
        <w:t>—to these intricately produced anarchies—</w:t>
      </w:r>
      <w:r w:rsidRPr="00751B55">
        <w:rPr>
          <w:rStyle w:val="StyleUnderline"/>
        </w:rPr>
        <w:t xml:space="preserve">are rooted as much in the desires of Western populations for ease in the homeland as they are in their </w:t>
      </w:r>
      <w:r w:rsidRPr="00751B55">
        <w:rPr>
          <w:rStyle w:val="Emphasis"/>
        </w:rPr>
        <w:t>desires for ease in the home</w:t>
      </w:r>
      <w:r w:rsidRPr="00751B55">
        <w:rPr>
          <w:rStyle w:val="StyleUnderline"/>
        </w:rPr>
        <w:t>.</w:t>
      </w:r>
      <w:r w:rsidRPr="004A7A7E">
        <w:rPr>
          <w:sz w:val="14"/>
        </w:rPr>
        <w:t xml:space="preserve"> </w:t>
      </w:r>
      <w:r w:rsidRPr="00751B55">
        <w:rPr>
          <w:rStyle w:val="StyleUnderline"/>
        </w:rPr>
        <w:t>This is why Western (post)developmental</w:t>
      </w:r>
      <w:r w:rsidRPr="004A7A7E">
        <w:rPr>
          <w:sz w:val="14"/>
        </w:rPr>
        <w:t xml:space="preserve"> (Bigo 2002) </w:t>
      </w:r>
      <w:r w:rsidRPr="00751B55">
        <w:rPr>
          <w:rStyle w:val="StyleUnderline"/>
        </w:rPr>
        <w:t>and security narratives reoppose to the ‘Islamic civilizational family’ their figuration of the ‘Western civilizational family’ as the foundation of national/civilizational sovereignties</w:t>
      </w:r>
      <w:r w:rsidRPr="004A7A7E">
        <w:rPr>
          <w:sz w:val="14"/>
        </w:rPr>
        <w:t xml:space="preserve">. This is why these discourses contrast the properly patriotic and cultural attachments to nation, culture, and home/land of the ‘Western civilizational family’ with the improper attachments of the ‘Islamic family’ to nation, culture, and home/land (Puar and Rai 2002; Puar 2007). And </w:t>
      </w:r>
      <w:r w:rsidRPr="00751B55">
        <w:rPr>
          <w:rStyle w:val="StyleUnderline"/>
        </w:rPr>
        <w:t xml:space="preserve">this is how these discourses fix the ‘unwanted im/migrant’ and the ‘al-Qaeda terrorist’ as the necessary civilizationally and sexually perverse figures who are called upon to normalize Western individual, familial, and national/civilizational figures and attachments to ‘civilized, developed sovereign man’ and the sovereign orders he authorizes as </w:t>
      </w:r>
      <w:r w:rsidRPr="00751B55">
        <w:rPr>
          <w:rStyle w:val="Emphasis"/>
        </w:rPr>
        <w:t>rational, reasonable, and just</w:t>
      </w:r>
      <w:r w:rsidRPr="00751B55">
        <w:rPr>
          <w:rStyle w:val="StyleUnderline"/>
        </w:rPr>
        <w:t>.</w:t>
      </w:r>
      <w:r>
        <w:rPr>
          <w:rStyle w:val="StyleUnderline"/>
        </w:rPr>
        <w:t xml:space="preserve"> </w:t>
      </w:r>
      <w:r w:rsidRPr="00751B55">
        <w:rPr>
          <w:rStyle w:val="StyleUnderline"/>
        </w:rPr>
        <w:t>These ‘homing desires’</w:t>
      </w:r>
      <w:r w:rsidRPr="004A7A7E">
        <w:rPr>
          <w:sz w:val="14"/>
        </w:rPr>
        <w:t xml:space="preserve"> (Brah 1996, 187)—</w:t>
      </w:r>
      <w:r w:rsidRPr="00751B55">
        <w:rPr>
          <w:rStyle w:val="StyleUnderline"/>
        </w:rPr>
        <w:t>these desires ‘to feel at home achieved by physically or symbolically (re)constituting spaces which provide some kind of ontological security in the context of migration</w:t>
      </w:r>
      <w:r w:rsidRPr="004A7A7E">
        <w:rPr>
          <w:sz w:val="14"/>
        </w:rPr>
        <w:t>’ (Fortier 2000, 163)—</w:t>
      </w:r>
      <w:r w:rsidRPr="00751B55">
        <w:rPr>
          <w:rStyle w:val="StyleUnderline"/>
        </w:rPr>
        <w:t>are usually understood to be the desires of im/migrating or diasporic subjects.</w:t>
      </w:r>
      <w:r w:rsidRPr="004A7A7E">
        <w:rPr>
          <w:sz w:val="14"/>
        </w:rPr>
        <w:t xml:space="preserve"> What this analysis suggests is that </w:t>
      </w:r>
      <w:r w:rsidRPr="00751B55">
        <w:rPr>
          <w:rStyle w:val="StyleUnderline"/>
        </w:rPr>
        <w:t>the civilizational and sexual movements of figures like the ‘unwanted im/migrant’ and the ‘al-Qaeda terrorist’ implant homing desires in Western subjects</w:t>
      </w:r>
      <w:r w:rsidRPr="004A7A7E">
        <w:rPr>
          <w:sz w:val="14"/>
        </w:rPr>
        <w:t xml:space="preserve">. </w:t>
      </w:r>
      <w:r w:rsidRPr="005E1166">
        <w:rPr>
          <w:rStyle w:val="StyleUnderline"/>
        </w:rPr>
        <w:t>These homing desires take practical form in Western (post)developmental and security discourses that attempt and fail to ‘manage unease’ in the homeland</w:t>
      </w:r>
      <w:r w:rsidRPr="004A7A7E">
        <w:rPr>
          <w:sz w:val="14"/>
        </w:rPr>
        <w:t xml:space="preserve"> (Bigo 2002) and also in the home </w:t>
      </w:r>
      <w:r w:rsidRPr="005E1166">
        <w:rPr>
          <w:rStyle w:val="StyleUnderline"/>
        </w:rPr>
        <w:t>by figuring a Western ‘civilized, developed sovereign man’ as the manager of their unease by being the manager of their security</w:t>
      </w:r>
      <w:r w:rsidRPr="004A7A7E">
        <w:rPr>
          <w:sz w:val="14"/>
        </w:rPr>
        <w:t xml:space="preserve">. In so doing, </w:t>
      </w:r>
      <w:r w:rsidRPr="00751B55">
        <w:rPr>
          <w:rStyle w:val="StyleUnderline"/>
        </w:rPr>
        <w:t>they expose the ‘anxious labor’</w:t>
      </w:r>
      <w:r w:rsidRPr="004A7A7E">
        <w:rPr>
          <w:sz w:val="14"/>
        </w:rPr>
        <w:t xml:space="preserve"> (Luibhéid 2008, 174) </w:t>
      </w:r>
      <w:r w:rsidRPr="00751B55">
        <w:rPr>
          <w:rStyle w:val="StyleUnderline"/>
        </w:rPr>
        <w:t>Western discourses expend to create binary sexual figurations</w:t>
      </w:r>
      <w:r w:rsidRPr="004A7A7E">
        <w:rPr>
          <w:sz w:val="14"/>
        </w:rPr>
        <w:t xml:space="preserve"> (p.103) </w:t>
      </w:r>
      <w:r w:rsidRPr="00751B55">
        <w:rPr>
          <w:rStyle w:val="StyleUnderline"/>
        </w:rPr>
        <w:t>of and in the home and homeland that might sustain heteronormative sexualized orders of international relations</w:t>
      </w:r>
      <w:r w:rsidRPr="004A7A7E">
        <w:rPr>
          <w:sz w:val="14"/>
        </w:rPr>
        <w:t xml:space="preserve"> (also see Peterson 1999). Chapters 3 and 4 on the ‘underdeveloped’, the ‘undevelopable’, the ‘unwanted im/migrant’, and the ‘terrorist’, considered together, suggest that these ‘</w:t>
      </w:r>
      <w:r w:rsidRPr="008311E6">
        <w:rPr>
          <w:rStyle w:val="StyleUnderline"/>
        </w:rPr>
        <w:t>homing desires’ have long been a feature of how Western heteronormativities put sex into discourse in intimate, national, and international relations</w:t>
      </w:r>
      <w:r w:rsidRPr="004A7A7E">
        <w:rPr>
          <w:sz w:val="14"/>
        </w:rPr>
        <w:t xml:space="preserve">. </w:t>
      </w:r>
      <w:r w:rsidRPr="00AC59A0">
        <w:rPr>
          <w:rStyle w:val="StyleUnderline"/>
        </w:rPr>
        <w:t>The tropes of home and homeland participate in creating these four figurations of the ‘perverse homosexual’ as the primary performativities that (post)colonial subjects can inhabit</w:t>
      </w:r>
      <w:r w:rsidRPr="004A7A7E">
        <w:rPr>
          <w:sz w:val="14"/>
        </w:rPr>
        <w:t xml:space="preserve">. These tropes tie the ‘underdeveloped’, the ‘undevelopable’, the ‘unwanted im/migrant’, and the ‘terrorist’ to specific places, times, </w:t>
      </w:r>
      <w:r w:rsidRPr="004A7A7E">
        <w:rPr>
          <w:sz w:val="14"/>
        </w:rPr>
        <w:lastRenderedPageBreak/>
        <w:t>and desires that establish specific figures—</w:t>
      </w:r>
      <w:r w:rsidRPr="004A7A7E">
        <w:rPr>
          <w:rStyle w:val="StyleUnderline"/>
        </w:rPr>
        <w:t>the normal sovereign versus the perverse antisovereign</w:t>
      </w:r>
      <w:r w:rsidRPr="004A7A7E">
        <w:rPr>
          <w:sz w:val="14"/>
        </w:rPr>
        <w:t xml:space="preserve">—who </w:t>
      </w:r>
      <w:r w:rsidRPr="004A7A7E">
        <w:rPr>
          <w:rStyle w:val="StyleUnderline"/>
        </w:rPr>
        <w:t>guarantee various either/or anarchy-versus-order binaries as perverse-versus-normal binaries</w:t>
      </w:r>
      <w:r w:rsidRPr="004A7A7E">
        <w:rPr>
          <w:sz w:val="14"/>
        </w:rPr>
        <w:t xml:space="preserve">. And </w:t>
      </w:r>
      <w:r w:rsidRPr="004A7A7E">
        <w:rPr>
          <w:rStyle w:val="StyleUnderline"/>
        </w:rPr>
        <w:t>these tropes mobilize these binaries to create specific</w:t>
      </w:r>
      <w:r w:rsidRPr="004A7A7E">
        <w:rPr>
          <w:sz w:val="14"/>
        </w:rPr>
        <w:t xml:space="preserve"> (albeit unreliable) </w:t>
      </w:r>
      <w:r w:rsidRPr="004A7A7E">
        <w:rPr>
          <w:rStyle w:val="StyleUnderline"/>
        </w:rPr>
        <w:t>mappings of the world to contain the movements of these ‘dangerous</w:t>
      </w:r>
      <w:r w:rsidRPr="004A7A7E">
        <w:rPr>
          <w:sz w:val="14"/>
        </w:rPr>
        <w:t xml:space="preserve"> </w:t>
      </w:r>
      <w:r w:rsidRPr="004A7A7E">
        <w:rPr>
          <w:rStyle w:val="StyleUnderline"/>
        </w:rPr>
        <w:t>figures’ in that world</w:t>
      </w:r>
      <w:r w:rsidRPr="004A7A7E">
        <w:rPr>
          <w:sz w:val="14"/>
        </w:rPr>
        <w:t xml:space="preserve">, which no amount of determined work can contain geopolitically or sexually. In all of these ways, then, </w:t>
      </w:r>
      <w:r w:rsidRPr="00AC59A0">
        <w:rPr>
          <w:rStyle w:val="StyleUnderline"/>
        </w:rPr>
        <w:t>heteronormative Western discourses script the ‘underdeveloped’, the ‘undevelopable’, the ‘unwanted im/migrant’, and the ‘terrorist’ as ‘perverse homosexuals’ who are foundational to traditional either/or Western logics of statecraft as mancraft and Western sexual organizations of international relations</w:t>
      </w:r>
      <w:r w:rsidRPr="004A7A7E">
        <w:rPr>
          <w:sz w:val="14"/>
        </w:rPr>
        <w:t>.</w:t>
      </w:r>
    </w:p>
    <w:p w:rsidR="00DE5E47" w:rsidRDefault="00DE5E47" w:rsidP="00DE5E47">
      <w:pPr>
        <w:pStyle w:val="Heading3"/>
      </w:pPr>
      <w:bookmarkStart w:id="48" w:name="_Toc489138940"/>
      <w:r>
        <w:lastRenderedPageBreak/>
        <w:t>***Method Links***</w:t>
      </w:r>
      <w:bookmarkEnd w:id="48"/>
    </w:p>
    <w:p w:rsidR="00DE5E47" w:rsidRDefault="00DE5E47" w:rsidP="00DE5E47">
      <w:pPr>
        <w:pStyle w:val="Heading3"/>
      </w:pPr>
      <w:bookmarkStart w:id="49" w:name="_Toc489138941"/>
      <w:r>
        <w:lastRenderedPageBreak/>
        <w:t>Link: Anti-capitalism</w:t>
      </w:r>
      <w:bookmarkEnd w:id="49"/>
    </w:p>
    <w:p w:rsidR="00DE5E47" w:rsidRDefault="00DE5E47" w:rsidP="00DE5E47">
      <w:pPr>
        <w:pStyle w:val="Heading4"/>
      </w:pPr>
      <w:r>
        <w:t xml:space="preserve">Anti-capitalist movements leaves queers out in the cold – Gibson-Grahams attempt to queer capitalism is NOT a sufficient tool for the analysis of the heteronormative violence of LGBTQ+ and other marginalized people --- White straight males will get more out of their attempt to research fissures in cap than any other group </w:t>
      </w:r>
    </w:p>
    <w:p w:rsidR="00DE5E47" w:rsidRPr="00BA5AF1" w:rsidRDefault="00DE5E47" w:rsidP="00DE5E47">
      <w:pPr>
        <w:rPr>
          <w:sz w:val="16"/>
          <w:szCs w:val="16"/>
        </w:rPr>
      </w:pPr>
      <w:r w:rsidRPr="00BA5AF1">
        <w:rPr>
          <w:b/>
          <w:sz w:val="26"/>
          <w:szCs w:val="26"/>
        </w:rPr>
        <w:t>Sears 05</w:t>
      </w:r>
      <w:r>
        <w:t xml:space="preserve"> </w:t>
      </w:r>
      <w:r w:rsidRPr="00BA5AF1">
        <w:rPr>
          <w:sz w:val="16"/>
          <w:szCs w:val="16"/>
        </w:rPr>
        <w:t>[ALAN SEARS, a queer activist, author, and professor of sociology at Ryerson University in Toronto. Sears is the author of, among other works, "Queer in a Lean World" and “Queer Anti-Capitalism: What's Left of Lesbian and Gay Liberation?” and co-author with James Cairns of The Democratic Imagination. Science &amp; Society, Vol. 69, No. 1, January 2005, 92–112, Queer Anti-Capitalism:</w:t>
      </w:r>
      <w:r>
        <w:rPr>
          <w:sz w:val="16"/>
          <w:szCs w:val="16"/>
        </w:rPr>
        <w:t xml:space="preserve"> </w:t>
      </w:r>
      <w:r w:rsidRPr="00BA5AF1">
        <w:rPr>
          <w:sz w:val="16"/>
          <w:szCs w:val="16"/>
        </w:rPr>
        <w:t xml:space="preserve">What’s Left of Lesbian and Gay Liberation?, </w:t>
      </w:r>
      <w:hyperlink r:id="rId14" w:history="1">
        <w:r w:rsidRPr="00C76AE3">
          <w:rPr>
            <w:rStyle w:val="Hyperlink"/>
            <w:sz w:val="16"/>
            <w:szCs w:val="16"/>
          </w:rPr>
          <w:t>http://www.decolonize.org/wp-content/uploads/2015/06/queeranticap.pdf</w:t>
        </w:r>
      </w:hyperlink>
      <w:r>
        <w:rPr>
          <w:sz w:val="16"/>
          <w:szCs w:val="16"/>
        </w:rPr>
        <w:t>] [JS]</w:t>
      </w:r>
    </w:p>
    <w:p w:rsidR="00DE5E47" w:rsidRPr="001A5BB2" w:rsidRDefault="00DE5E47" w:rsidP="00DE5E47">
      <w:pPr>
        <w:rPr>
          <w:sz w:val="16"/>
        </w:rPr>
      </w:pPr>
      <w:r w:rsidRPr="001A5BB2">
        <w:rPr>
          <w:sz w:val="16"/>
        </w:rPr>
        <w:t xml:space="preserve">We are seeing a significant depoliticization of the lesbian and gay milieu; </w:t>
      </w:r>
      <w:r w:rsidRPr="001A5BB2">
        <w:rPr>
          <w:rStyle w:val="StyleUnderline"/>
        </w:rPr>
        <w:t>yet we have fallen rather short of the ambitious goals of all-round sexual emancipation</w:t>
      </w:r>
      <w:r w:rsidRPr="001A5BB2">
        <w:rPr>
          <w:sz w:val="16"/>
        </w:rPr>
        <w:t xml:space="preserve"> set out by the radical movement for lesbian and gay liberation that emerged after the Stonewall riot of 1969. </w:t>
      </w:r>
      <w:r w:rsidRPr="001A5BB2">
        <w:rPr>
          <w:rStyle w:val="StyleUnderline"/>
        </w:rPr>
        <w:t>This demobilization is particularly important in the light of an emerging anticapitalist movement for global justice</w:t>
      </w:r>
      <w:r w:rsidRPr="001A5BB2">
        <w:rPr>
          <w:sz w:val="16"/>
        </w:rPr>
        <w:t xml:space="preserve"> and against poverty over the last few years </w:t>
      </w:r>
      <w:r w:rsidRPr="001A5BB2">
        <w:rPr>
          <w:rStyle w:val="StyleUnderline"/>
        </w:rPr>
        <w:t>that seems to be opening a new space for the politics of radical social transformation</w:t>
      </w:r>
      <w:r w:rsidRPr="001A5BB2">
        <w:rPr>
          <w:sz w:val="16"/>
        </w:rPr>
        <w:t>. It is important to consider the kinds of sexual liberation politics appropriate to this emerging political movement</w:t>
      </w:r>
      <w:r w:rsidRPr="001A5BB2">
        <w:rPr>
          <w:rStyle w:val="StyleUnderline"/>
        </w:rPr>
        <w:t xml:space="preserve">. This demobilization </w:t>
      </w:r>
      <w:r w:rsidRPr="001A5BB2">
        <w:rPr>
          <w:rStyle w:val="Emphasis"/>
        </w:rPr>
        <w:t>leaves</w:t>
      </w:r>
      <w:r w:rsidRPr="001A5BB2">
        <w:rPr>
          <w:sz w:val="16"/>
        </w:rPr>
        <w:t xml:space="preserve"> many </w:t>
      </w:r>
      <w:r w:rsidRPr="001A5BB2">
        <w:rPr>
          <w:rStyle w:val="Emphasis"/>
        </w:rPr>
        <w:t>queers out in the cold.</w:t>
      </w:r>
      <w:r w:rsidRPr="001A5BB2">
        <w:rPr>
          <w:sz w:val="16"/>
        </w:rPr>
        <w:t xml:space="preserve"> </w:t>
      </w:r>
      <w:r w:rsidRPr="001A5BB2">
        <w:rPr>
          <w:rStyle w:val="StyleUnderline"/>
        </w:rPr>
        <w:t>The consolidation of lesbian and gay civil rights has tended to benefit some more than others.</w:t>
      </w:r>
      <w:r w:rsidRPr="001A5BB2">
        <w:rPr>
          <w:sz w:val="16"/>
        </w:rPr>
        <w:t xml:space="preserve"> </w:t>
      </w:r>
      <w:r w:rsidRPr="001A5BB2">
        <w:rPr>
          <w:rStyle w:val="StyleUnderline"/>
        </w:rPr>
        <w:t>Those who have gained the most</w:t>
      </w:r>
      <w:r w:rsidRPr="001A5BB2">
        <w:rPr>
          <w:sz w:val="16"/>
        </w:rPr>
        <w:t xml:space="preserve"> </w:t>
      </w:r>
      <w:r w:rsidRPr="001A5BB2">
        <w:rPr>
          <w:rStyle w:val="StyleUnderline"/>
        </w:rPr>
        <w:t>are people living in committed couple relationships with good incomes and jobs, most often white and especially men.</w:t>
      </w:r>
      <w:r w:rsidRPr="001A5BB2">
        <w:rPr>
          <w:sz w:val="16"/>
        </w:rPr>
        <w:t xml:space="preserve"> </w:t>
      </w:r>
      <w:r w:rsidRPr="001A5BB2">
        <w:rPr>
          <w:rStyle w:val="Emphasis"/>
        </w:rPr>
        <w:t>At the same time</w:t>
      </w:r>
      <w:r w:rsidRPr="001A5BB2">
        <w:rPr>
          <w:sz w:val="16"/>
        </w:rPr>
        <w:t xml:space="preserve">, </w:t>
      </w:r>
      <w:r w:rsidRPr="001A5BB2">
        <w:rPr>
          <w:rStyle w:val="StyleUnderline"/>
        </w:rPr>
        <w:t>queer people of color,</w:t>
      </w:r>
      <w:r w:rsidRPr="001A5BB2">
        <w:rPr>
          <w:sz w:val="16"/>
        </w:rPr>
        <w:t xml:space="preserve"> street youth</w:t>
      </w:r>
      <w:r w:rsidRPr="001A5BB2">
        <w:rPr>
          <w:rStyle w:val="StyleUnderline"/>
        </w:rPr>
        <w:t>, people with limited incomes</w:t>
      </w:r>
      <w:r w:rsidRPr="001A5BB2">
        <w:rPr>
          <w:sz w:val="16"/>
        </w:rPr>
        <w:t xml:space="preserve">, </w:t>
      </w:r>
      <w:r w:rsidRPr="001A5BB2">
        <w:rPr>
          <w:rStyle w:val="StyleUnderline"/>
        </w:rPr>
        <w:t>women</w:t>
      </w:r>
      <w:r w:rsidRPr="001A5BB2">
        <w:rPr>
          <w:sz w:val="16"/>
        </w:rPr>
        <w:t xml:space="preserve">, </w:t>
      </w:r>
      <w:r w:rsidRPr="001A5BB2">
        <w:rPr>
          <w:rStyle w:val="StyleUnderline"/>
        </w:rPr>
        <w:t>people living with disabilities and transgendered people have gained less or in some cases even lost ground.</w:t>
      </w:r>
      <w:r w:rsidRPr="001A5BB2">
        <w:rPr>
          <w:sz w:val="16"/>
        </w:rPr>
        <w:t xml:space="preserve"> For example, the legal recognition of same sex relationships means that recipients of social assistance now find their eligibility for benefits contingent on their partner’s income. Street youth are now hustled out of queer areas by cops acting on behalf of gay or lesbian residents intent on creating comfortable middle-class neighborhoods. People with money (more often men than women) have privileged access to the commercialized spaces and consumer lifestyles that define visible queer “communities</w:t>
      </w:r>
      <w:r w:rsidRPr="001A5BB2">
        <w:rPr>
          <w:rStyle w:val="StyleUnderline"/>
        </w:rPr>
        <w:t>.” Lesbian, gay, bisexual and transgendered people of color often face a double invisibility, effaced by the racism within queer communities and marginalized by the stigmatization of same-sex identities and practices within their cultural communities.</w:t>
      </w:r>
      <w:r w:rsidRPr="001A5BB2">
        <w:rPr>
          <w:sz w:val="16"/>
        </w:rPr>
        <w:t xml:space="preserve">1 My project here is to contribute to the development of a queer marxist feminism that offers important tools for the remobilization of sexual liberation politics. This is a challenge to the queer theory perspectives, influenced by post-structuralism and the works of Michel Foucault, which tend to dominate contemporary analyses of lesbian, gay, transgendered and bisexual politics. These queer theory analyses have illuminated the contradictory ways that lesbian and gay politics have been caught up within the dominant relations, showing how </w:t>
      </w:r>
      <w:r w:rsidRPr="001A5BB2">
        <w:rPr>
          <w:rStyle w:val="Emphasis"/>
        </w:rPr>
        <w:t>gains in cultural visibility or civil rights can situate queers more deeply inside systems of power</w:t>
      </w:r>
      <w:r w:rsidRPr="001A5BB2">
        <w:rPr>
          <w:sz w:val="16"/>
        </w:rPr>
        <w:t xml:space="preserve">.2 It is not my project to engage in a detailed critique of queer theories here, as I can draw on the important contributions of Floyd (1998), Hennessey (2000) and McNally (2000). Rather, my focus is to contribute to the development of a queer </w:t>
      </w:r>
      <w:r w:rsidRPr="001A5BB2">
        <w:rPr>
          <w:rStyle w:val="StyleUnderline"/>
        </w:rPr>
        <w:t>marxist feminism</w:t>
      </w:r>
      <w:r w:rsidRPr="001A5BB2">
        <w:rPr>
          <w:sz w:val="16"/>
        </w:rPr>
        <w:t xml:space="preserve"> that turns our attention to many dimensions of lesbian, gay, bisexual and transgendered existence that have been</w:t>
      </w:r>
      <w:r w:rsidRPr="001A5BB2">
        <w:rPr>
          <w:rStyle w:val="StyleUnderline"/>
        </w:rPr>
        <w:t xml:space="preserve"> neglected in queer theory accounts, including class relations and divisions of labor</w:t>
      </w:r>
      <w:r w:rsidRPr="001A5BB2">
        <w:rPr>
          <w:sz w:val="16"/>
        </w:rPr>
        <w:t xml:space="preserve">, the dynamics of state regulation, the specific impact of capitalist restructuring and the cultural logic of processes of commodification. I refer specifically to a queer marxist feminism to argue that </w:t>
      </w:r>
      <w:r w:rsidRPr="001A5BB2">
        <w:rPr>
          <w:rStyle w:val="StyleUnderline"/>
        </w:rPr>
        <w:t>marxist feminism</w:t>
      </w:r>
      <w:r w:rsidRPr="001A5BB2">
        <w:rPr>
          <w:sz w:val="16"/>
        </w:rPr>
        <w:t xml:space="preserve"> as it has emerged since the 1960s </w:t>
      </w:r>
      <w:r w:rsidRPr="001A5BB2">
        <w:rPr>
          <w:rStyle w:val="StyleUnderline"/>
        </w:rPr>
        <w:t xml:space="preserve">is a necessary but </w:t>
      </w:r>
      <w:r w:rsidRPr="001A5BB2">
        <w:rPr>
          <w:rStyle w:val="Emphasis"/>
        </w:rPr>
        <w:t>not sufficient tool for the analysis of contemporary lesbian, gay, bisexual and transgendered politics.</w:t>
      </w:r>
      <w:r w:rsidRPr="001A5BB2">
        <w:rPr>
          <w:sz w:val="16"/>
        </w:rPr>
        <w:t xml:space="preserve"> The distinguishing feature of marxist-feminist theories is the insistence that the dynamics of class, gender, race and sexuality are internally related yet not reducible to one another.3 </w:t>
      </w:r>
      <w:r w:rsidRPr="001A5BB2">
        <w:rPr>
          <w:rStyle w:val="StyleUnderline"/>
        </w:rPr>
        <w:t>The historical materialist analysis of capitalist reproduction must examine the ways that the different dimensions of structured inequality are present in each other</w:t>
      </w:r>
      <w:r w:rsidRPr="001A5BB2">
        <w:rPr>
          <w:sz w:val="16"/>
        </w:rPr>
        <w:t xml:space="preserve"> (see Bannerji, 1995</w:t>
      </w:r>
      <w:r w:rsidRPr="001A5BB2">
        <w:rPr>
          <w:rStyle w:val="StyleUnderline"/>
        </w:rPr>
        <w:t>). An adequate understanding of class formation must therefore be based on a rich analysis of the ways class relations are gendered, racialized and sexualized, just as an examination of sexualities must attend to the ways that sexual and intimate relations are classed, gendered and racialized.</w:t>
      </w:r>
      <w:r w:rsidRPr="001A5BB2">
        <w:rPr>
          <w:sz w:val="16"/>
        </w:rPr>
        <w:t xml:space="preserve"> Marxist feminism thus rejects both dual (or multi) systems theories that see class, gender, race/ethnicity and sexuality as separate spheres that intersect, on the one hand; and the reductionist marxism that seeks to capture all of social reality through the single lens of class exploitation as examined in the works of classical marxism, on the other.</w:t>
      </w:r>
    </w:p>
    <w:p w:rsidR="00DE5E47" w:rsidRPr="00731921" w:rsidRDefault="00DE5E47" w:rsidP="00DE5E47"/>
    <w:p w:rsidR="003F0FB9" w:rsidRDefault="003F0FB9" w:rsidP="00DE5E47">
      <w:pPr>
        <w:pStyle w:val="Heading3"/>
      </w:pPr>
      <w:bookmarkStart w:id="50" w:name="_Toc489138942"/>
      <w:r>
        <w:lastRenderedPageBreak/>
        <w:t>Link: Horizontal Spaces / Emergent Communities</w:t>
      </w:r>
      <w:bookmarkEnd w:id="50"/>
    </w:p>
    <w:p w:rsidR="003F0FB9" w:rsidRPr="002224DC" w:rsidRDefault="003F0FB9" w:rsidP="003F0FB9">
      <w:pPr>
        <w:pStyle w:val="Heading4"/>
        <w:rPr>
          <w:rStyle w:val="Style13ptBold"/>
          <w:b/>
        </w:rPr>
      </w:pPr>
      <w:r>
        <w:rPr>
          <w:rStyle w:val="Style13ptBold"/>
          <w:b/>
        </w:rPr>
        <w:t>Radical activism is inextricably bound to reproductive futurism-the demand for an endless subjugation of life to work for a better future replicates the logic of capital and assimilates the negativity underlying all political opposition. Only an immediate rupture can break with the present coordinates of death and offer a possible life against social order.</w:t>
      </w:r>
    </w:p>
    <w:p w:rsidR="003F0FB9" w:rsidRPr="008C5226" w:rsidRDefault="003F0FB9" w:rsidP="003F0FB9">
      <w:pPr>
        <w:jc w:val="both"/>
        <w:rPr>
          <w:rStyle w:val="Style13ptBold"/>
          <w:b w:val="0"/>
        </w:rPr>
      </w:pPr>
      <w:r>
        <w:rPr>
          <w:rStyle w:val="Style13ptBold"/>
        </w:rPr>
        <w:t>baedan 12</w:t>
      </w:r>
      <w:r w:rsidRPr="008C5226">
        <w:rPr>
          <w:rStyle w:val="Style13ptBold"/>
          <w:sz w:val="16"/>
        </w:rPr>
        <w:t xml:space="preserve"> </w:t>
      </w:r>
      <w:r w:rsidRPr="008C5226">
        <w:rPr>
          <w:rStyle w:val="Style13ptBold"/>
          <w:b w:val="0"/>
          <w:sz w:val="16"/>
        </w:rPr>
        <w:t xml:space="preserve">[baedan-journal of queer nihilism-issue one. Summer 2012. The Anarchist Library. </w:t>
      </w:r>
      <w:hyperlink r:id="rId15" w:history="1">
        <w:r w:rsidRPr="008C5226">
          <w:rPr>
            <w:rStyle w:val="Hyperlink"/>
            <w:sz w:val="16"/>
          </w:rPr>
          <w:t>https://theanarchistlibrary.org/library/baedan-baedan</w:t>
        </w:r>
      </w:hyperlink>
      <w:r w:rsidRPr="008C5226">
        <w:rPr>
          <w:rStyle w:val="Style13ptBold"/>
          <w:b w:val="0"/>
          <w:sz w:val="16"/>
        </w:rPr>
        <w:t>. SH]</w:t>
      </w:r>
    </w:p>
    <w:p w:rsidR="003F0FB9" w:rsidRPr="00072439" w:rsidRDefault="003F0FB9" w:rsidP="003F0FB9">
      <w:pPr>
        <w:rPr>
          <w:rStyle w:val="StyleUnderline"/>
        </w:rPr>
      </w:pPr>
      <w:r w:rsidRPr="00072439">
        <w:rPr>
          <w:sz w:val="16"/>
        </w:rPr>
        <w:t xml:space="preserve"> </w:t>
      </w:r>
      <w:r w:rsidRPr="008B7620">
        <w:rPr>
          <w:rStyle w:val="StyleUnderline"/>
        </w:rPr>
        <w:t xml:space="preserve">The capitalist mode of production must respond to </w:t>
      </w:r>
      <w:r w:rsidRPr="009C191C">
        <w:rPr>
          <w:rStyle w:val="StyleUnderline"/>
        </w:rPr>
        <w:t xml:space="preserve">the situation which throws its very future into </w:t>
      </w:r>
      <w:r w:rsidRPr="008B7620">
        <w:rPr>
          <w:rStyle w:val="StyleUnderline"/>
        </w:rPr>
        <w:t>crisi</w:t>
      </w:r>
      <w:r w:rsidRPr="008B7620">
        <w:rPr>
          <w:sz w:val="16"/>
        </w:rPr>
        <w:t>s</w:t>
      </w:r>
      <w:r w:rsidRPr="00072439">
        <w:rPr>
          <w:sz w:val="16"/>
        </w:rPr>
        <w:t xml:space="preserve">. It will respond, in part, </w:t>
      </w:r>
      <w:r w:rsidRPr="008B7620">
        <w:rPr>
          <w:rStyle w:val="StyleUnderline"/>
        </w:rPr>
        <w:t>by proliferating a wide array of alternatives</w:t>
      </w:r>
      <w:r w:rsidRPr="00B3352A">
        <w:rPr>
          <w:rStyle w:val="StyleUnderline"/>
        </w:rPr>
        <w:t xml:space="preserve"> and measures (austerity, re-adjustment, sustainability) which might ensure its continued viability.</w:t>
      </w:r>
      <w:r w:rsidRPr="00072439">
        <w:rPr>
          <w:sz w:val="16"/>
        </w:rPr>
        <w:t xml:space="preserve"> For all of us implicated in the ‘interference’ between capitalism and humans, these measures will confront us as the new conditions of our own immiseration and survival. </w:t>
      </w:r>
      <w:r w:rsidRPr="009C191C">
        <w:rPr>
          <w:rStyle w:val="StyleUnderline"/>
        </w:rPr>
        <w:t xml:space="preserve">All of the options presented for us are always already </w:t>
      </w:r>
      <w:r w:rsidRPr="008B7620">
        <w:rPr>
          <w:rStyle w:val="StyleUnderline"/>
        </w:rPr>
        <w:t xml:space="preserve">held hostage by </w:t>
      </w:r>
      <w:r w:rsidRPr="009C191C">
        <w:rPr>
          <w:rStyle w:val="StyleUnderline"/>
        </w:rPr>
        <w:t>the specter of r</w:t>
      </w:r>
      <w:r w:rsidRPr="008B7620">
        <w:rPr>
          <w:rStyle w:val="StyleUnderline"/>
        </w:rPr>
        <w:t>eproductive futurism.</w:t>
      </w:r>
      <w:r w:rsidRPr="00B3352A">
        <w:rPr>
          <w:rStyle w:val="StyleUnderline"/>
        </w:rPr>
        <w:t xml:space="preserve"> In each case we are forced to identify the extension of our own lives with the extension of the capitalist social order eternally into the future</w:t>
      </w:r>
      <w:r w:rsidRPr="00072439">
        <w:rPr>
          <w:sz w:val="16"/>
        </w:rPr>
        <w:t xml:space="preserve">. Austerity confronts us a new ethics to be integrated into our own being if we are to ever be assured a future within this failing civilization. </w:t>
      </w:r>
      <w:r w:rsidRPr="008B7620">
        <w:rPr>
          <w:rStyle w:val="StyleUnderline"/>
        </w:rPr>
        <w:t xml:space="preserve">We will be expected to work and suffer, and </w:t>
      </w:r>
      <w:r w:rsidRPr="009C191C">
        <w:rPr>
          <w:rStyle w:val="StyleUnderline"/>
        </w:rPr>
        <w:t xml:space="preserve">to </w:t>
      </w:r>
      <w:r w:rsidRPr="008B7620">
        <w:rPr>
          <w:rStyle w:val="StyleUnderline"/>
        </w:rPr>
        <w:t>be paid solely in the assurance that the future will continue its death-like march through time</w:t>
      </w:r>
      <w:r w:rsidRPr="009C191C">
        <w:rPr>
          <w:rStyle w:val="StyleUnderline"/>
        </w:rPr>
        <w:t xml:space="preserve">. The economists and politicians will offer a plethora of false options </w:t>
      </w:r>
      <w:r w:rsidRPr="008B7620">
        <w:rPr>
          <w:rStyle w:val="StyleUnderline"/>
        </w:rPr>
        <w:t>and will foreclose on the possibility of a real break</w:t>
      </w:r>
      <w:r w:rsidRPr="00B3352A">
        <w:rPr>
          <w:rStyle w:val="StyleUnderline"/>
        </w:rPr>
        <w:t>.</w:t>
      </w:r>
      <w:r>
        <w:rPr>
          <w:rStyle w:val="StyleUnderline"/>
        </w:rPr>
        <w:t xml:space="preserve"> </w:t>
      </w:r>
      <w:r w:rsidRPr="00072439">
        <w:rPr>
          <w:sz w:val="16"/>
        </w:rPr>
        <w:t xml:space="preserve">While the statist managers of capital must globally enforce a regime of austerity and structural re-adjustment in order to maintain their future (by whatever means possible), a new social movement has emerged which figures the future another way. In the United States, </w:t>
      </w:r>
      <w:r w:rsidRPr="00B3352A">
        <w:rPr>
          <w:rStyle w:val="StyleUnderline"/>
        </w:rPr>
        <w:t xml:space="preserve">the Occupy movement can be understood as a form by which anti-austerity struggles could take shape and agitate for a </w:t>
      </w:r>
      <w:r w:rsidRPr="00B3352A">
        <w:rPr>
          <w:rStyle w:val="StyleUnderline"/>
          <w:i/>
        </w:rPr>
        <w:t>different</w:t>
      </w:r>
      <w:r w:rsidRPr="00B3352A">
        <w:rPr>
          <w:rStyle w:val="StyleUnderline"/>
        </w:rPr>
        <w:t xml:space="preserve"> future</w:t>
      </w:r>
      <w:r w:rsidRPr="00072439">
        <w:rPr>
          <w:sz w:val="16"/>
        </w:rPr>
        <w:t xml:space="preserve">. For some within the movement, this means arguing for a return to a failed Keynesianism, a structural investment in a future for the welfare state. They argue that they are not anti-capitalist but that they are specifically trying to ‘save capitalism’ from the fundamental contradictions which ensure its failure. Against this reformist position, </w:t>
      </w:r>
      <w:r w:rsidRPr="00072439">
        <w:rPr>
          <w:rStyle w:val="StyleUnderline"/>
        </w:rPr>
        <w:t xml:space="preserve">the </w:t>
      </w:r>
      <w:r w:rsidRPr="00DC29FB">
        <w:rPr>
          <w:rStyle w:val="StyleUnderline"/>
        </w:rPr>
        <w:t>radicals</w:t>
      </w:r>
      <w:r w:rsidRPr="00072439">
        <w:rPr>
          <w:rStyle w:val="StyleUnderline"/>
        </w:rPr>
        <w:t xml:space="preserve"> within the Occupy movement argue instead for a prefigurative politics, through which activists and other radicals demonstrate that ‘another world is possible.’ This position focuses on experimenting with and perfecting forms of struggle and organization which they imagine to be blueprints for a utopia to come. </w:t>
      </w:r>
      <w:r w:rsidRPr="008B7620">
        <w:rPr>
          <w:rStyle w:val="StyleUnderline"/>
        </w:rPr>
        <w:t>Prefigurative politics</w:t>
      </w:r>
      <w:r w:rsidRPr="00072439">
        <w:rPr>
          <w:rStyle w:val="StyleUnderline"/>
        </w:rPr>
        <w:t xml:space="preserve">, as with all politics, </w:t>
      </w:r>
      <w:r w:rsidRPr="008B7620">
        <w:rPr>
          <w:rStyle w:val="StyleUnderline"/>
        </w:rPr>
        <w:t xml:space="preserve">invests its energy and faith into the hope that if we only do the hard work now, our efforts will be redeemed in a future society. </w:t>
      </w:r>
      <w:r w:rsidRPr="009C191C">
        <w:rPr>
          <w:rStyle w:val="StyleUnderline"/>
        </w:rPr>
        <w:t xml:space="preserve">And so </w:t>
      </w:r>
      <w:r w:rsidRPr="008B7620">
        <w:rPr>
          <w:rStyle w:val="StyleUnderline"/>
        </w:rPr>
        <w:t xml:space="preserve">the dialectic of reproductive futurism continues to unfold </w:t>
      </w:r>
      <w:r w:rsidRPr="00D6172B">
        <w:rPr>
          <w:rStyle w:val="StyleUnderline"/>
        </w:rPr>
        <w:t xml:space="preserve">in the context of a deepening crisis. Whether arguing for the defeated project of social democracy, the reactionary strategy of a militarized privatization and re-structuring, or the prefigurative politics of the new encampments, each position re-asserts the ideology of reproductive futurism, </w:t>
      </w:r>
      <w:r w:rsidRPr="008B7620">
        <w:rPr>
          <w:rStyle w:val="StyleUnderline"/>
        </w:rPr>
        <w:t>which demands a lifetime of immiseration and sacrifice for the possibility of a better world for our children. And</w:t>
      </w:r>
      <w:r w:rsidRPr="00072439">
        <w:rPr>
          <w:rStyle w:val="StyleUnderline"/>
        </w:rPr>
        <w:t xml:space="preserve"> yet </w:t>
      </w:r>
      <w:r w:rsidRPr="008B7620">
        <w:rPr>
          <w:rStyle w:val="StyleUnderline"/>
        </w:rPr>
        <w:t>each option delivers</w:t>
      </w:r>
      <w:r w:rsidRPr="00072439">
        <w:rPr>
          <w:rStyle w:val="StyleUnderline"/>
        </w:rPr>
        <w:t xml:space="preserve"> us, again and again, to </w:t>
      </w:r>
      <w:r w:rsidRPr="008B7620">
        <w:rPr>
          <w:rStyle w:val="StyleUnderline"/>
        </w:rPr>
        <w:t>deathly repetition</w:t>
      </w:r>
      <w:r w:rsidRPr="00072439">
        <w:rPr>
          <w:rStyle w:val="StyleUnderline"/>
        </w:rPr>
        <w:t xml:space="preserve">. We are </w:t>
      </w:r>
      <w:r w:rsidRPr="00DC29FB">
        <w:rPr>
          <w:rStyle w:val="StyleUnderline"/>
        </w:rPr>
        <w:t>asked to choose</w:t>
      </w:r>
      <w:r w:rsidRPr="00072439">
        <w:rPr>
          <w:rStyle w:val="StyleUnderline"/>
        </w:rPr>
        <w:t xml:space="preserve"> between the concentration camps of a neo-fascist austerity on the one hand and the self-managed poverty of the urban occupation encampment on the other, between an emaciated means of reproduction in the home or a ‘collectivized’ means to reproduce ourselves in the plazas. One option expects us to sacrifice so that the economy might survive and the other so that we might be redeemed by a constantly deferred utopia. Regardless, the Camp, as central figure of contemporary reproductive ideology, is situated at the horizon, eclipsing that unspoken option which would shatter the double-bind of futurity and austerity.</w:t>
      </w:r>
      <w:r>
        <w:rPr>
          <w:rStyle w:val="StyleUnderline"/>
        </w:rPr>
        <w:t xml:space="preserve"> </w:t>
      </w:r>
      <w:r w:rsidRPr="008B7620">
        <w:rPr>
          <w:rStyle w:val="StyleUnderline"/>
        </w:rPr>
        <w:t>This unstated option</w:t>
      </w:r>
      <w:r w:rsidRPr="00072439">
        <w:rPr>
          <w:sz w:val="16"/>
        </w:rPr>
        <w:t xml:space="preserve">, the one laid out by Camatte and in a different way by Edelman, </w:t>
      </w:r>
      <w:r w:rsidRPr="008B7620">
        <w:rPr>
          <w:rStyle w:val="StyleUnderline"/>
        </w:rPr>
        <w:t>is that intensity of living which would break our domestication and end our investment in civilization’s future. This intensity of enjoyment</w:t>
      </w:r>
      <w:r w:rsidRPr="00072439">
        <w:rPr>
          <w:sz w:val="16"/>
        </w:rPr>
        <w:t xml:space="preserve"> (the literal translation of jouissance from the French) </w:t>
      </w:r>
      <w:r w:rsidRPr="008B7620">
        <w:rPr>
          <w:rStyle w:val="StyleUnderline"/>
        </w:rPr>
        <w:t xml:space="preserve">must be the same jouissance which shatters </w:t>
      </w:r>
      <w:r w:rsidRPr="00D6172B">
        <w:rPr>
          <w:rStyle w:val="StyleUnderline"/>
        </w:rPr>
        <w:t xml:space="preserve">our subjective enslavement to </w:t>
      </w:r>
      <w:r w:rsidRPr="008B7620">
        <w:rPr>
          <w:rStyle w:val="StyleUnderline"/>
        </w:rPr>
        <w:t>capitalist civilization</w:t>
      </w:r>
      <w:r w:rsidRPr="00072439">
        <w:rPr>
          <w:rStyle w:val="StyleUnderline"/>
        </w:rPr>
        <w:t xml:space="preserve">. It is that exact current which permeates all of society and delivers to the necessity of insurrection against all that exists and for a joy which we </w:t>
      </w:r>
      <w:r w:rsidRPr="00072439">
        <w:rPr>
          <w:rStyle w:val="StyleUnderline"/>
        </w:rPr>
        <w:lastRenderedPageBreak/>
        <w:t xml:space="preserve">cannot </w:t>
      </w:r>
      <w:r w:rsidRPr="00D6172B">
        <w:rPr>
          <w:rStyle w:val="StyleUnderline"/>
        </w:rPr>
        <w:t xml:space="preserve">name. This jouissance is </w:t>
      </w:r>
      <w:r w:rsidRPr="008B7620">
        <w:rPr>
          <w:rStyle w:val="StyleUnderline"/>
        </w:rPr>
        <w:t xml:space="preserve">the resistance which is hidden by, </w:t>
      </w:r>
      <w:r w:rsidRPr="00D6172B">
        <w:rPr>
          <w:rStyle w:val="StyleUnderline"/>
        </w:rPr>
        <w:t xml:space="preserve">and </w:t>
      </w:r>
      <w:r w:rsidRPr="008B7620">
        <w:rPr>
          <w:rStyle w:val="StyleUnderline"/>
        </w:rPr>
        <w:t>yet integral to every social structure.</w:t>
      </w:r>
      <w:r w:rsidRPr="00072439">
        <w:rPr>
          <w:rStyle w:val="StyleUnderline"/>
        </w:rPr>
        <w:t xml:space="preserve"> Within the spectacles of the anti-austerity demonstrations and the plaza occupations lies the unnameable remainder which does not promise a better future. </w:t>
      </w:r>
      <w:r w:rsidRPr="008B7620">
        <w:rPr>
          <w:rStyle w:val="StyleUnderline"/>
        </w:rPr>
        <w:t xml:space="preserve">It is the unassimilable and ineffable tendency for people to self-sabotage any efforts at political organization. </w:t>
      </w:r>
      <w:r w:rsidRPr="00D6172B">
        <w:rPr>
          <w:rStyle w:val="StyleUnderline"/>
        </w:rPr>
        <w:t xml:space="preserve">It is the darkness so feared by the right and so denied by the left. </w:t>
      </w:r>
      <w:r w:rsidRPr="008B7620">
        <w:rPr>
          <w:rStyle w:val="StyleUnderline"/>
        </w:rPr>
        <w:t>It is what the police must be called on to repress and the organizer to assimilate</w:t>
      </w:r>
      <w:r w:rsidRPr="00072439">
        <w:rPr>
          <w:rStyle w:val="StyleUnderline"/>
        </w:rPr>
        <w:t>.</w:t>
      </w:r>
      <w:r>
        <w:rPr>
          <w:rStyle w:val="StyleUnderline"/>
        </w:rPr>
        <w:t xml:space="preserve"> </w:t>
      </w:r>
      <w:r w:rsidRPr="00072439">
        <w:rPr>
          <w:sz w:val="16"/>
        </w:rPr>
        <w:t xml:space="preserve">If the activist milieus and the Left had staked their entire future on Occupy Wall Street (OWS), it is because its represented a desperate gesture of a social order whose future is falling away. The global capitalist media has been quick to compare and contrast the supposedly peaceful, democratic movement of the plazas with the violent irruption of the lumpenproletarian youth in London. </w:t>
      </w:r>
      <w:r w:rsidRPr="008B7620">
        <w:rPr>
          <w:rStyle w:val="StyleUnderline"/>
        </w:rPr>
        <w:t xml:space="preserve">What separates one body of dispossessed youth from another is specifically their disposition to the question of futurity. </w:t>
      </w:r>
      <w:r w:rsidRPr="00D6172B">
        <w:rPr>
          <w:rStyle w:val="StyleUnderline"/>
        </w:rPr>
        <w:t>For the indignant occupiers, their future is something gambled away by financial institutions, to be won back through righteous struggle. For London’s riotous scum, a future is something they’ve never been promised, save for on</w:t>
      </w:r>
      <w:r w:rsidRPr="00072439">
        <w:rPr>
          <w:rStyle w:val="StyleUnderline"/>
        </w:rPr>
        <w:t>e of poverty, boredom, police violence or prison</w:t>
      </w:r>
      <w:r w:rsidRPr="00072439">
        <w:rPr>
          <w:sz w:val="16"/>
        </w:rPr>
        <w:t xml:space="preserve">. Behind the hopeful facade that was OWS, a thousand Londons lay concealed. </w:t>
      </w:r>
      <w:r w:rsidRPr="008B7620">
        <w:rPr>
          <w:rStyle w:val="StyleUnderline"/>
        </w:rPr>
        <w:t>Our insurrectional project is the erosion of that hope and the insistence against the possibility of the future</w:t>
      </w:r>
      <w:r w:rsidRPr="00072439">
        <w:rPr>
          <w:rStyle w:val="StyleUnderline"/>
        </w:rPr>
        <w:t>.</w:t>
      </w:r>
      <w:r>
        <w:rPr>
          <w:rStyle w:val="StyleUnderline"/>
        </w:rPr>
        <w:t xml:space="preserve"> </w:t>
      </w:r>
      <w:r w:rsidRPr="00072439">
        <w:rPr>
          <w:rStyle w:val="StyleUnderline"/>
        </w:rPr>
        <w:t xml:space="preserve">This insurrection cannot be understood as another event deferred to the future, but rather </w:t>
      </w:r>
      <w:r w:rsidRPr="008B7620">
        <w:rPr>
          <w:rStyle w:val="StyleUnderline"/>
        </w:rPr>
        <w:t>a possibility to seize life in spite of and against the social order.</w:t>
      </w:r>
      <w:r w:rsidRPr="00072439">
        <w:rPr>
          <w:rStyle w:val="StyleUnderline"/>
        </w:rPr>
        <w:t xml:space="preserve"> The promise of jouissance is not to deliver a more revolutionary futurity, but an irruption of irreducible negativity. While the activists sacrifice themselves at the police lines, the youngsters and ne’er-do-wells smash the unguarded windows of police cruisers and help one another through the shattered plate glass doors of cafes in order help themselves to the sweets within. </w:t>
      </w:r>
      <w:r w:rsidRPr="008B7620">
        <w:rPr>
          <w:rStyle w:val="StyleUnderline"/>
        </w:rPr>
        <w:t>While the assemblies determine how to articulate reproductive futurism ‘from below,’ the jouissiuers fuck, vandalize, expropriate, and conspire</w:t>
      </w:r>
      <w:r w:rsidRPr="00072439">
        <w:rPr>
          <w:rStyle w:val="StyleUnderline"/>
        </w:rPr>
        <w:t xml:space="preserve">. Flash mobs in Milwaukee and Philly, demonstrations turned to looting, churches set alight, irresponsible sexual adventures, shipments blockaded, explosions of the gender distinction, street parties turned street fights, jail escapes, boulder-traps set for police officers, infrastructural sabotage: </w:t>
      </w:r>
      <w:r w:rsidRPr="008B7620">
        <w:rPr>
          <w:rStyle w:val="StyleUnderline"/>
        </w:rPr>
        <w:t>countless moments where the ideologies and structures which ensure the self-reproduction of the social order are destroyed at the expense of an irrational enjoyment; an enjoyment fixed in the present without a care for the future.</w:t>
      </w:r>
      <w:r w:rsidRPr="00072439">
        <w:rPr>
          <w:rStyle w:val="StyleUnderline"/>
        </w:rPr>
        <w:t xml:space="preserve"> What we term the </w:t>
      </w:r>
      <w:r w:rsidRPr="008B7620">
        <w:rPr>
          <w:rStyle w:val="StyleUnderline"/>
        </w:rPr>
        <w:t>commune is</w:t>
      </w:r>
      <w:r w:rsidRPr="00072439">
        <w:rPr>
          <w:rStyle w:val="StyleUnderline"/>
        </w:rPr>
        <w:t xml:space="preserve"> not a model for another evasive utopia, but rather </w:t>
      </w:r>
      <w:r w:rsidRPr="008B7620">
        <w:rPr>
          <w:rStyle w:val="StyleUnderline"/>
        </w:rPr>
        <w:t>the process which intertwines these diffuse moments of pleasure, pain, and joyous attack.</w:t>
      </w:r>
    </w:p>
    <w:p w:rsidR="003F0FB9" w:rsidRDefault="003F0FB9" w:rsidP="003F0FB9">
      <w:pPr>
        <w:pStyle w:val="Heading4"/>
      </w:pPr>
      <w:r>
        <w:t>Leftist activism and claims of revolution inevitably fail and result in the construction of new power relations, the queer body must create time and space for itself free of traditional activism.</w:t>
      </w:r>
    </w:p>
    <w:p w:rsidR="003F0FB9" w:rsidRDefault="003F0FB9" w:rsidP="003F0FB9">
      <w:r>
        <w:rPr>
          <w:b/>
          <w:sz w:val="26"/>
          <w:szCs w:val="26"/>
        </w:rPr>
        <w:t xml:space="preserve">BAEdan 12’ </w:t>
      </w:r>
      <w:r>
        <w:t>[baedan, 2012, “baedan”, The Anarchist Library, 40-41] ER</w:t>
      </w:r>
    </w:p>
    <w:p w:rsidR="003F0FB9" w:rsidRDefault="003F0FB9" w:rsidP="003F0FB9">
      <w:pPr>
        <w:rPr>
          <w:rStyle w:val="Emphasis"/>
        </w:rPr>
      </w:pPr>
      <w:r w:rsidRPr="004821DA">
        <w:rPr>
          <w:sz w:val="16"/>
        </w:rPr>
        <w:t xml:space="preserve">We’ll turn briefly to another of Hocquenghem’s texts: The Screwball Asses. In it, he levels a critique of the (communist and homosexual) Left that is quite applicable to the various leftist and revolutionary political formations we still encounter. </w:t>
      </w:r>
      <w:r w:rsidRPr="004821DA">
        <w:rPr>
          <w:rStyle w:val="StyleUnderline"/>
        </w:rPr>
        <w:t xml:space="preserve">His simple yet crucial pronouncement is that “to demand the recognition of homosexuality as it is is simple reformism.” </w:t>
      </w:r>
      <w:r w:rsidRPr="004821DA">
        <w:rPr>
          <w:sz w:val="16"/>
        </w:rPr>
        <w:t xml:space="preserve">This single line foregrounds our entire refusal of identity politics and the quest for intelligibility with which it is solely concerned. He continues: </w:t>
      </w:r>
      <w:r w:rsidRPr="00105086">
        <w:rPr>
          <w:rStyle w:val="Emphasis"/>
        </w:rPr>
        <w:t>Like the women’s liberation movement that inspired it, the revolutionary homosexual platform emerged with Leftism and traumatized it to the point of contributing to its debacle</w:t>
      </w:r>
      <w:r w:rsidRPr="004821DA">
        <w:rPr>
          <w:rStyle w:val="StyleUnderline"/>
        </w:rPr>
        <w:t>.</w:t>
      </w:r>
      <w:r w:rsidRPr="004821DA">
        <w:rPr>
          <w:sz w:val="16"/>
        </w:rPr>
        <w:t xml:space="preserve"> But while they fissured Leftism by revealing its phallocentric morphology and its censure of marginal sexualities (and of sexuality in general), </w:t>
      </w:r>
      <w:r w:rsidRPr="00105086">
        <w:rPr>
          <w:rStyle w:val="Emphasis"/>
        </w:rPr>
        <w:t>these autonomous movements, despite their refusal of hierarchy, continued and continue to replicate the conditioned reflexes of the political sector that produced them</w:t>
      </w:r>
      <w:r w:rsidRPr="004821DA">
        <w:rPr>
          <w:rStyle w:val="StyleUnderline"/>
        </w:rPr>
        <w:t>:</w:t>
      </w:r>
      <w:r w:rsidRPr="004821DA">
        <w:rPr>
          <w:sz w:val="16"/>
        </w:rPr>
        <w:t xml:space="preserve"> logomachy, the replacement of desire by the mythology of struggle. </w:t>
      </w:r>
      <w:r w:rsidRPr="00105086">
        <w:rPr>
          <w:rStyle w:val="Emphasis"/>
        </w:rPr>
        <w:t>Politics, even a queer politics, must always be based on the sacrifice of desire in the service and representation of this or that struggle</w:t>
      </w:r>
      <w:r w:rsidRPr="004821DA">
        <w:rPr>
          <w:rStyle w:val="StyleUnderline"/>
        </w:rPr>
        <w:t>. For Hocquenghem, activist structures and militant organizations are as much a part of the self-</w:t>
      </w:r>
      <w:r w:rsidRPr="004821DA">
        <w:rPr>
          <w:rStyle w:val="StyleUnderline"/>
        </w:rPr>
        <w:lastRenderedPageBreak/>
        <w:t xml:space="preserve">constituted prisons he argues against. </w:t>
      </w:r>
      <w:r w:rsidRPr="004821DA">
        <w:rPr>
          <w:sz w:val="16"/>
        </w:rPr>
        <w:t xml:space="preserve">He goes on to write: “We might have hoped that homosexuality could tear classic activism away from non-desire and create a true celebration of our colluding desires, but that was without taking into account the bad conscience of homosexuals. We must admit that the wildfire was short-lived.” </w:t>
      </w:r>
      <w:r w:rsidRPr="004821DA">
        <w:rPr>
          <w:rStyle w:val="StyleUnderline"/>
        </w:rPr>
        <w:t>We’d be wrong to apply this formulation solely to the activity of mainstream LGBT activist groups. This fundamental limit of political activism is applicable to the most radical queer or militantly anarchist individuals. Militancy and activism can only ever guarantee a short-lived wildfire, which cannot ever sustain the flames of an unintelligible drive of queerness and anarchy</w:t>
      </w:r>
      <w:r w:rsidRPr="004821DA">
        <w:rPr>
          <w:sz w:val="16"/>
        </w:rPr>
        <w:t xml:space="preserve">. Guy writes of militants that “they freeze the event into a role,” and “the militants of the gay movement have just as much of a natural tendency to become specialists on homosexuality as psychiatrists and social workers.” Guy continues: Leftism has passed through, and Leftism dries up whatever it touches. Whatever comes from Leftism will remain permeated by terrorism and factionalism. For fear of not following the tacit scripture or counter-scripture that is supposed to unite us, in that environment we always feel as if we were the students or the professors of those who have spoken last, even if this is against our will. </w:t>
      </w:r>
      <w:r w:rsidRPr="00105086">
        <w:rPr>
          <w:rStyle w:val="Emphasis"/>
        </w:rPr>
        <w:t>We could even say that the desire to deconstruct all relations of power, the uninterrupted lookout for relations of power, creates an additional, hallucinatory power relation</w:t>
      </w:r>
      <w:r w:rsidRPr="004821DA">
        <w:rPr>
          <w:rStyle w:val="StyleUnderline"/>
        </w:rPr>
        <w:t>.</w:t>
      </w:r>
      <w:r w:rsidRPr="004821DA">
        <w:rPr>
          <w:sz w:val="16"/>
        </w:rPr>
        <w:t xml:space="preserve"> Of course within the FHAR, there are and have been attempts made to reject this whole mechanism of the persecuted and the persecutor, but the crisis has not been resolved. </w:t>
      </w:r>
      <w:r w:rsidRPr="00105086">
        <w:rPr>
          <w:rStyle w:val="Emphasis"/>
        </w:rPr>
        <w:t>Today, the collective body of revolutionary queers lies emptied, lifeless and useless; and this happened faster to the FHAR than to any other leftist group</w:t>
      </w:r>
      <w:r w:rsidRPr="004821DA">
        <w:rPr>
          <w:rStyle w:val="StyleUnderline"/>
        </w:rPr>
        <w:t xml:space="preserve">. While he situates his critique through his own experience with the FHAR, we can each surely locate mistaken investments of our own energy into similar revolutionary groupings, and the way that burnout inevitably accompanies such an engagement. If are constantly resisting the feelings of emptiness, lifelessness and uselessness, </w:t>
      </w:r>
      <w:r w:rsidRPr="00105086">
        <w:rPr>
          <w:rStyle w:val="Emphasis"/>
        </w:rPr>
        <w:t>we should pay close attention to the fields of activity in which we’re engaged, and attempt to locate what vampiric forms are depleting our energ</w:t>
      </w:r>
      <w:r w:rsidRPr="004821DA">
        <w:rPr>
          <w:rStyle w:val="StyleUnderline"/>
        </w:rPr>
        <w:t>y.</w:t>
      </w:r>
      <w:r w:rsidRPr="004821DA">
        <w:rPr>
          <w:sz w:val="16"/>
        </w:rPr>
        <w:t xml:space="preserve"> We’ll undoubtedly find that always this depressive ennui is situated in a dynamic where joyous experiments in desire are subjugated to the sacrificial call of “the struggle.” In his characteristic style of innuendo, Guy goes tackles the anxiety that characterizes activism: </w:t>
      </w:r>
      <w:r w:rsidRPr="004821DA">
        <w:rPr>
          <w:rStyle w:val="Emphasis"/>
        </w:rPr>
        <w:t>The leftist is nether a player, nor a jouisseur; he just drills people, regardless of whether he wants to liberate homosexuality or the proletariat. Never overwhelmed, the Leftist just saves himself for next time. The Leftist does not have time on his side. He’s always in a rush. He produces speed everywhere so as to force you into hysterics or into a daze</w:t>
      </w:r>
      <w:r w:rsidRPr="004821DA">
        <w:rPr>
          <w:sz w:val="16"/>
        </w:rPr>
        <w:t xml:space="preserve">. But its not the kind of speed that propels you far away so that you find yourself stunned at having covered so much ground, stunned by the change of perspective and of thinking. Instead, its the haste of the monkey scratching at the same spot till a sore develops. The Guy [!] describes is located in the terrorizing hold that the Future has upon activists. Because a better tomorrow requires tremendous ‘good work’ today, Leftists of all stripes are caught in a never-ending anxiety of activity, yet never get any nearer to their fleeing utopias. That the revolution is so close on the horizon and yet flees from us means that we can’t afford the immature and irresponsible practices of jouissance which could distract from the sombre struggle at hand. </w:t>
      </w:r>
      <w:r w:rsidRPr="00105086">
        <w:rPr>
          <w:rStyle w:val="Emphasis"/>
        </w:rPr>
        <w:t>The ideology of Leftism is truly a living death for all who it entrances. Leftists argue that we must destroy power relationships, and yet they leave unchallenged the power relationship of reproductive futurism which necessitates an endless project of self-discipline and self-control.</w:t>
      </w:r>
      <w:r w:rsidRPr="004821DA">
        <w:rPr>
          <w:rStyle w:val="StyleUnderline"/>
        </w:rPr>
        <w:t xml:space="preserve"> Hocquenghem argues that opposed to this sombre struggle must be an insurgent project based in joy</w:t>
      </w:r>
      <w:r w:rsidRPr="004821DA">
        <w:rPr>
          <w:sz w:val="16"/>
        </w:rPr>
        <w:t xml:space="preserve">. “Strangely enough,” he writes, “whenever we speak of joy, professional revolutionaries only hear what churches or ideologies have put there.” We are not professional revolutionaries, nor joyless prophets interested in spreading ideology. Rather we must set our stake on practices of joy and jouissance resonating to unleash an insurgent contagion. Here is Hocquenghem at his finest: </w:t>
      </w:r>
      <w:r w:rsidRPr="00105086">
        <w:rPr>
          <w:rStyle w:val="Emphasis"/>
        </w:rPr>
        <w:t>All revolutionaries will have to become parasites of society, and more and more irresponsibly at that, or they will still be the knights of some morality or another</w:t>
      </w:r>
      <w:r w:rsidRPr="004821DA">
        <w:rPr>
          <w:rStyle w:val="StyleUnderline"/>
        </w:rPr>
        <w:t xml:space="preserve">. Our energy is devoted to the destruction of the animal that feeds us. Only such a project of parasitism could resist the dead ends of activist frenzy and militant escalation. </w:t>
      </w:r>
      <w:r w:rsidRPr="00105086">
        <w:rPr>
          <w:rStyle w:val="Emphasis"/>
        </w:rPr>
        <w:t xml:space="preserve">We must live, fight and enjoy at the expense of our enemies. Such a </w:t>
      </w:r>
      <w:r w:rsidRPr="00105086">
        <w:rPr>
          <w:rStyle w:val="Emphasis"/>
        </w:rPr>
        <w:lastRenderedPageBreak/>
        <w:t xml:space="preserve">project is a queer in that it must depart from the paths laid out for us and refuse the specialization and captivity to time inherent in activism. </w:t>
      </w:r>
    </w:p>
    <w:p w:rsidR="003F0FB9" w:rsidRPr="003F0FB9" w:rsidRDefault="003F0FB9" w:rsidP="003F0FB9"/>
    <w:p w:rsidR="005A160F" w:rsidRDefault="005A160F" w:rsidP="005A160F">
      <w:pPr>
        <w:pStyle w:val="Heading3"/>
      </w:pPr>
      <w:bookmarkStart w:id="51" w:name="_Toc489138943"/>
      <w:r>
        <w:lastRenderedPageBreak/>
        <w:t>Link: Identity</w:t>
      </w:r>
      <w:bookmarkEnd w:id="51"/>
    </w:p>
    <w:p w:rsidR="005A160F" w:rsidRPr="007E71E7" w:rsidRDefault="005A160F" w:rsidP="005A160F">
      <w:pPr>
        <w:pStyle w:val="Heading4"/>
      </w:pPr>
      <w:r>
        <w:t xml:space="preserve">Diversity and identity politics through liberal recognition only generates new markets and regulations of desire </w:t>
      </w:r>
    </w:p>
    <w:p w:rsidR="005A160F" w:rsidRPr="007E71E7" w:rsidRDefault="005A160F" w:rsidP="005A160F">
      <w:pPr>
        <w:rPr>
          <w:rStyle w:val="Style13ptBold"/>
          <w:b w:val="0"/>
          <w:sz w:val="18"/>
        </w:rPr>
      </w:pPr>
      <w:r w:rsidRPr="007E71E7">
        <w:rPr>
          <w:rStyle w:val="Style13ptBold"/>
        </w:rPr>
        <w:t xml:space="preserve">Mutiny 10, </w:t>
      </w:r>
      <w:r w:rsidRPr="007E71E7">
        <w:rPr>
          <w:rStyle w:val="Style13ptBold"/>
          <w:sz w:val="18"/>
        </w:rPr>
        <w:t>[Gender, June 20th. Gender Mutiny was an anonymous queer-anarchist author specializing in queer negativity and dedicated as “</w:t>
      </w:r>
      <w:r w:rsidRPr="007E71E7">
        <w:rPr>
          <w:rStyle w:val="Style13ptBold"/>
          <w:rFonts w:hint="cs"/>
          <w:sz w:val="18"/>
        </w:rPr>
        <w:t>the aborted fætus of the gender binary’s heteromonogamous mating.</w:t>
      </w:r>
      <w:r w:rsidRPr="007E71E7">
        <w:rPr>
          <w:rStyle w:val="Style13ptBold"/>
          <w:sz w:val="18"/>
        </w:rPr>
        <w:t xml:space="preserve">” Pink and Black Attack vol. 6, </w:t>
      </w:r>
      <w:hyperlink r:id="rId16" w:history="1">
        <w:r w:rsidRPr="007E71E7">
          <w:rPr>
            <w:rStyle w:val="Style13ptBold"/>
            <w:sz w:val="18"/>
          </w:rPr>
          <w:t>https://genderidentitywatch.files.wordpress.com/2014/07/paba6.pdf</w:t>
        </w:r>
      </w:hyperlink>
      <w:r w:rsidRPr="007E71E7">
        <w:rPr>
          <w:rStyle w:val="Style13ptBold"/>
          <w:sz w:val="18"/>
        </w:rPr>
        <w:t>] MM</w:t>
      </w:r>
    </w:p>
    <w:p w:rsidR="005A160F" w:rsidRPr="007E71E7" w:rsidRDefault="005A160F" w:rsidP="005A160F">
      <w:pPr>
        <w:rPr>
          <w:sz w:val="16"/>
          <w:szCs w:val="16"/>
        </w:rPr>
      </w:pPr>
      <w:r w:rsidRPr="007E71E7">
        <w:rPr>
          <w:rStyle w:val="StyleUnderline"/>
        </w:rPr>
        <w:t>The primary mode of reproduction in a post-dialectic world is the reproduction of the individual</w:t>
      </w:r>
      <w:r w:rsidRPr="007E71E7">
        <w:rPr>
          <w:sz w:val="16"/>
          <w:szCs w:val="16"/>
        </w:rPr>
        <w:t xml:space="preserve">— that is, re-creationism. The postmodern singularity is not created by God or its parents, but </w:t>
      </w:r>
      <w:r w:rsidRPr="007E71E7">
        <w:rPr>
          <w:rStyle w:val="StyleUnderline"/>
        </w:rPr>
        <w:t>constructed through a pluralistic process that is increasingly</w:t>
      </w:r>
      <w:r w:rsidRPr="007E71E7">
        <w:rPr>
          <w:sz w:val="16"/>
          <w:szCs w:val="16"/>
        </w:rPr>
        <w:t xml:space="preserve"> ‘artificial,’ ‘</w:t>
      </w:r>
      <w:r w:rsidRPr="007E71E7">
        <w:rPr>
          <w:rStyle w:val="StyleUnderline"/>
        </w:rPr>
        <w:t>social,’ and,</w:t>
      </w:r>
      <w:r w:rsidRPr="007E71E7">
        <w:rPr>
          <w:sz w:val="16"/>
          <w:szCs w:val="16"/>
        </w:rPr>
        <w:t xml:space="preserve"> paradoxically, </w:t>
      </w:r>
      <w:r w:rsidRPr="007E71E7">
        <w:rPr>
          <w:rStyle w:val="StyleUnderline"/>
        </w:rPr>
        <w:t xml:space="preserve">self-realized. This </w:t>
      </w:r>
      <w:r w:rsidRPr="007E71E7">
        <w:rPr>
          <w:sz w:val="16"/>
          <w:szCs w:val="16"/>
        </w:rPr>
        <w:t xml:space="preserve">process </w:t>
      </w:r>
      <w:r w:rsidRPr="007E71E7">
        <w:rPr>
          <w:rStyle w:val="StyleUnderline"/>
        </w:rPr>
        <w:t>is</w:t>
      </w:r>
      <w:r w:rsidRPr="007E71E7">
        <w:rPr>
          <w:sz w:val="16"/>
          <w:szCs w:val="16"/>
        </w:rPr>
        <w:t xml:space="preserve"> </w:t>
      </w:r>
      <w:r w:rsidRPr="007E71E7">
        <w:rPr>
          <w:rStyle w:val="StyleUnderline"/>
        </w:rPr>
        <w:t>the process of identification</w:t>
      </w:r>
      <w:r w:rsidRPr="007E71E7">
        <w:rPr>
          <w:sz w:val="8"/>
          <w:vertAlign w:val="superscript"/>
        </w:rPr>
        <w:footnoteReference w:id="1"/>
      </w:r>
      <w:r w:rsidRPr="007E71E7">
        <w:rPr>
          <w:sz w:val="16"/>
          <w:szCs w:val="16"/>
        </w:rPr>
        <w:t xml:space="preserve">. The pluralistic reproductive process could not suffer limits. </w:t>
      </w:r>
      <w:r w:rsidRPr="007E71E7">
        <w:rPr>
          <w:rStyle w:val="StyleUnderline"/>
        </w:rPr>
        <w:t>Each time it reproduces itself exists on an ontological scale</w:t>
      </w:r>
      <w:r w:rsidRPr="007E71E7">
        <w:rPr>
          <w:sz w:val="16"/>
          <w:szCs w:val="16"/>
        </w:rPr>
        <w:t xml:space="preserve">. There is no need to speak of the modes of reproduction constituted by three, four, or fifty-four towers because, once there are three, the towers reproduce not themselves and not the relation between themselves, but more and more towers, not twin but unique and individuated, marching across the landscape at an ever-increasing rate. The World Trade Center has fallen but today there stand more skyscrapers than ever before. </w:t>
      </w:r>
      <w:r w:rsidRPr="007E71E7">
        <w:rPr>
          <w:rFonts w:eastAsia="Times New Roman"/>
          <w:sz w:val="16"/>
          <w:szCs w:val="16"/>
        </w:rPr>
        <w:t>Since their death, all their suffering…, our store of poisons entrusted to the Towers, counting of course on the jumbo apparatus of the American passions, in some the whole anxious and malificent game—of our lives, our primitive beliefs, our frissions, the deadly Greek and Bible-inspired phantasms, all that ghastly archivery we’d intuitively conserved in our Towers—hence unconsiously used as the colossal envelopes of all ideas of catastrophe, coffins customed as the temples of our death wishes.</w:t>
      </w:r>
      <w:r w:rsidRPr="007E71E7">
        <w:rPr>
          <w:sz w:val="16"/>
          <w:szCs w:val="16"/>
        </w:rPr>
        <w:t xml:space="preserve"> </w:t>
      </w:r>
      <w:r w:rsidRPr="007E71E7">
        <w:rPr>
          <w:rStyle w:val="StyleUnderline"/>
        </w:rPr>
        <w:t>Diversity is the</w:t>
      </w:r>
      <w:r w:rsidRPr="007E71E7">
        <w:rPr>
          <w:sz w:val="16"/>
          <w:szCs w:val="16"/>
        </w:rPr>
        <w:t xml:space="preserve"> scientific </w:t>
      </w:r>
      <w:r w:rsidRPr="007E71E7">
        <w:rPr>
          <w:rStyle w:val="StyleUnderline"/>
        </w:rPr>
        <w:t>imperative imposed</w:t>
      </w:r>
      <w:r w:rsidRPr="007E71E7">
        <w:rPr>
          <w:sz w:val="16"/>
          <w:szCs w:val="16"/>
        </w:rPr>
        <w:t xml:space="preserve"> by the evolutionary science and </w:t>
      </w:r>
      <w:r w:rsidRPr="007E71E7">
        <w:rPr>
          <w:rStyle w:val="StyleUnderline"/>
        </w:rPr>
        <w:t>post-modern theories of becoming</w:t>
      </w:r>
      <w:r w:rsidRPr="007E71E7">
        <w:rPr>
          <w:sz w:val="16"/>
          <w:szCs w:val="16"/>
        </w:rPr>
        <w:t xml:space="preserve">. The stresses of the rapid evolution of commodities and commodity-forms in late-capitalism impose rapid shifts in the labor market which manifest in the postmodern worker’s life as the condition of precarity. Precarity, in turn, is the impetus for the workers’ continual re-creation of themselves. This process is experienced in the worker’s life as the scarcity of jobs he already knows how to do; the creation of ever more numerous—and ever more abstract—job titles; the drive for continual education and training (‘upgrading’ himself); the loss of long-term salaried career possibilities as well as benefits and pensions; and the increase in part-time, shortterm, piecemeal or waged work. </w:t>
      </w:r>
      <w:r w:rsidRPr="007E71E7">
        <w:rPr>
          <w:rStyle w:val="StyleUnderline"/>
        </w:rPr>
        <w:t>The ability of capitalism to reach new markets</w:t>
      </w:r>
      <w:r w:rsidRPr="007E71E7">
        <w:rPr>
          <w:sz w:val="16"/>
          <w:szCs w:val="16"/>
        </w:rPr>
        <w:t xml:space="preserve">, now that geographical and material expansion are complete, </w:t>
      </w:r>
      <w:r w:rsidRPr="007E71E7">
        <w:rPr>
          <w:rStyle w:val="StyleUnderline"/>
        </w:rPr>
        <w:t>is based on its ability to reach ever-new identities. Thus identities must be produced, and produced as commodities. Identification</w:t>
      </w:r>
      <w:r w:rsidRPr="007E71E7">
        <w:rPr>
          <w:sz w:val="16"/>
          <w:szCs w:val="16"/>
        </w:rPr>
        <w:t xml:space="preserve">, that is, the process of re-creationism, </w:t>
      </w:r>
      <w:r w:rsidRPr="007E71E7">
        <w:rPr>
          <w:rStyle w:val="StyleUnderline"/>
        </w:rPr>
        <w:t>is the apparatus that produces these identities</w:t>
      </w:r>
      <w:r w:rsidRPr="007E71E7">
        <w:rPr>
          <w:sz w:val="16"/>
          <w:szCs w:val="16"/>
        </w:rPr>
        <w:t xml:space="preserve">. </w:t>
      </w:r>
      <w:r w:rsidRPr="007E71E7">
        <w:rPr>
          <w:rStyle w:val="StyleUnderline"/>
        </w:rPr>
        <w:t>Each new identity is a new tower to which consumers can flock</w:t>
      </w:r>
      <w:r w:rsidRPr="007E71E7">
        <w:rPr>
          <w:sz w:val="16"/>
          <w:szCs w:val="16"/>
        </w:rPr>
        <w:t xml:space="preserve"> to escape the passe nature of the old ones. Eventually— that is, soon and very soon—</w:t>
      </w:r>
      <w:r w:rsidRPr="007E71E7">
        <w:rPr>
          <w:rStyle w:val="StyleUnderline"/>
        </w:rPr>
        <w:t>there will have to be a tower for each person (“You know, there could be as many genders as there are people</w:t>
      </w:r>
      <w:r w:rsidRPr="007E71E7">
        <w:rPr>
          <w:sz w:val="16"/>
          <w:szCs w:val="16"/>
        </w:rPr>
        <w:t xml:space="preserve">…”), </w:t>
      </w:r>
      <w:r w:rsidRPr="007E71E7">
        <w:rPr>
          <w:rStyle w:val="StyleUnderline"/>
        </w:rPr>
        <w:t>probably more,</w:t>
      </w:r>
      <w:r w:rsidRPr="007E71E7">
        <w:rPr>
          <w:sz w:val="16"/>
          <w:szCs w:val="16"/>
        </w:rPr>
        <w:t xml:space="preserve"> and the scale of such production far surpasses the limits of the old workplaces, which are based on the assembly-line’s ability to make multiple, identical products. In the late-capitalist economy, however, each commodity must have the air of the unique, and this goes doubly for </w:t>
      </w:r>
      <w:r w:rsidRPr="007E71E7">
        <w:rPr>
          <w:rStyle w:val="StyleUnderline"/>
        </w:rPr>
        <w:t>identity-commodities. The labor of this ‘creative’ work is displaced</w:t>
      </w:r>
      <w:r w:rsidRPr="007E71E7">
        <w:rPr>
          <w:sz w:val="16"/>
          <w:szCs w:val="16"/>
        </w:rPr>
        <w:t xml:space="preserve"> from the old workplaces; by social imperative and desire, the individual is put to work, </w:t>
      </w:r>
      <w:r w:rsidRPr="007E71E7">
        <w:rPr>
          <w:rStyle w:val="StyleUnderline"/>
        </w:rPr>
        <w:t>unpaid (reproductive work— baby-making, class struggle, Facebook— is always unpaid), to create new identities</w:t>
      </w:r>
      <w:r w:rsidRPr="007E71E7">
        <w:rPr>
          <w:sz w:val="16"/>
          <w:szCs w:val="16"/>
        </w:rPr>
        <w:t xml:space="preserve"> ‘for himself’. </w:t>
      </w:r>
      <w:r w:rsidRPr="007E71E7">
        <w:rPr>
          <w:rStyle w:val="StyleUnderline"/>
        </w:rPr>
        <w:t>The postmodern Spectacle is a collection</w:t>
      </w:r>
      <w:r w:rsidRPr="007E71E7">
        <w:rPr>
          <w:sz w:val="16"/>
          <w:szCs w:val="16"/>
        </w:rPr>
        <w:t xml:space="preserve"> of images </w:t>
      </w:r>
      <w:r w:rsidRPr="007E71E7">
        <w:rPr>
          <w:rStyle w:val="StyleUnderline"/>
        </w:rPr>
        <w:t>that must increasingly be constructed uniquely for each individual</w:t>
      </w:r>
      <w:r w:rsidRPr="007E71E7">
        <w:rPr>
          <w:sz w:val="16"/>
          <w:szCs w:val="16"/>
        </w:rPr>
        <w:t xml:space="preserve">, the ghost of reproduction must not linger on the screen; but it must also afford him to interact with others. An apparatus of Spectacle-production that is socially-networked affords its consumer a profile and newsfeed unique to him but also the ability to ‘connect’ with his ‘real’ friends. </w:t>
      </w:r>
      <w:r w:rsidRPr="007E71E7">
        <w:rPr>
          <w:rStyle w:val="StyleUnderline"/>
        </w:rPr>
        <w:t>Reality,</w:t>
      </w:r>
      <w:r w:rsidRPr="007E71E7">
        <w:rPr>
          <w:sz w:val="16"/>
          <w:szCs w:val="16"/>
        </w:rPr>
        <w:t xml:space="preserve"> in the end</w:t>
      </w:r>
      <w:r w:rsidRPr="007E71E7">
        <w:rPr>
          <w:rStyle w:val="StyleUnderline"/>
        </w:rPr>
        <w:t>, is the product.</w:t>
      </w:r>
      <w:r w:rsidRPr="007E71E7">
        <w:rPr>
          <w:sz w:val="16"/>
          <w:szCs w:val="16"/>
        </w:rPr>
        <w:t xml:space="preserve"> Political struggle is no longer epitomized by a war of one party or class against another, nor the people against the state, but becomes the battlefield of social war fought between many identities or forms-of-life against one another. Just as the war between parties within the government served to mask class struggle, </w:t>
      </w:r>
      <w:r w:rsidRPr="007E71E7">
        <w:rPr>
          <w:rStyle w:val="StyleUnderline"/>
        </w:rPr>
        <w:t>today the war over identities masks the war of forms-of-life</w:t>
      </w:r>
      <w:r w:rsidRPr="007E71E7">
        <w:rPr>
          <w:sz w:val="16"/>
          <w:szCs w:val="16"/>
        </w:rPr>
        <w:t xml:space="preserve">. In the war over the towers, </w:t>
      </w:r>
      <w:r w:rsidRPr="007E71E7">
        <w:rPr>
          <w:rStyle w:val="StyleUnderline"/>
        </w:rPr>
        <w:t>identity is the basis for political struggle as well as its aim.</w:t>
      </w:r>
      <w:r w:rsidRPr="007E71E7">
        <w:rPr>
          <w:sz w:val="16"/>
          <w:szCs w:val="16"/>
        </w:rPr>
        <w:t xml:space="preserve"> </w:t>
      </w:r>
      <w:r w:rsidRPr="007E71E7">
        <w:rPr>
          <w:rStyle w:val="StyleUnderline"/>
        </w:rPr>
        <w:t>Struggles fought over control of the creation and maintenance of identities is no more a threat to the existent than struggles over the making of babies.</w:t>
      </w:r>
      <w:r w:rsidRPr="007E71E7">
        <w:rPr>
          <w:sz w:val="16"/>
          <w:szCs w:val="16"/>
        </w:rPr>
        <w:t xml:space="preserve"> </w:t>
      </w:r>
      <w:r w:rsidRPr="007E71E7">
        <w:rPr>
          <w:rStyle w:val="StyleUnderline"/>
        </w:rPr>
        <w:t xml:space="preserve">The war between forms-of-life is not a war between </w:t>
      </w:r>
      <w:r w:rsidRPr="007E71E7">
        <w:rPr>
          <w:rStyle w:val="StyleUnderline"/>
        </w:rPr>
        <w:lastRenderedPageBreak/>
        <w:t>identities</w:t>
      </w:r>
      <w:r w:rsidRPr="007E71E7">
        <w:rPr>
          <w:sz w:val="16"/>
          <w:szCs w:val="16"/>
        </w:rPr>
        <w:t xml:space="preserve">, though it may often manifest as if it were. </w:t>
      </w:r>
      <w:r w:rsidRPr="007E71E7">
        <w:rPr>
          <w:rStyle w:val="StyleUnderline"/>
        </w:rPr>
        <w:t>In this war the negative party is that of the queer</w:t>
      </w:r>
      <w:r w:rsidRPr="007E71E7">
        <w:rPr>
          <w:sz w:val="16"/>
          <w:szCs w:val="16"/>
        </w:rPr>
        <w:t>, the abnormal. Queer constitutes the negative force that is centrally involved in the proliferation of identity through its struggle to assert itself positively outside of the realm of the normal (</w:t>
      </w:r>
      <w:r w:rsidRPr="007E71E7">
        <w:rPr>
          <w:rStyle w:val="StyleUnderline"/>
        </w:rPr>
        <w:t>each positive queer act yields yet another position within normalcy), yet only for the queer does the overcoming of its limits in struggle threaten to demolish all the towers</w:t>
      </w:r>
      <w:r w:rsidRPr="007E71E7">
        <w:rPr>
          <w:sz w:val="16"/>
          <w:szCs w:val="16"/>
        </w:rPr>
        <w:t xml:space="preserve">. This is because </w:t>
      </w:r>
      <w:r w:rsidRPr="007E71E7">
        <w:rPr>
          <w:rStyle w:val="StyleUnderline"/>
        </w:rPr>
        <w:t>queer is positioned</w:t>
      </w:r>
      <w:r w:rsidRPr="007E71E7">
        <w:rPr>
          <w:sz w:val="16"/>
          <w:szCs w:val="16"/>
        </w:rPr>
        <w:t xml:space="preserve"> </w:t>
      </w:r>
      <w:r w:rsidRPr="007E71E7">
        <w:rPr>
          <w:rStyle w:val="StyleUnderline"/>
        </w:rPr>
        <w:t>to destroy the mechanism of reproduction that it inhabits and asserts—the mechanism of difference, of abormality, of queerness</w:t>
      </w:r>
      <w:r w:rsidRPr="007E71E7">
        <w:rPr>
          <w:sz w:val="16"/>
          <w:szCs w:val="16"/>
        </w:rPr>
        <w:t xml:space="preserve">. Let us be clear: </w:t>
      </w:r>
      <w:r w:rsidRPr="007E71E7">
        <w:rPr>
          <w:rStyle w:val="StyleUnderline"/>
        </w:rPr>
        <w:t>the queer revolt is yet the avant-garde of capitalism, and that is because it is the positive queer revolt and not yet the purely negative one</w:t>
      </w:r>
      <w:r w:rsidRPr="007E71E7">
        <w:rPr>
          <w:sz w:val="16"/>
          <w:szCs w:val="16"/>
        </w:rPr>
        <w:t xml:space="preserve">. </w:t>
      </w:r>
      <w:r w:rsidRPr="007E71E7">
        <w:rPr>
          <w:rStyle w:val="StyleUnderline"/>
        </w:rPr>
        <w:t>The latter does</w:t>
      </w:r>
      <w:r w:rsidRPr="007E71E7">
        <w:rPr>
          <w:sz w:val="16"/>
          <w:szCs w:val="16"/>
        </w:rPr>
        <w:t xml:space="preserve"> not </w:t>
      </w:r>
      <w:r w:rsidRPr="007E71E7">
        <w:rPr>
          <w:rStyle w:val="StyleUnderline"/>
        </w:rPr>
        <w:t>distinguish itself</w:t>
      </w:r>
      <w:r w:rsidRPr="007E71E7">
        <w:rPr>
          <w:sz w:val="16"/>
          <w:szCs w:val="16"/>
        </w:rPr>
        <w:t xml:space="preserve"> from the former by its violence and destruction alone– an assault on existing identities is inherent in the production of new ones—but </w:t>
      </w:r>
      <w:r w:rsidRPr="007E71E7">
        <w:rPr>
          <w:rStyle w:val="StyleUnderline"/>
        </w:rPr>
        <w:t>by its gestures of abortion and its rendering of impotence.</w:t>
      </w:r>
      <w:r w:rsidRPr="007E71E7">
        <w:rPr>
          <w:sz w:val="16"/>
          <w:szCs w:val="16"/>
        </w:rPr>
        <w:t xml:space="preserve"> The fact that we are writing these notes is evidence enough that the purely negative tendency has yet to reveal itself sufficiently to destroy the world as we know it. </w:t>
      </w:r>
      <w:bookmarkStart w:id="52" w:name="_Toc6884"/>
      <w:r w:rsidRPr="007E71E7">
        <w:rPr>
          <w:sz w:val="16"/>
          <w:szCs w:val="16"/>
        </w:rPr>
        <w:t>nihilism</w:t>
      </w:r>
      <w:bookmarkEnd w:id="52"/>
      <w:r w:rsidRPr="007E71E7">
        <w:rPr>
          <w:sz w:val="16"/>
          <w:szCs w:val="16"/>
        </w:rPr>
        <w:t xml:space="preserve"> Aneantir le neant. </w:t>
      </w:r>
      <w:r w:rsidRPr="007E71E7">
        <w:rPr>
          <w:rStyle w:val="StyleUnderline"/>
        </w:rPr>
        <w:t>Annihilate the void.</w:t>
      </w:r>
      <w:r w:rsidRPr="007E71E7">
        <w:rPr>
          <w:sz w:val="16"/>
          <w:szCs w:val="16"/>
        </w:rPr>
        <w:t xml:space="preserve"> Up to now, every critique of the social order has been more or less successful while every proposal to negate it has only accomplished a strengthening or reconfiguration of it. The existent is readily described by the discourse it contains, but </w:t>
      </w:r>
      <w:r w:rsidRPr="007E71E7">
        <w:rPr>
          <w:rStyle w:val="StyleUnderline"/>
        </w:rPr>
        <w:t>the purely negative force is truly unspeakable</w:t>
      </w:r>
      <w:r w:rsidRPr="007E71E7">
        <w:rPr>
          <w:sz w:val="16"/>
          <w:szCs w:val="16"/>
        </w:rPr>
        <w:t xml:space="preserve">. There is no reason to believe that the discursive elaboration of the purely negative project is at all possible. Nevertheless… The common essence of monist, binary, and pluralist ontology is the elevation of the subject to a (singular or multiple) substance—the failure to grasp the nothingness that defines subjectivity. The question of ‘why am I?’ contains its own answer. Without a subject to pose the question, the question could not be posed. No reproductive apparatus is necessary to create or explain subjectivity. The origin and definition of subjectivity is the abyss; all else consists of substance that is constructed around the void and mistaken as the self. When we say that the self consists of a nothingness, this is the same as the assertion that there is no self. </w:t>
      </w:r>
      <w:r w:rsidRPr="007E71E7">
        <w:rPr>
          <w:rStyle w:val="StyleUnderline"/>
        </w:rPr>
        <w:t>The avant-garde of capitalism has been misconstrued as its enemy</w:t>
      </w:r>
      <w:r w:rsidRPr="007E71E7">
        <w:rPr>
          <w:sz w:val="16"/>
          <w:szCs w:val="16"/>
        </w:rPr>
        <w:t>. Granted that the destruction of reproduction is the project of queer negation, what has come to be known as ‘</w:t>
      </w:r>
      <w:r w:rsidRPr="007E71E7">
        <w:rPr>
          <w:rStyle w:val="StyleUnderline"/>
        </w:rPr>
        <w:t>radical queerness’ is a largely positive, rather than purely negative, project.</w:t>
      </w:r>
      <w:r w:rsidRPr="007E71E7">
        <w:rPr>
          <w:sz w:val="16"/>
          <w:szCs w:val="16"/>
        </w:rPr>
        <w:t xml:space="preserve"> In opposition to the world of binary gender, procreationism, the family, politics, modernism, structuralism, dialectics, &amp;c., </w:t>
      </w:r>
      <w:r w:rsidRPr="007E71E7">
        <w:rPr>
          <w:rStyle w:val="StyleUnderline"/>
        </w:rPr>
        <w:t>the ‘queer revolt’ posits pluralist gender, re-creationism, the identity group</w:t>
      </w:r>
      <w:r w:rsidRPr="007E71E7">
        <w:rPr>
          <w:sz w:val="16"/>
          <w:szCs w:val="16"/>
        </w:rPr>
        <w:t xml:space="preserve">, identification, postmodernism, post-structuralism, multiplicitous struggle, &amp;c. </w:t>
      </w:r>
      <w:r w:rsidRPr="007E71E7">
        <w:rPr>
          <w:rStyle w:val="StyleUnderline"/>
        </w:rPr>
        <w:t>The latter constitute the reproductive apparatuses of the pluralist existent.</w:t>
      </w:r>
      <w:r w:rsidRPr="007E71E7">
        <w:rPr>
          <w:sz w:val="16"/>
          <w:szCs w:val="16"/>
        </w:rPr>
        <w:t xml:space="preserve"> In a crucial point of emergence long ago, woman established herself as existent rather than plunge the monist world of Man into the void from which she came. In another, the proletariat struggled to secure its autonomous liberation from the bourgeoisie rather than destroy the bourgeoisie and itself entirely. On the stage set by the present order, the queer force is making itself busy with the proliferation of identities rather than the utter negation of them. In the re-creationist order, life is experienced as void and death as the only escape. Such is not far from the truth. For those singularities which are born or incorporated into the reproductive order of identification—which now includes even woman, the proletariat, the queer, the hipster, the anarchist and all the rest—</w:t>
      </w:r>
      <w:r w:rsidRPr="007E71E7">
        <w:rPr>
          <w:rStyle w:val="StyleUnderline"/>
        </w:rPr>
        <w:t>the void is no longer</w:t>
      </w:r>
      <w:r w:rsidRPr="007E71E7">
        <w:rPr>
          <w:sz w:val="16"/>
          <w:szCs w:val="16"/>
        </w:rPr>
        <w:t xml:space="preserve"> experienced as </w:t>
      </w:r>
      <w:r w:rsidRPr="007E71E7">
        <w:rPr>
          <w:rStyle w:val="StyleUnderline"/>
        </w:rPr>
        <w:t>something outside</w:t>
      </w:r>
      <w:r w:rsidRPr="007E71E7">
        <w:rPr>
          <w:sz w:val="16"/>
          <w:szCs w:val="16"/>
        </w:rPr>
        <w:t xml:space="preserve"> the castle, </w:t>
      </w:r>
      <w:r w:rsidRPr="007E71E7">
        <w:rPr>
          <w:rStyle w:val="StyleUnderline"/>
        </w:rPr>
        <w:t>but as dwelling within.</w:t>
      </w:r>
      <w:r w:rsidRPr="007E71E7">
        <w:rPr>
          <w:sz w:val="16"/>
          <w:szCs w:val="16"/>
        </w:rPr>
        <w:t xml:space="preserve"> Like the negative project of the proletariat, </w:t>
      </w:r>
      <w:r w:rsidRPr="007E71E7">
        <w:rPr>
          <w:rStyle w:val="StyleUnderline"/>
        </w:rPr>
        <w:t>the negative queer project entails the negation of the existent, of the existent’s reproductive apparatuses, and of itself.</w:t>
      </w:r>
      <w:r w:rsidRPr="007E71E7">
        <w:rPr>
          <w:sz w:val="16"/>
          <w:szCs w:val="16"/>
        </w:rPr>
        <w:t xml:space="preserve"> What’s more, the latter’s self-abolition must take place not only as death, but also the murder of a certain kind of death. This is because </w:t>
      </w:r>
      <w:r w:rsidRPr="007E71E7">
        <w:rPr>
          <w:rStyle w:val="StyleUnderline"/>
        </w:rPr>
        <w:t>even</w:t>
      </w:r>
      <w:r w:rsidRPr="007E71E7">
        <w:rPr>
          <w:sz w:val="16"/>
          <w:szCs w:val="16"/>
        </w:rPr>
        <w:t xml:space="preserve"> suicide, or </w:t>
      </w:r>
      <w:r w:rsidRPr="007E71E7">
        <w:rPr>
          <w:rStyle w:val="StyleUnderline"/>
        </w:rPr>
        <w:t>self-abolition, has been subsumed under the process of re-creationism.</w:t>
      </w:r>
      <w:r w:rsidRPr="007E71E7">
        <w:rPr>
          <w:sz w:val="16"/>
          <w:szCs w:val="16"/>
        </w:rPr>
        <w:t xml:space="preserve"> Death is necessary in the process of self-creation because in the act of becoming, one kills the old version of himself. In order to destroy the reproductive process of re-creation, the queer must destroy the latter’s false version of suicide. </w:t>
      </w:r>
      <w:r w:rsidRPr="007E71E7">
        <w:rPr>
          <w:rStyle w:val="StyleUnderline"/>
        </w:rPr>
        <w:t>The queer death-drive is an urge for pure suicide, which is also pure murder</w:t>
      </w:r>
      <w:r w:rsidRPr="007E71E7">
        <w:rPr>
          <w:sz w:val="16"/>
          <w:szCs w:val="16"/>
        </w:rPr>
        <w:t xml:space="preserve">. It is no coincidence that those who theorise on themes of pluralist gender identity, postmodernism, intersectionality, and encourage the reader/subject to not kill himself and instead to kill a part of himself in order to reinvent himself anew. Man’s fall from grace and the collapse of the Twin Towers pale in comparison to the purely negative project of today, so awful are its manifestations. These are yet unspeakable, but if we could </w:t>
      </w:r>
      <w:r w:rsidRPr="007E71E7">
        <w:rPr>
          <w:rStyle w:val="StyleUnderline"/>
        </w:rPr>
        <w:t>imagine the entire world rendered as an aborted fetus, the plunging of the universe into an abyss</w:t>
      </w:r>
      <w:r w:rsidRPr="007E71E7">
        <w:rPr>
          <w:sz w:val="16"/>
          <w:szCs w:val="16"/>
        </w:rPr>
        <w:t xml:space="preserve"> that opened in the space-time continuum, or </w:t>
      </w:r>
      <w:r w:rsidRPr="007E71E7">
        <w:rPr>
          <w:rStyle w:val="StyleUnderline"/>
        </w:rPr>
        <w:t>the people of the world digging corpses out of their graves and fucking them endlessly</w:t>
      </w:r>
      <w:r w:rsidRPr="007E71E7">
        <w:rPr>
          <w:sz w:val="16"/>
          <w:szCs w:val="16"/>
        </w:rPr>
        <w:t xml:space="preserve">, </w:t>
      </w:r>
      <w:r w:rsidRPr="007E71E7">
        <w:rPr>
          <w:rStyle w:val="StyleUnderline"/>
        </w:rPr>
        <w:t>we would catch a glimpse of the death it seeks to unleash.</w:t>
      </w:r>
      <w:r w:rsidRPr="007E71E7">
        <w:rPr>
          <w:sz w:val="16"/>
          <w:szCs w:val="16"/>
        </w:rPr>
        <w:t xml:space="preserve"> To those who love this world, human strike will appear as no thing of beauty, but to those who hate it there is nothing as beautiful. Pure suicide is not the suicide of the individual motivated by hopelessness, though it is antithetical to hope. </w:t>
      </w:r>
      <w:r w:rsidRPr="007E71E7">
        <w:rPr>
          <w:rStyle w:val="StyleUnderline"/>
        </w:rPr>
        <w:t>It is not the suicide that comes from a moment of despair, but from an entire world of despair. It is</w:t>
      </w:r>
      <w:r w:rsidRPr="007E71E7">
        <w:rPr>
          <w:sz w:val="16"/>
          <w:szCs w:val="16"/>
        </w:rPr>
        <w:t xml:space="preserve"> not decided in the turn of an instant, but </w:t>
      </w:r>
      <w:r w:rsidRPr="007E71E7">
        <w:rPr>
          <w:rStyle w:val="StyleUnderline"/>
        </w:rPr>
        <w:t>carefully considered over time</w:t>
      </w:r>
      <w:r w:rsidRPr="007E71E7">
        <w:rPr>
          <w:sz w:val="16"/>
          <w:szCs w:val="16"/>
        </w:rPr>
        <w:t xml:space="preserve">. For before it destroys itself, the purely negative singularity strives to destroy this world, render impotent its apparatuses of reproduction, and bring to an end its sense of the Future. </w:t>
      </w:r>
      <w:r w:rsidRPr="007E71E7">
        <w:rPr>
          <w:rFonts w:eastAsia="Times New Roman"/>
          <w:sz w:val="16"/>
          <w:szCs w:val="16"/>
        </w:rPr>
        <w:t xml:space="preserve">If </w:t>
      </w:r>
      <w:r w:rsidRPr="007E71E7">
        <w:rPr>
          <w:rStyle w:val="StyleUnderline"/>
        </w:rPr>
        <w:t>the Tower our mother our body our sex burned down tonight</w:t>
      </w:r>
      <w:r w:rsidRPr="007E71E7">
        <w:rPr>
          <w:rFonts w:eastAsia="Times New Roman"/>
          <w:sz w:val="16"/>
          <w:szCs w:val="16"/>
        </w:rPr>
        <w:t xml:space="preserve">—the hypothesis cannot be rejected, the whole castle has already burned down except for the Tower, the Tower’s turn will come, since what else remains to burn? How what’s more to explain than that such a Tower, such a perfect gem of human grandeur not be condemned and executed in these days of perverse criminality? For sure it’s a target, plans are afoot… She is there, round, delicious, appetizing, eternal, pregnant with genius and with books, and she is not there. </w:t>
      </w:r>
      <w:r w:rsidRPr="007E71E7">
        <w:rPr>
          <w:rStyle w:val="StyleUnderline"/>
        </w:rPr>
        <w:t xml:space="preserve">One gulp of the plane. We are already killed. </w:t>
      </w:r>
      <w:r w:rsidRPr="007E71E7">
        <w:rPr>
          <w:rStyle w:val="StyleUnderline"/>
        </w:rPr>
        <w:lastRenderedPageBreak/>
        <w:t>Read all about it in tomorrow’s paper— if the Tower has burned, we are already dead and tomorrow we shall die of it. If the Tower has not yet burned, it will burn in a day or two.</w:t>
      </w:r>
      <w:r w:rsidRPr="007E71E7">
        <w:rPr>
          <w:sz w:val="16"/>
          <w:szCs w:val="16"/>
        </w:rPr>
        <w:t xml:space="preserve"> </w:t>
      </w:r>
    </w:p>
    <w:p w:rsidR="005A160F" w:rsidRPr="001B274F" w:rsidRDefault="005A160F" w:rsidP="005A160F"/>
    <w:p w:rsidR="001D300A" w:rsidRDefault="001D300A" w:rsidP="00DE5E47">
      <w:pPr>
        <w:pStyle w:val="Heading3"/>
      </w:pPr>
      <w:bookmarkStart w:id="53" w:name="_Toc489138944"/>
      <w:r>
        <w:lastRenderedPageBreak/>
        <w:t>Link: Occupy politics</w:t>
      </w:r>
      <w:bookmarkEnd w:id="53"/>
    </w:p>
    <w:p w:rsidR="001D300A" w:rsidRPr="00DD7BD6" w:rsidRDefault="001D300A" w:rsidP="001D300A">
      <w:pPr>
        <w:pStyle w:val="Heading4"/>
        <w:rPr>
          <w:rStyle w:val="Style13ptBold"/>
          <w:b/>
        </w:rPr>
      </w:pPr>
      <w:r>
        <w:rPr>
          <w:rStyle w:val="Style13ptBold"/>
          <w:b/>
        </w:rPr>
        <w:t>The aff’s fragmentary politics recoheres the human community on multiple scales—their interpretive project is a colonization of all imagination by a humanist political project.</w:t>
      </w:r>
    </w:p>
    <w:p w:rsidR="001D300A" w:rsidRPr="00DD7BD6" w:rsidRDefault="001D300A" w:rsidP="001D300A">
      <w:pPr>
        <w:rPr>
          <w:rStyle w:val="Style13ptBold"/>
          <w:b w:val="0"/>
          <w:i/>
        </w:rPr>
      </w:pPr>
      <w:r>
        <w:rPr>
          <w:rStyle w:val="Style13ptBold"/>
        </w:rPr>
        <w:t xml:space="preserve">Edelman 13 </w:t>
      </w:r>
      <w:r w:rsidRPr="00DD7BD6">
        <w:rPr>
          <w:rStyle w:val="Style13ptBold"/>
          <w:b w:val="0"/>
          <w:sz w:val="16"/>
          <w:szCs w:val="16"/>
        </w:rPr>
        <w:t xml:space="preserve">[Lee. professor of English at Tufts University. “Occupy Wall Street: “Bartleby” Against the Humanities.” </w:t>
      </w:r>
      <w:r w:rsidRPr="00DD7BD6">
        <w:rPr>
          <w:rStyle w:val="Style13ptBold"/>
          <w:b w:val="0"/>
          <w:i/>
          <w:sz w:val="16"/>
          <w:szCs w:val="16"/>
        </w:rPr>
        <w:t>History of the Present</w:t>
      </w:r>
      <w:r w:rsidRPr="00DD7BD6">
        <w:rPr>
          <w:rStyle w:val="Style13ptBold"/>
          <w:b w:val="0"/>
          <w:sz w:val="16"/>
          <w:szCs w:val="16"/>
        </w:rPr>
        <w:t>, Vol. 3, No. 1 (Spring 2013), pp. 99-118. SH]</w:t>
      </w:r>
    </w:p>
    <w:p w:rsidR="001D300A" w:rsidRDefault="001D300A" w:rsidP="001D300A">
      <w:pPr>
        <w:rPr>
          <w:rStyle w:val="StyleUnderline"/>
        </w:rPr>
      </w:pPr>
      <w:r w:rsidRPr="00D9384F">
        <w:rPr>
          <w:sz w:val="16"/>
        </w:rPr>
        <w:t xml:space="preserve">And that, for Occupy Wall Street, is the end of the story in more ways than one. In an article published a week and a half after the public reading of “Bartleby,” Lauren Klein quotes H. Bruce Franklin, a prominent Melville scholar, as follows: “we can never know who or what Bartleby is, but . . . </w:t>
      </w:r>
      <w:r w:rsidRPr="00B22272">
        <w:rPr>
          <w:rStyle w:val="StyleUnderline"/>
        </w:rPr>
        <w:t>we are continually asked to guess who or what he might be.”</w:t>
      </w:r>
      <w:r w:rsidRPr="00D9384F">
        <w:rPr>
          <w:sz w:val="16"/>
        </w:rPr>
        <w:t xml:space="preserve">13 Klein tells us that this is the “function of the story” and the “obligation of its readers” and aligns this obligation </w:t>
      </w:r>
      <w:r w:rsidRPr="00B22272">
        <w:rPr>
          <w:rStyle w:val="StyleUnderline"/>
        </w:rPr>
        <w:t>with the politics of Occupy Wall Street</w:t>
      </w:r>
      <w:r w:rsidRPr="00D9384F">
        <w:rPr>
          <w:sz w:val="16"/>
        </w:rPr>
        <w:t xml:space="preserve">: “to extend this from the literary to the political realm, </w:t>
      </w:r>
      <w:r w:rsidRPr="00B22272">
        <w:rPr>
          <w:rStyle w:val="StyleUnderline"/>
        </w:rPr>
        <w:t>when presented with a person’s resistance—passive or otherwise—it is the obligation of observers—indeed of all in a democratic society—to think about the possibilities of what that person might stand for, even if we cannot pinpoint a single issue, meaning, or demand</w:t>
      </w:r>
      <w:r w:rsidRPr="00D9384F">
        <w:rPr>
          <w:sz w:val="16"/>
        </w:rPr>
        <w:t xml:space="preserve">.”14 </w:t>
      </w:r>
      <w:r w:rsidRPr="00B22272">
        <w:rPr>
          <w:rStyle w:val="StyleUnderline"/>
        </w:rPr>
        <w:t>Could anything speak more clearly to our sense of the purpose and the value of the humanities</w:t>
      </w:r>
      <w:r w:rsidRPr="00D9384F">
        <w:rPr>
          <w:sz w:val="16"/>
        </w:rPr>
        <w:t xml:space="preserve">—to their value, that is, </w:t>
      </w:r>
      <w:r w:rsidRPr="00B22272">
        <w:rPr>
          <w:rStyle w:val="Emphasis"/>
        </w:rPr>
        <w:t>in helping us know ourselves and each other more fully by insisting that even what resists comprehension can be colonized by imagination</w:t>
      </w:r>
      <w:r w:rsidRPr="00D9384F">
        <w:rPr>
          <w:sz w:val="16"/>
        </w:rPr>
        <w:t xml:space="preserve">? </w:t>
      </w:r>
      <w:r w:rsidRPr="00B22272">
        <w:rPr>
          <w:rStyle w:val="StyleUnderline"/>
        </w:rPr>
        <w:t>Consider</w:t>
      </w:r>
      <w:r w:rsidRPr="00D9384F">
        <w:rPr>
          <w:sz w:val="16"/>
        </w:rPr>
        <w:t>, for example</w:t>
      </w:r>
      <w:r w:rsidRPr="00B22272">
        <w:rPr>
          <w:rStyle w:val="StyleUnderline"/>
        </w:rPr>
        <w:t>, these words from</w:t>
      </w:r>
      <w:r w:rsidRPr="00D9384F">
        <w:rPr>
          <w:sz w:val="16"/>
        </w:rPr>
        <w:t xml:space="preserve"> the 1980 report produced by </w:t>
      </w:r>
      <w:r w:rsidRPr="00B22272">
        <w:rPr>
          <w:rStyle w:val="StyleUnderline"/>
        </w:rPr>
        <w:t>the Rockefeller Foundation’s Commission on the Humanities: “by awakening a sense of what it might be like to be someone else or to live in another time or culture, [the humanities] tell us about ourselves, stretch our imagination, and enrich our experience</w:t>
      </w:r>
      <w:r w:rsidRPr="00B22272">
        <w:rPr>
          <w:rStyle w:val="Emphasis"/>
        </w:rPr>
        <w:t>. They increase our distinctively human potential</w:t>
      </w:r>
      <w:r w:rsidRPr="00D9384F">
        <w:rPr>
          <w:sz w:val="16"/>
        </w:rPr>
        <w:t xml:space="preserve">.”15 Yet </w:t>
      </w:r>
      <w:r w:rsidRPr="00B22272">
        <w:rPr>
          <w:rStyle w:val="StyleUnderline"/>
        </w:rPr>
        <w:t>this value</w:t>
      </w:r>
      <w:r w:rsidRPr="00D9384F">
        <w:rPr>
          <w:sz w:val="16"/>
        </w:rPr>
        <w:t xml:space="preserve"> emanates in Melville’s tale from the well-to-do Wall Street lawyer and </w:t>
      </w:r>
      <w:r w:rsidRPr="00B22272">
        <w:rPr>
          <w:rStyle w:val="StyleUnderline"/>
        </w:rPr>
        <w:t>gets reinforced by the corporate managers of the United States today who shape the institutions, including the academy and the various foundations</w:t>
      </w:r>
      <w:r w:rsidRPr="00D9384F">
        <w:rPr>
          <w:sz w:val="16"/>
        </w:rPr>
        <w:t xml:space="preserve"> (Rockefeller, Carnegie, Mellon, Ford), </w:t>
      </w:r>
      <w:r w:rsidRPr="00B22272">
        <w:rPr>
          <w:rStyle w:val="StyleUnderline"/>
        </w:rPr>
        <w:t>on which the humanities depend. For the task of the humanities</w:t>
      </w:r>
      <w:r w:rsidRPr="00D9384F">
        <w:rPr>
          <w:sz w:val="16"/>
        </w:rPr>
        <w:t xml:space="preserve">, in such a light, </w:t>
      </w:r>
      <w:r w:rsidRPr="00B22272">
        <w:rPr>
          <w:rStyle w:val="StyleUnderline"/>
        </w:rPr>
        <w:t xml:space="preserve">remains </w:t>
      </w:r>
      <w:r w:rsidRPr="00B22272">
        <w:rPr>
          <w:rStyle w:val="Emphasis"/>
        </w:rPr>
        <w:t>to affirm the human</w:t>
      </w:r>
      <w:r w:rsidRPr="00B22272">
        <w:rPr>
          <w:rStyle w:val="StyleUnderline"/>
        </w:rPr>
        <w:t xml:space="preserve"> and so to reproduce the </w:t>
      </w:r>
      <w:r w:rsidRPr="00B22272">
        <w:rPr>
          <w:rStyle w:val="Emphasis"/>
        </w:rPr>
        <w:t>ideological fantasy</w:t>
      </w:r>
      <w:r w:rsidRPr="00B22272">
        <w:rPr>
          <w:rStyle w:val="StyleUnderline"/>
        </w:rPr>
        <w:t xml:space="preserve"> that the human as concept sustains. The work of that concept</w:t>
      </w:r>
      <w:r w:rsidRPr="00D9384F">
        <w:rPr>
          <w:sz w:val="16"/>
        </w:rPr>
        <w:t xml:space="preserve">, in no small part, </w:t>
      </w:r>
      <w:r w:rsidRPr="00B22272">
        <w:rPr>
          <w:rStyle w:val="StyleUnderline"/>
        </w:rPr>
        <w:t xml:space="preserve">is to produce a </w:t>
      </w:r>
      <w:r w:rsidRPr="00B22272">
        <w:rPr>
          <w:rStyle w:val="Emphasis"/>
        </w:rPr>
        <w:t>fiction of community</w:t>
      </w:r>
      <w:r w:rsidRPr="00D9384F">
        <w:rPr>
          <w:rStyle w:val="StyleUnderline"/>
        </w:rPr>
        <w:t>, however large or small its scale, that rests on the constant aesthetic demonstration of the sameness at the core of the human</w:t>
      </w:r>
      <w:r w:rsidRPr="00D9384F">
        <w:rPr>
          <w:sz w:val="16"/>
        </w:rPr>
        <w:t xml:space="preserve">: the sameness </w:t>
      </w:r>
      <w:r w:rsidRPr="00D9384F">
        <w:rPr>
          <w:rStyle w:val="StyleUnderline"/>
        </w:rPr>
        <w:t>that makes us</w:t>
      </w:r>
      <w:r w:rsidRPr="00D9384F">
        <w:rPr>
          <w:sz w:val="16"/>
        </w:rPr>
        <w:t xml:space="preserve">, in one fell swoop, </w:t>
      </w:r>
      <w:r w:rsidRPr="00D9384F">
        <w:rPr>
          <w:rStyle w:val="StyleUnderline"/>
        </w:rPr>
        <w:t>comprehensible in our opacity and collectivizable in our singularity. That fantasy may be put to progressive ends by reducing our fear or anxiety about what could seem,</w:t>
      </w:r>
      <w:r w:rsidRPr="00D9384F">
        <w:rPr>
          <w:sz w:val="16"/>
        </w:rPr>
        <w:t xml:space="preserve"> at first glance, </w:t>
      </w:r>
      <w:r w:rsidRPr="00D9384F">
        <w:rPr>
          <w:rStyle w:val="StyleUnderline"/>
        </w:rPr>
        <w:t>wholly foreign, and permitting us</w:t>
      </w:r>
      <w:r w:rsidRPr="00D9384F">
        <w:rPr>
          <w:sz w:val="16"/>
        </w:rPr>
        <w:t xml:space="preserve">, instead, </w:t>
      </w:r>
      <w:r w:rsidRPr="00D9384F">
        <w:rPr>
          <w:rStyle w:val="StyleUnderline"/>
        </w:rPr>
        <w:t>to see ourselves in what presents itself as different. But it works in the other direction too by maintaining that only such sameness to ourselves could make those differences tolerable</w:t>
      </w:r>
      <w:r w:rsidRPr="00D9384F">
        <w:rPr>
          <w:sz w:val="16"/>
        </w:rPr>
        <w:t xml:space="preserve">. The progressive insistence that we’re all alike is </w:t>
      </w:r>
      <w:r w:rsidRPr="00D9384F">
        <w:rPr>
          <w:rStyle w:val="Emphasis"/>
        </w:rPr>
        <w:t>not that far from the reactionary claim that what’s valuable is what’s like us</w:t>
      </w:r>
      <w:r w:rsidRPr="00D9384F">
        <w:rPr>
          <w:sz w:val="16"/>
        </w:rPr>
        <w:t xml:space="preserve">. In both cases </w:t>
      </w:r>
      <w:r w:rsidRPr="00D9384F">
        <w:rPr>
          <w:rStyle w:val="StyleUnderline"/>
        </w:rPr>
        <w:t>whatever holds fast to its difference, resisting appropriation to sameness, resisting even sameness to itself, gets read as the radical threat of an otherness essentially inhuman. When we “think about the possibilities of what [a] person might stand for</w:t>
      </w:r>
      <w:r w:rsidRPr="00D9384F">
        <w:rPr>
          <w:sz w:val="16"/>
        </w:rPr>
        <w:t xml:space="preserve">,” to quote Klein on the political imperative of reading Bartleby’s resistance, </w:t>
      </w:r>
      <w:r w:rsidRPr="00D9384F">
        <w:rPr>
          <w:rStyle w:val="StyleUnderline"/>
        </w:rPr>
        <w:t>we may extend our capacity to know the world through sympathetic imagination,</w:t>
      </w:r>
      <w:r w:rsidRPr="00D9384F">
        <w:rPr>
          <w:sz w:val="16"/>
        </w:rPr>
        <w:t xml:space="preserve"> </w:t>
      </w:r>
      <w:r w:rsidRPr="00D9384F">
        <w:rPr>
          <w:rStyle w:val="Emphasis"/>
        </w:rPr>
        <w:t>but by making a person stand for something, by making her or him a figure for whatever we project</w:t>
      </w:r>
      <w:r w:rsidRPr="00D9384F">
        <w:rPr>
          <w:sz w:val="16"/>
        </w:rPr>
        <w:t xml:space="preserve">, </w:t>
      </w:r>
      <w:r w:rsidRPr="00D9384F">
        <w:rPr>
          <w:rStyle w:val="StyleUnderline"/>
        </w:rPr>
        <w:t>we make that person a screen on which, like the lawyer, we see no more than what we’re predisposed to imagine</w:t>
      </w:r>
      <w:r w:rsidRPr="00D9384F">
        <w:rPr>
          <w:sz w:val="16"/>
        </w:rPr>
        <w:t xml:space="preserve">. Such a person, therefore, like the corporation, is an artificial being. Or to carry this one step further, </w:t>
      </w:r>
      <w:r w:rsidRPr="00D9384F">
        <w:rPr>
          <w:rStyle w:val="StyleUnderline"/>
        </w:rPr>
        <w:t>while the Occupy movement may resist the equation of artificial beings with natural persons, “Bartleby” reminds us that natural persons are artificially constructed, that both “natural” and “person” operate as ideological fictions</w:t>
      </w:r>
      <w:r w:rsidRPr="00D9384F">
        <w:rPr>
          <w:sz w:val="16"/>
        </w:rPr>
        <w:t xml:space="preserve">. We need only remember our nation’s own history and Justice Curtis’s dissent in the Dred Scott case in which he quotes Judge Gaston on the status of the enslaved in the colonies before the Revolution: “Slaves were not in legal parlance persons, but property,” he observed.17 From what we call a humanistic perspective, we affirm that the personhood of those enslaved ought never to have been in question because </w:t>
      </w:r>
      <w:r w:rsidRPr="00D9384F">
        <w:rPr>
          <w:sz w:val="16"/>
        </w:rPr>
        <w:lastRenderedPageBreak/>
        <w:t xml:space="preserve">personhood, like the foundational claim that “all men are created equal,” ought to have been, as the Declaration of Independence puts it, “self-evident.” But whatever we call “self-evident” reflects the biases of the self; hence the personhood historically denied to the enslaved can now be extended to corporations not because truth’s selfevidence is either forgotten or denied, but rather because the ever-elastic category of personhood, like everything to which we attach the performative claim of its self-evidence, retains the literary provenance that marks it as a fiction. Even the framers of the Declaration, after all, had to “hold” their truths “self-evident,” had to assert them at the outset to render self-evident what hadn’t been before. When Justice Taney, writing the decision for the majority in Dred Scott, denied that the phrase “all men are created equal” could possibly have been intended by its authors to refer to those being kept as slaves, he made clear that whatever else it might be, that phrase was not self-evident. </w:t>
      </w:r>
      <w:r w:rsidRPr="00D9384F">
        <w:rPr>
          <w:rStyle w:val="StyleUnderline"/>
        </w:rPr>
        <w:t>The labor of creating self-evidence, of making the “natural” seem intuitively obvious and therefore unexceptionable, occupies politics and the humanities both, even when they explicitly resist it. Every deconstruction of humanism relies on a logic whose structuring principles appeal to self-evidence in the end. And the queerest politics will base its claims on natural rights that emerge from the shifting fictions of social bonds.</w:t>
      </w:r>
    </w:p>
    <w:p w:rsidR="001D300A" w:rsidRDefault="001D300A" w:rsidP="001D300A">
      <w:pPr>
        <w:rPr>
          <w:rStyle w:val="StyleUnderline"/>
        </w:rPr>
      </w:pPr>
    </w:p>
    <w:p w:rsidR="001D300A" w:rsidRDefault="001D300A" w:rsidP="001D300A">
      <w:pPr>
        <w:rPr>
          <w:rStyle w:val="StyleUnderline"/>
        </w:rPr>
      </w:pPr>
    </w:p>
    <w:p w:rsidR="001D300A" w:rsidRPr="00572969" w:rsidRDefault="001D300A" w:rsidP="001D300A">
      <w:pPr>
        <w:pStyle w:val="Heading4"/>
        <w:rPr>
          <w:rStyle w:val="Style13ptBold"/>
          <w:b/>
        </w:rPr>
      </w:pPr>
      <w:r>
        <w:rPr>
          <w:rStyle w:val="Style13ptBold"/>
          <w:b/>
        </w:rPr>
        <w:t xml:space="preserve">The aff reinvests in the same myth of human community that provides legibility to the Right—the construction of a new multitude and social fabric is enacted through the assimilation of queerness’s radical negativity. </w:t>
      </w:r>
    </w:p>
    <w:p w:rsidR="001D300A" w:rsidRPr="00DD7BD6" w:rsidRDefault="001D300A" w:rsidP="001D300A">
      <w:pPr>
        <w:rPr>
          <w:rStyle w:val="Style13ptBold"/>
          <w:b w:val="0"/>
          <w:i/>
        </w:rPr>
      </w:pPr>
      <w:r>
        <w:rPr>
          <w:rStyle w:val="Style13ptBold"/>
        </w:rPr>
        <w:t xml:space="preserve">Edelman 13 </w:t>
      </w:r>
      <w:r w:rsidRPr="00DD7BD6">
        <w:rPr>
          <w:rStyle w:val="Style13ptBold"/>
          <w:b w:val="0"/>
          <w:sz w:val="16"/>
          <w:szCs w:val="16"/>
        </w:rPr>
        <w:t xml:space="preserve">[Lee. professor of English at Tufts University. “Occupy Wall Street: “Bartleby” Against the Humanities.” </w:t>
      </w:r>
      <w:r w:rsidRPr="00DD7BD6">
        <w:rPr>
          <w:rStyle w:val="Style13ptBold"/>
          <w:b w:val="0"/>
          <w:i/>
          <w:sz w:val="16"/>
          <w:szCs w:val="16"/>
        </w:rPr>
        <w:t>History of the Present</w:t>
      </w:r>
      <w:r w:rsidRPr="00DD7BD6">
        <w:rPr>
          <w:rStyle w:val="Style13ptBold"/>
          <w:b w:val="0"/>
          <w:sz w:val="16"/>
          <w:szCs w:val="16"/>
        </w:rPr>
        <w:t>, Vol. 3, No. 1 (Spring 2013), pp. 99-118. SH]</w:t>
      </w:r>
    </w:p>
    <w:p w:rsidR="001D300A" w:rsidRPr="00572969" w:rsidRDefault="001D300A" w:rsidP="001D300A">
      <w:pPr>
        <w:rPr>
          <w:rStyle w:val="StyleUnderline"/>
        </w:rPr>
      </w:pPr>
      <w:r w:rsidRPr="00572969">
        <w:rPr>
          <w:sz w:val="16"/>
        </w:rPr>
        <w:t xml:space="preserve">This verbal contagion that saps the sovereignty of meaning in linguistic exchange defines the queerness of the word that comes to epitomize Bartleby’s queerness, a queerness the story disposes us to see in its illegible materialty as a dangerous textual preference. Perhaps that explains why at one point the lawyer describes the effects produced by Bartleby’s phrase in terms that explicitly frame it in Sodomitical terms: “For a few moments I was turned into a pillar of salt” (69). In The Gift of Death, Jacques Derrida touches briefly on Melville’s tale. After noting that the scrivener’s famous phrase “says nothing, promises nothing, neither refuses nor accepts anything,” he calls it a “singularly insignificant statement [that] reminds one of a nonlanguage.”21 </w:t>
      </w:r>
      <w:r w:rsidRPr="00B83B60">
        <w:rPr>
          <w:rStyle w:val="StyleUnderline"/>
        </w:rPr>
        <w:t xml:space="preserve">In this context the word “insignificant” denotes a resistance to signification that makes Bartleby’s phrase, from the vantage point of the social order of meaning, </w:t>
      </w:r>
      <w:r w:rsidRPr="00B83B60">
        <w:rPr>
          <w:rStyle w:val="Emphasis"/>
        </w:rPr>
        <w:t>an affront to the notion of value</w:t>
      </w:r>
      <w:r w:rsidRPr="00B83B60">
        <w:rPr>
          <w:rStyle w:val="StyleUnderline"/>
        </w:rPr>
        <w:t xml:space="preserve">. Infecting linguistic communication with this element of “nonlanguage,” it reifies the queerness of language as iterative machine and in doing so it gestures toward something else at work in language, </w:t>
      </w:r>
      <w:r w:rsidRPr="00B83B60">
        <w:rPr>
          <w:rStyle w:val="Emphasis"/>
        </w:rPr>
        <w:t>something that communal norms of meaning and value seek to foreclose</w:t>
      </w:r>
      <w:r w:rsidRPr="00B83B60">
        <w:rPr>
          <w:rStyle w:val="StyleUnderline"/>
        </w:rPr>
        <w:t>: the queerness that every regime of “what is” must construe as what is not, as the nothing, the negativity, or the preference for negation that threatens the normative order, whose name is always human community</w:t>
      </w:r>
      <w:r w:rsidRPr="00572969">
        <w:rPr>
          <w:sz w:val="16"/>
        </w:rPr>
        <w:t xml:space="preserve">. And </w:t>
      </w:r>
      <w:r w:rsidRPr="00B83B60">
        <w:rPr>
          <w:rStyle w:val="StyleUnderline"/>
        </w:rPr>
        <w:t xml:space="preserve">it’s not just the Right that </w:t>
      </w:r>
      <w:r w:rsidRPr="00B83B60">
        <w:rPr>
          <w:rStyle w:val="Emphasis"/>
        </w:rPr>
        <w:t xml:space="preserve">pits human community </w:t>
      </w:r>
      <w:r w:rsidRPr="00B83B60">
        <w:rPr>
          <w:rStyle w:val="StyleUnderline"/>
        </w:rPr>
        <w:t>against the queer threat to its future; the Left, and many who call themselves “queer,” embrace that position too. That’s how Left and Right acquire political legibility and come to share the political terrain; it’s even what makes them</w:t>
      </w:r>
      <w:r w:rsidRPr="00572969">
        <w:rPr>
          <w:sz w:val="16"/>
        </w:rPr>
        <w:t xml:space="preserve">, in this sense at least, </w:t>
      </w:r>
      <w:r w:rsidRPr="00B83B60">
        <w:rPr>
          <w:rStyle w:val="StyleUnderline"/>
        </w:rPr>
        <w:t>effectively interchangeable</w:t>
      </w:r>
      <w:r w:rsidRPr="00572969">
        <w:rPr>
          <w:sz w:val="16"/>
        </w:rPr>
        <w:t xml:space="preserve">. Though each has a different vision of the human community it aims to procure, </w:t>
      </w:r>
      <w:r w:rsidRPr="00B83B60">
        <w:rPr>
          <w:rStyle w:val="StyleUnderline"/>
        </w:rPr>
        <w:t>both aspire to realize the coherence of a social collectivity.</w:t>
      </w:r>
      <w:r w:rsidRPr="00572969">
        <w:rPr>
          <w:sz w:val="16"/>
        </w:rPr>
        <w:t xml:space="preserve"> Thus Michael Hardt and Antonio Negri, writing from the Left in Empire, the global bestseller they published in 2000, see in Bartleby what they characterize as “the absoluteness of refusal,” which they then align with the “hatred of authority” and the “refusal of voluntary servitude.” But their admiration for this queer refusal of the norm can only go so far. Such </w:t>
      </w:r>
      <w:r w:rsidRPr="00B83B60">
        <w:rPr>
          <w:rStyle w:val="StyleUnderline"/>
        </w:rPr>
        <w:t>refusal may be, as they put it, “the beginning of a liberatory politics</w:t>
      </w:r>
      <w:r w:rsidRPr="00572969">
        <w:rPr>
          <w:sz w:val="16"/>
        </w:rPr>
        <w:t xml:space="preserve">, but it is only a beginning. . . . What we need is </w:t>
      </w:r>
      <w:r w:rsidRPr="00B83B60">
        <w:rPr>
          <w:rStyle w:val="StyleUnderline"/>
        </w:rPr>
        <w:t>to create a new social body,</w:t>
      </w:r>
      <w:r w:rsidRPr="00572969">
        <w:rPr>
          <w:sz w:val="16"/>
        </w:rPr>
        <w:t xml:space="preserve"> which is a project that goes well beyond refusal. . . . Beyond the simple refusal, or as part of that refusal, we need also to construct a new mode of life and above all a new community.”22 </w:t>
      </w:r>
      <w:r w:rsidRPr="00B83B60">
        <w:rPr>
          <w:rStyle w:val="StyleUnderline"/>
        </w:rPr>
        <w:t xml:space="preserve">Here sounds the doxa whose chorus aspires to incorporate us all: </w:t>
      </w:r>
      <w:r w:rsidRPr="00572969">
        <w:rPr>
          <w:rStyle w:val="Emphasis"/>
        </w:rPr>
        <w:t xml:space="preserve">wealthy sponsors of the corporate humanities and neo-Marxist critics of global empire; the protestors of Occupy Wall Street and Wall Street’s CEOs alike. </w:t>
      </w:r>
      <w:r w:rsidRPr="00572969">
        <w:rPr>
          <w:rStyle w:val="StyleUnderline"/>
        </w:rPr>
        <w:t>Bartleby, in his utter refusal to mean for communitarian ends, can possess no value except as a proof of negativity’s insufficiency</w:t>
      </w:r>
      <w:r w:rsidRPr="00572969">
        <w:rPr>
          <w:sz w:val="16"/>
        </w:rPr>
        <w:t xml:space="preserve">. Hence the lawyer who authors Bartleby’s tale, unlike Melville who authors the lawyer’s, must conscript the copyist to the </w:t>
      </w:r>
      <w:r w:rsidRPr="00572969">
        <w:rPr>
          <w:sz w:val="16"/>
        </w:rPr>
        <w:lastRenderedPageBreak/>
        <w:t xml:space="preserve">cause of the human by making his resistance make sense. </w:t>
      </w:r>
      <w:r w:rsidRPr="00572969">
        <w:rPr>
          <w:rStyle w:val="StyleUnderline"/>
        </w:rPr>
        <w:t>His distance from community and his absence of anything “ordinarily human” must prove in the end his hypersensitivity to the pathos of the human and even his longing for a utopian “community” where “good tidings” and “hope” on their “errands of life” can neither be errant nor erring</w:t>
      </w:r>
      <w:r w:rsidRPr="00572969">
        <w:rPr>
          <w:sz w:val="16"/>
        </w:rPr>
        <w:t xml:space="preserve">. Like Hardt and Negri, the lawyer, that is, must refuse “the absoluteness of refusal,” </w:t>
      </w:r>
      <w:r w:rsidRPr="00572969">
        <w:rPr>
          <w:rStyle w:val="StyleUnderline"/>
        </w:rPr>
        <w:t>forcibly wrenching Bartleby from the queerness of preferring not to accede to normative reason and sense</w:t>
      </w:r>
      <w:r w:rsidRPr="00572969">
        <w:rPr>
          <w:sz w:val="16"/>
        </w:rPr>
        <w:t xml:space="preserve">. To appreciate the complex politics of these multiple negations of the queer as negation, and to conclude this discussion by bringing it back to the Occupy movement once more, let me place beside Hardt and Negri’s text an editorial from the politically conservative Daily Oklahoman of Oklahoma City. Published in the Sunday edition of the paper on November 6, 2011, the editorial, which bore the title “Goal Remains Fuzzy for Occupy Protestors,” appeared four days before the public reading of “Bartleby” on Wall Street. But this editorial identified Bartleby with the Occupy movement in advance, intending that identification to discredit the movement and Bartleby both. Allow me to quote at length: “I would prefer not to.” So sayeth Bartleby, the intransigent copyist in a classic Herman Melville short story. To every request to earn his pay, to move on, to do something—anything— Bartleby would reply, “I would prefer not to.” . . . “Bartleby, the Scrivener: A Story of Wall Street” is a study in petulant behavior met with inexplicable patience by Bartleby’s employer. The story of Wall Street today is one of petulance met with inexplicable patience by authorities dealing with the “Occupy This” movement that’s spread from lower Manhattan around the country. Ask the occupiers what they hope to accomplish. They’d prefer not to tell you. Perhaps they don’t really know. Who’s in charge? They’d prefer not to tell you. Everyone is in charge. Nobody is. What good does it do to hang around a park, beat drums and occasionally march to a designated site? They’d prefer not to say. It’s the doing, not the point of it, that matters. Some occupiers have done their best to incite police reaction to their doings, all the better for news footage of how The Man is cracking the heads of the innocent. . . . . . . The “Occupy This” movement’s story is still being written. The childish and sometimes violent behavior of its participants is still being met with inexplicable patience. . . . The people will express their intolerance for lawlessness at the ballot box. That’s exactly where the movement could have beaten its drums, in the way the tea party did. It preferred not to. Ah anarchy! Ah enough already! 23 </w:t>
      </w:r>
      <w:r w:rsidRPr="00572969">
        <w:rPr>
          <w:rStyle w:val="Emphasis"/>
        </w:rPr>
        <w:t>The specter of anarchy, of radical lawlessness, of acts that have no point</w:t>
      </w:r>
      <w:r w:rsidRPr="00572969">
        <w:rPr>
          <w:sz w:val="16"/>
        </w:rPr>
        <w:t>, however little connection it bears to the Occupy protests themselves</w:t>
      </w:r>
      <w:r w:rsidRPr="00572969">
        <w:rPr>
          <w:rStyle w:val="StyleUnderline"/>
        </w:rPr>
        <w:t>, is refused in defense of an implicit ideal of the integrated “social body,” the harmonious community</w:t>
      </w:r>
      <w:r w:rsidRPr="00572969">
        <w:rPr>
          <w:sz w:val="16"/>
        </w:rPr>
        <w:t xml:space="preserve"> endorsed by Hardt and Negri’s text as well. Unlike Hardt and Negri, though, the author of the editorial fully acknowledges the force of Bartleby’s queerness and draws a reasonable conclusion about where resistance to reason must lead. </w:t>
      </w:r>
      <w:r w:rsidRPr="00572969">
        <w:rPr>
          <w:rStyle w:val="StyleUnderline"/>
        </w:rPr>
        <w:t>If the Left would normalize Bartleby as a crucial step toward a “new community,” then the Right perceives, correctly, his threat to community as such. And it recognizes something else that the Left too frequently ignores as well: that the Bartlebys of the world don’t ask to be liked and the queer remains whatever a given order cannot accept. All progressivism in politics, all gradualist normalization, aspires,</w:t>
      </w:r>
      <w:r w:rsidRPr="00572969">
        <w:rPr>
          <w:sz w:val="16"/>
        </w:rPr>
        <w:t xml:space="preserve"> in the end, </w:t>
      </w:r>
      <w:r w:rsidRPr="00572969">
        <w:rPr>
          <w:rStyle w:val="StyleUnderline"/>
        </w:rPr>
        <w:t>to the very same thing that moves the radical Right</w:t>
      </w:r>
      <w:r w:rsidRPr="00572969">
        <w:rPr>
          <w:rStyle w:val="Emphasis"/>
        </w:rPr>
        <w:t>: the elimination of the queer</w:t>
      </w:r>
      <w:r w:rsidRPr="00572969">
        <w:rPr>
          <w:sz w:val="16"/>
        </w:rPr>
        <w:t xml:space="preserve">; not, however, by resorting to the violence of or outside the law, but </w:t>
      </w:r>
      <w:r w:rsidRPr="00572969">
        <w:rPr>
          <w:rStyle w:val="Emphasis"/>
        </w:rPr>
        <w:t>by constructing a community from whose total embrace no one would be excluded</w:t>
      </w:r>
      <w:r w:rsidRPr="00572969">
        <w:rPr>
          <w:rStyle w:val="StyleUnderline"/>
        </w:rPr>
        <w:t>. No one except those Bartlebys excluded through forcible inclusion, eliminated by being turned into pillars of the collectivity they resist</w:t>
      </w:r>
      <w:r w:rsidRPr="00572969">
        <w:rPr>
          <w:sz w:val="16"/>
        </w:rPr>
        <w:t xml:space="preserve">. Consider, in this context, “Occupy Bartleby,” a post that appeared on a left-leaning blog in response to the Oklahoman’s editorial. With the intention of defending the Occupy movement and Bartleby at once, the author of the blog post offers a rival interpretation of the tale: “The point the editorial seems to make is that the protestors are as strange as Bartleby, but that misses the main message of the story. It’s a simplistic reading. The real point is that Bartleby’s protest, like the Occupier’s protest, actually represents a sane and human reaction to an indifferent world dictated by the greed of Wall Street.”24 For all the difference in their political viewpoints and their approaches to Melville’s story, the editorial and the blog post pray side-byside to the gods of the “sane” and the “human.” The left-wing blogger denies Bartleby’s strangeness to enshrine him at the heart of community, while the right-wing author, alert to that strangeness, rejects him for the community’s good. </w:t>
      </w:r>
      <w:r w:rsidRPr="00572969">
        <w:rPr>
          <w:rStyle w:val="Emphasis"/>
        </w:rPr>
        <w:t>Both would eliminate the queerness that doesn’t worship the gods of the polis</w:t>
      </w:r>
      <w:r w:rsidRPr="00572969">
        <w:rPr>
          <w:sz w:val="16"/>
        </w:rPr>
        <w:t xml:space="preserve">, recalling the indictment of Socrates that led to his date with a hemlock cocktail for “refusing to recognize the gods recognized by the state” and “corrupting the youth.”25 </w:t>
      </w:r>
      <w:r w:rsidRPr="00572969">
        <w:rPr>
          <w:rStyle w:val="StyleUnderline"/>
        </w:rPr>
        <w:t>The corporate humanities, by contrast, serve the gods of the state quite well, transforming Socrates and Bartleby into poster boys for democracy, social responsibility, the triumph of the human spirit, until the humanities classroom can start to seem like a Unitarian church</w:t>
      </w:r>
      <w:r w:rsidRPr="00572969">
        <w:rPr>
          <w:sz w:val="16"/>
        </w:rPr>
        <w:t xml:space="preserve">. But </w:t>
      </w:r>
      <w:r w:rsidRPr="00572969">
        <w:rPr>
          <w:rStyle w:val="Emphasis"/>
        </w:rPr>
        <w:t>another relation to the humanities persists by virtue of preferring not to</w:t>
      </w:r>
      <w:r w:rsidRPr="00572969">
        <w:rPr>
          <w:rStyle w:val="StyleUnderline"/>
        </w:rPr>
        <w:t xml:space="preserve">. Operating not for the good of the state or the cohesion of any community, this queerness dwells on the fractures that make the social a site of dissension and attends to the discontinuities that turn the aesthetic against itself. </w:t>
      </w:r>
      <w:r w:rsidRPr="00572969">
        <w:rPr>
          <w:sz w:val="16"/>
        </w:rPr>
        <w:t>Rather than affirming the putative “richness” and plurality of meaning</w:t>
      </w:r>
      <w:r w:rsidRPr="00572969">
        <w:rPr>
          <w:rStyle w:val="StyleUnderline"/>
        </w:rPr>
        <w:t>, it empties meaning of authority without, in the process, denying its power. Power without authority, in fact, is its object of analysis, even when it focuses on its own analytic force</w:t>
      </w:r>
      <w:r w:rsidRPr="00572969">
        <w:rPr>
          <w:sz w:val="16"/>
        </w:rPr>
        <w:t xml:space="preserve">. This queerness, </w:t>
      </w:r>
      <w:r w:rsidRPr="00572969">
        <w:rPr>
          <w:rStyle w:val="StyleUnderline"/>
        </w:rPr>
        <w:t>this materiality that never resolves into relation, bespeaks the nonhumanity inseparable from the assertion of the human and the “nonlanguage,” the negativity, that linguistic sense drowns out</w:t>
      </w:r>
      <w:r w:rsidRPr="00572969">
        <w:rPr>
          <w:sz w:val="16"/>
        </w:rPr>
        <w:t xml:space="preserve">. If it teaches, </w:t>
      </w:r>
      <w:r w:rsidRPr="00572969">
        <w:rPr>
          <w:rStyle w:val="StyleUnderline"/>
        </w:rPr>
        <w:t>it teaches us nothing—</w:t>
      </w:r>
      <w:r w:rsidRPr="00572969">
        <w:rPr>
          <w:rStyle w:val="StyleUnderline"/>
        </w:rPr>
        <w:lastRenderedPageBreak/>
        <w:t>or, more precisely, the place of that nothing, that non, in the politics of the human and, therefore, the place of the humanities in the performance of every politics</w:t>
      </w:r>
      <w:r w:rsidRPr="00572969">
        <w:rPr>
          <w:sz w:val="16"/>
        </w:rPr>
        <w:t xml:space="preserve">. Like the poet, in Sir Philip Sidney’s words, this humanities “nothing affirmeth,” but </w:t>
      </w:r>
      <w:r w:rsidRPr="00572969">
        <w:rPr>
          <w:rStyle w:val="StyleUnderline"/>
        </w:rPr>
        <w:t>its queerness inheres in the force with which it stubbornly affirms this nothing, insisting</w:t>
      </w:r>
      <w:r w:rsidRPr="00572969">
        <w:rPr>
          <w:sz w:val="16"/>
        </w:rPr>
        <w:t xml:space="preserve">, thereby, with Bartleby, </w:t>
      </w:r>
      <w:r w:rsidRPr="00572969">
        <w:rPr>
          <w:rStyle w:val="StyleUnderline"/>
        </w:rPr>
        <w:t>on its preference for the negative,</w:t>
      </w:r>
      <w:r w:rsidRPr="00572969">
        <w:rPr>
          <w:sz w:val="16"/>
        </w:rPr>
        <w:t xml:space="preserve"> which is also to say, </w:t>
      </w:r>
      <w:r w:rsidRPr="00572969">
        <w:rPr>
          <w:rStyle w:val="StyleUnderline"/>
        </w:rPr>
        <w:t>its preference for what the governing orders, the circuits of opinion, the frameworks of collective reality make invisible, impossible, and, to that extent, unthinkable.</w:t>
      </w:r>
    </w:p>
    <w:p w:rsidR="001D300A" w:rsidRPr="001D300A" w:rsidRDefault="001D300A" w:rsidP="001D300A"/>
    <w:p w:rsidR="00DE5E47" w:rsidRPr="001A5CA4" w:rsidRDefault="00DE5E47" w:rsidP="00DE5E47">
      <w:pPr>
        <w:pStyle w:val="Heading3"/>
      </w:pPr>
      <w:bookmarkStart w:id="54" w:name="_Toc489138945"/>
      <w:r>
        <w:lastRenderedPageBreak/>
        <w:t>Link: Studio</w:t>
      </w:r>
      <w:r w:rsidR="005A160F">
        <w:t>u</w:t>
      </w:r>
      <w:r>
        <w:t>s Play/Bartebly’s refusal</w:t>
      </w:r>
      <w:bookmarkEnd w:id="54"/>
    </w:p>
    <w:p w:rsidR="00DE5E47" w:rsidRPr="00DB75D7" w:rsidRDefault="00DE5E47" w:rsidP="00DE5E47">
      <w:pPr>
        <w:pStyle w:val="Heading4"/>
      </w:pPr>
      <w:r>
        <w:t>The affirmative’s defense of “I would prefer not to” aligns itself with</w:t>
      </w:r>
      <w:r w:rsidR="00DB78EB">
        <w:t xml:space="preserve"> the</w:t>
      </w:r>
      <w:r>
        <w:t xml:space="preserve"> corporate cooption of the humanities – eradicating the queerness of Bartleby’s project and twisting it to an intelligible call for a new social order </w:t>
      </w:r>
    </w:p>
    <w:p w:rsidR="00DE5E47" w:rsidRPr="00BE2E04" w:rsidRDefault="00DE5E47" w:rsidP="00DE5E47">
      <w:r w:rsidRPr="001E6ECB">
        <w:rPr>
          <w:rStyle w:val="Style13ptBold"/>
        </w:rPr>
        <w:t xml:space="preserve">Edelman </w:t>
      </w:r>
      <w:r w:rsidR="00155D2B">
        <w:rPr>
          <w:rStyle w:val="Style13ptBold"/>
        </w:rPr>
        <w:t>20</w:t>
      </w:r>
      <w:r w:rsidRPr="001E6ECB">
        <w:rPr>
          <w:rStyle w:val="Style13ptBold"/>
        </w:rPr>
        <w:t>13</w:t>
      </w:r>
      <w:r>
        <w:t xml:space="preserve"> (</w:t>
      </w:r>
      <w:r w:rsidRPr="00BE2E04">
        <w:t>Edelman</w:t>
      </w:r>
      <w:r w:rsidR="00155D2B">
        <w:t>,</w:t>
      </w:r>
      <w:r w:rsidRPr="00BE2E04">
        <w:t xml:space="preserve"> </w:t>
      </w:r>
      <w:r w:rsidRPr="00B848A8">
        <w:t xml:space="preserve">Fletcher Professor of English </w:t>
      </w:r>
      <w:r w:rsidR="00155D2B">
        <w:t>Literature at Tufts University |</w:t>
      </w:r>
      <w:r>
        <w:t xml:space="preserve"> “</w:t>
      </w:r>
      <w:r w:rsidR="00155D2B">
        <w:t>Occupy Wall Street: ‘Bartleby’</w:t>
      </w:r>
      <w:r w:rsidRPr="00BE2E04">
        <w:t xml:space="preserve"> Against the Humanities</w:t>
      </w:r>
      <w:r>
        <w:t xml:space="preserve">.” </w:t>
      </w:r>
      <w:r w:rsidRPr="00155D2B">
        <w:rPr>
          <w:i/>
        </w:rPr>
        <w:t>History of the Present</w:t>
      </w:r>
      <w:r>
        <w:t>, Vol. 3, No. 1 (Spring 2013) Pg 99-118</w:t>
      </w:r>
      <w:r w:rsidR="00155D2B">
        <w:t>)</w:t>
      </w:r>
    </w:p>
    <w:p w:rsidR="00AD772A" w:rsidRDefault="00DE5E47" w:rsidP="00DE5E47">
      <w:pPr>
        <w:rPr>
          <w:sz w:val="16"/>
        </w:rPr>
      </w:pPr>
      <w:r w:rsidRPr="00DB75D7">
        <w:rPr>
          <w:sz w:val="16"/>
        </w:rPr>
        <w:t xml:space="preserve">So moved is </w:t>
      </w:r>
      <w:r w:rsidRPr="002A7659">
        <w:rPr>
          <w:rStyle w:val="StyleUnderline"/>
        </w:rPr>
        <w:t>the lawyer</w:t>
      </w:r>
      <w:r w:rsidRPr="00DB75D7">
        <w:rPr>
          <w:sz w:val="16"/>
        </w:rPr>
        <w:t xml:space="preserve"> by these self-conjured phantoms i</w:t>
      </w:r>
      <w:r w:rsidRPr="002A7659">
        <w:rPr>
          <w:rStyle w:val="StyleUnderline"/>
        </w:rPr>
        <w:t xml:space="preserve">ntended to make Bartleby comprehensible that he produces </w:t>
      </w:r>
      <w:r>
        <w:rPr>
          <w:rStyle w:val="StyleUnderline"/>
        </w:rPr>
        <w:t>the twin exclamations, simulta</w:t>
      </w:r>
      <w:r w:rsidRPr="002A7659">
        <w:rPr>
          <w:rStyle w:val="StyleUnderline"/>
        </w:rPr>
        <w:t>neously mournful and triumphant, with which the story ends: “Ah, Bartleby! Ah, humanity!</w:t>
      </w:r>
      <w:r w:rsidRPr="00DB75D7">
        <w:rPr>
          <w:sz w:val="16"/>
        </w:rPr>
        <w:t xml:space="preserve">” And that, </w:t>
      </w:r>
      <w:r w:rsidRPr="001861BC">
        <w:rPr>
          <w:rStyle w:val="StyleUnderline"/>
        </w:rPr>
        <w:t xml:space="preserve">for Occupy Wall Street, is the end of the story in more ways than one. </w:t>
      </w:r>
      <w:r w:rsidRPr="00DB75D7">
        <w:rPr>
          <w:sz w:val="16"/>
        </w:rPr>
        <w:t xml:space="preserve">In an article published a week and a half after the public reading of “Bartleby,” Lauren Klein quotes H. Bruce Franklin, a prominent Melville scholar, as follows: “we can never know who or what Bartleby is, but . . . we are continually asked to guess who or what he might be.”13 Klein tells us that this is </w:t>
      </w:r>
      <w:r w:rsidRPr="001861BC">
        <w:rPr>
          <w:rStyle w:val="StyleUnderline"/>
        </w:rPr>
        <w:t>the “function of the story” and the “obligation of its readers” and aligns this obligation with the politics of Occupy Wall Street</w:t>
      </w:r>
      <w:r w:rsidRPr="00DB75D7">
        <w:rPr>
          <w:sz w:val="16"/>
        </w:rPr>
        <w:t>: “</w:t>
      </w:r>
      <w:r w:rsidRPr="001861BC">
        <w:rPr>
          <w:rStyle w:val="StyleUnderline"/>
        </w:rPr>
        <w:t>to extend this from the literary to the political realm, when presented with a person’s resistance—passive or otherwise—it is the obligation of observers—indeed of all in a democratic society—to think about the possibilities of what that person might stand for</w:t>
      </w:r>
      <w:r w:rsidRPr="00DB75D7">
        <w:rPr>
          <w:sz w:val="16"/>
        </w:rPr>
        <w:t xml:space="preserve">, even if we cannot pinpoint a single issue, meaning, or demand.”14 </w:t>
      </w:r>
      <w:r w:rsidRPr="001861BC">
        <w:rPr>
          <w:rStyle w:val="StyleUnderline"/>
        </w:rPr>
        <w:t>Could anything speak more clearly to our sense of the purpose and the value of the humanities—to their value, that is, in helping us know ourselves and each other more fully by insisting that even what resists comprehension can be colonized by imagination?</w:t>
      </w:r>
      <w:r w:rsidRPr="00DB75D7">
        <w:rPr>
          <w:sz w:val="16"/>
        </w:rPr>
        <w:t xml:space="preserve"> Consider, for example, these words from the 1980 report produced by the Rockefeller Foundation’s Commission on the Humanities: “by awakening a sense of what it might be like to be someone else or to live in another time or culture, [the humanities] tell us about ourselves, stretch our imagination, and enrich our experience. </w:t>
      </w:r>
      <w:r w:rsidRPr="00C503C0">
        <w:rPr>
          <w:rStyle w:val="StyleUnderline"/>
        </w:rPr>
        <w:t>They increase our distinctively human potential</w:t>
      </w:r>
      <w:r w:rsidRPr="00DB75D7">
        <w:rPr>
          <w:sz w:val="16"/>
        </w:rPr>
        <w:t xml:space="preserve">.”15 Yet </w:t>
      </w:r>
      <w:r w:rsidRPr="00C503C0">
        <w:rPr>
          <w:rStyle w:val="StyleUnderline"/>
        </w:rPr>
        <w:t>this value emanates in Melville’s tale from the well-to-do Wall Street lawyer and gets reinforced by the corporate managers of the United St</w:t>
      </w:r>
      <w:r>
        <w:rPr>
          <w:rStyle w:val="StyleUnderline"/>
        </w:rPr>
        <w:t>ates today who shape the insti</w:t>
      </w:r>
      <w:r w:rsidRPr="00C503C0">
        <w:rPr>
          <w:rStyle w:val="StyleUnderline"/>
        </w:rPr>
        <w:t>tutions, including the academy and the various foundations</w:t>
      </w:r>
      <w:r w:rsidRPr="00DB75D7">
        <w:rPr>
          <w:sz w:val="16"/>
        </w:rPr>
        <w:t xml:space="preserve"> (Rockefeller, Carnegie, Mellon, Ford), on which the humanities depend. For </w:t>
      </w:r>
      <w:r w:rsidRPr="00C503C0">
        <w:rPr>
          <w:rStyle w:val="Emphasis"/>
        </w:rPr>
        <w:t>the task of the humanities</w:t>
      </w:r>
      <w:r w:rsidRPr="00C503C0">
        <w:rPr>
          <w:rStyle w:val="StyleUnderline"/>
        </w:rPr>
        <w:t>, in such a light</w:t>
      </w:r>
      <w:r w:rsidRPr="00C503C0">
        <w:rPr>
          <w:rStyle w:val="Emphasis"/>
        </w:rPr>
        <w:t>, remains to affirm the human and so to reproduce the ideological fantasy that the human as concept sustains</w:t>
      </w:r>
      <w:r w:rsidRPr="00DB75D7">
        <w:rPr>
          <w:sz w:val="16"/>
        </w:rPr>
        <w:t xml:space="preserve">. The work of that concept, in no small part, is to produce a ction of community, however large or small its scale, that rests on the constant aesthetic demonstration of the sameness at the core of the human: the sameness that makes us, in one fell swoop, comprehensible in our opacity and collectivizable in our singularity. </w:t>
      </w:r>
      <w:r w:rsidRPr="00D146E8">
        <w:rPr>
          <w:rStyle w:val="StyleUnderline"/>
        </w:rPr>
        <w:t>That fantasy</w:t>
      </w:r>
      <w:r w:rsidRPr="00DB75D7">
        <w:rPr>
          <w:sz w:val="16"/>
        </w:rPr>
        <w:t xml:space="preserve"> may be put to progressive ends by reducing our fear or anxiety about what could seem, at first glance, wholly foreign, and permitting us, instead, to see ourselves in what presents itself as different. But it </w:t>
      </w:r>
      <w:r w:rsidRPr="00D146E8">
        <w:rPr>
          <w:rStyle w:val="StyleUnderline"/>
        </w:rPr>
        <w:t>works in the other direction</w:t>
      </w:r>
      <w:r w:rsidRPr="00DB75D7">
        <w:rPr>
          <w:sz w:val="16"/>
        </w:rPr>
        <w:t xml:space="preserve"> too </w:t>
      </w:r>
      <w:r w:rsidRPr="00D146E8">
        <w:rPr>
          <w:rStyle w:val="StyleUnderline"/>
        </w:rPr>
        <w:t>by maintaining that only such sameness to our- selves could make those differences tolerable</w:t>
      </w:r>
      <w:r w:rsidRPr="00DB75D7">
        <w:rPr>
          <w:sz w:val="16"/>
        </w:rPr>
        <w:t xml:space="preserve">. </w:t>
      </w:r>
      <w:r w:rsidRPr="00D146E8">
        <w:rPr>
          <w:rStyle w:val="Emphasis"/>
        </w:rPr>
        <w:t>The progressive insistence that we’re all alike is not that far from the reactionary claim that what’s valuable is what’s like us.</w:t>
      </w:r>
      <w:r w:rsidRPr="00DB75D7">
        <w:rPr>
          <w:sz w:val="16"/>
        </w:rPr>
        <w:t xml:space="preserve"> In both cases whatever holds fast to its difference, resisting appropriation to sameness, resisting even sameness to itself, gets read as the radical threat of an otherness essentially inhuman. </w:t>
      </w:r>
      <w:r w:rsidRPr="00421062">
        <w:rPr>
          <w:rStyle w:val="StyleUnderline"/>
        </w:rPr>
        <w:t>When we “think about the possibilities of what [a] person might stand for,”</w:t>
      </w:r>
      <w:r w:rsidRPr="00DB75D7">
        <w:rPr>
          <w:sz w:val="16"/>
        </w:rPr>
        <w:t xml:space="preserve"> to quote Klein on the political imperative of reading Bartleby’s resistance, </w:t>
      </w:r>
      <w:r w:rsidRPr="00421062">
        <w:rPr>
          <w:rStyle w:val="StyleUnderline"/>
        </w:rPr>
        <w:t>we</w:t>
      </w:r>
      <w:r w:rsidRPr="00DB75D7">
        <w:rPr>
          <w:sz w:val="16"/>
        </w:rPr>
        <w:t xml:space="preserve"> may </w:t>
      </w:r>
      <w:r w:rsidRPr="00421062">
        <w:rPr>
          <w:rStyle w:val="StyleUnderline"/>
        </w:rPr>
        <w:t>extend our capacity to know the world through sympathetic imagination,</w:t>
      </w:r>
      <w:r w:rsidRPr="00DB75D7">
        <w:rPr>
          <w:sz w:val="16"/>
        </w:rPr>
        <w:t xml:space="preserve"> </w:t>
      </w:r>
      <w:r w:rsidRPr="00421062">
        <w:rPr>
          <w:rStyle w:val="StyleUnderline"/>
        </w:rPr>
        <w:t>but by making a person</w:t>
      </w:r>
      <w:r w:rsidRPr="00DB75D7">
        <w:rPr>
          <w:sz w:val="16"/>
        </w:rPr>
        <w:t xml:space="preserve"> stand for something, by making her or him </w:t>
      </w:r>
      <w:r w:rsidRPr="00421062">
        <w:rPr>
          <w:rStyle w:val="StyleUnderline"/>
        </w:rPr>
        <w:t xml:space="preserve">a figure for whatever we project, we make that person a screen on which, like the lawyer, </w:t>
      </w:r>
      <w:r w:rsidRPr="00421062">
        <w:rPr>
          <w:rStyle w:val="Emphasis"/>
        </w:rPr>
        <w:t>we see no more than what we’re predisposed to imagine</w:t>
      </w:r>
      <w:r w:rsidRPr="00421062">
        <w:rPr>
          <w:rStyle w:val="StyleUnderline"/>
        </w:rPr>
        <w:t>.</w:t>
      </w:r>
      <w:r w:rsidRPr="00DB75D7">
        <w:rPr>
          <w:sz w:val="16"/>
        </w:rPr>
        <w:t xml:space="preserve"> Such a person, therefore, like the corporation, is an artificial being. Or to carry this one step further, while the Occupy movement may resist the equation of arti cial beings with natural persons, “</w:t>
      </w:r>
      <w:r w:rsidRPr="00421062">
        <w:rPr>
          <w:rStyle w:val="StyleUnderline"/>
        </w:rPr>
        <w:t>Bartleby” reminds us that natural persons are artificially constructed, that both “natural” and “person” operate as ideological fictions.</w:t>
      </w:r>
      <w:r w:rsidRPr="00DB75D7">
        <w:rPr>
          <w:sz w:val="16"/>
        </w:rPr>
        <w:t xml:space="preserve">16 </w:t>
      </w:r>
      <w:r w:rsidRPr="00421062">
        <w:rPr>
          <w:rStyle w:val="StyleUnderline"/>
        </w:rPr>
        <w:t>We need only remember our nation’s own history and Justice Curtis’s dissent in the Dred Scott case</w:t>
      </w:r>
      <w:r w:rsidRPr="00DB75D7">
        <w:rPr>
          <w:sz w:val="16"/>
        </w:rPr>
        <w:t xml:space="preserve"> in which he quotes Judge Gaston on the status of the enslaved in the colonies before the Revolution: “Slaves were not in legal parlance persons, but property,” he observed.17 </w:t>
      </w:r>
      <w:r w:rsidRPr="00421062">
        <w:rPr>
          <w:rStyle w:val="StyleUnderline"/>
        </w:rPr>
        <w:t xml:space="preserve">From what we call a humanistic perspective, we affirm that the personhood of those </w:t>
      </w:r>
      <w:r w:rsidRPr="00421062">
        <w:rPr>
          <w:rStyle w:val="StyleUnderline"/>
        </w:rPr>
        <w:lastRenderedPageBreak/>
        <w:t>enslaved ought never to have been in question because personhood,</w:t>
      </w:r>
      <w:r w:rsidRPr="00DB75D7">
        <w:rPr>
          <w:sz w:val="16"/>
        </w:rPr>
        <w:t xml:space="preserve"> </w:t>
      </w:r>
      <w:r w:rsidRPr="00421062">
        <w:rPr>
          <w:rStyle w:val="StyleUnderline"/>
        </w:rPr>
        <w:t>like the foundational claim that “all men are created equal,”</w:t>
      </w:r>
      <w:r w:rsidRPr="00DB75D7">
        <w:rPr>
          <w:sz w:val="16"/>
        </w:rPr>
        <w:t xml:space="preserve"> ought to have been, as the Declaration of Independence puts it, “self-evident.” But </w:t>
      </w:r>
      <w:r w:rsidRPr="00421062">
        <w:rPr>
          <w:rStyle w:val="StyleUnderline"/>
        </w:rPr>
        <w:t>whatever we call “self-evident” reflects the biases of the self; hence the personhood historically denied to the enslaved can now be extended to corporations not because truth’s self- evidence is either forgotten or denied,</w:t>
      </w:r>
      <w:r w:rsidRPr="00DB75D7">
        <w:rPr>
          <w:sz w:val="16"/>
        </w:rPr>
        <w:t xml:space="preserve"> </w:t>
      </w:r>
      <w:r w:rsidRPr="00421062">
        <w:rPr>
          <w:rStyle w:val="StyleUnderline"/>
        </w:rPr>
        <w:t xml:space="preserve">but </w:t>
      </w:r>
      <w:r w:rsidRPr="00DB75D7">
        <w:rPr>
          <w:sz w:val="16"/>
        </w:rPr>
        <w:t xml:space="preserve">rather because </w:t>
      </w:r>
      <w:r w:rsidRPr="00421062">
        <w:rPr>
          <w:rStyle w:val="StyleUnderline"/>
        </w:rPr>
        <w:t>the ever-elastic category of personhood</w:t>
      </w:r>
      <w:r w:rsidRPr="00DB75D7">
        <w:rPr>
          <w:sz w:val="16"/>
        </w:rPr>
        <w:t xml:space="preserve">, like everything to which we attach the performative claim of its self-evidence, retains the literary provenance that marks it as a ction. </w:t>
      </w:r>
      <w:r w:rsidRPr="002078A5">
        <w:rPr>
          <w:rStyle w:val="StyleUnderline"/>
        </w:rPr>
        <w:t>Even the framers of the Declaration, after all, had to “hold” their truths “self-evident,” had to assert them at the outset to render self-evident what hadn’t been before</w:t>
      </w:r>
      <w:r w:rsidRPr="00DB75D7">
        <w:rPr>
          <w:sz w:val="16"/>
        </w:rPr>
        <w:t xml:space="preserve">. When Justice Taney, writing the decision for the majority in Dred Scott, denied that the phrase “all men are created equal” could possibly have been intended by its authors to refer to those being kept as slaves, he made clear that whatever else it might be, that phrase was not self-evident. The labor of creating self-evidence, of making the “natural” seem intuitively obvious and therefore unexceptionable, occupies politics and the humanities both, even when they explicitly resist it. Every decon- struction of humanism relies on a logic whose structuring principles appeal to self-evidence in the end. And the queerest politics will base its claims on natural rights that emerge from the shifting ctions of social bonds. Thus </w:t>
      </w:r>
      <w:r w:rsidRPr="002078A5">
        <w:rPr>
          <w:rStyle w:val="StyleUnderline"/>
        </w:rPr>
        <w:t>the lawyer’s exclamations at the end of “Bartleby” aspire on his part</w:t>
      </w:r>
      <w:r w:rsidRPr="00DB75D7">
        <w:rPr>
          <w:sz w:val="16"/>
        </w:rPr>
        <w:t xml:space="preserve">, if not on Melville’s, </w:t>
      </w:r>
      <w:r w:rsidRPr="002078A5">
        <w:rPr>
          <w:rStyle w:val="StyleUnderline"/>
        </w:rPr>
        <w:t>to present as self-evident that the now-deceased scrivener, who in life refused charity, companionship</w:t>
      </w:r>
      <w:r w:rsidRPr="00DB75D7">
        <w:rPr>
          <w:sz w:val="16"/>
        </w:rPr>
        <w:t xml:space="preserve">, and the lawyer’s best efforts to understand him, </w:t>
      </w:r>
      <w:r w:rsidRPr="002078A5">
        <w:rPr>
          <w:rStyle w:val="StyleUnderline"/>
        </w:rPr>
        <w:t>embodied,</w:t>
      </w:r>
      <w:r w:rsidRPr="00DB75D7">
        <w:rPr>
          <w:sz w:val="16"/>
        </w:rPr>
        <w:t xml:space="preserve"> despite this, </w:t>
      </w:r>
      <w:r>
        <w:rPr>
          <w:rStyle w:val="StyleUnderline"/>
        </w:rPr>
        <w:t>the very essence of a piti</w:t>
      </w:r>
      <w:r w:rsidRPr="002078A5">
        <w:rPr>
          <w:rStyle w:val="StyleUnderline"/>
        </w:rPr>
        <w:t>able</w:t>
      </w:r>
      <w:r>
        <w:rPr>
          <w:rStyle w:val="StyleUnderline"/>
        </w:rPr>
        <w:t xml:space="preserve"> </w:t>
      </w:r>
      <w:r w:rsidRPr="002078A5">
        <w:rPr>
          <w:rStyle w:val="StyleUnderline"/>
        </w:rPr>
        <w:t>“humanity</w:t>
      </w:r>
      <w:r w:rsidRPr="00DB75D7">
        <w:rPr>
          <w:sz w:val="16"/>
        </w:rPr>
        <w:t>.” In leading us to this recognition, the lawyer, or so he would have us believe</w:t>
      </w:r>
      <w:r w:rsidRPr="002078A5">
        <w:rPr>
          <w:rStyle w:val="StyleUnderline"/>
        </w:rPr>
        <w:t>, expresses his own “humanity” by displaying his moving capacity to be moved by what he so vividly imagines.</w:t>
      </w:r>
      <w:r w:rsidRPr="00DB75D7">
        <w:rPr>
          <w:sz w:val="16"/>
        </w:rPr>
        <w:t xml:space="preserve"> Doesn’t the corporate funding of the humanities work in similar ways? </w:t>
      </w:r>
      <w:r w:rsidRPr="00A24096">
        <w:rPr>
          <w:rStyle w:val="StyleUnderline"/>
        </w:rPr>
        <w:t>When ExxonMobil sponsors Masterpiece Theater</w:t>
      </w:r>
      <w:r w:rsidRPr="00DB75D7">
        <w:rPr>
          <w:sz w:val="16"/>
        </w:rPr>
        <w:t xml:space="preserve"> or Goldman Sachs the Metropolitan Museum of Art, </w:t>
      </w:r>
      <w:r w:rsidRPr="00A24096">
        <w:rPr>
          <w:rStyle w:val="StyleUnderline"/>
        </w:rPr>
        <w:t>they purchase their humanization by contributing to the work of affirming the human</w:t>
      </w:r>
      <w:r w:rsidRPr="00DB75D7">
        <w:rPr>
          <w:sz w:val="16"/>
        </w:rPr>
        <w:t xml:space="preserve">. So the government bailout of Goldman Sachs in response to the economic crisis (itself fueled by Wall Street’s relentless pursuit of pro t at any cost), permits Goldman Sachs to contribute its support to the Metropolitan Museum, in return for a corporate tax break and public recognition in an advertisement in the New York Times. </w:t>
      </w:r>
      <w:r w:rsidRPr="00A24096">
        <w:rPr>
          <w:rStyle w:val="StyleUnderline"/>
        </w:rPr>
        <w:t>It thus reasserts its humanity through its commitment to the humanities, for which, of course, in this roundabout way, non</w:t>
      </w:r>
      <w:r>
        <w:rPr>
          <w:rStyle w:val="StyleUnderline"/>
        </w:rPr>
        <w:t>-</w:t>
      </w:r>
      <w:r w:rsidRPr="00A24096">
        <w:rPr>
          <w:rStyle w:val="StyleUnderline"/>
        </w:rPr>
        <w:t>corporate persons pay</w:t>
      </w:r>
      <w:r w:rsidRPr="00DB75D7">
        <w:rPr>
          <w:sz w:val="16"/>
        </w:rPr>
        <w:t xml:space="preserve">. The ad, which appeared in the New York Times on March 19, 2012, celebrated a raft of corporate sponsors (Goldman Sachs among them), but the image from the museum’s collection used to invoke their civic mindedness depicted a man in boat, not a raft. For the painting was Ernest Gottlieb Leutze’s Washington Crossing the Delaware, the anodyne exemplar of the culture that corporate sponsorship promotes. In this framework, </w:t>
      </w:r>
      <w:r w:rsidRPr="00A24096">
        <w:rPr>
          <w:rStyle w:val="StyleUnderline"/>
        </w:rPr>
        <w:t>the humanities,</w:t>
      </w:r>
      <w:r w:rsidRPr="00DB75D7">
        <w:rPr>
          <w:sz w:val="16"/>
        </w:rPr>
        <w:t xml:space="preserve"> like General George Washington, </w:t>
      </w:r>
      <w:r w:rsidRPr="00A24096">
        <w:rPr>
          <w:rStyle w:val="StyleUnderline"/>
        </w:rPr>
        <w:t>cross boundaries only to consolidate the state and thereby shape the discourse of the human in ways conservative by definitio</w:t>
      </w:r>
      <w:r w:rsidRPr="00DB75D7">
        <w:rPr>
          <w:sz w:val="16"/>
        </w:rPr>
        <w:t xml:space="preserve">n: conservative insofar as they aim to conserve the use-value of </w:t>
      </w:r>
      <w:r w:rsidRPr="00A24096">
        <w:rPr>
          <w:rStyle w:val="StyleUnderline"/>
        </w:rPr>
        <w:t>the human as a mask for the machinery of production we’re all conscripted to support</w:t>
      </w:r>
      <w:r w:rsidRPr="00DB75D7">
        <w:rPr>
          <w:sz w:val="16"/>
        </w:rPr>
        <w:t xml:space="preserve">. In funding the humanities, </w:t>
      </w:r>
      <w:r w:rsidRPr="00A24096">
        <w:rPr>
          <w:rStyle w:val="StyleUnderline"/>
        </w:rPr>
        <w:t>corporations get more than just tax breaks and public recognition; they buy, which is much more important, a means of shaping an ideological fantasy of a coherent human community beyond the lived experience of social contradiction and structural antagonism</w:t>
      </w:r>
      <w:r w:rsidRPr="00DB75D7">
        <w:rPr>
          <w:sz w:val="16"/>
        </w:rPr>
        <w:t>, a community wherein the fractures to which, like Bartleby’s employer, they contribute, seem resolved in the commonality to which the humanities at- test. Not that the aesthetic education to which the corporate humanities are devoted excludes the prospect of debate or the performance of conflicting points of view. But even those conflicts are made to conform the richness and vitality of the human, which thereby reinforces its value as a means of securing, as collective value, collectivity itself. As the British Council announces in explaining its financial support for the arts and humanities: “Great art and culture inspires us, brings us together and teaches us about ourselves and the world around us. In short, it makes life better.”18 In an article published in Academe called “The Humanities on Life Support,” Ellen Schrecker reviewed recent books on higher education in America and drew attention to the work of two major scholars invested in rethinking the humanities: Geoffrey Galt Harpham, currently the director of the National Humanities Center, and Martha Nussbaum, who teaches law and ethics at the University of Chicago. Quoting from recent books by these two major scholars, Schrecker ef ciently summarizes how we think about the humanities in America today: “</w:t>
      </w:r>
      <w:r w:rsidRPr="0026062B">
        <w:rPr>
          <w:rStyle w:val="StyleUnderline"/>
        </w:rPr>
        <w:t>The humanities</w:t>
      </w:r>
      <w:r w:rsidRPr="00DB75D7">
        <w:rPr>
          <w:sz w:val="16"/>
        </w:rPr>
        <w:t xml:space="preserve">, Harpham asserts, offer the knowledge that [to live in a human—and humane—society] </w:t>
      </w:r>
      <w:r w:rsidRPr="0026062B">
        <w:rPr>
          <w:rStyle w:val="StyleUnderline"/>
        </w:rPr>
        <w:t>requires ‘an awakened understanding of oneself as a member of the human species</w:t>
      </w:r>
      <w:r w:rsidRPr="00DB75D7">
        <w:rPr>
          <w:sz w:val="16"/>
        </w:rPr>
        <w:t xml:space="preserve">,a heightened alertness to the possibilities of being human.’ Along with that self-awareness, he notes, the humanities also create ‘the capacity to sympathize, empathize, or otherwise inhabit the experience of others.’ Nussbaum agrees; the sympathetic ‘ability to imagine . . . the predicament of another person, along with the ability to think for oneself,’ are the ‘skills that are needed to keep democracies alive.’”19 </w:t>
      </w:r>
      <w:r w:rsidRPr="00DC7FF5">
        <w:rPr>
          <w:rStyle w:val="StyleUnderline"/>
        </w:rPr>
        <w:t>But thinking for oneself has never had any fixed connection to democracy;</w:t>
      </w:r>
      <w:r w:rsidRPr="00DB75D7">
        <w:rPr>
          <w:sz w:val="16"/>
        </w:rPr>
        <w:t xml:space="preserve"> and </w:t>
      </w:r>
      <w:r w:rsidRPr="00DC7FF5">
        <w:rPr>
          <w:rStyle w:val="StyleUnderline"/>
        </w:rPr>
        <w:t>sympathetically imagining another affords no guarantee of justice</w:t>
      </w:r>
      <w:r w:rsidRPr="00DB75D7">
        <w:rPr>
          <w:sz w:val="16"/>
        </w:rPr>
        <w:t xml:space="preserve">. After all, if that other person is what some might call a fetus, personhood here revealing once more its status as ideological fiction, then “sympathy,” depending on where it falls, may justify acts terroristic to some, but deeply humane to others. </w:t>
      </w:r>
      <w:r w:rsidRPr="00DC7FF5">
        <w:rPr>
          <w:rStyle w:val="StyleUnderline"/>
        </w:rPr>
        <w:t xml:space="preserve">Only a </w:t>
      </w:r>
      <w:r w:rsidRPr="00DC7FF5">
        <w:rPr>
          <w:rStyle w:val="Emphasis"/>
        </w:rPr>
        <w:t>humanities designed to affirm</w:t>
      </w:r>
      <w:r w:rsidRPr="00DC7FF5">
        <w:rPr>
          <w:rStyle w:val="StyleUnderline"/>
        </w:rPr>
        <w:t xml:space="preserve">, for its corporate and government sponsors, the harmony of social values (whether local, national, or universal) could </w:t>
      </w:r>
      <w:r w:rsidRPr="00DC7FF5">
        <w:rPr>
          <w:rStyle w:val="Emphasis"/>
        </w:rPr>
        <w:t xml:space="preserve">offer </w:t>
      </w:r>
      <w:r w:rsidRPr="00DC7FF5">
        <w:rPr>
          <w:rStyle w:val="StyleUnderline"/>
        </w:rPr>
        <w:t xml:space="preserve">such </w:t>
      </w:r>
      <w:r w:rsidRPr="00DC7FF5">
        <w:rPr>
          <w:rStyle w:val="Emphasis"/>
        </w:rPr>
        <w:t xml:space="preserve">a </w:t>
      </w:r>
      <w:r w:rsidRPr="00DC7FF5">
        <w:rPr>
          <w:rStyle w:val="Emphasis"/>
        </w:rPr>
        <w:lastRenderedPageBreak/>
        <w:t>vision of sympathy as its intellectual goal.</w:t>
      </w:r>
      <w:r w:rsidRPr="00DB75D7">
        <w:rPr>
          <w:sz w:val="16"/>
        </w:rPr>
        <w:t xml:space="preserve"> Politics may depend on the capacity to encounter what exceeds our own subjectivity, but simply imagining other subjectivities from the perspective of our own assures no particular political transformation. </w:t>
      </w:r>
    </w:p>
    <w:p w:rsidR="00155D2B" w:rsidRPr="00DB78EB" w:rsidRDefault="00DB78EB" w:rsidP="00DB78EB">
      <w:pPr>
        <w:pStyle w:val="Heading4"/>
      </w:pPr>
      <w:r>
        <w:t>Their recuperative project aligns the far left with the far right by using the politics of refusal as a platform for futurist human discourse of inclusion</w:t>
      </w:r>
    </w:p>
    <w:p w:rsidR="00AD772A" w:rsidRPr="00155D2B" w:rsidRDefault="00155D2B" w:rsidP="00DE5E47">
      <w:r w:rsidRPr="001E6ECB">
        <w:rPr>
          <w:rStyle w:val="Style13ptBold"/>
        </w:rPr>
        <w:t xml:space="preserve">Edelman </w:t>
      </w:r>
      <w:r>
        <w:rPr>
          <w:rStyle w:val="Style13ptBold"/>
        </w:rPr>
        <w:t>20</w:t>
      </w:r>
      <w:r w:rsidRPr="001E6ECB">
        <w:rPr>
          <w:rStyle w:val="Style13ptBold"/>
        </w:rPr>
        <w:t>13</w:t>
      </w:r>
      <w:r>
        <w:t xml:space="preserve"> (</w:t>
      </w:r>
      <w:r w:rsidRPr="00BE2E04">
        <w:t>Edelman</w:t>
      </w:r>
      <w:r>
        <w:t>,</w:t>
      </w:r>
      <w:r w:rsidRPr="00BE2E04">
        <w:t xml:space="preserve"> </w:t>
      </w:r>
      <w:r w:rsidRPr="00B848A8">
        <w:t xml:space="preserve">Fletcher Professor of English </w:t>
      </w:r>
      <w:r>
        <w:t>Literature at Tufts University | “Occupy Wall Street: ‘Bartleby’</w:t>
      </w:r>
      <w:r w:rsidRPr="00BE2E04">
        <w:t xml:space="preserve"> Against the Humanities</w:t>
      </w:r>
      <w:r>
        <w:t xml:space="preserve">.” </w:t>
      </w:r>
      <w:r w:rsidRPr="00155D2B">
        <w:rPr>
          <w:i/>
        </w:rPr>
        <w:t>History of the Present</w:t>
      </w:r>
      <w:r>
        <w:t>, Vol. 3, No. 1 (Spring 2013) Pg 99-118)</w:t>
      </w:r>
    </w:p>
    <w:p w:rsidR="00155D2B" w:rsidRDefault="00DE5E47" w:rsidP="00DE5E47">
      <w:pPr>
        <w:rPr>
          <w:sz w:val="16"/>
        </w:rPr>
      </w:pPr>
      <w:r w:rsidRPr="00DB75D7">
        <w:rPr>
          <w:sz w:val="16"/>
        </w:rPr>
        <w:t xml:space="preserve">Melville’s story, which invites us to read it as the narrator’s advertisement for himself, as a flattering display of the insight and feeling induced in the smug man of business (self-described as “eminently safe” [60]) by his en- counter with the “strangest” (59) of scriveners, offers an implicit critique of this dominant corporate framing of the humanities. Faced, you’ll remember, with Bartleby’s intransigence, his refusal either to perform his job or to vacate the of face he occupies, the lawyer, unwilling to evict the copyist or to have him “collared by a constable” (91)—a scruple apparently foreign to many in positions of power today—determines to give up the chambers he rents and locate his of ces elsewhere. But what the lawyer himself is too tender to do, he leaves to those who come after. And sure enough, his former landlord, urged to action by his new tenants on discovering that Bartleby comes with the of ce, has the scrivener removed as a vagrant and sent to the prison called “the Tombs.” </w:t>
      </w:r>
      <w:r w:rsidRPr="00046CCF">
        <w:rPr>
          <w:rStyle w:val="StyleUnderline"/>
        </w:rPr>
        <w:t>There, preferring not to dine, and aloof from every community, Bartleby, referred to as “the silent man,” dies quietly a few days later,</w:t>
      </w:r>
      <w:r w:rsidRPr="00DB75D7">
        <w:rPr>
          <w:sz w:val="16"/>
        </w:rPr>
        <w:t xml:space="preserve"> as if maintaining to the very end his preference for the negative. In the wake of this death, </w:t>
      </w:r>
      <w:r w:rsidRPr="00046CCF">
        <w:rPr>
          <w:rStyle w:val="StyleUnderline"/>
        </w:rPr>
        <w:t>the lawyer</w:t>
      </w:r>
      <w:r w:rsidRPr="00DB75D7">
        <w:rPr>
          <w:sz w:val="16"/>
        </w:rPr>
        <w:t xml:space="preserve">, far from heartless throughout his ordeal and open to anything that might have reconciled the scrivener to normative life, </w:t>
      </w:r>
      <w:r w:rsidRPr="00046CCF">
        <w:rPr>
          <w:rStyle w:val="StyleUnderline"/>
        </w:rPr>
        <w:t>feels compelled in the name of that norm itself to positivize Bartleby’</w:t>
      </w:r>
      <w:r>
        <w:rPr>
          <w:rStyle w:val="StyleUnderline"/>
        </w:rPr>
        <w:t>s negation, to turn it to a profi</w:t>
      </w:r>
      <w:r w:rsidRPr="00046CCF">
        <w:rPr>
          <w:rStyle w:val="StyleUnderline"/>
        </w:rPr>
        <w:t>t, by making both it and Bartleby speak to a universal “hu- manity.”</w:t>
      </w:r>
      <w:r w:rsidRPr="00DB75D7">
        <w:rPr>
          <w:sz w:val="16"/>
        </w:rPr>
        <w:t xml:space="preserve"> He assuages the guilt he carries for the part he played in Bartleby’s fate (recall his words on abandoning Bartleby to the empty Wall Street of ce: “something from within me upbraided me” [91]), by attributing Bartleby’s eccentricity, which he’ll portray as a type of “derange[ment]” (97), to the heightening of Bartleby’s sensitivities during his time in the Dead Letter Of- ce. The never-to-be-delivered letters he imagines as causing the scrivener’s despair—a despair evinced in the preference not to copy the letters of the law— nd their answer, their redemptive counterpart, when the man of busi- ness turns to writing and becomes, with his tale of Bartleby, a man of letters himself. We might say </w:t>
      </w:r>
      <w:r w:rsidRPr="00046CCF">
        <w:rPr>
          <w:rStyle w:val="Emphasis"/>
        </w:rPr>
        <w:t>he produces “Bartleby” to make Bartleby disappear, to eliminate the rupture, the negative preference, at odds with social totality and to make Bartleby, in his singularity, merely a copy of the human.</w:t>
      </w:r>
      <w:r w:rsidRPr="00DB75D7">
        <w:rPr>
          <w:sz w:val="16"/>
        </w:rPr>
        <w:t xml:space="preserve"> </w:t>
      </w:r>
      <w:r w:rsidRPr="00046CCF">
        <w:rPr>
          <w:rStyle w:val="StyleUnderline"/>
        </w:rPr>
        <w:t>Much as the corporate humanities do</w:t>
      </w:r>
      <w:r w:rsidRPr="00DB75D7">
        <w:rPr>
          <w:sz w:val="16"/>
        </w:rPr>
        <w:t xml:space="preserve">, </w:t>
      </w:r>
      <w:r w:rsidRPr="00046CCF">
        <w:rPr>
          <w:rStyle w:val="Emphasis"/>
        </w:rPr>
        <w:t>and as Occupy Wall Street does as well in appropriating the scrivener to its cause</w:t>
      </w:r>
      <w:r w:rsidRPr="00DB75D7">
        <w:rPr>
          <w:sz w:val="16"/>
        </w:rPr>
        <w:t xml:space="preserve">, </w:t>
      </w:r>
      <w:r w:rsidRPr="00046CCF">
        <w:rPr>
          <w:rStyle w:val="StyleUnderline"/>
        </w:rPr>
        <w:t xml:space="preserve">he turns the resistance to human community, the preference not to be integrated into the order of sociality, into yet </w:t>
      </w:r>
      <w:r>
        <w:rPr>
          <w:rStyle w:val="StyleUnderline"/>
        </w:rPr>
        <w:t>another instrument of social affi</w:t>
      </w:r>
      <w:r w:rsidRPr="00046CCF">
        <w:rPr>
          <w:rStyle w:val="StyleUnderline"/>
        </w:rPr>
        <w:t>rmation</w:t>
      </w:r>
      <w:r w:rsidRPr="00DB75D7">
        <w:rPr>
          <w:sz w:val="16"/>
        </w:rPr>
        <w:t xml:space="preserve">. But the story in which Melville sets before us the story told by the lawyer, though it coincides letter for letter with the story produced by the lawyer himself, resists, as does the scrivener, such an erasure of what resists. Contrary to Lauren Klein’s assertion, </w:t>
      </w:r>
      <w:r w:rsidRPr="00046CCF">
        <w:rPr>
          <w:rStyle w:val="StyleUnderline"/>
        </w:rPr>
        <w:t>our political obligation in the context of Bartleby is not “to think about the possibilities of what [the person who resists] might stand for,” but rather to interrogate the politics of making him “stand for” something in the</w:t>
      </w:r>
      <w:r>
        <w:rPr>
          <w:rStyle w:val="StyleUnderline"/>
        </w:rPr>
        <w:t xml:space="preserve"> fi</w:t>
      </w:r>
      <w:r w:rsidRPr="00046CCF">
        <w:rPr>
          <w:rStyle w:val="StyleUnderline"/>
        </w:rPr>
        <w:t>rst place</w:t>
      </w:r>
      <w:r w:rsidRPr="00DB75D7">
        <w:rPr>
          <w:sz w:val="16"/>
        </w:rPr>
        <w:t xml:space="preserve">. </w:t>
      </w:r>
      <w:r w:rsidRPr="00046CCF">
        <w:rPr>
          <w:rStyle w:val="Emphasis"/>
        </w:rPr>
        <w:t>Bartleby,</w:t>
      </w:r>
      <w:r w:rsidRPr="00DB75D7">
        <w:rPr>
          <w:sz w:val="16"/>
        </w:rPr>
        <w:t xml:space="preserve"> with his persistent iterations of what Gilles Deleuze describes as his “formula,” </w:t>
      </w:r>
      <w:r w:rsidRPr="00046CCF">
        <w:rPr>
          <w:rStyle w:val="Emphasis"/>
        </w:rPr>
        <w:t>speaks to the tension between standing for something and engaging in an act</w:t>
      </w:r>
      <w:r w:rsidRPr="00DB75D7">
        <w:rPr>
          <w:sz w:val="16"/>
        </w:rPr>
        <w:t xml:space="preserve">.20 </w:t>
      </w:r>
      <w:r w:rsidRPr="00DB75D7">
        <w:rPr>
          <w:rStyle w:val="StyleUnderline"/>
        </w:rPr>
        <w:t>To stand for something is always to accede to a log</w:t>
      </w:r>
      <w:r w:rsidR="00DB78EB">
        <w:rPr>
          <w:rStyle w:val="StyleUnderline"/>
        </w:rPr>
        <w:t>ic of social exchange that con</w:t>
      </w:r>
      <w:r w:rsidRPr="00DB75D7">
        <w:rPr>
          <w:rStyle w:val="StyleUnderline"/>
        </w:rPr>
        <w:t>solidates its gural economy as a totalized eld of meaning. But an act, by breaking from the framework of legibility itself, denies the closure that such a framework imposes in the form of its own self-evidence.</w:t>
      </w:r>
      <w:r w:rsidRPr="00DB75D7">
        <w:rPr>
          <w:sz w:val="16"/>
        </w:rPr>
        <w:t xml:space="preserve"> By refusing to submit to the regulative norms of community and communication, the act insists on something else, on a preference that negates what is. Far from a socially compliant mode of sympathetic imagination, it com- pels a violent encounter with something radically unimaginable, inspiring, in turn, the mimetic violence of communitarian self-assertion. The lawyer at rst may vacillate before Bartleby’s unyielding, “I would prefer not to,” but he recalls a more choleric response by one of his employees: “‘Prefer not, eh?’ gritted Nippers—“I’d prefer him, if I were you, sir,’ . . . ‘I’d prefer him; I’d give him preferences, the stubborn mule!’” After telling Nippers, in response to this outburst, “I’d prefer that you withdraw for the present,” the lawyer succumbs to self-consciousness about his unintended choice of words: “Somehow, of late, I </w:t>
      </w:r>
      <w:r w:rsidRPr="00DB75D7">
        <w:rPr>
          <w:rStyle w:val="StyleUnderline"/>
        </w:rPr>
        <w:t>had got into the way of involuntarily using the word ‘prefer’ upon all sorts of not exactly suitable occasions.</w:t>
      </w:r>
      <w:r w:rsidRPr="00DB75D7">
        <w:rPr>
          <w:sz w:val="16"/>
        </w:rPr>
        <w:t xml:space="preserve"> And I trembled to think that my contact with the scrivener had already and seriously affected me in a mental way. And what further and deeper aberration might it not yet produce?” (81). The aberration of Bartleby’s speech act, with its indifference to social norms, condenses itself for the lawyer in that single word: prefer. That word, however, not only begins to obtrude on the lawyer’s own speech, but also makes its way into that of his other copyists, too. </w:t>
      </w:r>
      <w:r w:rsidRPr="00DB75D7">
        <w:rPr>
          <w:rStyle w:val="StyleUnderline"/>
        </w:rPr>
        <w:t xml:space="preserve">When one of them observes to his boss, for example, “I was thinking about Bartleby here, and I think that if he would but prefer </w:t>
      </w:r>
      <w:r w:rsidRPr="00DB75D7">
        <w:rPr>
          <w:rStyle w:val="StyleUnderline"/>
        </w:rPr>
        <w:lastRenderedPageBreak/>
        <w:t>to take a quart of good ale every day, it would do much towards mending him</w:t>
      </w:r>
      <w:r w:rsidRPr="00DB75D7">
        <w:rPr>
          <w:sz w:val="16"/>
        </w:rPr>
        <w:t xml:space="preserve">,” </w:t>
      </w:r>
      <w:r w:rsidRPr="00DB75D7">
        <w:rPr>
          <w:rStyle w:val="StyleUnderline"/>
        </w:rPr>
        <w:t>the lawyer responds with a certain excitement: “So you have got the word, too”</w:t>
      </w:r>
      <w:r w:rsidRPr="00DB75D7">
        <w:rPr>
          <w:sz w:val="16"/>
        </w:rPr>
        <w:t xml:space="preserve"> (81). But the employee fails to recognize what word the lawyer means, and when nally made to understand, he replies in a way that sunders the logic by which words and meanings are bound: “Oh, prefer? Oh yes—queer word. I never use it myself. But, sir, as I was saying, if he would but prefer—” (82). This verbal contagion that saps the sovereignty of meaning in linguistic exchange defines the queerness of the word that comes to epitomize </w:t>
      </w:r>
      <w:r w:rsidRPr="00DB75D7">
        <w:rPr>
          <w:rStyle w:val="StyleUnderline"/>
        </w:rPr>
        <w:t>Bartleby’s queerness, a queerness the story disposes us to see in its illegible materialty as a dangerous textual preference</w:t>
      </w:r>
      <w:r w:rsidRPr="00DB75D7">
        <w:rPr>
          <w:sz w:val="16"/>
        </w:rPr>
        <w:t xml:space="preserve">. Perhaps that explains why at one point the lawyer describes the effects produced by Bartleby’s phrase in terms that explicitly frame it in Sodomitical terms: “For a few moments I was turned into a pillar of salt” (69). In The Gift of Death, Jacques Derrida touches brie y on Melville’s tale. After noting that the scrivener’s famous phrase “says nothing, promises nothing, neither refuses nor accepts any- thing,” he calls it a “singularly insignificant statement [that]remind some of a nonlanguage.”21 In this context the word “insignificant” denotes a resistance to signification that makes </w:t>
      </w:r>
      <w:r w:rsidRPr="00DB75D7">
        <w:rPr>
          <w:rStyle w:val="StyleUnderline"/>
        </w:rPr>
        <w:t>Bartleby’s phrase</w:t>
      </w:r>
      <w:r w:rsidRPr="00DB75D7">
        <w:rPr>
          <w:sz w:val="16"/>
        </w:rPr>
        <w:t xml:space="preserve">, from the vantage point of the social order of meaning, an affront to the notion of value. Infecting linguistic communication with this element of “non-language,” it </w:t>
      </w:r>
      <w:r w:rsidRPr="00DB75D7">
        <w:rPr>
          <w:rStyle w:val="StyleUnderline"/>
        </w:rPr>
        <w:t>reifies the queerness of language as iterative machine and in doing so it gestures toward some- thing else at work in language,</w:t>
      </w:r>
      <w:r w:rsidRPr="00DB75D7">
        <w:rPr>
          <w:sz w:val="16"/>
        </w:rPr>
        <w:t xml:space="preserve"> something that communal norms of meaning and value seek to foreclose: the queerness that every regime of “what is” must construe as what is not, as the nothing, the negativity, or the preference for negation that threatens the normative order, whose name is always human community. And it’s not just the Right that pits human community against the queer threat to its future; the Left, and many who call themselves “queer,” embrace that position too. That’s how Left and Right acquire political legibility and come to share the political terrain; it’s even what makes them, in this sense at least, effectively interchangeable. Though each has a different vision of the human community it aims to procure, both aspire to realize the coherence of a social collectivity. Thus Michael </w:t>
      </w:r>
      <w:r w:rsidRPr="009603EB">
        <w:rPr>
          <w:rStyle w:val="StyleUnderline"/>
        </w:rPr>
        <w:t>Hardt</w:t>
      </w:r>
      <w:r w:rsidRPr="00DB75D7">
        <w:rPr>
          <w:sz w:val="16"/>
        </w:rPr>
        <w:t xml:space="preserve"> </w:t>
      </w:r>
      <w:r w:rsidRPr="009603EB">
        <w:rPr>
          <w:rStyle w:val="StyleUnderline"/>
        </w:rPr>
        <w:t>and</w:t>
      </w:r>
      <w:r w:rsidRPr="00DB75D7">
        <w:rPr>
          <w:sz w:val="16"/>
        </w:rPr>
        <w:t xml:space="preserve"> Antonio </w:t>
      </w:r>
      <w:r w:rsidRPr="009603EB">
        <w:rPr>
          <w:rStyle w:val="StyleUnderline"/>
        </w:rPr>
        <w:t>Negri</w:t>
      </w:r>
      <w:r w:rsidRPr="00DB75D7">
        <w:rPr>
          <w:sz w:val="16"/>
        </w:rPr>
        <w:t xml:space="preserve">, writing from the Left in Empire, the global bestseller they published in 2000, </w:t>
      </w:r>
      <w:r w:rsidRPr="009603EB">
        <w:rPr>
          <w:rStyle w:val="StyleUnderline"/>
        </w:rPr>
        <w:t>see in Bartleby what they characterize as “the absoluteness of refusal,</w:t>
      </w:r>
      <w:r w:rsidRPr="00DB75D7">
        <w:rPr>
          <w:sz w:val="16"/>
        </w:rPr>
        <w:t>” which they then align with the “hatred of authority” and the “refusal of voluntary servitude</w:t>
      </w:r>
      <w:r w:rsidRPr="009603EB">
        <w:rPr>
          <w:rStyle w:val="StyleUnderline"/>
        </w:rPr>
        <w:t>.” But their admiration for this queer refusal of the norm can only go so far. Such refusal may be, as they put it, “the beginning of a liberatory politics, but it is only a beginning</w:t>
      </w:r>
      <w:r w:rsidRPr="00DB75D7">
        <w:rPr>
          <w:sz w:val="16"/>
        </w:rPr>
        <w:t xml:space="preserve">. . . . What we need is to create a new social body, which is a project that goes well beyond refusal. . . . Beyond the simple refusal, or as part of that refusal, we need also to construct a new mode of life and above all a new community.”22 </w:t>
      </w:r>
      <w:r w:rsidRPr="009603EB">
        <w:rPr>
          <w:rStyle w:val="Emphasis"/>
        </w:rPr>
        <w:t>Here</w:t>
      </w:r>
      <w:r w:rsidRPr="009603EB">
        <w:rPr>
          <w:rStyle w:val="StyleUnderline"/>
        </w:rPr>
        <w:t xml:space="preserve"> sounds the doxa whose chorus aspires to incorporate us all: wealthy sponsors of the corporate humanities and neo-Marxist critics of global empire; </w:t>
      </w:r>
      <w:r w:rsidRPr="009603EB">
        <w:rPr>
          <w:rStyle w:val="Emphasis"/>
        </w:rPr>
        <w:t>the protestors of Occupy Wall Street and Wall Street’s CEOs</w:t>
      </w:r>
      <w:r w:rsidRPr="009603EB">
        <w:rPr>
          <w:rStyle w:val="StyleUnderline"/>
        </w:rPr>
        <w:t xml:space="preserve"> alike.</w:t>
      </w:r>
      <w:r w:rsidRPr="00DB75D7">
        <w:rPr>
          <w:sz w:val="16"/>
        </w:rPr>
        <w:t xml:space="preserve"> Bartleby, in his utter refusal to mean for communitarian ends, can possess no value except as a proof of negativity’s insufficiency. </w:t>
      </w:r>
      <w:r w:rsidRPr="009603EB">
        <w:rPr>
          <w:rStyle w:val="StyleUnderline"/>
        </w:rPr>
        <w:t xml:space="preserve">Hence the lawyer who authors Bartleby’s tale, unlike Melville who authors the lawyer’s, </w:t>
      </w:r>
      <w:r w:rsidRPr="009603EB">
        <w:rPr>
          <w:rStyle w:val="Emphasis"/>
        </w:rPr>
        <w:t xml:space="preserve">must conscript the </w:t>
      </w:r>
      <w:r>
        <w:rPr>
          <w:rStyle w:val="Emphasis"/>
        </w:rPr>
        <w:t>copyist to the cause of the hu</w:t>
      </w:r>
      <w:r w:rsidRPr="009603EB">
        <w:rPr>
          <w:rStyle w:val="Emphasis"/>
        </w:rPr>
        <w:t>man by making his resistance make sense</w:t>
      </w:r>
      <w:r w:rsidRPr="009603EB">
        <w:rPr>
          <w:rStyle w:val="StyleUnderline"/>
        </w:rPr>
        <w:t>.</w:t>
      </w:r>
      <w:r w:rsidRPr="00DB75D7">
        <w:rPr>
          <w:sz w:val="16"/>
        </w:rPr>
        <w:t xml:space="preserve"> His distance from community and his absence of anything “ordinarily human” must prove in the end his hypersensitivity to the pathos of the human and even his longing for a uto- pian “community” where “good tidings” and “hope” on their “errands of life” can neither be errant nor erring. Like Hardt and Negri, </w:t>
      </w:r>
      <w:r w:rsidRPr="00743D2E">
        <w:rPr>
          <w:rStyle w:val="StyleUnderline"/>
        </w:rPr>
        <w:t xml:space="preserve">the lawyer, that is, must refuse “the absoluteness of refusal,” forcibly wrenching Bartleby from the queerness of preferring not to accede to normative reason and sense. </w:t>
      </w:r>
      <w:r w:rsidRPr="00DB75D7">
        <w:rPr>
          <w:sz w:val="16"/>
        </w:rPr>
        <w:t xml:space="preserve">To appreciate the complex politics of these multiple negations of the queer as negation, and to conclude this discussion by bringing it back to the Occupy movement once more, let me place beside Hardt and Negri’s text an editorial from the politically conservative Daily Oklahoman of Oklahoma City. Published in the Sunday edition of the paper on November 6, 2011, the editorial, which bore the title “Goal Remains Fuzzy for Occupy Protestors,” appeared four days before the public reading of “Bartleby” on Wall Street. </w:t>
      </w:r>
      <w:r w:rsidRPr="00743D2E">
        <w:rPr>
          <w:rStyle w:val="StyleUnderline"/>
        </w:rPr>
        <w:t>But this editorial identified Bartleby with the Occupy movement in</w:t>
      </w:r>
      <w:r>
        <w:rPr>
          <w:rStyle w:val="StyleUnderline"/>
        </w:rPr>
        <w:t xml:space="preserve"> advance, intending that identifi</w:t>
      </w:r>
      <w:r w:rsidRPr="00743D2E">
        <w:rPr>
          <w:rStyle w:val="StyleUnderline"/>
        </w:rPr>
        <w:t>cation to discredit the movement and Bartleby both</w:t>
      </w:r>
      <w:r w:rsidRPr="00DB75D7">
        <w:rPr>
          <w:sz w:val="16"/>
        </w:rPr>
        <w:t>. Allow me to quote at length: “I would prefer not to.” So sayeth Bartleby, the intransigent copyist in a classic Herman Melville short story. To every request to earn his pay, to move on, to do something—anything— Bartleby would reply, “</w:t>
      </w:r>
      <w:r w:rsidRPr="00743D2E">
        <w:rPr>
          <w:rStyle w:val="StyleUnderline"/>
        </w:rPr>
        <w:t>I would prefer not to.” . . . “Bartleby, the Scrivener: A Story of Wall Street” is a study in petulant behavior met with inexplicable patience by Bartleby’s employer</w:t>
      </w:r>
      <w:r w:rsidRPr="00DB75D7">
        <w:rPr>
          <w:sz w:val="16"/>
        </w:rPr>
        <w:t xml:space="preserve">. The story of Wall Street today is one of petulance met with inexplicable patience by authorities dealing with the “Occupy This” movement that’s spread from lower Manhattan around the country. </w:t>
      </w:r>
      <w:r w:rsidRPr="00743D2E">
        <w:rPr>
          <w:rStyle w:val="StyleUnderline"/>
        </w:rPr>
        <w:t>Ask the occupiers what they hope to accomplish.</w:t>
      </w:r>
      <w:r w:rsidRPr="00DB75D7">
        <w:rPr>
          <w:sz w:val="16"/>
        </w:rPr>
        <w:t xml:space="preserve"> </w:t>
      </w:r>
      <w:r w:rsidRPr="00743D2E">
        <w:rPr>
          <w:rStyle w:val="StyleUnderline"/>
        </w:rPr>
        <w:t>They’d prefer not to tell you. Perhaps they don’t really know. Who’s in charge? They’d prefer not to tell you. Everyone is in charge. Nobody is. What good does it do to hang around a park, beat drums and occasionally march to a designated site?</w:t>
      </w:r>
      <w:r w:rsidRPr="00DB75D7">
        <w:rPr>
          <w:sz w:val="16"/>
        </w:rPr>
        <w:t xml:space="preserve"> </w:t>
      </w:r>
      <w:r w:rsidRPr="00743D2E">
        <w:rPr>
          <w:rStyle w:val="StyleUnderline"/>
        </w:rPr>
        <w:t xml:space="preserve">They’d prefer not to say. It’s the doing, not the point of it, that matters. </w:t>
      </w:r>
      <w:r w:rsidRPr="00DB75D7">
        <w:rPr>
          <w:sz w:val="16"/>
        </w:rPr>
        <w:t xml:space="preserve">Some occupiers have done their best to incite police reaction to their doings, all the better for news footage of how The Man is cracking the heads of the innocent. . . . . . . The “Occupy This” movement’s story is still being written. The childish and sometimes violent behavior of its participants is still being met with inexplicable patience. . . . </w:t>
      </w:r>
      <w:r w:rsidRPr="00B31E32">
        <w:rPr>
          <w:rStyle w:val="StyleUnderline"/>
        </w:rPr>
        <w:t>The people will express their intolerance for lawlessness at the ballot box.</w:t>
      </w:r>
      <w:r w:rsidRPr="00DB75D7">
        <w:rPr>
          <w:sz w:val="16"/>
        </w:rPr>
        <w:t xml:space="preserve"> That’s exactly where the movement could have beaten its drums, in the way the tea party did. </w:t>
      </w:r>
      <w:r w:rsidRPr="00B31E32">
        <w:rPr>
          <w:rStyle w:val="StyleUnderline"/>
        </w:rPr>
        <w:t xml:space="preserve">It preferred not to. Ah anarchy! Ah </w:t>
      </w:r>
      <w:r w:rsidRPr="00B31E32">
        <w:rPr>
          <w:rStyle w:val="StyleUnderline"/>
        </w:rPr>
        <w:lastRenderedPageBreak/>
        <w:t>enough already</w:t>
      </w:r>
      <w:r w:rsidRPr="00DB75D7">
        <w:rPr>
          <w:sz w:val="16"/>
        </w:rPr>
        <w:t xml:space="preserve">! 23 </w:t>
      </w:r>
      <w:r w:rsidRPr="00B31E32">
        <w:rPr>
          <w:rStyle w:val="Emphasis"/>
        </w:rPr>
        <w:t>The specter of anarchy, of radical lawlessness, of acts that have no point,</w:t>
      </w:r>
      <w:r w:rsidRPr="00B31E32">
        <w:rPr>
          <w:rStyle w:val="StyleUnderline"/>
        </w:rPr>
        <w:t xml:space="preserve"> </w:t>
      </w:r>
      <w:r w:rsidRPr="00B31E32">
        <w:rPr>
          <w:rStyle w:val="Emphasis"/>
        </w:rPr>
        <w:t>however little connection it bears to the Occupy protests themselves</w:t>
      </w:r>
      <w:r w:rsidRPr="00B31E32">
        <w:rPr>
          <w:rStyle w:val="StyleUnderline"/>
        </w:rPr>
        <w:t xml:space="preserve">, </w:t>
      </w:r>
      <w:r w:rsidRPr="00B31E32">
        <w:rPr>
          <w:rStyle w:val="Emphasis"/>
        </w:rPr>
        <w:t>is refused in defense of an implicit ideal of the integrated “social body</w:t>
      </w:r>
      <w:r w:rsidRPr="00DB75D7">
        <w:rPr>
          <w:sz w:val="16"/>
        </w:rPr>
        <w:t xml:space="preserve">,” </w:t>
      </w:r>
      <w:r w:rsidRPr="00B31E32">
        <w:rPr>
          <w:rStyle w:val="StyleUnderline"/>
        </w:rPr>
        <w:t>the harmonious community endorsed by Hardt and Negri’s text as well.</w:t>
      </w:r>
      <w:r w:rsidRPr="00DB75D7">
        <w:rPr>
          <w:sz w:val="16"/>
        </w:rPr>
        <w:t xml:space="preserve"> Unlike Hardt and Negri, though, the author of the editorial fully acknowledges the force of Bartleby’s queerness and draws a reasonable conclusion about where resistance to reason must lead. </w:t>
      </w:r>
      <w:r w:rsidRPr="00B31E32">
        <w:rPr>
          <w:rStyle w:val="StyleUnderline"/>
        </w:rPr>
        <w:t>If the Left would normalize Bartleby as a crucial step toward a “new community,” then the Right perceives, correctly, his threat to community as such.</w:t>
      </w:r>
      <w:r w:rsidRPr="00DB75D7">
        <w:rPr>
          <w:sz w:val="16"/>
        </w:rPr>
        <w:t xml:space="preserve"> And it recognizes something else that the Left too frequently ignores as well: that the Bartlebys of the world don’t ask to be liked and the queer remains whatever a given order cannot accept. </w:t>
      </w:r>
      <w:r w:rsidRPr="00B31E32">
        <w:rPr>
          <w:rStyle w:val="Emphasis"/>
        </w:rPr>
        <w:t>All progressivism in politics, all gradualist normalization, aspires, in the end, to the very same thing that moves the radical Right: the elimination of the queer;</w:t>
      </w:r>
      <w:r w:rsidRPr="00DB75D7">
        <w:rPr>
          <w:sz w:val="16"/>
        </w:rPr>
        <w:t xml:space="preserve"> not, however, by resorting to the violence of or outside the law, but by constructing a community from whose total embrace no one would be excluded. No one except those Bartlebys excluded through forcible inclu- sion, eliminated by being turned into pillars of the collectivity they resist. Consider, in this context, “</w:t>
      </w:r>
      <w:r w:rsidRPr="00DC7FF5">
        <w:rPr>
          <w:rStyle w:val="StyleUnderline"/>
        </w:rPr>
        <w:t>Occupy Bartleby,” a post that appeared on a left-leaning blog in response to the Oklahoman’s editorial.</w:t>
      </w:r>
      <w:r w:rsidRPr="00DB75D7">
        <w:rPr>
          <w:sz w:val="16"/>
        </w:rPr>
        <w:t xml:space="preserve"> With the inten- tion of defending the Occupy movement and Bartleby at once, </w:t>
      </w:r>
      <w:r w:rsidRPr="00DC7FF5">
        <w:rPr>
          <w:rStyle w:val="StyleUnderline"/>
        </w:rPr>
        <w:t>the author of the blog post offers a rival interpretation of the tale:</w:t>
      </w:r>
      <w:r w:rsidRPr="00DB75D7">
        <w:rPr>
          <w:sz w:val="16"/>
        </w:rPr>
        <w:t xml:space="preserve"> “The point the editorial seems to make is that the protestors are as strange as Bartleby, but that misses the main message of the story. It’s a simplistic reading. </w:t>
      </w:r>
      <w:r w:rsidRPr="00EB6572">
        <w:rPr>
          <w:rStyle w:val="StyleUnderline"/>
        </w:rPr>
        <w:t>The real point is that Bartleby’s protest, like the Occupier’s protest, actually represents a sane and human reaction to an indifferent world dictated by the greed of Wall Street</w:t>
      </w:r>
      <w:r w:rsidRPr="00DB75D7">
        <w:rPr>
          <w:sz w:val="16"/>
        </w:rPr>
        <w:t xml:space="preserve">.”24 For all the difference in their political viewpoints and their approaches to Melville’s story, the editorial and the blog post pray side-by- side to the gods of the “sane” and the “human.” </w:t>
      </w:r>
      <w:r w:rsidRPr="00EB6572">
        <w:rPr>
          <w:rStyle w:val="StyleUnderline"/>
        </w:rPr>
        <w:t>The left-wing blogger denies Bartleby’s strangeness to enshrine him at the heart of community, while the right-wing author, alert to that strangeness, rejects him for the community’s good.</w:t>
      </w:r>
      <w:r w:rsidRPr="00DB75D7">
        <w:rPr>
          <w:sz w:val="16"/>
        </w:rPr>
        <w:t xml:space="preserve"> </w:t>
      </w:r>
      <w:r w:rsidRPr="00EB6572">
        <w:rPr>
          <w:rStyle w:val="Emphasis"/>
        </w:rPr>
        <w:t>Both would eliminate the queerness that doesn’t worship the gods of the polis</w:t>
      </w:r>
      <w:r w:rsidRPr="00DB75D7">
        <w:rPr>
          <w:sz w:val="16"/>
        </w:rPr>
        <w:t xml:space="preserve">, recalling the indictment of Socrates that led to his date with a hemlock cocktail for “refusing to recognize the gods recognized by the state” and “corrupting the youth.”25 </w:t>
      </w:r>
    </w:p>
    <w:p w:rsidR="003A3EE5" w:rsidRDefault="003A3EE5" w:rsidP="00DE5E47">
      <w:pPr>
        <w:pStyle w:val="Heading3"/>
      </w:pPr>
      <w:bookmarkStart w:id="55" w:name="_Toc489138946"/>
      <w:r>
        <w:lastRenderedPageBreak/>
        <w:t>Link: Utopianism</w:t>
      </w:r>
      <w:bookmarkEnd w:id="55"/>
      <w:r>
        <w:t xml:space="preserve"> </w:t>
      </w:r>
    </w:p>
    <w:p w:rsidR="003A3EE5" w:rsidRPr="002224DC" w:rsidRDefault="003A3EE5" w:rsidP="003A3EE5">
      <w:pPr>
        <w:pStyle w:val="Heading4"/>
        <w:rPr>
          <w:rStyle w:val="Style13ptBold"/>
          <w:b/>
        </w:rPr>
      </w:pPr>
      <w:r>
        <w:rPr>
          <w:rStyle w:val="Style13ptBold"/>
          <w:b/>
        </w:rPr>
        <w:t xml:space="preserve">Utopian politics are predetermined by Capital’s colonization of relationships and the future—only a rupture in the here and now provides an escape from social order. </w:t>
      </w:r>
    </w:p>
    <w:p w:rsidR="003A3EE5" w:rsidRPr="008C5226" w:rsidRDefault="003A3EE5" w:rsidP="003A3EE5">
      <w:pPr>
        <w:jc w:val="both"/>
        <w:rPr>
          <w:rStyle w:val="Style13ptBold"/>
          <w:b w:val="0"/>
        </w:rPr>
      </w:pPr>
      <w:r>
        <w:rPr>
          <w:rStyle w:val="Style13ptBold"/>
        </w:rPr>
        <w:t>baedan 12</w:t>
      </w:r>
      <w:r w:rsidRPr="008C5226">
        <w:rPr>
          <w:rStyle w:val="Style13ptBold"/>
          <w:sz w:val="16"/>
        </w:rPr>
        <w:t xml:space="preserve"> </w:t>
      </w:r>
      <w:r w:rsidRPr="008C5226">
        <w:rPr>
          <w:rStyle w:val="Style13ptBold"/>
          <w:b w:val="0"/>
          <w:sz w:val="16"/>
        </w:rPr>
        <w:t xml:space="preserve">[baedan-journal of queer nihilism-issue one. Summer 2012. The Anarchist Library. </w:t>
      </w:r>
      <w:hyperlink r:id="rId17" w:history="1">
        <w:r w:rsidRPr="008C5226">
          <w:rPr>
            <w:rStyle w:val="Hyperlink"/>
            <w:sz w:val="16"/>
          </w:rPr>
          <w:t>https://theanarchistlibrary.org/library/baedan-baedan</w:t>
        </w:r>
      </w:hyperlink>
      <w:r w:rsidRPr="008C5226">
        <w:rPr>
          <w:rStyle w:val="Style13ptBold"/>
          <w:b w:val="0"/>
          <w:sz w:val="16"/>
        </w:rPr>
        <w:t>. SH]</w:t>
      </w:r>
    </w:p>
    <w:p w:rsidR="003A3EE5" w:rsidRPr="002615D0" w:rsidRDefault="003A3EE5" w:rsidP="003A3EE5">
      <w:pPr>
        <w:jc w:val="both"/>
        <w:rPr>
          <w:rStyle w:val="StyleUnderline"/>
        </w:rPr>
      </w:pPr>
      <w:r w:rsidRPr="002615D0">
        <w:rPr>
          <w:sz w:val="16"/>
        </w:rPr>
        <w:t xml:space="preserve">In the course of Camatte’s life, his work in “Against Domestication” marks a shift in his theory from left-communism to anti-civilization ideas. This piece would later inspire a tremendous amount of Anglophone anti-civ theory. His argument is that </w:t>
      </w:r>
      <w:r w:rsidRPr="008B7620">
        <w:rPr>
          <w:rStyle w:val="StyleUnderline"/>
        </w:rPr>
        <w:t>the</w:t>
      </w:r>
      <w:r w:rsidRPr="002615D0">
        <w:rPr>
          <w:rStyle w:val="StyleUnderline"/>
        </w:rPr>
        <w:t xml:space="preserve"> specific </w:t>
      </w:r>
      <w:r w:rsidRPr="008B7620">
        <w:rPr>
          <w:rStyle w:val="StyleUnderline"/>
        </w:rPr>
        <w:t>future-oriented nature of capital</w:t>
      </w:r>
      <w:r w:rsidRPr="002615D0">
        <w:rPr>
          <w:rStyle w:val="StyleUnderline"/>
        </w:rPr>
        <w:t>—its tendency to accumulate the future—</w:t>
      </w:r>
      <w:r w:rsidRPr="008B7620">
        <w:rPr>
          <w:rStyle w:val="StyleUnderline"/>
        </w:rPr>
        <w:t>allowed capitalism to develop into the monstrosity that it is. Beyond just appropriating the living labor of human beings and commodifying it as dead labor,</w:t>
      </w:r>
      <w:r w:rsidRPr="002615D0">
        <w:rPr>
          <w:rStyle w:val="StyleUnderline"/>
        </w:rPr>
        <w:t xml:space="preserve"> Camatte argues that </w:t>
      </w:r>
      <w:r w:rsidRPr="008B7620">
        <w:rPr>
          <w:rStyle w:val="StyleUnderline"/>
        </w:rPr>
        <w:t>capital</w:t>
      </w:r>
      <w:r w:rsidRPr="002615D0">
        <w:rPr>
          <w:rStyle w:val="StyleUnderline"/>
        </w:rPr>
        <w:t xml:space="preserve"> has </w:t>
      </w:r>
      <w:r w:rsidRPr="008B7620">
        <w:rPr>
          <w:rStyle w:val="StyleUnderline"/>
        </w:rPr>
        <w:t xml:space="preserve">colonized human beings themselves, </w:t>
      </w:r>
      <w:r w:rsidRPr="00586FF1">
        <w:rPr>
          <w:rStyle w:val="StyleUnderline"/>
        </w:rPr>
        <w:t>c</w:t>
      </w:r>
      <w:r w:rsidRPr="002615D0">
        <w:rPr>
          <w:rStyle w:val="StyleUnderline"/>
        </w:rPr>
        <w:t xml:space="preserve">onstituting their very being and </w:t>
      </w:r>
      <w:r w:rsidRPr="008B7620">
        <w:rPr>
          <w:rStyle w:val="StyleUnderline"/>
        </w:rPr>
        <w:t>re-creating human relations into communities of capital.</w:t>
      </w:r>
      <w:r w:rsidRPr="002615D0">
        <w:rPr>
          <w:rStyle w:val="StyleUnderline"/>
        </w:rPr>
        <w:t xml:space="preserve"> He describes this process—the anthropomorphizing of capital—</w:t>
      </w:r>
      <w:r w:rsidRPr="008B7620">
        <w:rPr>
          <w:rStyle w:val="StyleUnderline"/>
        </w:rPr>
        <w:t>as domestication</w:t>
      </w:r>
      <w:r w:rsidRPr="002615D0">
        <w:rPr>
          <w:rStyle w:val="StyleUnderline"/>
        </w:rPr>
        <w:t>. In coming to colonize every aspect of life within industrial society, capital thus comes to dominate individuals’ futures as much as their presents</w:t>
      </w:r>
      <w:r w:rsidRPr="002615D0">
        <w:rPr>
          <w:sz w:val="16"/>
        </w:rPr>
        <w:t xml:space="preserve">. Camatte continues: The established societies that existed in previous times dominated the present and to a lesser extent the past, while the revolutionary movement had for itself the future. Bourgeois revolutions and the proletarian revolutions have had to guarantee progress, but this progress depended on the existence of a future valorized in relation to a present and a past that is to be abolished. In each case… the past is presented as shrouded in darkness, while the future is all shining light. </w:t>
      </w:r>
      <w:r w:rsidRPr="002615D0">
        <w:rPr>
          <w:rStyle w:val="StyleUnderline"/>
        </w:rPr>
        <w:t xml:space="preserve">Capital has conquered the future. </w:t>
      </w:r>
      <w:r w:rsidRPr="008B7620">
        <w:rPr>
          <w:rStyle w:val="StyleUnderline"/>
        </w:rPr>
        <w:t>Capital has no fear of utopias, since it even tends to produce them. The future is a field for the production of profit. In order to generate the future</w:t>
      </w:r>
      <w:r w:rsidRPr="002615D0">
        <w:rPr>
          <w:rStyle w:val="StyleUnderline"/>
        </w:rPr>
        <w:t xml:space="preserve">, to bring it into being, </w:t>
      </w:r>
      <w:r w:rsidRPr="008B7620">
        <w:rPr>
          <w:rStyle w:val="StyleUnderline"/>
        </w:rPr>
        <w:t>people must now be conditioned as a function of a strictly preconceived process of production</w:t>
      </w:r>
      <w:r w:rsidRPr="002615D0">
        <w:rPr>
          <w:sz w:val="16"/>
        </w:rPr>
        <w:t xml:space="preserve">: this is programming brought to its highest point…. Domination of the past, the present and the future, gives rise to a structural representation, where </w:t>
      </w:r>
      <w:r w:rsidRPr="002615D0">
        <w:rPr>
          <w:rStyle w:val="StyleUnderline"/>
        </w:rPr>
        <w:t>everything is reduced to a [combination] of social relations, productive forces, or mythmemes, etc, arranged in such a way as to cohere as a totality.</w:t>
      </w:r>
      <w:r>
        <w:rPr>
          <w:rStyle w:val="StyleUnderline"/>
        </w:rPr>
        <w:t xml:space="preserve"> </w:t>
      </w:r>
      <w:r w:rsidRPr="002615D0">
        <w:rPr>
          <w:sz w:val="16"/>
        </w:rPr>
        <w:t xml:space="preserve">This totality is our situation. History is only the record of centuries of defeat and the triumph of capital over the dead. </w:t>
      </w:r>
      <w:r w:rsidRPr="008B7620">
        <w:rPr>
          <w:rStyle w:val="StyleUnderline"/>
        </w:rPr>
        <w:t>The future is a horizon dominated by its representation as the sphere of expansion possibilities and new technologies. And around us are the innumerable institutions, technologies and processes that would use us as the submissive tools for this process of domination</w:t>
      </w:r>
      <w:r w:rsidRPr="002615D0">
        <w:rPr>
          <w:sz w:val="16"/>
        </w:rPr>
        <w:t xml:space="preserve">. This is what it means to describe capitalism as a totality. This is why we don’t simply argue against a specific economic system, but against industrial society itself; not for a particular management of the means of production, but against them altogether. </w:t>
      </w:r>
      <w:r w:rsidRPr="002615D0">
        <w:rPr>
          <w:rStyle w:val="StyleUnderline"/>
        </w:rPr>
        <w:t xml:space="preserve">That capital now forms the horizon of our lives is evident. </w:t>
      </w:r>
      <w:r w:rsidRPr="008B7620">
        <w:rPr>
          <w:rStyle w:val="StyleUnderline"/>
        </w:rPr>
        <w:t>To say “no future” means to say that we have no future except for one drifting at sea, blown at all times by the winds of the unfolding crisis of the capitalist mode of production.</w:t>
      </w:r>
      <w:r w:rsidRPr="002615D0">
        <w:rPr>
          <w:rStyle w:val="StyleUnderline"/>
        </w:rPr>
        <w:t xml:space="preserve"> Precarious employment, lifetimes of debt, the impossibility of retirement, the need to constantly remake oneself through countless techniques-of-the-self in order to bring oneself to market as a pretty new commodity, rent, bills, credit: the facts of our own daily reproduction force us to continually sell, not just our bodily capacity, but our futures as well. Every time we offer up our body in a medical study, or turn a trick, or run a scam, we are wagering our futures against the daunting task of surviving another month in hell.</w:t>
      </w:r>
      <w:r>
        <w:rPr>
          <w:rStyle w:val="StyleUnderline"/>
        </w:rPr>
        <w:t xml:space="preserve"> </w:t>
      </w:r>
      <w:r w:rsidRPr="002615D0">
        <w:rPr>
          <w:sz w:val="16"/>
        </w:rPr>
        <w:t xml:space="preserve">The editors of the anti-state communist journal Endnotes write in their second issue: Capitalist self-perpetuation presents itself as eternalization it appears infinite, without a beyond. Since this relation projects itself into an infinite future, revolutionary theory necessarily concerns itself with rupture, with an interruption in the very temporality of the relation. What could such an interruption look like? How can we imagine a force capable of blockading the ceaseless flow of time into the future? Let’s return to Edelman. He cites a passage from a campaign for a ‘parents bill of right’ (a political campaign aimed a ‘strengthening the family’): It is time to join together and acknowledge that the work that parents do is indispensable—that by nourishing those small bodies and growing those small souls, they create the store of social and human capital that is so essential to the health and wealth of our nation. Simply put, by creating the conditions that allow parents to cherish their children, we will ensure our collective future. Edelman continues by analyzing the campaign: Ignore for a moment what demands to be called the transparency of this appeal. Ignore, that is, how quickly the spiritualizing vision of parents “nourishing and growing… small bodies… small souls” gives way to a rhetoric offering instead the far more pragmatic (and politically imperative) investment in the “human capital… essential to the health and wealth of our nation.” Ignore, by so doing, how the passage renominates those human “souls” as “capital” [and] prompts us to “cherish” these “capitalized” humans precisely insofar as they come to embody this thereby humanized “capital.” Ignore all this and one’s eyes might still pop to discover that only political intervention will “allow… parents to cherish their children” so as to “ensure our collective future”—or ensure… that our present will always be mortgaged to a fantasmatic future in the name of the political “capital” that those children will thus have become. And thus the ideology of reproductive futurism </w:t>
      </w:r>
      <w:r w:rsidRPr="002615D0">
        <w:rPr>
          <w:sz w:val="16"/>
        </w:rPr>
        <w:lastRenderedPageBreak/>
        <w:t xml:space="preserve">comes full circuit within the context of future-oriented capitalism. </w:t>
      </w:r>
      <w:r w:rsidRPr="008B7620">
        <w:rPr>
          <w:rStyle w:val="StyleUnderline"/>
        </w:rPr>
        <w:t>The full force of the political and symbolic orders is put into the thrust to reproduce</w:t>
      </w:r>
      <w:r w:rsidRPr="002615D0">
        <w:rPr>
          <w:rStyle w:val="StyleUnderline"/>
        </w:rPr>
        <w:t xml:space="preserve">—to reproduce </w:t>
      </w:r>
      <w:r w:rsidRPr="008B7620">
        <w:rPr>
          <w:rStyle w:val="StyleUnderline"/>
        </w:rPr>
        <w:t>the Child</w:t>
      </w:r>
      <w:r w:rsidRPr="002615D0">
        <w:rPr>
          <w:rStyle w:val="StyleUnderline"/>
        </w:rPr>
        <w:t xml:space="preserve">. But here we see that capital’s ever-expanding reach claims the future and even the souls of not-yet-born children. </w:t>
      </w:r>
      <w:r w:rsidRPr="008B7620">
        <w:rPr>
          <w:rStyle w:val="StyleUnderline"/>
        </w:rPr>
        <w:t>Capital must</w:t>
      </w:r>
      <w:r w:rsidRPr="002615D0">
        <w:rPr>
          <w:rStyle w:val="StyleUnderline"/>
        </w:rPr>
        <w:t xml:space="preserve"> continue to </w:t>
      </w:r>
      <w:r w:rsidRPr="008B7620">
        <w:rPr>
          <w:rStyle w:val="StyleUnderline"/>
        </w:rPr>
        <w:t>expand</w:t>
      </w:r>
      <w:r w:rsidRPr="002615D0">
        <w:rPr>
          <w:rStyle w:val="StyleUnderline"/>
        </w:rPr>
        <w:t xml:space="preserve">, and can </w:t>
      </w:r>
      <w:r w:rsidRPr="008B7620">
        <w:rPr>
          <w:rStyle w:val="StyleUnderline"/>
        </w:rPr>
        <w:t>only</w:t>
      </w:r>
      <w:r w:rsidRPr="002615D0">
        <w:rPr>
          <w:rStyle w:val="StyleUnderline"/>
        </w:rPr>
        <w:t xml:space="preserve"> do so </w:t>
      </w:r>
      <w:r w:rsidRPr="008B7620">
        <w:rPr>
          <w:rStyle w:val="StyleUnderline"/>
        </w:rPr>
        <w:t>by appropriating each of our futures, and</w:t>
      </w:r>
      <w:r w:rsidRPr="002615D0">
        <w:rPr>
          <w:rStyle w:val="StyleUnderline"/>
        </w:rPr>
        <w:t xml:space="preserve"> even those of the </w:t>
      </w:r>
      <w:r w:rsidRPr="008B7620">
        <w:rPr>
          <w:rStyle w:val="StyleUnderline"/>
        </w:rPr>
        <w:t>children</w:t>
      </w:r>
      <w:r w:rsidRPr="002615D0">
        <w:rPr>
          <w:rStyle w:val="StyleUnderline"/>
        </w:rPr>
        <w:t xml:space="preserve"> we could someday have. And the forward-thrust of reproductive futurism must serve its purpose, to continually procure sacrifices to the unending process of domestication where capital comes to possess all life. Capital is our future; and yet there is no future. It is within this contradiction—the expansion of capital into all areas of life versus the impossibility of living a life within capitalism—that we must orient our study and theorize how we might interrupt the endless perpetuation of the present order.</w:t>
      </w:r>
      <w:r>
        <w:rPr>
          <w:rStyle w:val="StyleUnderline"/>
        </w:rPr>
        <w:t xml:space="preserve"> </w:t>
      </w:r>
      <w:r w:rsidRPr="002615D0">
        <w:rPr>
          <w:sz w:val="16"/>
        </w:rPr>
        <w:t xml:space="preserve">To do so, of course, requires an acute skepticism toward the fantasy of the future. Edelman: We might like to believe that with patience, with work, with generous contributions to lobbying groups or generous participation in activist groups or generous doses of legal savvy and electoral sophistication, the future will hold a place for us—a place at the political table that won’t have to come at the cost of the places we seek in the bed or the bar or the baths. But there are no queers in that future as there can be no future for queers, chosen as they are to bear the bad tidings that there can be no future at all… That future is nothing but kid stuff, reborn each day to screen out the grave that gapes from within the lifeless letter, luring us into, ensnaring us in, reality’s gossamer web. This belief in a future for queers that Edelman points to is most recently demonstrated by the “It Gets Better” campaign, a series of viral YouTube videos directed at queer youth which promise them that life must get better if only they’re patient enough. Celebrities, politicians and people of all walks of life joined together to champion the beautiful inevitability of a better future. In the campaign’s response to the very real atrocity of queer teen suicide, it only pushes the atrocity away and encourages its audience to submit patiently to continued misery. In trying to drive death off, they drive off life, replacing it with sacrifice and waiting for a better future. The campaign promises a fulfilling world which exists beyond the nightmare of high school, yet somehow fails to mention the waking nightmares of debt, work, family, disease, depression and anxiety which the future must surely deliver. Of these videos the most vile and perhaps the most telling is a recent release by the San Francisco Police Department depicting queer police officers telling their coming-out stories and assuring the viewers of the better future to come. Along with these assurances, they further implore queer youth to call on the police department if in need, declaring “it will get better, and until it does, we’ll be here for you.” </w:t>
      </w:r>
      <w:r w:rsidRPr="008B7620">
        <w:rPr>
          <w:rStyle w:val="StyleUnderline"/>
        </w:rPr>
        <w:t>The future will continue its mirage-like spectacle, promising redemption yet continually deferring its delivery.</w:t>
      </w:r>
      <w:r w:rsidRPr="002615D0">
        <w:rPr>
          <w:rStyle w:val="StyleUnderline"/>
        </w:rPr>
        <w:t xml:space="preserve"> The further we progress down its path, the farther we’ll be from the utopia it teases us with. </w:t>
      </w:r>
      <w:r w:rsidRPr="008B7620">
        <w:rPr>
          <w:rStyle w:val="StyleUnderline"/>
        </w:rPr>
        <w:t>We’ll consistently arrive where we imagined the future would take us, only to find that the desert of modern life continues to stretch out in every direction</w:t>
      </w:r>
      <w:r w:rsidRPr="002615D0">
        <w:rPr>
          <w:sz w:val="16"/>
        </w:rPr>
        <w:t xml:space="preserve">—that the passage of time has continued to deliver us up anew for pure repetition of the same: the same exploitation, alienation, depression, meaninglessness. </w:t>
      </w:r>
      <w:r w:rsidRPr="002615D0">
        <w:rPr>
          <w:rStyle w:val="StyleUnderline"/>
        </w:rPr>
        <w:t xml:space="preserve">If queerness is to be our weapon, we must fanatically avoid any tendency toward reproductive futurism that would dull our daggers. </w:t>
      </w:r>
      <w:r w:rsidRPr="008B7620">
        <w:rPr>
          <w:rStyle w:val="StyleUnderline"/>
        </w:rPr>
        <w:t>We must refuse the institutions of the future, whether high schools or police departments, that eternally immiserate our present</w:t>
      </w:r>
      <w:r w:rsidRPr="002615D0">
        <w:rPr>
          <w:rStyle w:val="StyleUnderline"/>
        </w:rPr>
        <w:t xml:space="preserve">. If we are to cease the skyward growth of the pile of queer bodies sacrificed at the feet of the future, we </w:t>
      </w:r>
      <w:r w:rsidRPr="008B7620">
        <w:rPr>
          <w:rStyle w:val="StyleUnderline"/>
        </w:rPr>
        <w:t>must silence the chorus of it-gets-betters and attack, here and now, at whatever is making it unbearable.</w:t>
      </w:r>
    </w:p>
    <w:p w:rsidR="003A3EE5" w:rsidRPr="003A3EE5" w:rsidRDefault="003A3EE5" w:rsidP="003A3EE5"/>
    <w:p w:rsidR="00DE5E47" w:rsidRDefault="00DE5E47" w:rsidP="00DE5E47">
      <w:pPr>
        <w:pStyle w:val="Heading3"/>
      </w:pPr>
      <w:bookmarkStart w:id="56" w:name="_Toc489138947"/>
      <w:r>
        <w:lastRenderedPageBreak/>
        <w:t>***Impacts***</w:t>
      </w:r>
      <w:bookmarkEnd w:id="56"/>
    </w:p>
    <w:p w:rsidR="00DE5E47" w:rsidRPr="00085065" w:rsidRDefault="00DE5E47" w:rsidP="00DE5E47"/>
    <w:p w:rsidR="0090145D" w:rsidRDefault="0090145D" w:rsidP="00DE5E47">
      <w:pPr>
        <w:pStyle w:val="Heading3"/>
      </w:pPr>
      <w:bookmarkStart w:id="57" w:name="_Hlk489023689"/>
      <w:bookmarkStart w:id="58" w:name="_Toc489138948"/>
      <w:r>
        <w:lastRenderedPageBreak/>
        <w:t>Impact: Biocapitalist Withering</w:t>
      </w:r>
      <w:bookmarkEnd w:id="58"/>
    </w:p>
    <w:p w:rsidR="0090145D" w:rsidRPr="00D1238B" w:rsidRDefault="0090145D" w:rsidP="0090145D">
      <w:pPr>
        <w:pStyle w:val="Heading4"/>
        <w:rPr>
          <w:sz w:val="28"/>
        </w:rPr>
      </w:pPr>
      <w:r w:rsidRPr="00D1238B">
        <w:rPr>
          <w:sz w:val="28"/>
        </w:rPr>
        <w:t>This reproductive futurity forwards contradictory narratives of disability as vector for incapacity and opportunity for biocapitalist intervention. The impact is the pathologization, withering and abandonment of queer kids of color</w:t>
      </w:r>
    </w:p>
    <w:p w:rsidR="0090145D" w:rsidRPr="00D1238B" w:rsidRDefault="0090145D" w:rsidP="0090145D">
      <w:pPr>
        <w:rPr>
          <w:sz w:val="18"/>
        </w:rPr>
      </w:pPr>
      <w:r w:rsidRPr="00D1238B">
        <w:rPr>
          <w:rStyle w:val="Style13ptBold"/>
          <w:sz w:val="28"/>
        </w:rPr>
        <w:t xml:space="preserve">Fritsch 16 </w:t>
      </w:r>
      <w:r w:rsidRPr="00D1238B">
        <w:rPr>
          <w:sz w:val="18"/>
        </w:rPr>
        <w:t>[Kelly Fritsch, Banting Postdoctoral Fellow at the Women and Gender Studies Institute and Technoscience Research Unit, University of Toronto. Fritsch holds a doctorate in Social and Political Thought from York University and is co-editor of Keywords for Radicals: The Contested Vocabulary of Late Capitalist Struggle, “Cripping Neoliberal Futurity: Marking the Elsewhere and Elsewhen of Desiring Otherwise”, Feral Feminisims Untimely Bodies: Futurity Resistance, and Non-Normative Embodiment, Issue 5, Spring 2016]</w:t>
      </w:r>
    </w:p>
    <w:p w:rsidR="0090145D" w:rsidRDefault="0090145D" w:rsidP="0090145D">
      <w:pPr>
        <w:rPr>
          <w:rStyle w:val="Emphasis"/>
        </w:rPr>
      </w:pPr>
      <w:r w:rsidRPr="00D1238B">
        <w:rPr>
          <w:sz w:val="16"/>
          <w:szCs w:val="20"/>
        </w:rPr>
        <w:t xml:space="preserve">Fighting for the Children Edelman’s contention is that </w:t>
      </w:r>
      <w:r w:rsidRPr="00D1238B">
        <w:rPr>
          <w:rStyle w:val="StyleUnderline"/>
        </w:rPr>
        <w:t>reproductive futurism disavows all that threatens to end the future, particularly emphasizing the role of the queer as that which “names the side of those not ‘fighting for the children,’ the side outside of the consensus by which all politics confirms the absolute value of reproductive futurism</w:t>
      </w:r>
      <w:r w:rsidRPr="00D1238B">
        <w:rPr>
          <w:sz w:val="16"/>
          <w:szCs w:val="20"/>
        </w:rPr>
        <w:t xml:space="preserve">” (2004, 3). While </w:t>
      </w:r>
      <w:r w:rsidRPr="00D1238B">
        <w:rPr>
          <w:rStyle w:val="StyleUnderline"/>
        </w:rPr>
        <w:t>the Child represents the heteronormative future, the queer can only signify “the negativity opposed to every form of social viability”</w:t>
      </w:r>
      <w:r w:rsidRPr="00D1238B">
        <w:rPr>
          <w:sz w:val="16"/>
          <w:szCs w:val="20"/>
        </w:rPr>
        <w:t xml:space="preserve"> (2004, 9) and thereby threatens the social order because the queer “raises the spectre of, not just a worse future, but precisely ‘no future’” (White 2013, 23). Edelman calls on queers to embrace the negative and to “fuck the social order and the Child in whose name we’re collectively terrorized” (2004, 29), suggesting that the ethical value of queerness is precisely in “accepting its figural status as resistance to the viability of the social” (2004, 3). For Edelman, queers who seek gay marriage, military service, or adoption thus “jump on the bandwagon of reproductive futurism” (McRuer 2008) and reproduce “the conditions of queer abjection” (White 2013, 23). Instead, Edelman calls on queers to “acquiesce to the charge that we are society’s worst nightmare and to embrace our figuration as the negative force working against the social order” (McRuer 2008), for “</w:t>
      </w:r>
      <w:r w:rsidRPr="00D1238B">
        <w:rPr>
          <w:rStyle w:val="StyleUnderline"/>
        </w:rPr>
        <w:t>queerness can never define an identity; it can only disturb one” (</w:t>
      </w:r>
      <w:r w:rsidRPr="00D1238B">
        <w:rPr>
          <w:sz w:val="16"/>
          <w:szCs w:val="20"/>
        </w:rPr>
        <w:t xml:space="preserve">Edelman 2004, 17). Edelman thus provocatively asks: “while not seeking to refute the lies that pervade [...] familiar right-wing diatribes [about our capacity to destroy society], do we also have the courage to acknowledge, and even embrace, their correlative truths?” (2004, 22). While asserting that his anti-social strategy “promises, in more than one sense of the phrase, absolutely nothing” (2004, 5) and further noting that his project is “impossible” (2004, 4), he does argue that </w:t>
      </w:r>
      <w:r w:rsidRPr="00D1238B">
        <w:rPr>
          <w:sz w:val="16"/>
        </w:rPr>
        <w:t>embracing queer negativity “can have no justification if justification requires it to reinforce some positive social value; its value, instead, resides in its challenge to value as defined by the social, and thus in its radical challenge to the very value of the social itself” (</w:t>
      </w:r>
      <w:r w:rsidRPr="00D1238B">
        <w:rPr>
          <w:sz w:val="16"/>
          <w:szCs w:val="20"/>
        </w:rPr>
        <w:t xml:space="preserve">2004, 6). For “queerness exposes the obliquity of our relation to what we experience in and as social reality, alerting us to the fantasies structurally necessary in order to sustain it and engaging those fantasies through the figural logics, the linguistic structures, that shape them” (2004, 6-7). Edelman suggests that </w:t>
      </w:r>
      <w:r w:rsidRPr="00D1238B">
        <w:rPr>
          <w:rStyle w:val="StyleUnderline"/>
        </w:rPr>
        <w:t>queerness is what can challenge “futurism’s unquestioned good”</w:t>
      </w:r>
      <w:r w:rsidRPr="00D1238B">
        <w:rPr>
          <w:sz w:val="16"/>
          <w:szCs w:val="20"/>
        </w:rPr>
        <w:t xml:space="preserve"> (2004, 7) and also resist the idea that if there is no baby there is no future, and that without a future, social organization, collective reality, and life itself is undone (2004, 13). Edelman asserts “that we do not intend a new politics, a better society, a brighter tomorrow” and choose instead to “not choose the Child” and “insist that the future stop here,” for the future is “is mere repetition and just as lethal as the past” (2004, 31). </w:t>
      </w:r>
      <w:r w:rsidRPr="00D1238B">
        <w:rPr>
          <w:sz w:val="16"/>
        </w:rPr>
        <w:t>Commenting on Edelman’s negation of the future, Jose Esteban Muñoz writes in Cruising Utopia: The Then and There of Queer Futurity: “When I negotiate the ever-increasing sidewalk obstacles produced by oversized baby strollers on parade in the city in which I live, the sheer magnitude of the vehicles that flaunt the incredible mandate of reproduction as world- historical virtue, I could not be more hailed” (2009, 92) by the queer imperative to not fight for the children. Yet Muñoz also notes: “As strongly as I reject reproductive futurity, I nonetheless refuse to give up on concepts such as politics, hope, and a future that is not kid stuff” (2009, 92), for “</w:t>
      </w:r>
      <w:r w:rsidRPr="00D1238B">
        <w:rPr>
          <w:rStyle w:val="StyleUnderline"/>
        </w:rPr>
        <w:t>all children are not the privileged white babies to whom contemporary society caters</w:t>
      </w:r>
      <w:r w:rsidRPr="00D1238B">
        <w:rPr>
          <w:sz w:val="16"/>
        </w:rPr>
        <w:t>” (2009, 94). Muñoz further elucidates: “</w:t>
      </w:r>
      <w:r w:rsidRPr="00D1238B">
        <w:rPr>
          <w:rStyle w:val="StyleUnderline"/>
        </w:rPr>
        <w:t xml:space="preserve">Racialized kids, queer kids, are not the sovereign princes of futurity. </w:t>
      </w:r>
      <w:r w:rsidRPr="00D1238B">
        <w:rPr>
          <w:sz w:val="16"/>
        </w:rPr>
        <w:t xml:space="preserve">Although Edelman does indicate that </w:t>
      </w:r>
      <w:r w:rsidRPr="00D1238B">
        <w:rPr>
          <w:rStyle w:val="StyleUnderline"/>
        </w:rPr>
        <w:t xml:space="preserve">the future of the child as futurity is different from the future of actual children, </w:t>
      </w:r>
      <w:r w:rsidRPr="00D1238B">
        <w:rPr>
          <w:sz w:val="16"/>
        </w:rPr>
        <w:t>his framing nonetheless accepts and reproduces this monolithic figure of the child that is indeed always already white” (2009, 95). In addition to McRuer’s critique of the Child as always already able-bodied, other queer and disability studies scholars have echoed Munoz’s critique. For example, Kafer writes that “</w:t>
      </w:r>
      <w:r w:rsidRPr="00D1238B">
        <w:rPr>
          <w:rStyle w:val="Emphasis"/>
        </w:rPr>
        <w:t>this always already whiteness is a whiteness framed by and understood through regimes of health and hygiene” whereby racialized and queer kids cast out of reproductive futurity “have been and continue to be framed as sick, as pathological, as contagious,” marking the co-constitution of race, class, and disability as delimiting reproductive futurity</w:t>
      </w:r>
      <w:r w:rsidRPr="00D1238B">
        <w:rPr>
          <w:sz w:val="16"/>
        </w:rPr>
        <w:t xml:space="preserve"> (2013, 32). This conclusion is also echoed in the work of Mel Chen (2011) and Deborah Cohler (2014). Kafer and Muñoz agree that “it is important not to hand over futurity to normative white reproductive futurity” (Muñoz 2009, 95), for “[t]he dominant model of futurity is indeed ‘winning,’ but that is all the more reason to call on a utopian political imagination that will enable us to glimpse another time and place: a ‘not-yet’ where queer youths of colour actually get to grow up” (96). Indeed, Muñoz comments that “[t]he way to deal with the asymmetries and violent frenzies that mark the present is not to forget the future. The here-and-now is simply not enough” </w:t>
      </w:r>
      <w:r w:rsidRPr="00D1238B">
        <w:rPr>
          <w:sz w:val="16"/>
        </w:rPr>
        <w:lastRenderedPageBreak/>
        <w:t xml:space="preserve">(2009, 96), leading Kafer to suggest that the task at hand is to “imagine disability and disability futures otherwise” (2013, 34). Following Muñoz (2009) and Kafer (2013), it is important to fight for the future, but to do so requires addressing the ways by which neoliberal futurity depends upon both negating the futures of disability while also promoting particular inclusions of disability. Thus, while the ableism that underlies the ways in which Kafer’s future is written on her body and the ways in which disabled lives are not tractable, these accounts do not mark the ways in which neoliberal futurity promotes and capacitates certain disabled lives so as to affirm particular forms of biocapitalism and inclusion that have implications for the way in which disability can become in the world. It is not enough then, to invest in the neoliberal biocapitalist forms of enhanced futures of disabled people. Rather, it is imperative to turn away from the myth of the future that forecloses the possibility of other worlds. In 2014, Kristin Nelson’s radio documentary told the story of Paige Cunliffe, a 21-year- old woman living in Ontario, Canada who became developmentally disabled after a bout of meningitis at the age of 13 months. For most of Paige’s life her mother Pam was her primary caregiver, but Pam found that she was no longer able to care fulltime for Paige once Paige became an adult. After waiting on a list to be placed in a group home for over 10 years, Paige was instead placed in a long-term nursing care home. Paige was not alone in this placement; between 2008-2012 in Ontario, over 5000 people with developmental disabilities under the age of 65 were admitted to long-term care homes. While long-term care is designed for people who require 24/7 care, most of the residents of long-term care facilities are elderly patients who are not ideal peers for a social and energetic 21-year-old such as Paige. Within the care home, there are few activities available that suit Paige’s needs and interests and, with a caretaker-to-resident ratio of 1:11, Pam notes that Paige is often left sitting alone in soiled clothing for hours. The waiting list for a group home in Ontario includes over 12,000 developmentally disabled people. In a group-home setting, Paige would be with peers, engaged in activities, and have a worker-to-resident ratio of 1:3. With such a long list, Nelson notes that Paige may be living with the very sick and the elderly for up to 20 years. However, Paige’s withering, like the withering experienced by many disabled people, is not simply a story about a lack of material resources that would allow for the flourishing of disabled lives. Rather, withering and flourishing are not simply a matter of resources (personal or state) but also invoke forms of futurity that privilege only certain forms of the future for disability and disabled people. Disabled people who can be easily accommodated, included, enhanced, and capacitated by forms of biocapitalism are much more likely to thrive. Such thriving, however, must still contend with the way in which neoliberal futurity is embedded within the logic of the suffering disabled child who is not expected to grow up. Paige’s withering, then, is related to the enhancement of others; simply capacitating Paige within the context of neoliberal futurity does not address the myriad ways in which disability functions within neoliberal economies. </w:t>
      </w:r>
      <w:r w:rsidRPr="00D1238B">
        <w:rPr>
          <w:rStyle w:val="StyleUnderline"/>
        </w:rPr>
        <w:t>The ambiguity by which neoliberal futurity mobilizes the suffering disabled child as both a site of no future and a site of enhancement marks disability as contested terrain</w:t>
      </w:r>
      <w:r w:rsidRPr="00D1238B">
        <w:rPr>
          <w:sz w:val="16"/>
        </w:rPr>
        <w:t xml:space="preserve">. Through the examples traced in this article, neoliberal futurity is deployed slightly differently. For Clarence, there can be no future for her disabled children. For Cure SMA, </w:t>
      </w:r>
      <w:r w:rsidRPr="00D1238B">
        <w:rPr>
          <w:rStyle w:val="StyleUnderline"/>
        </w:rPr>
        <w:t>disability produces only a diminishing and dependent child with no future, so it is imperative to invest in a biocapitalist future that can overcome</w:t>
      </w:r>
      <w:r w:rsidRPr="00D1238B">
        <w:rPr>
          <w:sz w:val="16"/>
        </w:rPr>
        <w:t xml:space="preserve"> SMA. Jerry’s Kids are presented as having no future, even when confronted with grown-up renegades. The telethon and contemporary fundraising initiatives encourage a hope and investment in processes of enhancement and cure as the only possible future for disability. For Rapp, there is no future for particular disabled children, but there is hope in having another child. The MWF marks disabled children as having no future, but gives the child hope for life today, which is utilized for medical compliance that might prolong the child’s life. With all this focus on the child, it is no wonder that Paige is an unanticipated adult: while there now exists a vaccine to prevent Paige’s condition, it is too late for Paige to receive the future promised by this vaccine (Nelson 2014). Paige is not asking for anything that the telethon, fundraisers, or the MWF can provide—Paige did not die and Paige cannot overcome her condition. There are compelling reasons to follow Edelman towards negating the Child and the future when thinking through the forms of neoliberal futurity open to disability. Consider, for example, if embracing the withering of Paige opens possibilities that are not readily apparent when advocating for a future, especially a future that is entrenched in cure and enhancement? Is there a way to read Paige as failure, dysfunction, loss, tragedy, or suffering so as to avoid turning her into a form of difference that can be capacitated or simply left to wither? There are good reasons to embrace Paige’s suffering as a way of affirming that the tractable futures available to some disabled adults are not enough. Suffering can be mobilized as a way to highlight the ways in which not all forms of disability can be easily accommodated or adapted by neoliberal forms of capacitation. Using suffering to draw attention to forms of withering that some disabled people experience can be a helpful political strategy, but must be used with caution given the historical mobilization of suffering as a way to mark disabled lives as those not worth living. A politics of suffering is one way to bridge queer and crip theory to highlight the differential ways in which not all disabled people suffer equally, thus exposing the structural forces at play in the capacitation and withering of disabled bodies.</w:t>
      </w:r>
      <w:r w:rsidRPr="00D1238B">
        <w:rPr>
          <w:rStyle w:val="StyleUnderline"/>
        </w:rPr>
        <w:t xml:space="preserve"> </w:t>
      </w:r>
      <w:r w:rsidRPr="00D1238B">
        <w:rPr>
          <w:sz w:val="16"/>
        </w:rPr>
        <w:t>Some disabled people are capacitated in ways that are counterproductive to radically refiguring the world, whereas others are debilitated through violent processes that should not be celebrated. There is no one way to experience suffering, nor can we reduce or trivialize particular instances of suffering. Although it is not possible to entirely escape the frame in which disability-related suffering has been historically shaped and mobilized to render lives as not worth living, shared social experiences of suffering can push us to think more critically about the ways in which suffering is mobilized and to whose benefit.</w:t>
      </w:r>
      <w:r w:rsidRPr="00D1238B">
        <w:rPr>
          <w:rStyle w:val="StyleUnderline"/>
        </w:rPr>
        <w:t xml:space="preserve"> </w:t>
      </w:r>
      <w:r w:rsidRPr="00D1238B">
        <w:rPr>
          <w:sz w:val="16"/>
        </w:rPr>
        <w:t xml:space="preserve">However, as this article has shown, disability cannot operate in a full negation of the figure of the Child or unequivocally embrace “no future,” as disability is always already embedded in the production of the future as a future of technological and medical advances—a future to be found through the saving grace of biocapitalism. The future is accessible, happy, hopeful, and inclusive, even when it is not (Fritsch 2013). </w:t>
      </w:r>
      <w:r w:rsidRPr="00D1238B">
        <w:rPr>
          <w:rStyle w:val="Emphasis"/>
        </w:rPr>
        <w:t>Disability, through neoliberal biocapitalist processes of capacitation and withering, participates in the formation of the figure of the Child, and is thus an important site of contestation.</w:t>
      </w:r>
    </w:p>
    <w:p w:rsidR="0090145D" w:rsidRPr="0090145D" w:rsidRDefault="0090145D" w:rsidP="0090145D"/>
    <w:p w:rsidR="004143C4" w:rsidRDefault="004143C4" w:rsidP="004143C4">
      <w:pPr>
        <w:pStyle w:val="Heading3"/>
      </w:pPr>
      <w:bookmarkStart w:id="59" w:name="_Toc489138949"/>
      <w:r>
        <w:lastRenderedPageBreak/>
        <w:t>Impact: Capitalism</w:t>
      </w:r>
      <w:bookmarkEnd w:id="59"/>
    </w:p>
    <w:p w:rsidR="004143C4" w:rsidRDefault="004143C4" w:rsidP="004143C4">
      <w:pPr>
        <w:pStyle w:val="Heading4"/>
      </w:pPr>
      <w:r>
        <w:t>Reproductive futurity provides the vector for capitalist expansion—only the alternative can disrupt circuits of accumulation</w:t>
      </w:r>
    </w:p>
    <w:p w:rsidR="004143C4" w:rsidRDefault="004143C4" w:rsidP="004143C4">
      <w:r>
        <w:rPr>
          <w:b/>
          <w:sz w:val="26"/>
          <w:szCs w:val="26"/>
        </w:rPr>
        <w:t xml:space="preserve">Baedan 12’ </w:t>
      </w:r>
      <w:r>
        <w:t xml:space="preserve">[baedan, 2012, “baedan”, The Anarchist Library, 19-21] ER </w:t>
      </w:r>
    </w:p>
    <w:p w:rsidR="004143C4" w:rsidRDefault="004143C4" w:rsidP="004143C4">
      <w:pPr>
        <w:rPr>
          <w:sz w:val="16"/>
        </w:rPr>
      </w:pPr>
      <w:r w:rsidRPr="00BC0C26">
        <w:rPr>
          <w:sz w:val="16"/>
        </w:rPr>
        <w:t xml:space="preserve">To further ground Edelman’s theory of the Child and contemporary debates around </w:t>
      </w:r>
      <w:r w:rsidRPr="0044060E">
        <w:rPr>
          <w:rStyle w:val="Emphasis"/>
        </w:rPr>
        <w:t>reproduction in the specific historical context which gave rise to Capitalism</w:t>
      </w:r>
      <w:r w:rsidRPr="00BC0C26">
        <w:rPr>
          <w:sz w:val="16"/>
        </w:rPr>
        <w:t xml:space="preserve">, we’ll turn briefly to the work of Silvia Federici in her book Caliban and the Witch. In Caliban, Federici studies the rise of Capitalism in Europe through the process of primitive accumulation. For Federici, the shift from feudalism to </w:t>
      </w:r>
      <w:r w:rsidRPr="0044060E">
        <w:rPr>
          <w:rStyle w:val="Emphasis"/>
        </w:rPr>
        <w:t>capitalism was only possible through the accumulation of the bodies of women and consequently through the development of their bodily capacity into a site specifically for the reproduction of a proletarianized workforce.</w:t>
      </w:r>
      <w:r w:rsidRPr="00BC0C26">
        <w:rPr>
          <w:sz w:val="16"/>
        </w:rPr>
        <w:t xml:space="preserve"> Her history illustrates that rather than a seamless transition, the period was marked by a constant oscillation between insurrection and counter-insurgency. </w:t>
      </w:r>
      <w:r w:rsidRPr="00BC0C26">
        <w:rPr>
          <w:rStyle w:val="StyleUnderline"/>
        </w:rPr>
        <w:t>She characterizes the peasants and proletarianized workers who rebelled against the State and in the wake of the black plague as having “no care for the future,” severed as they were from any comfortable teleological fantasy</w:t>
      </w:r>
      <w:r w:rsidRPr="00BC0C26">
        <w:rPr>
          <w:sz w:val="16"/>
        </w:rPr>
        <w:t xml:space="preserve">. </w:t>
      </w:r>
      <w:r w:rsidRPr="00BC0C26">
        <w:rPr>
          <w:rStyle w:val="StyleUnderline"/>
        </w:rPr>
        <w:t>She argues that the autonomy and power which peasant women (and queers) held over their own bodies had to be destroyed in order for the nascent bourgeois class to turn them into machines of reproductive labor.</w:t>
      </w:r>
      <w:r w:rsidRPr="00BC0C26">
        <w:rPr>
          <w:sz w:val="16"/>
        </w:rPr>
        <w:t xml:space="preserve"> We’ll quote her in elaborating the specific way in which the construction of the atomized unit of social reproduction—the family—was crucial in the process of putting down early medieval revolt against capitalism: In the middle ages, migration, vagabondage, and the rise of crimes against property were part of the resistance to impoverishment and dispossession; these phenomena now took on massive proportions. Everywhere—if we give credit to the complaints of contemporary authorities—vagabonds were swarming, changing cities, crossing borders, sleeping in the haystacks or crowding at the gates of towns—a vast humanity involved in a diaspora of its own, that for decades escaped the authorities’ control…. A massive reclamation and reappropriation of the stolen communal wealth was underway…. </w:t>
      </w:r>
      <w:r w:rsidRPr="00BC0C26">
        <w:rPr>
          <w:rStyle w:val="Emphasis"/>
        </w:rPr>
        <w:t>In pursuit of social discipline, an attack was launched against all forms of collective sociality and sexuality including sports, games, dances, ale-wakes, festivals, and other group-rituals that had been a source of boding and solidarity among workers…. What was at stake was the desocializaton or decollectivization of the reproduction of the work-force</w:t>
      </w:r>
      <w:r w:rsidRPr="00BC0C26">
        <w:rPr>
          <w:sz w:val="16"/>
        </w:rPr>
        <w:t xml:space="preserve">, as well as the attempt to impose a more productive use of leisure time…. The physical enclosure operated by land privatization and the hedging of the commons was amplified by a process of social enclosure, the reproduction of workers shifting from the open field to the home, from the community to the family, from the public space, to the private. hrough her argument, Federici consistently turns to the historical atrocity which was the witch hunts as the primary figure of the destruction of women’s power and the subsequent accumulation of their bodies as womb-machines. She specifically argues that in the 16th and 17th centuries, a collective narrative circulated in attempt to foment anti-witch paranoia and fervor which charged witches as being child murderers. Common conceptions held that witches would, under the guise of being healers, enter the homes of their employers and sacrifice their children to the Devil. At a time when states and families were becoming largely concerned with population decline, this fear lead to a tremendous hatred against those accused of witchcraft. </w:t>
      </w:r>
      <w:r w:rsidRPr="00BC0C26">
        <w:rPr>
          <w:rStyle w:val="Emphasis"/>
        </w:rPr>
        <w:t>Here, we see the emergence of the primacy of the Child as the governing symbol of the ideological and material reproduction of class society.</w:t>
      </w:r>
      <w:r w:rsidRPr="00BC0C26">
        <w:rPr>
          <w:sz w:val="16"/>
        </w:rPr>
        <w:t xml:space="preserve"> Witches, and medieval women more broadly, can then be situated within the structural category of queerness laid out by Edelman: </w:t>
      </w:r>
      <w:r w:rsidRPr="0044060E">
        <w:rPr>
          <w:rStyle w:val="Emphasis"/>
        </w:rPr>
        <w:t>the category of those who refuse enslavement to the future in the form of the Child</w:t>
      </w:r>
      <w:r w:rsidRPr="00BC0C26">
        <w:rPr>
          <w:sz w:val="16"/>
        </w:rPr>
        <w:t>. It is also of note, though Federici only mentions it in an endnote, that there was a very strong association between witchcraft and queerness, and that countless queers met their deaths during the witch hunts. Federici argues that with …</w:t>
      </w:r>
      <w:r w:rsidRPr="0044060E">
        <w:rPr>
          <w:rStyle w:val="Emphasis"/>
        </w:rPr>
        <w:t xml:space="preserve">the enslavement of women to procreation… their wombs became public territory, controlled by men and the state, and procreation was directly placed at the service of capitalist accumulation… Marx never acknowledged that procreation could become a terrain of exploitation and by the same token a terrain of resistance. </w:t>
      </w:r>
      <w:r w:rsidRPr="00BC0C26">
        <w:rPr>
          <w:rStyle w:val="StyleUnderline"/>
        </w:rPr>
        <w:t>He never imagined that women could refuse to reproduce, or that such a refusal could become part of class struggle</w:t>
      </w:r>
      <w:r w:rsidRPr="00BC0C26">
        <w:rPr>
          <w:sz w:val="16"/>
        </w:rPr>
        <w:t xml:space="preserve">…. Women going on strike against child making. This blind spot within Marx’s thought must remain present in our critique of reproductive futurism and its social order. It is useful to examine the moments where people willfully resisted the reproduction of society through the subtraction of their bodies from the flows of futurity. It is readily apparent how, </w:t>
      </w:r>
      <w:r w:rsidRPr="00BC0C26">
        <w:rPr>
          <w:sz w:val="16"/>
        </w:rPr>
        <w:lastRenderedPageBreak/>
        <w:t xml:space="preserve">at the historic moment described in Caliban, the literal refusal to create children was a practice of resistance to the state’s domination of their bodies. </w:t>
      </w:r>
      <w:r w:rsidRPr="00BC0C26">
        <w:rPr>
          <w:rStyle w:val="StyleUnderline"/>
        </w:rPr>
        <w:t>This bodily resistance and refusal is vital still today, but our contemporary struggle is not one solely waged against the requirement to produce actual children. We are confronted with the symbol of the Child whose interests and whose face governs the operations of politics and of all political subjects. A different kind of strike will be necessary to refuse the fantastic power of the Child.</w:t>
      </w:r>
      <w:r w:rsidRPr="00BC0C26">
        <w:rPr>
          <w:sz w:val="16"/>
        </w:rPr>
        <w:t xml:space="preserve"> The future industry has come into its own and assumed an enormous scope</w:t>
      </w:r>
      <w:r w:rsidRPr="00BC0C26">
        <w:rPr>
          <w:rStyle w:val="StyleUnderline"/>
        </w:rPr>
        <w:t xml:space="preserve">. </w:t>
      </w:r>
      <w:r w:rsidRPr="0044060E">
        <w:rPr>
          <w:rStyle w:val="Emphasis"/>
        </w:rPr>
        <w:t>Capital enters this new field and begins to exploit it, which leads to further expropriation of people and a reinforcement of their domestication. This hold over the future is what distinguishes capital from all other modes of production</w:t>
      </w:r>
      <w:r w:rsidRPr="00BC0C26">
        <w:rPr>
          <w:rStyle w:val="StyleUnderline"/>
        </w:rPr>
        <w:t xml:space="preserve">. </w:t>
      </w:r>
      <w:r w:rsidRPr="00BC0C26">
        <w:rPr>
          <w:sz w:val="16"/>
        </w:rPr>
        <w:t xml:space="preserve">From its earliest origins capital’s relationship to the past or present has always been of less importance than its relationship to the future. Capital’s only lifeblood is in the exchange it conducts with labor power. </w:t>
      </w:r>
    </w:p>
    <w:p w:rsidR="004143C4" w:rsidRPr="00AF1B9B" w:rsidRDefault="004143C4" w:rsidP="004143C4"/>
    <w:p w:rsidR="005A160F" w:rsidRDefault="005A160F" w:rsidP="005A160F">
      <w:pPr>
        <w:pStyle w:val="Heading3"/>
      </w:pPr>
      <w:bookmarkStart w:id="60" w:name="_Toc489138950"/>
      <w:r>
        <w:lastRenderedPageBreak/>
        <w:t>Impact: Homonationalism</w:t>
      </w:r>
      <w:bookmarkEnd w:id="60"/>
      <w:r>
        <w:t xml:space="preserve"> </w:t>
      </w:r>
    </w:p>
    <w:p w:rsidR="005A160F" w:rsidRDefault="005A160F" w:rsidP="005A160F">
      <w:pPr>
        <w:pStyle w:val="Heading4"/>
      </w:pPr>
    </w:p>
    <w:p w:rsidR="005A160F" w:rsidRDefault="005A160F" w:rsidP="005A160F">
      <w:pPr>
        <w:pStyle w:val="Heading4"/>
      </w:pPr>
      <w:r>
        <w:t xml:space="preserve">Reproductive futurism culminates in a homonationalist consolidation of empire where imperial wars secure the future through the extermination of deviant black and brown communities </w:t>
      </w:r>
    </w:p>
    <w:p w:rsidR="005A160F" w:rsidRDefault="005A160F" w:rsidP="005A160F">
      <w:r w:rsidRPr="00085065">
        <w:rPr>
          <w:rStyle w:val="Heading4Char"/>
        </w:rPr>
        <w:t xml:space="preserve">Schotten 2015 </w:t>
      </w:r>
      <w:r>
        <w:t>[C. Heike, Associate Professor of Political Science and an affiliated faculty in Women's and Gender Studies at the University of Massachusetts Boston "Homonationalist Futurism:“Terrorism” and (Other) Queer Resistance to Empire." New Political Science 37.1 (2015): 71-90.]</w:t>
      </w:r>
    </w:p>
    <w:p w:rsidR="005A160F" w:rsidRDefault="005A160F" w:rsidP="005A160F">
      <w:pPr>
        <w:rPr>
          <w:sz w:val="16"/>
        </w:rPr>
      </w:pPr>
      <w:r w:rsidRPr="00085065">
        <w:rPr>
          <w:sz w:val="16"/>
        </w:rPr>
        <w:t xml:space="preserve">In queer theory, No Future has largely been read as making an argument regarding the constitutive heteronormativity of the social order. Edelman names this heteronormativity “reproductive futurism” and argues that it inevitably dooms homosexuals—branded as non-reproductive sexual nihilists—to instantiating society’s death drive. I contend, however, that No Future can be understood more generically as a work of political theory, especially given that Edelman explicitly describes its subject matter—reproductive futurism—as “the logic within which the political itself must be thought.”14 Identifying this political theory, however, requires some appropriation, given that, ultimately, Edelman is more concerned with Lacan than politics. Reading with and into the text, then, I propose three modifications of the psychoanalytic politics Edelman advances in No Future in order to more fully appropriate it for political theorizing.15 The first is to insert a distinction between the “futurism” and “reproductive futurism” he discusses, the latter being understood as a specific version of the former. Put simply, </w:t>
      </w:r>
      <w:r w:rsidRPr="007E3C0D">
        <w:rPr>
          <w:rStyle w:val="StyleUnderline"/>
        </w:rPr>
        <w:t>futurism is synopsized by the “presupposition that the body politic must survive,”</w:t>
      </w:r>
      <w:r w:rsidRPr="00085065">
        <w:rPr>
          <w:sz w:val="16"/>
        </w:rPr>
        <w:t xml:space="preserve">16 </w:t>
      </w:r>
      <w:r w:rsidRPr="007E3C0D">
        <w:rPr>
          <w:rStyle w:val="StyleUnderline"/>
        </w:rPr>
        <w:t>the</w:t>
      </w:r>
      <w:r w:rsidRPr="00085065">
        <w:rPr>
          <w:sz w:val="16"/>
        </w:rPr>
        <w:t xml:space="preserve"> putatively apolitical article of </w:t>
      </w:r>
      <w:r w:rsidRPr="007E3C0D">
        <w:rPr>
          <w:rStyle w:val="StyleUnderline"/>
        </w:rPr>
        <w:t>faith in the</w:t>
      </w:r>
      <w:r w:rsidRPr="00085065">
        <w:rPr>
          <w:sz w:val="16"/>
        </w:rPr>
        <w:t xml:space="preserve"> necessary </w:t>
      </w:r>
      <w:r w:rsidRPr="007E3C0D">
        <w:rPr>
          <w:rStyle w:val="StyleUnderline"/>
        </w:rPr>
        <w:t>continuity of politics as such.</w:t>
      </w:r>
      <w:r w:rsidRPr="00085065">
        <w:rPr>
          <w:sz w:val="16"/>
        </w:rPr>
        <w:t xml:space="preserve"> “[E]very political vision,” Edelman claims, is “a vision of futurity.”17 More specifically, reproductive futurism is characterized by “a set of values widely thought of as extrapolitical: values that center on the family, to be sure, but that focus on the protection of children.”18 The iconographic signifier of reproductive futurism is the child; its mantra, “Whitney Houston’s rendition of the secular hymn, ‘I believe that children are our future,’ a hymn we might as well simply declare our national anthem and be done with it.”19 Reproductive futurism is the apolitical imperative that the present be held in service to the children’s future adulthood: [W]e are no more able to conceive of a politics without a fantasy of a future than we are able to conceive of a future without the figure of the Child. That figural Child alone embodies the citizen as an ideal, entitled to claim full rights to its future share in the nation’s good, though always at the cost of limiting the rights “real” citizens are allowed. </w:t>
      </w:r>
      <w:r w:rsidRPr="00085065">
        <w:rPr>
          <w:rStyle w:val="StyleUnderline"/>
        </w:rPr>
        <w:t>For the</w:t>
      </w:r>
      <w:r w:rsidRPr="007E3C0D">
        <w:rPr>
          <w:rStyle w:val="StyleUnderline"/>
        </w:rPr>
        <w:t xml:space="preserve"> social order exists to preserve for this universalized subject, this fantasmatic Child, a notional freedom more highly valued than the actuality of freedom itself</w:t>
      </w:r>
      <w:r w:rsidRPr="00085065">
        <w:rPr>
          <w:sz w:val="16"/>
        </w:rPr>
        <w:t xml:space="preserve">, which might, after all, put at risk the Child to whom such a freedom falls due.20 Whether discussing the survival of the body politic (futurism) or the future as symbolized by the child (reproductive futurism), Edelman is clear that the presuppositions of both are deemed apolitical, although that is precisely what makes them “so oppressively political.”21 For the presuppositions of (reproductive) futurism are the very terms of politics as such. To participate in politics at all, even in protest or dissent, requires that one “submit to the framing of political debate—and, indeed, of the political field—as defined by the terms of ...reproductive futurism: terms that impose an ideological limit on political discourse as such.”22 This is how and why Edelman says that there is no future for queers: politics itself designates “queers” as futureless. </w:t>
      </w:r>
      <w:r w:rsidRPr="007E3C0D">
        <w:rPr>
          <w:rStyle w:val="StyleUnderline"/>
        </w:rPr>
        <w:t>By definition, politics seeks to install an order of sameness through the ideological (re)production of a future that promises a</w:t>
      </w:r>
      <w:r w:rsidRPr="00085065">
        <w:rPr>
          <w:sz w:val="16"/>
        </w:rPr>
        <w:t xml:space="preserve"> seamless </w:t>
      </w:r>
      <w:r w:rsidRPr="007E3C0D">
        <w:rPr>
          <w:rStyle w:val="StyleUnderline"/>
        </w:rPr>
        <w:t>plenitude of meaning</w:t>
      </w:r>
      <w:r w:rsidRPr="00085065">
        <w:rPr>
          <w:sz w:val="16"/>
        </w:rPr>
        <w:t xml:space="preserve">. Rather than acknowledge the impossibility of such an achievement, however, </w:t>
      </w:r>
      <w:r w:rsidRPr="007E3C0D">
        <w:rPr>
          <w:rStyle w:val="StyleUnderline"/>
        </w:rPr>
        <w:t>this failing is</w:t>
      </w:r>
      <w:r w:rsidRPr="00085065">
        <w:rPr>
          <w:sz w:val="16"/>
        </w:rPr>
        <w:t xml:space="preserve"> instead </w:t>
      </w:r>
      <w:r w:rsidRPr="007E3C0D">
        <w:rPr>
          <w:rStyle w:val="StyleUnderline"/>
        </w:rPr>
        <w:t>foisted onto a</w:t>
      </w:r>
      <w:r w:rsidRPr="00085065">
        <w:rPr>
          <w:sz w:val="16"/>
        </w:rPr>
        <w:t xml:space="preserve"> person, </w:t>
      </w:r>
      <w:r w:rsidRPr="007E3C0D">
        <w:rPr>
          <w:rStyle w:val="StyleUnderline"/>
        </w:rPr>
        <w:t>people</w:t>
      </w:r>
      <w:r w:rsidRPr="00085065">
        <w:rPr>
          <w:sz w:val="16"/>
        </w:rPr>
        <w:t>, or set of forces that instantiate that impossibility in their very existence. These unforgivable obstacles to futurism’s achievement are “queers”: “</w:t>
      </w:r>
      <w:r w:rsidRPr="007E3C0D">
        <w:rPr>
          <w:rStyle w:val="StyleUnderline"/>
        </w:rPr>
        <w:t>the queer dispossesses the social order of the ground on which it rests</w:t>
      </w:r>
      <w:r w:rsidRPr="002F3242">
        <w:rPr>
          <w:rStyle w:val="StyleUnderline"/>
        </w:rPr>
        <w:t>: a faith in the consistent reality of the social ... a faith that politics, whether of the left or of the right, implicitly affirms.”</w:t>
      </w:r>
      <w:r w:rsidRPr="00085065">
        <w:rPr>
          <w:sz w:val="16"/>
        </w:rPr>
        <w:t>23 Defined as non-reproductive sexual nihilists</w:t>
      </w:r>
      <w:r w:rsidRPr="002F3242">
        <w:rPr>
          <w:rStyle w:val="StyleUnderline"/>
        </w:rPr>
        <w:t>, the positioning of queers as culture’s self-indulgent, sex-obsessed death drive thus functions to secure the health, happiness, and adult normality of heterosexually reproducing humanity.</w:t>
      </w:r>
      <w:r w:rsidRPr="00085065">
        <w:rPr>
          <w:sz w:val="16"/>
        </w:rPr>
        <w:t xml:space="preserve"> While this persuasive reading of heteronormativity and homophobia has generated the most critical enthusiasm for No Future, I want to argue that reproductive futurism is neither exhaustive of the political nor futurism’s exclusive form. However hegemonic, reproductive futurism is only “one of the forms” this “calamity” might take.24 For clearly one can invest in the future as signified by any number of possible oppressive and unattainable ideals: not only the child, but also, for example, Christ, security (for example Hobbes), or the American way. </w:t>
      </w:r>
      <w:r w:rsidRPr="002F3242">
        <w:rPr>
          <w:rStyle w:val="StyleUnderline"/>
        </w:rPr>
        <w:t>As Edelman himself observes, “The Child, in the historical epoch of our current epistemological regime, is the figure for this compulsory investment in the misrecognition of figure.”</w:t>
      </w:r>
      <w:r w:rsidRPr="00085065">
        <w:rPr>
          <w:sz w:val="16"/>
        </w:rPr>
        <w:t>25 Futurism itself, however, he calls “the substrate of politics.”26 My second proposed modification follows from the first, its mandate being to situate Edelman’s political theory more distinctly within history.27 In this regard, suspicious reader John Brenkman helpfully provides the political theory references missing from No Future, noting that “modern critical social discourse, whether among the Enlightenment’s philosophes, French revolutionaries, Marxists, social democrats, or contemporary socialists and democrats” all engage in the kind of future-wagering Edelman describes as definitively political.28 Historically, Brenkman is correct—</w:t>
      </w:r>
      <w:r w:rsidRPr="006370BD">
        <w:rPr>
          <w:rStyle w:val="StyleUnderline"/>
        </w:rPr>
        <w:t>futurism is a distinctively modern phenomenon that must be tethered to, among other things, the advent of industrial capitalism, colonialism, and the rise of the nation-state.</w:t>
      </w:r>
      <w:r w:rsidRPr="00085065">
        <w:rPr>
          <w:sz w:val="16"/>
        </w:rPr>
        <w:t xml:space="preserve"> </w:t>
      </w:r>
      <w:r w:rsidRPr="00085065">
        <w:rPr>
          <w:sz w:val="16"/>
        </w:rPr>
        <w:lastRenderedPageBreak/>
        <w:t xml:space="preserve">This second modification makes clear that, in naming futurism, Edelman has identified a fundamental baseline of modernity and the workings of modern politics. However, Brenkman’s concern is less with history than the fact that Edelman seems to foreclose the possibility of such critical discourse by consigning it to the same status as the discourse of the Catholic Church and the religious Right. While Brenkman’s point is well-taken, it is already Edelman’s. For, whether liberal or conservative, Left or Right, communist or fascist, every modern political theory is invested in the repetition and reproduction of the social order, cast as a future aspirational ideal, to which the present is held hostage. This is as true of conservative movements as of radical or revolutionary ones—modern politics as such is defined by its investment in reproducing an order of sameness at the expense of the difference of now.29 Tavia Nyong’o has argued that Edelman’s reading of homophobia operates as a kind of nostalgia for a political moment already past, a moment when homosexuality really did pose an ominous and spectral threat to the social order, but does so no longer.30 However—and this is the third modification I wish to assert—the “queer” of No Future is by no means a crudely identitarian homosexual subject, nor is the child solely emblematic of procreation and childrearing. Edelman would agree with at least part of this point. He insists there is “nothing intrinsic to the constitution of those identifying as lesbian, gay, bisexual, transgendered, transsexual, or queer” that “predisposes them to resist the appeal of futurity, to refuse the temptation to reproduce, or to place themselves outside or against the acculturating logic of the Symbolic.”31 And indeed, it is not difficult to find examples of gay reproductive futurism, the most obvious being the movement for “marriage equality.” As former Human Rights Campaign (HRC) President Joe Solmonese puts it: “The fight for marriage equality for samesex couples is quite possibly the most conventional, family-friendly equal rights struggle ever.” He continues, “History bends not only toward fairness and equality, but also toward common sense. Marriage strengthens couples and families, who in turn help strengthen their communities, one at a time—leading ultimately to a stronger, more robust nation.”32 Mixing nationalism into a gay progress narrative of ever-expanding equality and familial inclusion, Solmonese here writes the playbook for reproductive futurism’s political palatability. Tellingly, Andrew Sullivan’s earlier praise of gay marriage is even more explicit on this count, invoking the importance of the future’s promise not just in the name of the children, but more specifically for gay children, who must be saved from having otherwise been born into futurelessness: More important, perhaps ... its [marriage’s] influence would be felt quietly but deeply among gay children. For them, at last, there would be some kind of future; some older faces to apply to their unfolding lives, some language in which their identity could be properly discussed, some rubric by which it could be explained— not in terms of sex, or sexual practices, or bars, or subterranean activity, but in terms of their future life stories, their potential loves, their eventual chance at some kind of constructive happiness. They would be able to feel by the intimation of a myriad examples that in this respect their emotional orientation was not merely about pleasure, or sin, or shame, or otherness (although it might always be involved in many of those things), but about the ability to love and be loved as complete, imperfect human beings. Until gay marriage is legalized, this fundamental element of personal dignity will be denied a whole segment of humanity. No other change can achieve it.33 As we can see, even when the Child is gay, its salvific promise is neither diverted nor diluted. It simply straightens out the queer threat potentially posed by bent children.34 Dangling the lure of “constructive happiness” before the eyes of youths for whom not sugarplums but sex parties dance in their heads, Sullivan here offers up the gay version of reproductive futurism, paternalistically reassuring us that a life of sex for sex’s sake is the meaningless, self-indulgent, anti-civilizational existence every good moralizer ever told us it was. Taken together, Sullivan and Solmonese helpfully illustrate the fact that Edelman’s argument is, in the end, not really about identity and not even about gay people (or, for that matter, straight people). </w:t>
      </w:r>
      <w:r w:rsidRPr="006370BD">
        <w:rPr>
          <w:rStyle w:val="StyleUnderline"/>
        </w:rPr>
        <w:t>Futurism is a logic that transcends the specifics of heterosexuality and homosexuality, and “queer” in Edelman’s vocabulary does not necessarily</w:t>
      </w:r>
      <w:r w:rsidRPr="00085065">
        <w:rPr>
          <w:sz w:val="16"/>
        </w:rPr>
        <w:t>—or, perhaps, even primarily, anymore, as Nyong’o suggests—</w:t>
      </w:r>
      <w:r w:rsidRPr="006370BD">
        <w:rPr>
          <w:rStyle w:val="StyleUnderline"/>
        </w:rPr>
        <w:t>stand in for gay and lesbian people.</w:t>
      </w:r>
      <w:r w:rsidRPr="00085065">
        <w:rPr>
          <w:sz w:val="16"/>
        </w:rPr>
        <w:t xml:space="preserve"> But, to return to my third modification, this also means that the child is not irrevocably tied to the existence, reproduction, or raising of “historical children.”35 In other words, even as the non- or anti-identity politics of Edelman’s figure of queerness is increasingly evident, he neglects to establish the similarly and necessarily nonidentitarian iconography of the future he inscribes (which also returns us to my first proposed modification, the distinction between futurism and reproductive futurism). The queer as homosexual and the Child as historical child may be concrete, daily exemplars of (certain ubiquitous if not exclusive versions of) heteronormativity. However, </w:t>
      </w:r>
      <w:r w:rsidRPr="006370BD">
        <w:rPr>
          <w:rStyle w:val="StyleUnderline"/>
        </w:rPr>
        <w:t>understood as a specific form of a more generalized futurist logic, it becomes clear that the child cannot simply be equated with reproduction, child-bearing, and child-rearing, just as the “queer” cannot simply mean “homosexual” in Edelman’s temporal sense.</w:t>
      </w:r>
      <w:r w:rsidRPr="00085065">
        <w:rPr>
          <w:sz w:val="16"/>
        </w:rPr>
        <w:t xml:space="preserve"> The child, along with the queer, is a crucial space for political and historical concretization of Edelman’s radical but otherwise unduly narrow political project. Puar: Terrorism, Homonationalism, and US Sexual Exceptionalism </w:t>
      </w:r>
      <w:r w:rsidRPr="006370BD">
        <w:rPr>
          <w:rStyle w:val="StyleUnderline"/>
        </w:rPr>
        <w:t>The</w:t>
      </w:r>
      <w:r w:rsidRPr="00085065">
        <w:rPr>
          <w:sz w:val="16"/>
        </w:rPr>
        <w:t xml:space="preserve"> HRC’s </w:t>
      </w:r>
      <w:r w:rsidRPr="006370BD">
        <w:rPr>
          <w:rStyle w:val="StyleUnderline"/>
        </w:rPr>
        <w:t xml:space="preserve">language of nationhood and the non-exclusivity of the child as futurist icon are the places to begin pushing Edelman’s queer theory toward an explicit engagement with the politics of race, nation, </w:t>
      </w:r>
      <w:r w:rsidRPr="00CB3C66">
        <w:rPr>
          <w:rStyle w:val="StyleUnderline"/>
        </w:rPr>
        <w:t>and US empire</w:t>
      </w:r>
      <w:r w:rsidRPr="00085065">
        <w:rPr>
          <w:sz w:val="16"/>
        </w:rPr>
        <w:t xml:space="preserve">. For Solmonese’s statement is not simply the rhetoric of reproductive futurism. It is also the language of homonationalism, a term Jasbir Puar has coined to document </w:t>
      </w:r>
      <w:r w:rsidRPr="00CB3C66">
        <w:rPr>
          <w:rStyle w:val="StyleUnderline"/>
        </w:rPr>
        <w:t>the “transition under way in how queer subjects are relating to nation-states</w:t>
      </w:r>
      <w:r w:rsidRPr="00085065">
        <w:rPr>
          <w:sz w:val="16"/>
        </w:rPr>
        <w:t xml:space="preserve">, particularly the United States, </w:t>
      </w:r>
      <w:r w:rsidRPr="00CB3C66">
        <w:rPr>
          <w:rStyle w:val="StyleUnderline"/>
        </w:rPr>
        <w:t>from being figures of death</w:t>
      </w:r>
      <w:r w:rsidRPr="00085065">
        <w:rPr>
          <w:sz w:val="16"/>
        </w:rPr>
        <w:t xml:space="preserve"> (in other words, the AIDS epidemic) </w:t>
      </w:r>
      <w:r w:rsidRPr="00CB3C66">
        <w:rPr>
          <w:rStyle w:val="StyleUnderline"/>
        </w:rPr>
        <w:t>to becoming tied to ideas of life and productivity</w:t>
      </w:r>
      <w:r w:rsidRPr="00085065">
        <w:rPr>
          <w:sz w:val="16"/>
        </w:rPr>
        <w:t xml:space="preserve"> (in other words, gay marriage and families).”36 Homonationalism is an abbreviated combination of the words “homonormative” and “nationalism,” the former term borrowed from Lisa Duggan, who describes “the new homonormativity” as a political realignment of the late 1990s/early 2000s in which gay rights became compatible with certain neoliberal, anti-statist, conservative, American nationalist viewpoints.37 Combining homonormativity with nationalism, then, Puar augments Nyong’o’s critique, arguing that </w:t>
      </w:r>
      <w:r w:rsidRPr="00CB3C66">
        <w:rPr>
          <w:rStyle w:val="StyleUnderline"/>
        </w:rPr>
        <w:t>the assimilation of certain gay and lesbian subjects into the mainstream of American</w:t>
      </w:r>
      <w:r w:rsidRPr="00085065">
        <w:rPr>
          <w:sz w:val="16"/>
        </w:rPr>
        <w:t xml:space="preserve"> normalcy, respectability, and </w:t>
      </w:r>
      <w:r w:rsidRPr="00CB3C66">
        <w:rPr>
          <w:rStyle w:val="StyleUnderline"/>
        </w:rPr>
        <w:t>citizenship has entailed the “fleeting sanctioning of a national homosexual subject”</w:t>
      </w:r>
      <w:r w:rsidRPr="00085065">
        <w:rPr>
          <w:sz w:val="16"/>
        </w:rPr>
        <w:t xml:space="preserve">38 who is </w:t>
      </w:r>
      <w:r w:rsidRPr="00CB3C66">
        <w:rPr>
          <w:rStyle w:val="StyleUnderline"/>
        </w:rPr>
        <w:t>“complicit with heterosexual nationalist formations rather than</w:t>
      </w:r>
      <w:r w:rsidRPr="00085065">
        <w:rPr>
          <w:sz w:val="16"/>
        </w:rPr>
        <w:t xml:space="preserve"> inherently or </w:t>
      </w:r>
      <w:r w:rsidRPr="00CB3C66">
        <w:rPr>
          <w:rStyle w:val="StyleUnderline"/>
        </w:rPr>
        <w:t>automatically excluded from</w:t>
      </w:r>
      <w:r w:rsidRPr="00085065">
        <w:rPr>
          <w:sz w:val="16"/>
        </w:rPr>
        <w:t xml:space="preserve"> or opposed to </w:t>
      </w:r>
      <w:r w:rsidRPr="00CB3C66">
        <w:rPr>
          <w:rStyle w:val="StyleUnderline"/>
        </w:rPr>
        <w:t>them</w:t>
      </w:r>
      <w:r w:rsidRPr="00085065">
        <w:rPr>
          <w:sz w:val="16"/>
        </w:rPr>
        <w:t xml:space="preserve">.”39 </w:t>
      </w:r>
      <w:r w:rsidRPr="00CB3C66">
        <w:rPr>
          <w:rStyle w:val="StyleUnderline"/>
        </w:rPr>
        <w:t>One effect of homonationalism</w:t>
      </w:r>
      <w:r w:rsidRPr="00085065">
        <w:rPr>
          <w:sz w:val="16"/>
        </w:rPr>
        <w:t xml:space="preserve"> in the post-9/11 context of the “War on Terror” </w:t>
      </w:r>
      <w:r w:rsidRPr="00CB3C66">
        <w:rPr>
          <w:rStyle w:val="StyleUnderline"/>
        </w:rPr>
        <w:t>is the perverse</w:t>
      </w:r>
      <w:r w:rsidRPr="00085065">
        <w:rPr>
          <w:sz w:val="16"/>
        </w:rPr>
        <w:t xml:space="preserve"> sexualization or </w:t>
      </w:r>
      <w:r w:rsidRPr="00CB3C66">
        <w:rPr>
          <w:rStyle w:val="StyleUnderline"/>
        </w:rPr>
        <w:t>“queering” of Arabs and Muslims</w:t>
      </w:r>
      <w:r w:rsidRPr="00085065">
        <w:rPr>
          <w:sz w:val="16"/>
        </w:rPr>
        <w:t xml:space="preserve"> (and all those held to be such) </w:t>
      </w:r>
      <w:r w:rsidRPr="00CB3C66">
        <w:rPr>
          <w:rStyle w:val="StyleUnderline"/>
        </w:rPr>
        <w:t>in the figure of the “terrorist,”</w:t>
      </w:r>
      <w:r w:rsidRPr="00085065">
        <w:rPr>
          <w:sz w:val="16"/>
        </w:rPr>
        <w:t xml:space="preserve"> a figure of </w:t>
      </w:r>
      <w:r w:rsidRPr="00CB3C66">
        <w:rPr>
          <w:rStyle w:val="StyleUnderline"/>
        </w:rPr>
        <w:t>monstrosity</w:t>
      </w:r>
      <w:r w:rsidRPr="00085065">
        <w:rPr>
          <w:sz w:val="16"/>
        </w:rPr>
        <w:t xml:space="preserve">, excess, </w:t>
      </w:r>
      <w:r w:rsidRPr="00085065">
        <w:rPr>
          <w:sz w:val="16"/>
        </w:rPr>
        <w:lastRenderedPageBreak/>
        <w:t xml:space="preserve">savagery, and perversion. To be clear, Puar is not suggesting that the “terrorist” is the new queer. Rather, she is arguing that “queerness is always already installed in the project of naming the terrorist; the terrorist does not appear as such without the concurrent entrance of perversion, deviance.”40 Neither an identity nor a defining behavioral activity (for example, homosexuality), </w:t>
      </w:r>
      <w:r w:rsidRPr="00CB3C66">
        <w:rPr>
          <w:rStyle w:val="StyleUnderline"/>
        </w:rPr>
        <w:t>Puar elaborates queerness as a biopolitical tactic that functions to define and divide populations through processes of racialization, a “management of queer life at the expense of sexually and racially perverse death in relation to the contemporary politics of securitization, Orientalism, terrorism, torture, and the articulation of Muslim, Arab, Sikh, and South Asian sexualities</w:t>
      </w:r>
      <w:r w:rsidRPr="00085065">
        <w:rPr>
          <w:sz w:val="16"/>
        </w:rPr>
        <w:t xml:space="preserve">.”41 In this view, “the contemporary U.S. heteronormative nation actually relies on and benefits from the proliferation of queerness.”42 </w:t>
      </w:r>
      <w:r w:rsidRPr="00CB3C66">
        <w:rPr>
          <w:rStyle w:val="StyleUnderline"/>
        </w:rPr>
        <w:t>Homonationalism, as a biopolitics of queerness, functions to discipline and (re)produce homosexuality as white, American, patriotic, and upwardly mobile while designating people of color, immigrants, and Arabs and Muslims as both heterosexual and yet dangerously “queer”—</w:t>
      </w:r>
      <w:r w:rsidRPr="00085065">
        <w:rPr>
          <w:sz w:val="16"/>
        </w:rPr>
        <w:t xml:space="preserve">as “terrorists” or “failed and perverse” bodies that “always have femininity as their reference point of malfunction, and are metonymically tied to all sorts of pathologies of the mind and body—homosexuality, incest, pedophilia, madness, and disease.”43 As is evident, queerness in Puar’s account veers from any simple conflation with gay and lesbian subjectivity; as she says, </w:t>
      </w:r>
      <w:r w:rsidRPr="00CB3C66">
        <w:rPr>
          <w:rStyle w:val="StyleUnderline"/>
        </w:rPr>
        <w:t>“Race, ethnicity, nation, gender, class, and sexuality disaggregate gay, homosexual, and queer national subjects who align themselves with U.S. imperial interests from forms of illegitimate queerness that</w:t>
      </w:r>
      <w:r w:rsidRPr="00085065">
        <w:rPr>
          <w:sz w:val="16"/>
        </w:rPr>
        <w:t xml:space="preserve"> name and ultimately </w:t>
      </w:r>
      <w:r w:rsidRPr="00CB3C66">
        <w:rPr>
          <w:rStyle w:val="StyleUnderline"/>
        </w:rPr>
        <w:t>propel populations into extinction.</w:t>
      </w:r>
      <w:r w:rsidRPr="00085065">
        <w:rPr>
          <w:sz w:val="16"/>
        </w:rPr>
        <w:t xml:space="preserve">”44 The happily married couples that populate the HRC’s literature and website, then, would be the homonational, or properly queer; the “monster terrorist fag” abjected into existence through torture at Abu Ghraib or Guanta´namo, detained indefinitely in any of the US’s many illegal prisons, surveilled incessantly in mosques and cafes, and stigmatized as suffering from arrested development by the psychologizing literature of security studies, would be the improperly queer.45 </w:t>
      </w:r>
      <w:r w:rsidRPr="00CB3C66">
        <w:rPr>
          <w:rStyle w:val="StyleUnderline"/>
        </w:rPr>
        <w:t>Puar’s point is that these queernesses go together and require one another, much as</w:t>
      </w:r>
      <w:r w:rsidRPr="00085065">
        <w:rPr>
          <w:sz w:val="16"/>
        </w:rPr>
        <w:t xml:space="preserve">, I think, </w:t>
      </w:r>
      <w:r w:rsidRPr="00CB3C66">
        <w:rPr>
          <w:rStyle w:val="StyleUnderline"/>
        </w:rPr>
        <w:t>Edelman can be seen to be arguing that the child and the queer go together and require one another.</w:t>
      </w:r>
      <w:r w:rsidRPr="00085065">
        <w:rPr>
          <w:sz w:val="16"/>
        </w:rPr>
        <w:t xml:space="preserve"> What Puar concretizes, however, in theorizing queerness as a “process of racialization”46 is not simply the analytic point that “queer” and “homosexual” are distinct but, more importantly, the urgently political point that the abjected or improper queer who stands outside the social order and is in effect antagonistic to it is, in this contemporary moment, much more likely to be a Muslim or someone perceived as “looking like” a Muslim to the American gaze than, let us admit it, the newly engaged same-sex couples thronging state houses in Minnesota, Connecticut, and Colorado (much less the “homosexual” figure of queerness in No Future). </w:t>
      </w:r>
      <w:r w:rsidRPr="00F15161">
        <w:rPr>
          <w:rStyle w:val="Emphasis"/>
        </w:rPr>
        <w:t>Understanding queerness as a process of nationalization and racialization also concretizes and expands the understanding of heteronormativity or</w:t>
      </w:r>
      <w:r w:rsidRPr="00085065">
        <w:rPr>
          <w:sz w:val="16"/>
        </w:rPr>
        <w:t xml:space="preserve">, in Edelman’s words, </w:t>
      </w:r>
      <w:r w:rsidRPr="00F15161">
        <w:rPr>
          <w:rStyle w:val="Emphasis"/>
        </w:rPr>
        <w:t>the future</w:t>
      </w:r>
      <w:r w:rsidRPr="00085065">
        <w:rPr>
          <w:sz w:val="16"/>
        </w:rPr>
        <w:t xml:space="preserve">. For </w:t>
      </w:r>
      <w:r w:rsidRPr="00F15161">
        <w:rPr>
          <w:rStyle w:val="StyleUnderline"/>
        </w:rPr>
        <w:t>the terrorist in Puar’s analysis</w:t>
      </w:r>
      <w:r w:rsidRPr="00085065">
        <w:rPr>
          <w:sz w:val="16"/>
        </w:rPr>
        <w:t xml:space="preserve"> resists or </w:t>
      </w:r>
      <w:r w:rsidRPr="00F15161">
        <w:rPr>
          <w:rStyle w:val="StyleUnderline"/>
        </w:rPr>
        <w:t>denies a future that is symbolized and defined not only or simply by the child, but also by the American nation and secular Christianity</w:t>
      </w:r>
      <w:r w:rsidRPr="00085065">
        <w:rPr>
          <w:sz w:val="16"/>
        </w:rPr>
        <w:t xml:space="preserve">. As she says, “In the political imagination, the terrorist serves as the monstrous excess of the nation-state.”47 Post-9/11, Puar notes that this terrorist threat is undeniably linked with Islam, which often serves as its “explanation.”48 As she observes, Islam signifies, to the ostensibly secular and modern US, both “excess” and “savagery”: “Religious belief is thus cast, in relation to other factors fueling terrorism, as the overflow, the final excess that impels monstrosity—the ‘different attitude toward violence’ signaling these uncivilizable forces.”49 </w:t>
      </w:r>
      <w:r w:rsidRPr="00F15161">
        <w:rPr>
          <w:rStyle w:val="StyleUnderline"/>
        </w:rPr>
        <w:t>Puar’s reading suggests that Islam threatens the futurist temporality of American empire. Cast as retrograde, backward, and frozen in pre-modern religiosity, Islam threatens the progress narrative of US imperial wars which are alleged to bring ever-greater freedom, not only to women and homosexuals, but also to uncivilized, savage, and undemocratic people(s)</w:t>
      </w:r>
      <w:r w:rsidRPr="00085065">
        <w:rPr>
          <w:sz w:val="16"/>
        </w:rPr>
        <w:t xml:space="preserve"> and nations around the world.50 Finally, then, it is important to note that as Islam has been queered or come to signify queerness, it does so in two ways: first, through the phobic association of Islam with terrorism; and, second, through the racist and Orientalist conflation of Islam with homophobia, anti-feminism, and sexual backwardness more generally. Putting Puar’s analysis in an Edelman-esque frame, we might say that the figure of the “terrorist” who threatens national goals, progress, hope—indeed, the nation’s very existence—can be cast as the excessive, anti-social, future-denying figure of the “queer” in Edelman. Or, we might say that just as the domain of normativity has expanded to include some gay people, correspondingly, the domain of (inassimilable) queerness also has shifted. Puar’s analysis of the collusion “between homosexuality and U.S. nationalism”51 as producing two figures, the homonormative patriot and the queer terrorist, notes them as, on the one hand, the embodiment and normative achievement of the social order and, on the other hand, the dissolution and destruction of that social order.52 No longer designating “the homosexual” per se, “queer” names the monstrously raced and perversely sexualized Arab/Muslim/terrorist Other that threatens the American social and political order, an order that (some) properly gay and lesbian subjects can now, through their incorporation into normative American national life, inhabit and reproduce. In sum, we have a theorization of “queer” wherein the sexually backward Muslim is led by the irrationality and violence of her/his religion to annihilate those who serve and protect freedom for all. In this analysis of “the sexually exceptional homonational and its evil counterpart, the queer terrorist of elsewhere,”53 the “terrorist” is to the HRC what, in Edelman’s analysis, the queer is to the child.54 Edelman and Puar: Theorizing Resistance Puar’s theorization of </w:t>
      </w:r>
      <w:r w:rsidRPr="00F15161">
        <w:rPr>
          <w:rStyle w:val="StyleUnderline"/>
        </w:rPr>
        <w:t>homonationalism is</w:t>
      </w:r>
      <w:r w:rsidRPr="00085065">
        <w:rPr>
          <w:sz w:val="16"/>
        </w:rPr>
        <w:t xml:space="preserve"> a significant contribution to queer theory and an essential </w:t>
      </w:r>
      <w:r w:rsidRPr="00F15161">
        <w:rPr>
          <w:rStyle w:val="StyleUnderline"/>
        </w:rPr>
        <w:t>corrective to Edelman’s</w:t>
      </w:r>
      <w:r w:rsidRPr="00085065">
        <w:rPr>
          <w:sz w:val="16"/>
        </w:rPr>
        <w:t xml:space="preserve"> otherwise historically and racially unmarked </w:t>
      </w:r>
      <w:r w:rsidRPr="00F15161">
        <w:rPr>
          <w:rStyle w:val="StyleUnderline"/>
        </w:rPr>
        <w:t>analysis of (reproductive) futurism</w:t>
      </w:r>
      <w:r w:rsidRPr="00085065">
        <w:rPr>
          <w:sz w:val="16"/>
        </w:rPr>
        <w:t xml:space="preserve">. Her work allows us to critique futurism in ways that are responsive to the specificities of its racial and national workings, </w:t>
      </w:r>
      <w:r w:rsidRPr="00085065">
        <w:rPr>
          <w:sz w:val="16"/>
        </w:rPr>
        <w:lastRenderedPageBreak/>
        <w:t xml:space="preserve">consequences gapingly unattended to by him. While Edelman deftly parses the logic of power in terms of futurism’s hegemony, he fails fully to unpack its coercive force by focusing solely on futurism’s relationship to an exceedingly narrow version of non-reproductive homosexuality. Although he claims that the theory of politics he explicates in No Future is indifferent to race, arguing that “the fascism of the baby’s face ... subjects us to its sovereign authority as the figure of politics itself ... whatever the face a particular politics gives that baby to wear— Aryan or multicultural, that of the thirty-thousand-year Reich or of an ever expanding horizon of democratic inclusivity,”55 what is clear is that the reproductive futurism he critiques is symptomatic of a very specific bourgeois class culture within the imperial US, a culture that garners his criticism only insofar as it is bound up with heteronormativity.56 By contrast, Puar’s demand that we focus our attention on the racial and nationalized logics of queerness(es) and the unexpected complicities between queers, nationalism, and empire remains only suggestive of futurism’s determinative role, never naming it specifically. Now, this is likely because Puar neither endorses nor conceptualizes futurism as a useful diagnosis of modern politics, just as Edelman may very much wish to privilege (white male homo) sexuality in his psychoanalysis of futurism. However, I suggest that authorial intentions—both Puar’s and Edelman’s—be respectfully disregarded, not only because we have become savvy to the multiple begged questions inherent in any invocation of authorial intention, but also because more than our scholarly work is at stake when it comes to forging critical resistance to US imperial power. Indeed, while the net effect of Edelman’s analysis is that only white gay men are considered the deathly threat portended by queerness in No Future, 57 if we return to his definition of “queer” and insist on distinguishing between futurism and reproductive futurism, we note that </w:t>
      </w:r>
      <w:r w:rsidRPr="00F15161">
        <w:rPr>
          <w:rStyle w:val="StyleUnderline"/>
        </w:rPr>
        <w:t>“queer” designates anyone who fails to abide by the rules of social temporality</w:t>
      </w:r>
      <w:r w:rsidRPr="00085065">
        <w:rPr>
          <w:sz w:val="16"/>
        </w:rPr>
        <w:t xml:space="preserve">—that is, </w:t>
      </w:r>
      <w:r w:rsidRPr="00F15161">
        <w:rPr>
          <w:rStyle w:val="StyleUnderline"/>
        </w:rPr>
        <w:t>anyone who sacrifices the future for the sake of the present</w:t>
      </w:r>
      <w:r w:rsidRPr="00F15161">
        <w:rPr>
          <w:rStyle w:val="Emphasis"/>
        </w:rPr>
        <w:t>. As such, futurism’s ruthless machinations stigmatize all sorts of populations as emblematic of the death and destruction of the social order.</w:t>
      </w:r>
      <w:r w:rsidRPr="00085065">
        <w:rPr>
          <w:sz w:val="16"/>
        </w:rPr>
        <w:t xml:space="preserve"> This broad array of misfits and perverts may include some gay, lesbian, and queer people. It necessarily also includes the “terrorist” and “Muslim” whom Puar argues are biopolitical targets of abjected queerness. This analysis also suggests that </w:t>
      </w:r>
      <w:r w:rsidRPr="00F15161">
        <w:rPr>
          <w:rStyle w:val="StyleUnderline"/>
        </w:rPr>
        <w:t>temporality is a crucial axis of determination regarding all “enemies” of the social order,</w:t>
      </w:r>
      <w:r w:rsidRPr="00085065">
        <w:rPr>
          <w:sz w:val="16"/>
        </w:rPr>
        <w:t xml:space="preserve"> a notion that links Edelman’s political theory to other important work in radical queer politics. For example, in her definitive essay, “Punks, Bulldaggers, and Welfare Queens: The Radical Potential of Queer Politics?,” Cathy Cohen argues for a re-thinking of marginal positionality in terms of one’s relation to power rather than in terms of a binary categorization of queer vs straight. She cites the examples of the prohibition of slave marriages and the long history of obsession with black women’s reproductive choices in the US as examples of ostensibly heterosexual people inhabiting positions outside the bounds of normative sexuality because of race, class, and property status. In arguing for a more capacious, intersectional queer politics that is accountable not simply to the question of who is and is not heterosexual but, more broadly, to the question of what each of our relationships with and proximity to power may be, Cohen writes: As we stand on the verge of watching those in power dismantle the welfare system through a process of demonizing the poor and young—primarily poor and young women of color, many of whom have existed for their entire lives outside the white, middle-class heterosexual norm—we have to ask if these women do not fit into society’s categories of marginal, deviant, and “queer.” As we watch the explosion of prison construction and the disproportionate incarceration rates of young men and women of color, often as part of the economic development of poor white rural communities, we have to ask if these individuals do not fit society’s definition of “queer” and expendable. </w:t>
      </w:r>
      <w:r w:rsidRPr="00F15161">
        <w:rPr>
          <w:rStyle w:val="StyleUnderline"/>
        </w:rPr>
        <w:t>Cohen’s understanding of “queer” as a kind of non- or anti-normativity based on one’s proximity to power might also be understood in terms of futurism and its flouting by “deviants.”</w:t>
      </w:r>
      <w:r w:rsidRPr="00085065">
        <w:rPr>
          <w:sz w:val="16"/>
        </w:rPr>
        <w:t xml:space="preserve"> For, </w:t>
      </w:r>
      <w:r w:rsidRPr="00F15161">
        <w:rPr>
          <w:rStyle w:val="StyleUnderline"/>
        </w:rPr>
        <w:t>if the key characteristic of queerness is a temporal one, then having “too many” babies is just as much a threat to America’s future as not having any at all</w:t>
      </w:r>
      <w:r w:rsidRPr="00085065">
        <w:rPr>
          <w:sz w:val="16"/>
        </w:rPr>
        <w:t>—</w:t>
      </w:r>
      <w:r w:rsidRPr="00F15161">
        <w:rPr>
          <w:rStyle w:val="StyleUnderline"/>
        </w:rPr>
        <w:t>it just depends on which queers we are talking about</w:t>
      </w:r>
      <w:r w:rsidRPr="00085065">
        <w:rPr>
          <w:sz w:val="16"/>
        </w:rPr>
        <w:t xml:space="preserve"> (not only Reagan’s welfare queen, but also recall the manufactured election-year discourse about “anchor babies”).59 Naming these explicitly makes futurism a useful tool to diagnose the contemporary political moment from a radical queer perspective that does not fetishize sexuality as either the primary domain of subordination or the sole focus of political struggle and resistance.</w:t>
      </w:r>
    </w:p>
    <w:p w:rsidR="004143C4" w:rsidRDefault="004143C4" w:rsidP="00DE5E47">
      <w:pPr>
        <w:pStyle w:val="Heading3"/>
      </w:pPr>
      <w:bookmarkStart w:id="61" w:name="_Toc489138951"/>
      <w:r>
        <w:lastRenderedPageBreak/>
        <w:t>Impact: Overkill</w:t>
      </w:r>
      <w:bookmarkEnd w:id="61"/>
    </w:p>
    <w:p w:rsidR="004143C4" w:rsidRDefault="004143C4" w:rsidP="004143C4">
      <w:pPr>
        <w:pStyle w:val="Heading4"/>
      </w:pPr>
      <w:r>
        <w:t xml:space="preserve">Liberal institutionalism sustained by reproductive futurism ensures queer overkill </w:t>
      </w:r>
    </w:p>
    <w:p w:rsidR="004143C4" w:rsidRPr="002F7933" w:rsidRDefault="004143C4" w:rsidP="004143C4">
      <w:pPr>
        <w:pStyle w:val="Heading4"/>
      </w:pPr>
      <w:r>
        <w:t>[Trigger Warning, graphic depiction of violence in card]</w:t>
      </w:r>
    </w:p>
    <w:p w:rsidR="004143C4" w:rsidRPr="0012742C" w:rsidRDefault="004143C4" w:rsidP="004143C4">
      <w:pPr>
        <w:rPr>
          <w:rStyle w:val="Style13ptBold"/>
        </w:rPr>
      </w:pPr>
      <w:r w:rsidRPr="0012742C">
        <w:rPr>
          <w:rStyle w:val="Style13ptBold"/>
        </w:rPr>
        <w:t>Stanley 11</w:t>
      </w:r>
    </w:p>
    <w:p w:rsidR="004143C4" w:rsidRPr="0012742C" w:rsidRDefault="004143C4" w:rsidP="004143C4">
      <w:pPr>
        <w:rPr>
          <w:sz w:val="16"/>
          <w:szCs w:val="16"/>
        </w:rPr>
      </w:pPr>
      <w:r w:rsidRPr="0012742C">
        <w:rPr>
          <w:sz w:val="16"/>
          <w:szCs w:val="16"/>
        </w:rPr>
        <w:t xml:space="preserve">Eric Stanley, “Near Life, Queer Death: Overkill and Ontological Capture” </w:t>
      </w:r>
      <w:r w:rsidRPr="0012742C">
        <w:rPr>
          <w:i/>
          <w:sz w:val="16"/>
          <w:szCs w:val="16"/>
        </w:rPr>
        <w:t xml:space="preserve">Social Text, </w:t>
      </w:r>
      <w:r>
        <w:rPr>
          <w:sz w:val="16"/>
          <w:szCs w:val="16"/>
        </w:rPr>
        <w:t>107, 2011, KB</w:t>
      </w:r>
    </w:p>
    <w:p w:rsidR="004143C4" w:rsidRPr="00490ABB" w:rsidRDefault="004143C4" w:rsidP="004143C4"/>
    <w:p w:rsidR="004143C4" w:rsidRPr="0012742C" w:rsidRDefault="004143C4" w:rsidP="004143C4">
      <w:pPr>
        <w:rPr>
          <w:sz w:val="16"/>
          <w:szCs w:val="16"/>
        </w:rPr>
      </w:pPr>
      <w:r w:rsidRPr="0012742C">
        <w:rPr>
          <w:sz w:val="16"/>
          <w:szCs w:val="16"/>
        </w:rPr>
        <w:t>Killing Time</w:t>
      </w:r>
    </w:p>
    <w:p w:rsidR="004143C4" w:rsidRPr="002F7933" w:rsidRDefault="004143C4" w:rsidP="004143C4">
      <w:pPr>
        <w:rPr>
          <w:rStyle w:val="StyleUnderline"/>
        </w:rPr>
      </w:pPr>
      <w:r w:rsidRPr="002F7933">
        <w:rPr>
          <w:sz w:val="16"/>
        </w:rPr>
        <w:t xml:space="preserve">“He was my son—my daughter. It didn’t matter which. He was a sweet kid,” Lauryn Paige’s mother, trying to reconcile at once her child’s murder and her child’s gender, stated outside an Austin, Texas, courthouse. 24 Lauryn was an eighteen-year-old transwoman who was brutally stabbed to death. According to Dixie, Lauryn’s best friend, it was a “regular night.” The two women had spent the beginning of the evening “working it” as sex workers. After Dixie and Lauryn had made about $200 each they decided to call it quits and return to Dixie’s house, where both lived. On the walk home, Gamaliel Mireles Coria and Frank Santos picked them up in their white conversion van. “Before we got into the van the very first thing I told them was that we were transsexuals,” said Dixie in an interview. 25 After a night of driving around, partying in the van, Dixie got dropped off at her house. She pleaded for Lauryn to come in with her, but Lauryn said, “Girl, let me finish him,” so the van took off with Lauryn still inside. 26 Santos was then dropped off, leaving Lauryn and Coria alone in the van. According to the autopsy report, Travis County </w:t>
      </w:r>
      <w:r w:rsidRPr="002F7933">
        <w:rPr>
          <w:rStyle w:val="StyleUnderline"/>
        </w:rPr>
        <w:t>medical examiner</w:t>
      </w:r>
      <w:r w:rsidRPr="002F7933">
        <w:rPr>
          <w:sz w:val="16"/>
        </w:rPr>
        <w:t xml:space="preserve"> Dr. Roberto </w:t>
      </w:r>
      <w:r w:rsidRPr="002F7933">
        <w:rPr>
          <w:rStyle w:val="StyleUnderline"/>
        </w:rPr>
        <w:t xml:space="preserve">Bayardo cataloged at least </w:t>
      </w:r>
      <w:r w:rsidRPr="002F7933">
        <w:rPr>
          <w:rStyle w:val="Emphasis"/>
        </w:rPr>
        <w:t>fourteen blows to Lauryn’s head</w:t>
      </w:r>
      <w:r w:rsidRPr="002F7933">
        <w:rPr>
          <w:rStyle w:val="StyleUnderline"/>
        </w:rPr>
        <w:t xml:space="preserve"> and more than </w:t>
      </w:r>
      <w:r w:rsidRPr="002F7933">
        <w:rPr>
          <w:rStyle w:val="Emphasis"/>
        </w:rPr>
        <w:t>sixty knife wounds</w:t>
      </w:r>
      <w:r w:rsidRPr="002F7933">
        <w:rPr>
          <w:rStyle w:val="StyleUnderline"/>
        </w:rPr>
        <w:t xml:space="preserve"> to her body.</w:t>
      </w:r>
      <w:r w:rsidRPr="002F7933">
        <w:rPr>
          <w:sz w:val="16"/>
        </w:rPr>
        <w:t xml:space="preserve"> </w:t>
      </w:r>
      <w:r w:rsidRPr="002F7933">
        <w:rPr>
          <w:rStyle w:val="StyleUnderline"/>
        </w:rPr>
        <w:t>The knife wounds were so deep that they almost decapitated her—</w:t>
      </w:r>
      <w:r w:rsidRPr="002F7933">
        <w:rPr>
          <w:rStyle w:val="Emphasis"/>
        </w:rPr>
        <w:t>a clear sign of overkill.</w:t>
      </w:r>
    </w:p>
    <w:p w:rsidR="004143C4" w:rsidRPr="002F7933" w:rsidRDefault="004143C4" w:rsidP="004143C4">
      <w:pPr>
        <w:rPr>
          <w:rStyle w:val="Emphasis"/>
        </w:rPr>
      </w:pPr>
      <w:r w:rsidRPr="002F7933">
        <w:rPr>
          <w:rStyle w:val="StyleUnderline"/>
        </w:rPr>
        <w:t xml:space="preserve">Overkill is a term used to indicate such </w:t>
      </w:r>
      <w:r w:rsidRPr="002F7933">
        <w:rPr>
          <w:rStyle w:val="Emphasis"/>
        </w:rPr>
        <w:t>excessive violence</w:t>
      </w:r>
      <w:r w:rsidRPr="002F7933">
        <w:rPr>
          <w:sz w:val="16"/>
        </w:rPr>
        <w:t xml:space="preserve"> </w:t>
      </w:r>
      <w:r w:rsidRPr="002F7933">
        <w:rPr>
          <w:rStyle w:val="StyleUnderline"/>
        </w:rPr>
        <w:t>that it</w:t>
      </w:r>
      <w:r w:rsidRPr="002F7933">
        <w:rPr>
          <w:sz w:val="16"/>
        </w:rPr>
        <w:t xml:space="preserve"> </w:t>
      </w:r>
      <w:r w:rsidRPr="002F7933">
        <w:rPr>
          <w:rStyle w:val="Emphasis"/>
        </w:rPr>
        <w:t>pushes a body beyond death.</w:t>
      </w:r>
      <w:r w:rsidRPr="002F7933">
        <w:rPr>
          <w:sz w:val="16"/>
        </w:rPr>
        <w:t xml:space="preserve"> Overkill is often determined by the postmortem removal of body parts, as with the partial decapitation in the case of Lauryn Paige and the dissection of Rashawn Brazell. </w:t>
      </w:r>
      <w:r w:rsidRPr="002F7933">
        <w:rPr>
          <w:rStyle w:val="StyleUnderline"/>
        </w:rPr>
        <w:t xml:space="preserve">The temporality of violence, the biological time when the heart stops pushing and pulling blood, </w:t>
      </w:r>
      <w:r w:rsidRPr="002F7933">
        <w:rPr>
          <w:rStyle w:val="Emphasis"/>
        </w:rPr>
        <w:t>yet the killing is not finished</w:t>
      </w:r>
      <w:r w:rsidRPr="002F7933">
        <w:rPr>
          <w:rStyle w:val="StyleUnderline"/>
        </w:rPr>
        <w:t xml:space="preserve">, suggests the aim is </w:t>
      </w:r>
      <w:r w:rsidRPr="002F7933">
        <w:rPr>
          <w:rStyle w:val="Emphasis"/>
        </w:rPr>
        <w:t>not simply the end of a specific life</w:t>
      </w:r>
      <w:r w:rsidRPr="002F7933">
        <w:rPr>
          <w:sz w:val="16"/>
        </w:rPr>
        <w:t xml:space="preserve">, </w:t>
      </w:r>
      <w:r w:rsidRPr="002F7933">
        <w:rPr>
          <w:rStyle w:val="Emphasis"/>
        </w:rPr>
        <w:t>but the ending of all queer life.</w:t>
      </w:r>
      <w:r w:rsidRPr="002F7933">
        <w:rPr>
          <w:sz w:val="16"/>
        </w:rPr>
        <w:t xml:space="preserve"> </w:t>
      </w:r>
      <w:r w:rsidRPr="002F7933">
        <w:rPr>
          <w:rStyle w:val="StyleUnderline"/>
        </w:rPr>
        <w:t>This is the time of queer death</w:t>
      </w:r>
      <w:r w:rsidRPr="002F7933">
        <w:rPr>
          <w:sz w:val="16"/>
        </w:rPr>
        <w:t xml:space="preserve">, </w:t>
      </w:r>
      <w:r w:rsidRPr="002F7933">
        <w:rPr>
          <w:rStyle w:val="StyleUnderline"/>
        </w:rPr>
        <w:t xml:space="preserve">when </w:t>
      </w:r>
      <w:r w:rsidRPr="002F7933">
        <w:rPr>
          <w:rStyle w:val="Emphasis"/>
        </w:rPr>
        <w:t>the utility of violence gives way to the pleasure in the other’s mortality.</w:t>
      </w:r>
      <w:r w:rsidRPr="002F7933">
        <w:rPr>
          <w:sz w:val="16"/>
        </w:rPr>
        <w:t xml:space="preserve"> </w:t>
      </w:r>
      <w:r w:rsidRPr="002F7933">
        <w:rPr>
          <w:rStyle w:val="StyleUnderline"/>
        </w:rPr>
        <w:t>If queers</w:t>
      </w:r>
      <w:r w:rsidRPr="002F7933">
        <w:rPr>
          <w:sz w:val="16"/>
        </w:rPr>
        <w:t xml:space="preserve">, along with others, </w:t>
      </w:r>
      <w:r w:rsidRPr="002F7933">
        <w:rPr>
          <w:rStyle w:val="StyleUnderline"/>
        </w:rPr>
        <w:t xml:space="preserve">approximate nothing, then the task of ending, of killing, that which is nothing </w:t>
      </w:r>
      <w:r w:rsidRPr="002F7933">
        <w:rPr>
          <w:rStyle w:val="Emphasis"/>
        </w:rPr>
        <w:t>must go beyond normative times of life and death.</w:t>
      </w:r>
      <w:r w:rsidRPr="002F7933">
        <w:rPr>
          <w:sz w:val="16"/>
        </w:rPr>
        <w:t xml:space="preserve"> In other words, </w:t>
      </w:r>
      <w:r w:rsidRPr="002F7933">
        <w:rPr>
          <w:rStyle w:val="StyleUnderline"/>
        </w:rPr>
        <w:t>if Lauryn was dead after the first few stab wounds</w:t>
      </w:r>
      <w:r w:rsidRPr="002F7933">
        <w:rPr>
          <w:sz w:val="16"/>
        </w:rPr>
        <w:t xml:space="preserve"> </w:t>
      </w:r>
      <w:r w:rsidRPr="002F7933">
        <w:rPr>
          <w:rStyle w:val="StyleUnderline"/>
        </w:rPr>
        <w:t>to the throat</w:t>
      </w:r>
      <w:r w:rsidRPr="002F7933">
        <w:rPr>
          <w:sz w:val="16"/>
        </w:rPr>
        <w:t xml:space="preserve">, </w:t>
      </w:r>
      <w:r w:rsidRPr="002F7933">
        <w:rPr>
          <w:rStyle w:val="StyleUnderline"/>
        </w:rPr>
        <w:t xml:space="preserve">then </w:t>
      </w:r>
      <w:r w:rsidRPr="002F7933">
        <w:rPr>
          <w:rStyle w:val="Emphasis"/>
        </w:rPr>
        <w:t>what do the remaining fifty wounds signify?</w:t>
      </w:r>
    </w:p>
    <w:p w:rsidR="004143C4" w:rsidRPr="002F7933" w:rsidRDefault="004143C4" w:rsidP="004143C4">
      <w:pPr>
        <w:rPr>
          <w:sz w:val="16"/>
        </w:rPr>
      </w:pPr>
      <w:r w:rsidRPr="002F7933">
        <w:rPr>
          <w:rStyle w:val="StyleUnderline"/>
        </w:rPr>
        <w:t>The legal theory</w:t>
      </w:r>
      <w:r w:rsidRPr="002F7933">
        <w:rPr>
          <w:sz w:val="16"/>
        </w:rPr>
        <w:t xml:space="preserve"> that is </w:t>
      </w:r>
      <w:r w:rsidRPr="002F7933">
        <w:rPr>
          <w:rStyle w:val="StyleUnderline"/>
        </w:rPr>
        <w:t>offered to nullify</w:t>
      </w:r>
      <w:r w:rsidRPr="002F7933">
        <w:rPr>
          <w:sz w:val="16"/>
        </w:rPr>
        <w:t xml:space="preserve"> the practice of </w:t>
      </w:r>
      <w:r w:rsidRPr="002F7933">
        <w:rPr>
          <w:rStyle w:val="StyleUnderline"/>
        </w:rPr>
        <w:t>overkill</w:t>
      </w:r>
      <w:r w:rsidRPr="002F7933">
        <w:rPr>
          <w:sz w:val="16"/>
        </w:rPr>
        <w:t xml:space="preserve"> often </w:t>
      </w:r>
      <w:r w:rsidRPr="002F7933">
        <w:rPr>
          <w:rStyle w:val="StyleUnderline"/>
        </w:rPr>
        <w:t xml:space="preserve">functions under the name of the </w:t>
      </w:r>
      <w:r w:rsidRPr="002F7933">
        <w:rPr>
          <w:rStyle w:val="Emphasis"/>
        </w:rPr>
        <w:t>trans- or gay-panic defense.</w:t>
      </w:r>
      <w:r w:rsidRPr="002F7933">
        <w:rPr>
          <w:sz w:val="16"/>
        </w:rPr>
        <w:t xml:space="preserve"> </w:t>
      </w:r>
      <w:r w:rsidRPr="002F7933">
        <w:rPr>
          <w:rStyle w:val="StyleUnderline"/>
        </w:rPr>
        <w:t>Both</w:t>
      </w:r>
      <w:r w:rsidRPr="002F7933">
        <w:rPr>
          <w:sz w:val="16"/>
        </w:rPr>
        <w:t xml:space="preserve"> of these defense </w:t>
      </w:r>
      <w:r w:rsidRPr="002F7933">
        <w:rPr>
          <w:rStyle w:val="StyleUnderline"/>
        </w:rPr>
        <w:t xml:space="preserve">strategies argue that the murderer became so enraged after the “discovery” of either genitalia or someone’s sexuality they were </w:t>
      </w:r>
      <w:r w:rsidRPr="002F7933">
        <w:rPr>
          <w:rStyle w:val="Emphasis"/>
        </w:rPr>
        <w:t>forced to protect themselves from the threat of queerness.</w:t>
      </w:r>
      <w:r w:rsidRPr="002F7933">
        <w:rPr>
          <w:sz w:val="16"/>
        </w:rPr>
        <w:t xml:space="preserve"> Estanislao </w:t>
      </w:r>
      <w:r w:rsidRPr="002F7933">
        <w:rPr>
          <w:rStyle w:val="StyleUnderline"/>
        </w:rPr>
        <w:t>Martinez</w:t>
      </w:r>
      <w:r w:rsidRPr="002F7933">
        <w:rPr>
          <w:sz w:val="16"/>
        </w:rPr>
        <w:t xml:space="preserve"> of Fresno, California, </w:t>
      </w:r>
      <w:r w:rsidRPr="002F7933">
        <w:rPr>
          <w:rStyle w:val="StyleUnderline"/>
        </w:rPr>
        <w:t>used the trans-panic defense and received a four-year prison sentence after admittedly stabbing J. Robles, a Latina transwoman, at least twenty times with a pair of scissors</w:t>
      </w:r>
      <w:r w:rsidRPr="002F7933">
        <w:rPr>
          <w:sz w:val="16"/>
        </w:rPr>
        <w:t xml:space="preserve">. Importantly, </w:t>
      </w:r>
      <w:r w:rsidRPr="002F7933">
        <w:rPr>
          <w:rStyle w:val="StyleUnderline"/>
        </w:rPr>
        <w:t>this defense is often used</w:t>
      </w:r>
      <w:r w:rsidRPr="002F7933">
        <w:rPr>
          <w:sz w:val="16"/>
        </w:rPr>
        <w:t xml:space="preserve">, as in the cases of Robles and Paige, </w:t>
      </w:r>
      <w:r w:rsidRPr="002F7933">
        <w:rPr>
          <w:rStyle w:val="StyleUnderline"/>
        </w:rPr>
        <w:t>after the murderer has engaged in some kind of sex with the victim. The logic of the trans-panic defense as an explanation for overkill, in its gory semiotics, offers us a way of understanding queers as the nothing of Mbembe’s query</w:t>
      </w:r>
      <w:r w:rsidRPr="002F7933">
        <w:rPr>
          <w:sz w:val="16"/>
        </w:rPr>
        <w:t xml:space="preserve">. </w:t>
      </w:r>
      <w:r w:rsidRPr="002F7933">
        <w:rPr>
          <w:rStyle w:val="StyleUnderline"/>
        </w:rPr>
        <w:t xml:space="preserve">Overkill names the technologies necessary </w:t>
      </w:r>
      <w:r w:rsidRPr="002F7933">
        <w:rPr>
          <w:rStyle w:val="Emphasis"/>
        </w:rPr>
        <w:t>to do away with that which is already gone.</w:t>
      </w:r>
      <w:r w:rsidRPr="002F7933">
        <w:rPr>
          <w:sz w:val="16"/>
        </w:rPr>
        <w:t xml:space="preserve"> </w:t>
      </w:r>
      <w:r w:rsidRPr="002F7933">
        <w:rPr>
          <w:rStyle w:val="StyleUnderline"/>
        </w:rPr>
        <w:t>Queers</w:t>
      </w:r>
      <w:r w:rsidRPr="002F7933">
        <w:rPr>
          <w:sz w:val="16"/>
        </w:rPr>
        <w:t xml:space="preserve"> then </w:t>
      </w:r>
      <w:r w:rsidRPr="002F7933">
        <w:rPr>
          <w:rStyle w:val="StyleUnderline"/>
        </w:rPr>
        <w:t xml:space="preserve">are the specters of life whose threat is so unimaginable that one is </w:t>
      </w:r>
      <w:r w:rsidRPr="002F7933">
        <w:rPr>
          <w:rStyle w:val="Emphasis"/>
        </w:rPr>
        <w:t>“forced,”</w:t>
      </w:r>
      <w:r w:rsidRPr="002F7933">
        <w:rPr>
          <w:rStyle w:val="StyleUnderline"/>
        </w:rPr>
        <w:t xml:space="preserve"> </w:t>
      </w:r>
      <w:r w:rsidRPr="002F7933">
        <w:rPr>
          <w:rStyle w:val="Emphasis"/>
        </w:rPr>
        <w:t>not simply to murder</w:t>
      </w:r>
      <w:r w:rsidRPr="002F7933">
        <w:rPr>
          <w:sz w:val="16"/>
        </w:rPr>
        <w:t xml:space="preserve">, </w:t>
      </w:r>
      <w:r w:rsidRPr="002F7933">
        <w:rPr>
          <w:rStyle w:val="Emphasis"/>
        </w:rPr>
        <w:t>but to push them backward out of time</w:t>
      </w:r>
      <w:r w:rsidRPr="002F7933">
        <w:rPr>
          <w:sz w:val="16"/>
        </w:rPr>
        <w:t xml:space="preserve">, </w:t>
      </w:r>
      <w:r w:rsidRPr="002F7933">
        <w:rPr>
          <w:rStyle w:val="Emphasis"/>
        </w:rPr>
        <w:t>out of History</w:t>
      </w:r>
      <w:r w:rsidRPr="002F7933">
        <w:rPr>
          <w:sz w:val="16"/>
        </w:rPr>
        <w:t xml:space="preserve">, </w:t>
      </w:r>
      <w:r w:rsidRPr="002F7933">
        <w:rPr>
          <w:rStyle w:val="Emphasis"/>
        </w:rPr>
        <w:t>and into that which comes before.</w:t>
      </w:r>
      <w:r w:rsidRPr="002F7933">
        <w:rPr>
          <w:sz w:val="16"/>
        </w:rPr>
        <w:t xml:space="preserve"> 27</w:t>
      </w:r>
    </w:p>
    <w:p w:rsidR="004143C4" w:rsidRPr="002F7933" w:rsidRDefault="004143C4" w:rsidP="004143C4">
      <w:pPr>
        <w:rPr>
          <w:rStyle w:val="Emphasis"/>
        </w:rPr>
      </w:pPr>
      <w:r w:rsidRPr="002F7933">
        <w:rPr>
          <w:sz w:val="16"/>
        </w:rPr>
        <w:lastRenderedPageBreak/>
        <w:t xml:space="preserve">In thinking the overkill of Paige and Brazell, I return to Mbembe’s query, </w:t>
      </w:r>
      <w:r w:rsidRPr="002F7933">
        <w:rPr>
          <w:rStyle w:val="Emphasis"/>
        </w:rPr>
        <w:t>“But what does it mean to do violence to what is nothing?”</w:t>
      </w:r>
      <w:r w:rsidRPr="002F7933">
        <w:rPr>
          <w:sz w:val="16"/>
        </w:rPr>
        <w:t xml:space="preserve">28 This question in its elegant brutality repeats with each case I offer. </w:t>
      </w:r>
      <w:r w:rsidRPr="002F7933">
        <w:rPr>
          <w:rStyle w:val="StyleUnderline"/>
        </w:rPr>
        <w:t>By resituating this question in the positive, the “something” that is more often than not translated as the human is made to appear</w:t>
      </w:r>
      <w:r w:rsidRPr="002F7933">
        <w:rPr>
          <w:sz w:val="16"/>
        </w:rPr>
        <w:t xml:space="preserve">. Of interest here, the category of the human assumes generality, yet can only be activated through the specificity of historical and politically located intersection. To this end, </w:t>
      </w:r>
      <w:r w:rsidRPr="002F7933">
        <w:rPr>
          <w:rStyle w:val="Emphasis"/>
        </w:rPr>
        <w:t>the human</w:t>
      </w:r>
      <w:r w:rsidRPr="002F7933">
        <w:rPr>
          <w:rStyle w:val="StyleUnderline"/>
        </w:rPr>
        <w:t xml:space="preserve">, the “something” of this query, within the context of the liberal democracy, names </w:t>
      </w:r>
      <w:r w:rsidRPr="002F7933">
        <w:rPr>
          <w:rStyle w:val="Emphasis"/>
        </w:rPr>
        <w:t>rights-bearing subjects</w:t>
      </w:r>
      <w:r w:rsidRPr="002F7933">
        <w:rPr>
          <w:rStyle w:val="StyleUnderline"/>
        </w:rPr>
        <w:t xml:space="preserve">, or those who can </w:t>
      </w:r>
      <w:r w:rsidRPr="002F7933">
        <w:rPr>
          <w:rStyle w:val="Emphasis"/>
        </w:rPr>
        <w:t>stand as subjects before the law</w:t>
      </w:r>
      <w:r w:rsidRPr="002F7933">
        <w:rPr>
          <w:sz w:val="16"/>
        </w:rPr>
        <w:t xml:space="preserve">. </w:t>
      </w:r>
      <w:r w:rsidRPr="002F7933">
        <w:rPr>
          <w:rStyle w:val="Emphasis"/>
        </w:rPr>
        <w:t>The human</w:t>
      </w:r>
      <w:r w:rsidRPr="002F7933">
        <w:rPr>
          <w:sz w:val="16"/>
        </w:rPr>
        <w:t xml:space="preserve">, then, </w:t>
      </w:r>
      <w:r w:rsidRPr="002F7933">
        <w:rPr>
          <w:rStyle w:val="Emphasis"/>
        </w:rPr>
        <w:t>makes the nothing not only possible but necessary.</w:t>
      </w:r>
      <w:r w:rsidRPr="002F7933">
        <w:rPr>
          <w:sz w:val="16"/>
        </w:rPr>
        <w:t xml:space="preserve"> Following this logic, </w:t>
      </w:r>
      <w:r w:rsidRPr="002F7933">
        <w:rPr>
          <w:rStyle w:val="StyleUnderline"/>
        </w:rPr>
        <w:t xml:space="preserve">the work of death, of the death that is already nothing, not quite human, </w:t>
      </w:r>
      <w:r w:rsidRPr="002F7933">
        <w:rPr>
          <w:rStyle w:val="Emphasis"/>
        </w:rPr>
        <w:t>binds the categorical (mis)recognition of humanity.</w:t>
      </w:r>
      <w:r w:rsidRPr="002F7933">
        <w:rPr>
          <w:sz w:val="16"/>
        </w:rPr>
        <w:t xml:space="preserve"> </w:t>
      </w:r>
      <w:r w:rsidRPr="002F7933">
        <w:rPr>
          <w:rStyle w:val="StyleUnderline"/>
        </w:rPr>
        <w:t>The human</w:t>
      </w:r>
      <w:r w:rsidRPr="002F7933">
        <w:rPr>
          <w:sz w:val="16"/>
        </w:rPr>
        <w:t xml:space="preserve">, then, </w:t>
      </w:r>
      <w:r w:rsidRPr="002F7933">
        <w:rPr>
          <w:rStyle w:val="StyleUnderline"/>
        </w:rPr>
        <w:t xml:space="preserve">resides in the space of life and under the domain of rights, whereas </w:t>
      </w:r>
      <w:r w:rsidRPr="002F7933">
        <w:rPr>
          <w:rStyle w:val="Emphasis"/>
        </w:rPr>
        <w:t>the queer inhabits the place of compromised personhood and the zone of death.</w:t>
      </w:r>
      <w:r w:rsidRPr="002F7933">
        <w:rPr>
          <w:sz w:val="16"/>
        </w:rPr>
        <w:t xml:space="preserve"> </w:t>
      </w:r>
      <w:r w:rsidRPr="002F7933">
        <w:rPr>
          <w:rStyle w:val="StyleUnderline"/>
        </w:rPr>
        <w:t xml:space="preserve">As perpetual and axiomatic threat to the human, the queer is </w:t>
      </w:r>
      <w:r w:rsidRPr="002F7933">
        <w:rPr>
          <w:rStyle w:val="Emphasis"/>
        </w:rPr>
        <w:t>the negated double of the subject of liberal democracy.</w:t>
      </w:r>
    </w:p>
    <w:p w:rsidR="004143C4" w:rsidRPr="0012742C" w:rsidRDefault="004143C4" w:rsidP="004143C4">
      <w:pPr>
        <w:rPr>
          <w:rStyle w:val="StyleUnderline"/>
        </w:rPr>
      </w:pPr>
      <w:r w:rsidRPr="002F7933">
        <w:rPr>
          <w:rStyle w:val="StyleUnderline"/>
        </w:rPr>
        <w:t>Understanding the nothing as the unavoidable shadow of the human serves to counter the arguments that suggest overkill and antiqueer violence at large are a pathological break and that the severe nature of these killings signals something extreme</w:t>
      </w:r>
      <w:r w:rsidRPr="002F7933">
        <w:rPr>
          <w:sz w:val="16"/>
        </w:rPr>
        <w:t xml:space="preserve">. In contrast, </w:t>
      </w:r>
      <w:r w:rsidRPr="002F7933">
        <w:rPr>
          <w:rStyle w:val="Emphasis"/>
        </w:rPr>
        <w:t>overkill is precisely not outside of</w:t>
      </w:r>
      <w:r w:rsidRPr="002F7933">
        <w:rPr>
          <w:sz w:val="16"/>
        </w:rPr>
        <w:t xml:space="preserve">, </w:t>
      </w:r>
      <w:r w:rsidRPr="002F7933">
        <w:rPr>
          <w:rStyle w:val="Emphasis"/>
        </w:rPr>
        <w:t>but is that which constitutes liberal democracy</w:t>
      </w:r>
      <w:r w:rsidRPr="002F7933">
        <w:rPr>
          <w:sz w:val="16"/>
        </w:rPr>
        <w:t xml:space="preserve"> </w:t>
      </w:r>
      <w:r w:rsidRPr="002F7933">
        <w:rPr>
          <w:rStyle w:val="Emphasis"/>
        </w:rPr>
        <w:t>as such</w:t>
      </w:r>
      <w:r w:rsidRPr="002F7933">
        <w:rPr>
          <w:sz w:val="16"/>
        </w:rPr>
        <w:t xml:space="preserve">. </w:t>
      </w:r>
      <w:r w:rsidRPr="002F7933">
        <w:rPr>
          <w:rStyle w:val="StyleUnderline"/>
        </w:rPr>
        <w:t>Overkill</w:t>
      </w:r>
      <w:r w:rsidRPr="002F7933">
        <w:rPr>
          <w:sz w:val="16"/>
        </w:rPr>
        <w:t xml:space="preserve"> then </w:t>
      </w:r>
      <w:r w:rsidRPr="002F7933">
        <w:rPr>
          <w:rStyle w:val="StyleUnderline"/>
        </w:rPr>
        <w:t>is the proper expression to the riddle of the queer nothingness</w:t>
      </w:r>
      <w:r w:rsidRPr="002F7933">
        <w:rPr>
          <w:sz w:val="16"/>
        </w:rPr>
        <w:t xml:space="preserve">. Put another way, </w:t>
      </w:r>
      <w:r w:rsidRPr="002F7933">
        <w:rPr>
          <w:rStyle w:val="StyleUnderline"/>
        </w:rPr>
        <w:t xml:space="preserve">the spectacular material-semiotics of overkill should not be read as (only) individual pathology; these vicious acts </w:t>
      </w:r>
      <w:r w:rsidRPr="002F7933">
        <w:rPr>
          <w:rStyle w:val="Emphasis"/>
        </w:rPr>
        <w:t>must indict the very social worlds of which they are ambassadors.</w:t>
      </w:r>
      <w:r w:rsidRPr="002F7933">
        <w:rPr>
          <w:sz w:val="16"/>
        </w:rPr>
        <w:t xml:space="preserve"> </w:t>
      </w:r>
      <w:r w:rsidRPr="002F7933">
        <w:rPr>
          <w:rStyle w:val="StyleUnderline"/>
        </w:rPr>
        <w:t>Overkill is what it means</w:t>
      </w:r>
      <w:r w:rsidRPr="002F7933">
        <w:rPr>
          <w:sz w:val="16"/>
        </w:rPr>
        <w:t xml:space="preserve">, what it must mean, </w:t>
      </w:r>
      <w:r w:rsidRPr="002F7933">
        <w:rPr>
          <w:rStyle w:val="StyleUnderline"/>
        </w:rPr>
        <w:t>to do violence to what is nothing.</w:t>
      </w:r>
      <w:r w:rsidRPr="0012742C">
        <w:rPr>
          <w:rStyle w:val="StyleUnderline"/>
        </w:rPr>
        <w:t xml:space="preserve"> </w:t>
      </w:r>
    </w:p>
    <w:p w:rsidR="004143C4" w:rsidRDefault="004143C4" w:rsidP="004143C4"/>
    <w:p w:rsidR="004143C4" w:rsidRPr="004143C4" w:rsidRDefault="004143C4" w:rsidP="004143C4"/>
    <w:p w:rsidR="00DE5E47" w:rsidRDefault="009E1937" w:rsidP="00DE5E47">
      <w:pPr>
        <w:pStyle w:val="Heading3"/>
      </w:pPr>
      <w:bookmarkStart w:id="62" w:name="_Toc489138952"/>
      <w:r>
        <w:lastRenderedPageBreak/>
        <w:t>Turns:</w:t>
      </w:r>
      <w:r w:rsidR="00DE5E47">
        <w:t xml:space="preserve"> CS Diversity</w:t>
      </w:r>
      <w:bookmarkEnd w:id="62"/>
    </w:p>
    <w:p w:rsidR="00DE5E47" w:rsidRDefault="00DE5E47" w:rsidP="00DE5E47">
      <w:pPr>
        <w:spacing w:after="0" w:line="240" w:lineRule="auto"/>
        <w:rPr>
          <w:rStyle w:val="Style13ptBold"/>
        </w:rPr>
      </w:pPr>
      <w:r>
        <w:rPr>
          <w:rStyle w:val="Style13ptBold"/>
        </w:rPr>
        <w:t>Cis-heteronormativity pervades the computer science industry—hostile workspaces decrease retention turning the aff</w:t>
      </w:r>
    </w:p>
    <w:p w:rsidR="00DE5E47" w:rsidRDefault="00DE5E47" w:rsidP="00DE5E47">
      <w:pPr>
        <w:spacing w:after="0" w:line="240" w:lineRule="auto"/>
        <w:rPr>
          <w:rFonts w:eastAsiaTheme="majorEastAsia" w:cstheme="majorBidi"/>
          <w:b/>
          <w:bCs/>
          <w:sz w:val="26"/>
          <w:szCs w:val="26"/>
        </w:rPr>
      </w:pPr>
      <w:r>
        <w:rPr>
          <w:rStyle w:val="Style13ptBold"/>
        </w:rPr>
        <w:t xml:space="preserve">Stout &amp; Wright, 15 </w:t>
      </w:r>
      <w:r w:rsidRPr="003423A1">
        <w:rPr>
          <w:rStyle w:val="Style13ptBold"/>
          <w:b w:val="0"/>
          <w:sz w:val="16"/>
          <w:szCs w:val="16"/>
        </w:rPr>
        <w:t xml:space="preserve">[Jane G. Stout, </w:t>
      </w:r>
      <w:r w:rsidRPr="003423A1">
        <w:rPr>
          <w:rFonts w:eastAsiaTheme="majorEastAsia" w:cstheme="majorBidi"/>
          <w:bCs/>
          <w:sz w:val="16"/>
          <w:szCs w:val="16"/>
        </w:rPr>
        <w:t>Computing Research Association (CRA), Center for Evaluating the Research Pipeline (CERP), Washington D.C., U.S.A., Heather M. Wright, Computing Research Association (CRA), Center for Evaluating the Research Pipeline (CERP), Washington D.C., U.S.A. | “Lesbian, Gay, Bisexual, Transgender, and Queer students' sense of belonging in computing,” Research in Equity and Sustained Participation in Engineering, Computing, and Technology (RESPECT), 2015 pg. 1-4]</w:t>
      </w:r>
    </w:p>
    <w:p w:rsidR="00DE5E47" w:rsidRPr="002B2192" w:rsidRDefault="00DE5E47" w:rsidP="00DE5E47">
      <w:pPr>
        <w:spacing w:after="0" w:line="240" w:lineRule="auto"/>
        <w:rPr>
          <w:rStyle w:val="Style13ptBold"/>
          <w:rFonts w:eastAsiaTheme="majorEastAsia" w:cstheme="majorBidi"/>
          <w:bCs w:val="0"/>
          <w:szCs w:val="26"/>
        </w:rPr>
      </w:pPr>
    </w:p>
    <w:p w:rsidR="00DE5E47" w:rsidRPr="00CB63D9" w:rsidRDefault="00DE5E47" w:rsidP="00DE5E47">
      <w:pPr>
        <w:rPr>
          <w:sz w:val="16"/>
        </w:rPr>
      </w:pPr>
      <w:r w:rsidRPr="00CF0A7A">
        <w:rPr>
          <w:rStyle w:val="StyleUnderline"/>
        </w:rPr>
        <w:t>The need to belong is widely theorized to be a fundamental necessity for psychological and physical wellbeing</w:t>
      </w:r>
      <w:r w:rsidRPr="00CB63D9">
        <w:rPr>
          <w:sz w:val="16"/>
        </w:rPr>
        <w:t xml:space="preserve"> [3,4]. When individuals do not feel a secure sense of belonging in academic settings, which are the milieus of interest in the current work, individuals’ motivation, achievement, and persistence tend to suffer [5,6</w:t>
      </w:r>
      <w:r w:rsidRPr="00CF0A7A">
        <w:rPr>
          <w:rStyle w:val="StyleUnderline"/>
        </w:rPr>
        <w:t>]. Of relevance, LGBTQ students report more instances of harassment than heterosexual students on college campuses</w:t>
      </w:r>
      <w:r w:rsidRPr="00CB63D9">
        <w:rPr>
          <w:sz w:val="16"/>
        </w:rPr>
        <w:t xml:space="preserve"> [7], and LGBTQ students tend to choose to attend institutions that have reputations for being supportive of the LGBTQ community [8]. In addition to overall campus climate, some specific academic settings may unintentionally foster a particularly low sense of belonging among LGBTQ students. For instance, </w:t>
      </w:r>
      <w:r w:rsidRPr="00CF0A7A">
        <w:rPr>
          <w:rStyle w:val="Emphasis"/>
        </w:rPr>
        <w:t>computing departments tend to foster a heteronormative social environment, where heterosexuality is assumed to be the norm, such that institutions and policies are aligned with a heterosexual lifestyle [9]. Consistent with this, an interview study revealed that lesbian, gay, bisexual, and transgender faculty members in computing departments perceived that heterosexuality was the assumed norm among colleagues</w:t>
      </w:r>
      <w:r w:rsidRPr="00CB63D9">
        <w:rPr>
          <w:sz w:val="16"/>
        </w:rPr>
        <w:t xml:space="preserve"> [10]. Although existing empirical evidence is limited, theory and interview data among individuals in computing suggest that LGBTQ students pursuing postsecondary computing degrees have reason to feel a low sense of belonging in their degree track. Importantly, extant theory and research suggest a thwarted sense of belonging among LGBTQ students in computing should increase their inclination to leave a computing career track [3,4]. Systematic attrition from computing among LGBTQ students is suboptimal for a number of reasons. For one, </w:t>
      </w:r>
      <w:r w:rsidRPr="00716E26">
        <w:rPr>
          <w:rStyle w:val="StyleUnderline"/>
        </w:rPr>
        <w:t>a dearth of LGBTQ individuals in computing means that this group of individuals’ needs and interests become underrepresented in computing innovations. Moreover, this group of individuals brings a diversity of perspective to the computing enterprise, which is associated with high innovation and productivity</w:t>
      </w:r>
      <w:r w:rsidRPr="00CB63D9">
        <w:rPr>
          <w:sz w:val="16"/>
        </w:rPr>
        <w:t xml:space="preserve"> [11,12]. Finally, </w:t>
      </w:r>
      <w:r w:rsidRPr="00716E26">
        <w:rPr>
          <w:rStyle w:val="StyleUnderline"/>
        </w:rPr>
        <w:t>high dropout rates among whole subgroups of students will result in a low volume of qualified workers, impeding society’s ability to build a strong computing labor force</w:t>
      </w:r>
      <w:r w:rsidRPr="00CB63D9">
        <w:rPr>
          <w:sz w:val="16"/>
        </w:rPr>
        <w:t xml:space="preserve">. Data from undergraduate and graduate students, which allowed us to assess whether our findings replicate across two samples and generalize across individuals at different stages of their computing career preparation. We expected that </w:t>
      </w:r>
      <w:r w:rsidRPr="00716E26">
        <w:rPr>
          <w:rStyle w:val="StyleUnderline"/>
        </w:rPr>
        <w:t>LGBTQ undergraduate and graduate students would show a stronger relationship between thoughts about leaving computing and a low sense of belonging in the computing community than their heterosexual peers</w:t>
      </w:r>
      <w:r w:rsidRPr="00CB63D9">
        <w:rPr>
          <w:sz w:val="16"/>
        </w:rPr>
        <w:t>. … data from undergraduate and graduate students, which allowed us to assess whether our findings replicate across two samples and generalize across individuals at different stages of their computing career preparation. We expected that LGBTQ undergraduate and graduate students would show a stronger relationship between thoughts about leaving computing and a low sense of belonging in the computing community than their heterosexual peers. s expected and conceptually consistent with the findings from Study 1</w:t>
      </w:r>
      <w:r w:rsidRPr="00716E26">
        <w:rPr>
          <w:rStyle w:val="StyleUnderline"/>
        </w:rPr>
        <w:t>, LGBTQ students indicated that they felt a lower sense of belonging in the computing community than heterosexual students</w:t>
      </w:r>
      <w:r w:rsidRPr="00CB63D9">
        <w:rPr>
          <w:sz w:val="16"/>
        </w:rPr>
        <w:t xml:space="preserve"> (M = 3.34, SE = .12; M = 3.75, SE = .03, respectively), F (1, 942) = 11.27, p &lt; .01. 2) Thoughts about leaving. We next assessed whether LGBTQ students thought about leaving their degree program during their graduate career. Indeed, LGBTQ graduate students were significantly more likely to have thought about leaving their graduate program (56%) compared to heterosexual students (27%), χ2 (1,944) = 17.33, p &lt; .0016. 3) Do Group Disparities in Belonging Explain Group Disparities in Thoughts about Leaving? </w:t>
      </w:r>
      <w:r w:rsidRPr="00716E26">
        <w:rPr>
          <w:rStyle w:val="StyleUnderline"/>
        </w:rPr>
        <w:t>Extant research and theory have found that feeling a secure sense of belonging in academic settings is associated with persistence therein</w:t>
      </w:r>
      <w:r w:rsidRPr="00CB63D9">
        <w:rPr>
          <w:sz w:val="16"/>
        </w:rPr>
        <w:t xml:space="preserve"> (for a review, see [5]). We found that this was also the case in our data: students who felt a stronger sense of belonging were less likely to think about leaving their degree program, B = -.59, SE = .09, χ2(1,944) = 41.49, p &lt; .001. Having established that </w:t>
      </w:r>
      <w:r w:rsidRPr="00716E26">
        <w:rPr>
          <w:rStyle w:val="StyleUnderline"/>
        </w:rPr>
        <w:t>LGBTQ graduate students felt a lower sense of belonging in computing than their heterosexual peers and (b) feeling a secure sense of belonging in computing is associated with a lower tendency to think about leaving one’s</w:t>
      </w:r>
      <w:r w:rsidRPr="00CB63D9">
        <w:rPr>
          <w:sz w:val="16"/>
        </w:rPr>
        <w:t xml:space="preserve"> degree </w:t>
      </w:r>
      <w:r w:rsidRPr="00716E26">
        <w:rPr>
          <w:rStyle w:val="StyleUnderline"/>
        </w:rPr>
        <w:t>program</w:t>
      </w:r>
      <w:r w:rsidRPr="00CB63D9">
        <w:rPr>
          <w:sz w:val="16"/>
        </w:rPr>
        <w:t xml:space="preserve">, we tested whether LGBTQ students’ lower sense of belonging might partially explain their comparatively greater tendency to think about leaving their degree program than heterosexual students. Indeed, the original group disparity in thoughts about leaving one’s program (B = 1.22, SE = .31, χ2 (1,944) = 15.61, p &lt; .001) decreased in size after statistically controlling for students’ sense of belonging (B = 1.04, SE = .32, χ2 (1,944) = 10.68, p &lt; .01). This indirect effect was significant, Sobel Z = 3.09, SE = .08, p &lt; .01 [15], indicating that LGBTQ students’ greater tendency to think about leaving was partially statistically explained by their lower sense of belonging in the computing community than heterosexual students (see Figure 1 for a </w:t>
      </w:r>
      <w:r w:rsidRPr="00CB63D9">
        <w:rPr>
          <w:sz w:val="16"/>
        </w:rPr>
        <w:lastRenderedPageBreak/>
        <w:t xml:space="preserve">spatial representation of this relationship). The current work suggests that LGBTQ undergraduate and graduate students alike are more likely to think about leaving computing because they feel a lower sense of belonging compared to heterosexual students. Of interest, ancillary analyses indicated that this trend appears to be particularly strong among LGBTQ women. Although we found that LGBTQ women were no more likely to report thinking about leaving their program than their peers, this group of women showed the lowest sense of belonging in computing compared to other students. That is, among undergraduate students who had considered leaving their major, LGBTQ women were more likely than heterosexual men and women, and LGBTQ men to indicate that they had thought about leaving their major due to a low sense of belonging, Dunnett ps &lt; .05. Similarly, among graduate students, LGBTQ women reported the lowest sense of belonging in the computing community compared to their peers, Dunnett ps &lt; .05. We urge the reader to interpret this finding with caution, given low sample sizes for these analyses for LGBTQ women (n = 7 undergraduates; n=18 graduate students) and LGBTQ men (n = 7 undergraduates; n=24 graduate students) in these analyses. </w:t>
      </w:r>
      <w:r w:rsidRPr="00CB63D9">
        <w:rPr>
          <w:rStyle w:val="StyleUnderline"/>
        </w:rPr>
        <w:t xml:space="preserve">Nonetheless, our data suggest that whereas all </w:t>
      </w:r>
      <w:r w:rsidRPr="00CB63D9">
        <w:rPr>
          <w:rStyle w:val="Emphasis"/>
        </w:rPr>
        <w:t xml:space="preserve">members of the LGBTQ community are at higher risk of leaving computing compared to heterosexually identified students, </w:t>
      </w:r>
      <w:r w:rsidRPr="00CB63D9">
        <w:rPr>
          <w:rStyle w:val="StyleUnderline"/>
        </w:rPr>
        <w:t>women within the LGBTQ community are particularly at risk – perhaps due to the fact that they belong to two marginalized groups: women and non-heterosexual individuals.</w:t>
      </w:r>
      <w:r w:rsidRPr="00CB63D9">
        <w:rPr>
          <w:sz w:val="16"/>
        </w:rPr>
        <w:t xml:space="preserve"> One puzzling finding in the current work is as follows: whereas LGBTQ graduate students reported that they had seriously considered leaving their program to a greater degree than heterosexual peers, this pattern did not occur among undergraduate students. This lack of replication may have been due to a floor effect in Study 1. That is, whereas only approximately 12% of all undergraduate students indicated that they had considered leaving their major, 28% of al graduate students considered leaving their graduate degree. Greater variability in graduate students’ thoughts about leaving may have revealed sexual orientation disparities that were too difficult to detect in Study 1 due to low variability in thoughts about leaving among undergraduate students. In the current work, we focused solely on LGBTQ students’ sense of fit and thoughts about leaving within the context of computing. It is possible that LGBTQ students feel a more secure sense of belonging in fields such as the social sciences and humanities, which focus on understanding social issues (e.g., sexuality) in the curriculum [9]. </w:t>
      </w:r>
      <w:r w:rsidRPr="00CB63D9">
        <w:rPr>
          <w:rStyle w:val="StyleUnderline"/>
        </w:rPr>
        <w:t>Future work should compare LGBTQ students’ sense of belonging and persistence across many different disciplines in order to assess whether LGBTQ students’ sense of belonging is localized to specific disciplines or widespread across the academy. Such findings would help administrators and educators target their efforts to create inclusive environments for all students.</w:t>
      </w:r>
      <w:r w:rsidRPr="00CB63D9">
        <w:rPr>
          <w:sz w:val="16"/>
        </w:rPr>
        <w:t xml:space="preserve"> Our work also does not pinpoint the vehicle(s) behind LGBTQ students’ low sense of belonging in computing. For example, does the computing culture subtly transmit a blanketed message that the LGBTQ community does not belong in computing via a lack of LGBTQ role models? This is but one possible mechanism behind LGBTQ students’ tendency to feel as though they do not “fit” in computing as much as heterosexual students. Future research should explore these and other possible explanations for low belonging among the LGBTQ community in order to develop clear-cut intervention strategies for greater inclusivity in the academy. </w:t>
      </w:r>
    </w:p>
    <w:p w:rsidR="00DE5E47" w:rsidRDefault="009E1937" w:rsidP="009E1937">
      <w:pPr>
        <w:pStyle w:val="Heading3"/>
      </w:pPr>
      <w:bookmarkStart w:id="63" w:name="_Toc489138953"/>
      <w:r>
        <w:lastRenderedPageBreak/>
        <w:t>Turns: Achievment Gaps</w:t>
      </w:r>
      <w:bookmarkEnd w:id="63"/>
    </w:p>
    <w:p w:rsidR="009E1937" w:rsidRDefault="009E1937" w:rsidP="009E1937">
      <w:pPr>
        <w:pStyle w:val="Heading4"/>
      </w:pPr>
      <w:r>
        <w:t>Achievement Gaps and Structural Violence in Education are shaped through Cis-heteropatriarchy—Turns Aff</w:t>
      </w:r>
    </w:p>
    <w:p w:rsidR="009E1937" w:rsidRPr="00811D0A" w:rsidRDefault="009E1937" w:rsidP="009E1937">
      <w:pPr>
        <w:rPr>
          <w:rStyle w:val="Style13ptBold"/>
          <w:b w:val="0"/>
          <w:sz w:val="18"/>
          <w:szCs w:val="18"/>
        </w:rPr>
      </w:pPr>
      <w:r>
        <w:rPr>
          <w:rStyle w:val="Style13ptBold"/>
        </w:rPr>
        <w:t xml:space="preserve">Woodson and Pabon 16 </w:t>
      </w:r>
      <w:r>
        <w:rPr>
          <w:rStyle w:val="Style13ptBold"/>
          <w:b w:val="0"/>
          <w:sz w:val="18"/>
          <w:szCs w:val="18"/>
        </w:rPr>
        <w:t>[Ashley and Amber, have a PhD in Urban Education and is an assistant professor at the University of Pittsburgh | “’I’m None of the Above’: Exploring Themes of Heteropatriarchy in the Life Histories of Black Male Educators”, Equity &amp; Excellence in Education Jan. 2016, 57-71]</w:t>
      </w:r>
    </w:p>
    <w:p w:rsidR="009E1937" w:rsidRPr="009E1937" w:rsidRDefault="009E1937" w:rsidP="009E1937">
      <w:pPr>
        <w:rPr>
          <w:sz w:val="16"/>
        </w:rPr>
      </w:pPr>
      <w:r w:rsidRPr="009E1937">
        <w:rPr>
          <w:sz w:val="16"/>
        </w:rPr>
        <w:t xml:space="preserve">Through his life history narrative, Addison directs attention to the types of social and ideological spaces that he navigates as a transgender, Black, male, preservice teacher. We interpret his insight as a call to explore Black male teachers’ understandings of the professional expectations held of them, and how they understand these expectations in relation to their social identities. In this article, </w:t>
      </w:r>
      <w:r w:rsidRPr="004709AB">
        <w:rPr>
          <w:rStyle w:val="StyleUnderline"/>
        </w:rPr>
        <w:t>the life history narratives of three Black male educators</w:t>
      </w:r>
      <w:r w:rsidRPr="009E1937">
        <w:rPr>
          <w:sz w:val="16"/>
        </w:rPr>
        <w:t xml:space="preserve"> are examined to </w:t>
      </w:r>
      <w:r w:rsidRPr="004709AB">
        <w:rPr>
          <w:rStyle w:val="StyleUnderline"/>
        </w:rPr>
        <w:t xml:space="preserve">suggest that the professional expectations of this group often fail to acknowledge diverse expressions of Blackness and maleness. We argue that these failures can be illuminated through the Black feminist construct; heteropatriarchy, </w:t>
      </w:r>
      <w:r w:rsidRPr="009E1937">
        <w:rPr>
          <w:sz w:val="16"/>
        </w:rPr>
        <w:t xml:space="preserve">which refers to systems and practices </w:t>
      </w:r>
      <w:r w:rsidRPr="00811D0A">
        <w:rPr>
          <w:rStyle w:val="StyleUnderline"/>
        </w:rPr>
        <w:t>that normalize</w:t>
      </w:r>
      <w:r w:rsidRPr="009E1937">
        <w:rPr>
          <w:sz w:val="16"/>
        </w:rPr>
        <w:t xml:space="preserve"> and center </w:t>
      </w:r>
      <w:r w:rsidRPr="00811D0A">
        <w:rPr>
          <w:rStyle w:val="StyleUnderline"/>
        </w:rPr>
        <w:t>male dominance; male-female gender binaries; and heterosexual identities, family units, and sexual expressions</w:t>
      </w:r>
      <w:r w:rsidRPr="009E1937">
        <w:rPr>
          <w:sz w:val="16"/>
        </w:rPr>
        <w:t xml:space="preserve"> (Harris, 2011; Smith, 2006). </w:t>
      </w:r>
      <w:r w:rsidRPr="00811D0A">
        <w:rPr>
          <w:rStyle w:val="StyleUnderline"/>
        </w:rPr>
        <w:t>Our analysis also relies on intersectionality</w:t>
      </w:r>
      <w:r w:rsidRPr="009E1937">
        <w:rPr>
          <w:sz w:val="16"/>
        </w:rPr>
        <w:t>—the recognition that social identities operate together to produce distinct and overlapping forms of social inequality (Crenshaw, 1991)—</w:t>
      </w:r>
      <w:r w:rsidRPr="00811D0A">
        <w:rPr>
          <w:rStyle w:val="StyleUnderline"/>
        </w:rPr>
        <w:t>to disrupt limiting and oppressive conceptions</w:t>
      </w:r>
      <w:r w:rsidRPr="009E1937">
        <w:rPr>
          <w:sz w:val="16"/>
        </w:rPr>
        <w:t xml:space="preserve"> of the Black male educator. This article contributes to an increased awareness of how teacher educators and teachers understand, communicate, and embody assumptions of race, gender, and sexuality along the teacher education pipeline. </w:t>
      </w:r>
      <w:r w:rsidRPr="00811D0A">
        <w:rPr>
          <w:rStyle w:val="StyleUnderline"/>
        </w:rPr>
        <w:t>Black male teachers make up less than 2% of the U.S. public school labor force</w:t>
      </w:r>
      <w:r w:rsidRPr="009E1937">
        <w:rPr>
          <w:sz w:val="16"/>
        </w:rPr>
        <w:t xml:space="preserve"> (Brockenbrough, 2012b; Dee, 2005; Lewis &amp; Toldson, 2013, U.S. Census Bureau, 2010). In response to this statistic, and based on presumptions that </w:t>
      </w:r>
      <w:r w:rsidRPr="00811D0A">
        <w:rPr>
          <w:rStyle w:val="StyleUnderline"/>
        </w:rPr>
        <w:t>recruiting and retaining more Black male teachers might</w:t>
      </w:r>
      <w:r w:rsidRPr="009E1937">
        <w:rPr>
          <w:sz w:val="16"/>
        </w:rPr>
        <w:t xml:space="preserve"> help to </w:t>
      </w:r>
      <w:r w:rsidRPr="00811D0A">
        <w:rPr>
          <w:rStyle w:val="StyleUnderline"/>
        </w:rPr>
        <w:t>reduce the racial achievement gap</w:t>
      </w:r>
      <w:r w:rsidRPr="009E1937">
        <w:rPr>
          <w:sz w:val="16"/>
        </w:rPr>
        <w:t xml:space="preserve"> (Ladson-Billings, 2006; Noguera, 2009), to resolve what is conceptualized as a demographic imperative (Brown, 2012; Brown &amp; Butty, 1999; Lowenstein, 2009; Milner, 2010; Milner, Pabon, Woodson, &amp; McGee, 2013; Sleeter, 2001), and to quell the school-to-prison pipeline (Wald &amp; Losen, 2003), then-Education Secretary Arne Duncan initiated “a nationwide campaign to recruit and to place more Black men in the classroom” (Brown, 2012, p. 296). However, </w:t>
      </w:r>
      <w:r w:rsidRPr="00811D0A">
        <w:rPr>
          <w:rStyle w:val="StyleUnderline"/>
        </w:rPr>
        <w:t>the literature on Black male teachers’ lived experiences suggests that such campaigns are only directed toward a specific type of Black male educator</w:t>
      </w:r>
      <w:r w:rsidRPr="009E1937">
        <w:rPr>
          <w:sz w:val="16"/>
        </w:rPr>
        <w:t xml:space="preserve"> (Brown, 2012; Brockenbrough, 2012b; Pabon, 2014). Across these campaigns,</w:t>
      </w:r>
      <w:r w:rsidRPr="00811D0A">
        <w:rPr>
          <w:rStyle w:val="StyleUnderline"/>
        </w:rPr>
        <w:t xml:space="preserve"> the</w:t>
      </w:r>
      <w:r w:rsidRPr="009E1937">
        <w:rPr>
          <w:sz w:val="16"/>
        </w:rPr>
        <w:t xml:space="preserve"> “good” </w:t>
      </w:r>
      <w:r w:rsidRPr="00811D0A">
        <w:rPr>
          <w:rStyle w:val="StyleUnderline"/>
        </w:rPr>
        <w:t>Black male teacher is heterosexual, normatively gendered, and expresses himself in traditionally masculine ways</w:t>
      </w:r>
      <w:r w:rsidRPr="009E1937">
        <w:rPr>
          <w:sz w:val="16"/>
        </w:rPr>
        <w:t xml:space="preserve"> (Brockenbrough, 2012a, 2012b; Brown, 2012; McCready &amp; Mosley, 2014; Rezai-Rashti &amp; Martino, 2010). Jackson, Boutte, and Wilson (2013) add that the “good” Black male role model is “married, college educated, gainfully employed” (p. 121) and likely to own his own home. The desired characteristics of “good” Black male teachers reflect heteropatriarchal assumptions that privilege cisgender, heterosexual male identities (Harris, 2011). We argue these</w:t>
      </w:r>
      <w:r w:rsidRPr="00811D0A">
        <w:rPr>
          <w:rStyle w:val="StyleUnderline"/>
        </w:rPr>
        <w:t xml:space="preserve"> heteropatriarchal assumptions are problematic in at least two ways</w:t>
      </w:r>
      <w:r w:rsidRPr="009E1937">
        <w:rPr>
          <w:sz w:val="16"/>
        </w:rPr>
        <w:t>. First</w:t>
      </w:r>
      <w:r w:rsidRPr="00811D0A">
        <w:rPr>
          <w:rStyle w:val="StyleUnderline"/>
        </w:rPr>
        <w:t>, they suggest that the racial identity, gendered identity, and sex category of an individual who is Black and male are naturally cohesive, and result in certain ways of thinking, doing, and being in the social world</w:t>
      </w:r>
      <w:r w:rsidRPr="009E1937">
        <w:rPr>
          <w:sz w:val="16"/>
        </w:rPr>
        <w:t xml:space="preserve"> (Brockenbrough, 2012a; Brown, 2012; McCready &amp; Mosley, 2014; Rezai-Rashti &amp; Martino, 2010). As several scholars have argued, the racial, sexual, and gender identities of teachers or teacher candidates provide insufficient evidence to assess their experiences, abilities, or commitments (Brockenbrough, 2012a; Brown, 2012; Ladson-Billings, 1994; Rezai-Rashti &amp; Martino, 2010). </w:t>
      </w:r>
      <w:r w:rsidRPr="00811D0A">
        <w:rPr>
          <w:rStyle w:val="StyleUnderline"/>
        </w:rPr>
        <w:t>Second, we argue these assumptions about Black male identity might discourage Black males who are gay, transgender, or gender queer from becoming teachers</w:t>
      </w:r>
      <w:r w:rsidRPr="009E1937">
        <w:rPr>
          <w:sz w:val="16"/>
        </w:rPr>
        <w:t>, as teacher education recruitment discourse may not be inclusive or supportive of their identities and experiences.</w:t>
      </w:r>
    </w:p>
    <w:p w:rsidR="009E1937" w:rsidRPr="009E1937" w:rsidRDefault="009E1937" w:rsidP="009E1937"/>
    <w:p w:rsidR="00F567B5" w:rsidRDefault="00F567B5" w:rsidP="00F567B5">
      <w:pPr>
        <w:pStyle w:val="Heading3"/>
      </w:pPr>
      <w:bookmarkStart w:id="64" w:name="_Toc489138954"/>
      <w:bookmarkEnd w:id="57"/>
      <w:r>
        <w:lastRenderedPageBreak/>
        <w:t>***Alts***</w:t>
      </w:r>
      <w:bookmarkEnd w:id="64"/>
    </w:p>
    <w:p w:rsidR="00F567B5" w:rsidRPr="007E3CF2" w:rsidRDefault="00F567B5" w:rsidP="00F567B5"/>
    <w:p w:rsidR="00F567B5" w:rsidRDefault="00F567B5" w:rsidP="00F567B5">
      <w:pPr>
        <w:pStyle w:val="Heading3"/>
      </w:pPr>
      <w:bookmarkStart w:id="65" w:name="_Toc489138955"/>
      <w:r>
        <w:lastRenderedPageBreak/>
        <w:t>Alt: Queer Negativity</w:t>
      </w:r>
      <w:bookmarkEnd w:id="65"/>
    </w:p>
    <w:p w:rsidR="00F567B5" w:rsidRDefault="00F567B5" w:rsidP="00F567B5">
      <w:pPr>
        <w:pStyle w:val="Heading4"/>
      </w:pPr>
      <w:r>
        <w:t xml:space="preserve">The alternative is to embrace the queer negativity of education—disconnecting learning from futurity inhabits the gaps within the social to explore queer possibilities </w:t>
      </w:r>
    </w:p>
    <w:p w:rsidR="00F567B5" w:rsidRDefault="00F567B5" w:rsidP="00F567B5">
      <w:r w:rsidRPr="00A71B72">
        <w:rPr>
          <w:rStyle w:val="Author-Date"/>
        </w:rPr>
        <w:t>Greteman &amp; Wojcikiewicz 2014</w:t>
      </w:r>
      <w:r>
        <w:t xml:space="preserve"> [ Adam J., Adjunct Assistant Professor of Art Education at the School of the Art Institute of Chicago; Steven K., Assistant Professor in the College of Education at Western Oregon University | “The Problems with the Future: Educational Futurism and the Figural Child” Journal of Philosophy of Education, Vol. 48, No. 4, 2014]</w:t>
      </w:r>
    </w:p>
    <w:p w:rsidR="00F567B5" w:rsidRDefault="00F567B5" w:rsidP="00F567B5">
      <w:pPr>
        <w:rPr>
          <w:rStyle w:val="StyleUnderline"/>
        </w:rPr>
      </w:pPr>
      <w:r w:rsidRPr="00A71B72">
        <w:rPr>
          <w:sz w:val="16"/>
        </w:rPr>
        <w:t xml:space="preserve">This may seem to lay out a solution for educational futurism in the name of what might be called educational present-ism, but it is not so. </w:t>
      </w:r>
      <w:r w:rsidRPr="009A6725">
        <w:rPr>
          <w:rStyle w:val="StyleUnderline"/>
        </w:rPr>
        <w:t xml:space="preserve">It would be a mistake, when viewing educational futurism and the Child in terms of their roles in creating poor educational practice, to respond merely by calling for an education for the present. Such a call would fall into dualistic thinking that sets the present against the future and demands allegiance to one side or the other. </w:t>
      </w:r>
      <w:r w:rsidRPr="00A71B72">
        <w:rPr>
          <w:sz w:val="16"/>
        </w:rPr>
        <w:t xml:space="preserve">Both Dewey and Edelman warn against such a step, Edelman by making a queer argument centred on the death drive, and Dewey by pointing out the dangers of boiling complex ideas down to either-or propositions. </w:t>
      </w:r>
      <w:r w:rsidRPr="009A6725">
        <w:rPr>
          <w:rStyle w:val="StyleUnderline"/>
        </w:rPr>
        <w:t>Seeing the disruptive potential of the embracing the ‘negativity’ of queerness, Edelman utilises Lacan’s theorisation of the death drive.</w:t>
      </w:r>
      <w:r w:rsidRPr="00A71B72">
        <w:rPr>
          <w:sz w:val="16"/>
        </w:rPr>
        <w:t xml:space="preserve"> He notes that ‘the death drive marks the excess embedded within the Symbolic through the loss, the Real loss, that the advent of the signifier effects’ (2004, p. 9). </w:t>
      </w:r>
      <w:r w:rsidRPr="009A6725">
        <w:rPr>
          <w:rStyle w:val="StyleUnderline"/>
        </w:rPr>
        <w:t>The death drive becomes the moment of undoing, of constantly seeking to disrupt and destroy the signifier for ‘the queer insists that politics is always a politics of the signifier’</w:t>
      </w:r>
      <w:r w:rsidRPr="00A71B72">
        <w:rPr>
          <w:sz w:val="16"/>
        </w:rPr>
        <w:t xml:space="preserve"> (p. 6). Queerness makes possible a constant disruption or ‘the violent undoing of meaning, the loss of identity and coherence’ (p. 132). </w:t>
      </w:r>
      <w:r w:rsidRPr="009A6725">
        <w:rPr>
          <w:rStyle w:val="StyleUnderline"/>
        </w:rPr>
        <w:t>Edelman’s embrace of the death drive thus challenges the story of the Child’s innocence. In this challenge however, he notes that,</w:t>
      </w:r>
      <w:r w:rsidRPr="00A71B72">
        <w:rPr>
          <w:sz w:val="16"/>
        </w:rPr>
        <w:t xml:space="preserve"> . . . </w:t>
      </w:r>
      <w:r w:rsidRPr="009A6725">
        <w:rPr>
          <w:rStyle w:val="StyleUnderline"/>
        </w:rPr>
        <w:t>to intervene in the reproduction of such a reality</w:t>
      </w:r>
      <w:r w:rsidRPr="00A71B72">
        <w:rPr>
          <w:sz w:val="16"/>
        </w:rPr>
        <w:t>—an intervention that may well take the form of figuring that reality’s abortion—</w:t>
      </w:r>
      <w:r w:rsidRPr="009A6725">
        <w:rPr>
          <w:rStyle w:val="StyleUnderline"/>
        </w:rPr>
        <w:t>queer theory must always insist on its connection to the vicissitudes of the sign</w:t>
      </w:r>
      <w:r w:rsidRPr="00A71B72">
        <w:rPr>
          <w:sz w:val="16"/>
        </w:rPr>
        <w:t xml:space="preserve">, to the tension between the signifier’s collapse into the letter’s cadaverous materiality and its participation in a system of reference wherein it generates meaning itself (p. 7). Edelman, as such, is following a broader theme in queer theory. Eve </w:t>
      </w:r>
      <w:r w:rsidRPr="009A6725">
        <w:rPr>
          <w:rStyle w:val="StyleUnderline"/>
        </w:rPr>
        <w:t>Sedgwick</w:t>
      </w:r>
      <w:r w:rsidRPr="00A71B72">
        <w:rPr>
          <w:sz w:val="16"/>
        </w:rPr>
        <w:t xml:space="preserve"> (1993) </w:t>
      </w:r>
      <w:r w:rsidRPr="009A6725">
        <w:rPr>
          <w:rStyle w:val="StyleUnderline"/>
        </w:rPr>
        <w:t>suggests queer ‘can refer to: the mesh of possibilities, of gaps, overlaps, dissonances, and resonances, lapses and excesses of meaning when the constituent elements of anyone’s gender, of anyone’s sexuality aren’t made (</w:t>
      </w:r>
      <w:r w:rsidRPr="00A71B72">
        <w:rPr>
          <w:sz w:val="16"/>
        </w:rPr>
        <w:t xml:space="preserve">or can’t be made) </w:t>
      </w:r>
      <w:r w:rsidRPr="009A6725">
        <w:rPr>
          <w:rStyle w:val="StyleUnderline"/>
        </w:rPr>
        <w:t>to signify monolithically’</w:t>
      </w:r>
      <w:r w:rsidRPr="00A71B72">
        <w:rPr>
          <w:sz w:val="16"/>
        </w:rPr>
        <w:t xml:space="preserve"> (p. 8). </w:t>
      </w:r>
      <w:r w:rsidRPr="009A6725">
        <w:rPr>
          <w:rStyle w:val="StyleUnderline"/>
        </w:rPr>
        <w:t>The social order, under modernity</w:t>
      </w:r>
      <w:r w:rsidRPr="00A71B72">
        <w:rPr>
          <w:sz w:val="16"/>
        </w:rPr>
        <w:t xml:space="preserve">, is fantasised to be coherent, to seek consistency, completeness, and unity. It </w:t>
      </w:r>
      <w:r w:rsidRPr="009A6725">
        <w:rPr>
          <w:rStyle w:val="StyleUnderline"/>
        </w:rPr>
        <w:t>seeks to tell a story that does not fail,</w:t>
      </w:r>
      <w:r w:rsidRPr="00A71B72">
        <w:rPr>
          <w:sz w:val="16"/>
        </w:rPr>
        <w:t xml:space="preserve"> even as it always must. </w:t>
      </w:r>
      <w:r w:rsidRPr="009A6725">
        <w:rPr>
          <w:rStyle w:val="StyleUnderline"/>
        </w:rPr>
        <w:t>It is this failure that queerness embraces.</w:t>
      </w:r>
      <w:r w:rsidRPr="00A71B72">
        <w:rPr>
          <w:sz w:val="16"/>
        </w:rPr>
        <w:t xml:space="preserve"> As Edelman notes ‘queer theory marks the “other” side of politics: the “side” where narrative realization and derealization overlap . . . the “side” outside of all political sides’ (p. 7). While some may seek to tame queer theory so as to imply troubling—eliminating the queers association with (homo)sexuality—such a move is problematic as it ‘dematerialize[s] any possibility of queerness itself’ because homosexuality is a piece of the queers ‘definitional center’ (Sedgwick, 1993, p. 8). Such a move ignores the role of sexual orientation in queerness. And as Ahmed notes </w:t>
      </w:r>
      <w:r w:rsidRPr="009A6725">
        <w:rPr>
          <w:rStyle w:val="StyleUnderline"/>
        </w:rPr>
        <w:t>‘being oriented in different ways does matter, precisely because of how spaces are already oriented</w:t>
      </w:r>
      <w:r w:rsidRPr="00A71B72">
        <w:rPr>
          <w:sz w:val="16"/>
        </w:rPr>
        <w:t xml:space="preserve"> . . </w:t>
      </w:r>
      <w:r w:rsidRPr="009A6725">
        <w:rPr>
          <w:rStyle w:val="StyleUnderline"/>
        </w:rPr>
        <w:t>. Orientations affect what bodies can do’</w:t>
      </w:r>
      <w:r w:rsidRPr="00A71B72">
        <w:rPr>
          <w:sz w:val="16"/>
        </w:rPr>
        <w:t xml:space="preserve"> (2006, p. 563). </w:t>
      </w:r>
      <w:r w:rsidRPr="009A6725">
        <w:rPr>
          <w:rStyle w:val="StyleUnderline"/>
        </w:rPr>
        <w:t>As such, orientation impacts the ability to think of the future and to what ends one is oriented toward.</w:t>
      </w:r>
      <w:r>
        <w:rPr>
          <w:rStyle w:val="StyleUnderline"/>
        </w:rPr>
        <w:t xml:space="preserve"> </w:t>
      </w:r>
      <w:r w:rsidRPr="009A6725">
        <w:rPr>
          <w:rStyle w:val="StyleUnderline"/>
        </w:rPr>
        <w:t>The task in part is the embrace of the negative in order to challenge the social reality and its fantasy of coherence to orient in new ways. The incompleteness of children</w:t>
      </w:r>
      <w:r w:rsidRPr="00A71B72">
        <w:rPr>
          <w:sz w:val="16"/>
        </w:rPr>
        <w:t xml:space="preserve">, much maligned, </w:t>
      </w:r>
      <w:r w:rsidRPr="009A6725">
        <w:rPr>
          <w:rStyle w:val="StyleUnderline"/>
        </w:rPr>
        <w:t>emerges then as a site for such a challenge whereby the incompleteness is embraced so that coherence is always in question.</w:t>
      </w:r>
      <w:r w:rsidRPr="00A71B72">
        <w:rPr>
          <w:sz w:val="16"/>
        </w:rPr>
        <w:t xml:space="preserve"> The social reality is constantly under threat of disintegration and as such seeks to regulate those bodies that cause such threats. </w:t>
      </w:r>
      <w:r w:rsidRPr="000C322C">
        <w:rPr>
          <w:rStyle w:val="StyleUnderline"/>
        </w:rPr>
        <w:t>The queerness of children produces different ways to do and be in the world, hidden by the regulatory subject in the form of the Child. To employ a queer perspective in the examination of educational futurism is not solely to carry out a simple act of negation</w:t>
      </w:r>
      <w:r w:rsidRPr="00A71B72">
        <w:rPr>
          <w:sz w:val="16"/>
        </w:rPr>
        <w:t xml:space="preserve"> (i.e. negating the Child), </w:t>
      </w:r>
      <w:r w:rsidRPr="000C322C">
        <w:rPr>
          <w:rStyle w:val="StyleUnderline"/>
        </w:rPr>
        <w:t>but to recognise how that negation is, in part, how the future is figured and how different futures might become thinkable.</w:t>
      </w:r>
      <w:r>
        <w:rPr>
          <w:rStyle w:val="StyleUnderline"/>
        </w:rPr>
        <w:t xml:space="preserve"> </w:t>
      </w:r>
      <w:r w:rsidRPr="00A71B72">
        <w:rPr>
          <w:sz w:val="16"/>
        </w:rPr>
        <w:t xml:space="preserve">For Edelman this embrace occurs through his theorisation around the death drive, which ‘names what the queer, in the order of the social, is called forth to figure: the negativity opposed to every form of social viability’ (2004, p. 9). </w:t>
      </w:r>
      <w:r w:rsidRPr="00E53BCC">
        <w:rPr>
          <w:rStyle w:val="StyleUnderline"/>
        </w:rPr>
        <w:t xml:space="preserve">Queerness challenges the world and opposes the norms that structure the logic of the social. It is not reproductive and within the realm of the social, </w:t>
      </w:r>
      <w:r w:rsidRPr="00E53BCC">
        <w:rPr>
          <w:rStyle w:val="StyleUnderline"/>
        </w:rPr>
        <w:lastRenderedPageBreak/>
        <w:t>unintelligible. It works against stability at all times, seeking its own death.</w:t>
      </w:r>
      <w:r w:rsidRPr="00A71B72">
        <w:rPr>
          <w:sz w:val="16"/>
        </w:rPr>
        <w:t xml:space="preserve"> In doing so, queerness challenges identity politics: [w]here the political interventions of identitarian minorities— including those who seek to substantialize the identities of lesbians, gay men, and bisexuals—may properly take shape as oppositional, affording the dominant order a reassuringly symmetrical, if inverted, depiction of its own ostensibly coherent identity, queer theory’s opposition is precisely to any such logic of opposition, its proper task the ceaseless disappropriation of every propriety. (p. 24) </w:t>
      </w:r>
      <w:r w:rsidRPr="00C50218">
        <w:rPr>
          <w:rStyle w:val="StyleUnderline"/>
        </w:rPr>
        <w:t>Yet, this death, this negation, is not to deny existence, but to push for alternative possibilities</w:t>
      </w:r>
      <w:r w:rsidRPr="00A71B72">
        <w:rPr>
          <w:sz w:val="16"/>
        </w:rPr>
        <w:t>—</w:t>
      </w:r>
      <w:r w:rsidRPr="00C50218">
        <w:rPr>
          <w:rStyle w:val="Emphasis"/>
        </w:rPr>
        <w:t>it is</w:t>
      </w:r>
      <w:r w:rsidRPr="00A71B72">
        <w:rPr>
          <w:sz w:val="16"/>
        </w:rPr>
        <w:t xml:space="preserve">, one might say, </w:t>
      </w:r>
      <w:r w:rsidRPr="00C50218">
        <w:rPr>
          <w:rStyle w:val="Emphasis"/>
        </w:rPr>
        <w:t>productive but never reproductive in producing new orientations to the world</w:t>
      </w:r>
      <w:r w:rsidRPr="00C50218">
        <w:rPr>
          <w:rStyle w:val="StyleUnderline"/>
        </w:rPr>
        <w:t>. It is creative in its destructive intentions, as it must never cease its negation within any given normative framework.</w:t>
      </w:r>
      <w:r>
        <w:rPr>
          <w:rStyle w:val="StyleUnderline"/>
        </w:rPr>
        <w:t xml:space="preserve"> </w:t>
      </w:r>
      <w:r w:rsidRPr="00A71B72">
        <w:rPr>
          <w:sz w:val="16"/>
        </w:rPr>
        <w:t xml:space="preserve">Dewey follows a parallel course here, in that he does not seek to create an essential, normative position. Rather, in his conception of both life and of education as growth for its own sake, he denies essential identities. Essentialising, in any form, would clearly disrupt Dewey’s insistence on the connection between life, growth, and education, and the self-justifying nature of the latter two. </w:t>
      </w:r>
      <w:r w:rsidRPr="00C50218">
        <w:rPr>
          <w:rStyle w:val="StyleUnderline"/>
        </w:rPr>
        <w:t>If the death drive appears here, as Edelman has used it, it appears as the constant disrupter of the static, the destroyer of identity, the social, which makes constant growth and learning possible.</w:t>
      </w:r>
      <w:r w:rsidRPr="00A71B72">
        <w:rPr>
          <w:sz w:val="16"/>
        </w:rPr>
        <w:t xml:space="preserve"> When Dewey warns about the danger of placing the adult above the child, he does not propose that the answer is the placement of the child above the adult. Rather, Dewey seeks to deny the duality itself. ‘The relation of the present and the future’, he writes, ‘is not an Either-Or affair’ (1938, p. 30). Arguably then, </w:t>
      </w:r>
      <w:r w:rsidRPr="00C50218">
        <w:rPr>
          <w:rStyle w:val="StyleUnderline"/>
        </w:rPr>
        <w:t>Dewey challenges the Child as Edelman does, writing against a politics that fantasises about coherence and recognisable forms proposing rather a subject that is contingent, particular and unable to be fully articulated.</w:t>
      </w:r>
    </w:p>
    <w:p w:rsidR="00F567B5" w:rsidRDefault="00F567B5" w:rsidP="00F567B5">
      <w:pPr>
        <w:pStyle w:val="Heading4"/>
      </w:pPr>
      <w:r>
        <w:t>Our alternative is one of queer negativity, refusing to be the productive members of society that guarantee some sense of a future, allowing true Desire that breaks the chains of normative notions of representation and identity.</w:t>
      </w:r>
    </w:p>
    <w:p w:rsidR="00F567B5" w:rsidRDefault="00F567B5" w:rsidP="00F567B5">
      <w:r>
        <w:rPr>
          <w:b/>
          <w:sz w:val="26"/>
          <w:szCs w:val="26"/>
        </w:rPr>
        <w:t xml:space="preserve">Baedan 12’ </w:t>
      </w:r>
      <w:r>
        <w:t>[baedan, 2012, “baedan”, The Anarchist Library, 42-44] ER</w:t>
      </w:r>
    </w:p>
    <w:p w:rsidR="00F567B5" w:rsidRDefault="00F567B5" w:rsidP="00F567B5">
      <w:pPr>
        <w:rPr>
          <w:sz w:val="16"/>
        </w:rPr>
      </w:pPr>
      <w:r w:rsidRPr="003737EB">
        <w:rPr>
          <w:sz w:val="16"/>
        </w:rPr>
        <w:t xml:space="preserve">In Hocquenghem’s work, </w:t>
      </w:r>
      <w:r w:rsidRPr="003737EB">
        <w:rPr>
          <w:rStyle w:val="Emphasis"/>
        </w:rPr>
        <w:t>the negative potential of queerness is intrinsically tied to his conception of desire</w:t>
      </w:r>
      <w:r w:rsidRPr="003737EB">
        <w:rPr>
          <w:sz w:val="16"/>
        </w:rPr>
        <w:t xml:space="preserve">. In Homosexual Desire, he puts it as follows: If the homosexual image contains a complex knot of dread and desire, if the homosexual phantasy is more obscene than any other and at the same time more exciting, if it is impossible to appear anywhere as a self-confessed homosexual without upsetting families, causing children to be dragged out of the way and arousing mixed feelings of horror and desire, then the reason must be that for us twentieth-century westerners there is a close connection between desire and homosexuality. Homosexuality expresses something—some aspect of desire—which appears nowhere else, and that something is not merely the accomplishment of the sexual act with a person of the same sex. </w:t>
      </w:r>
      <w:r w:rsidRPr="00C5596C">
        <w:rPr>
          <w:rStyle w:val="StyleUnderline"/>
        </w:rPr>
        <w:t xml:space="preserve">Desire, not specifically homosexual, is the tendency within society which also figures its undoing. </w:t>
      </w:r>
      <w:r w:rsidRPr="003737EB">
        <w:rPr>
          <w:rStyle w:val="Emphasis"/>
        </w:rPr>
        <w:t>Desire is the polymorphous and perverse overflowing that refuses to be captured within Oedipal reproduction or locked up in identity. Queerness, in its association with desire, names the negativity which is the nightmare of the social order. Desire, then, cannot be reduced to sexual attraction or orientation. Desire is a chaotic field which escapes representation</w:t>
      </w:r>
      <w:r w:rsidRPr="00C5596C">
        <w:rPr>
          <w:rStyle w:val="StyleUnderline"/>
        </w:rPr>
        <w:t xml:space="preserve">, </w:t>
      </w:r>
      <w:r w:rsidRPr="003737EB">
        <w:rPr>
          <w:rStyle w:val="Emphasis"/>
        </w:rPr>
        <w:t xml:space="preserve">and so the repressive field of normative desire can only refer to it by the figures of those whose sexual practices are outside its matrix of intelligibility. </w:t>
      </w:r>
      <w:r w:rsidRPr="003737EB">
        <w:rPr>
          <w:sz w:val="16"/>
        </w:rPr>
        <w:t xml:space="preserve">The danger and fear associated with queerness are in relation to this unthinkability. From Jeffrey Weeks’ introduction to Homosexual Desire: For the aim is to find unalienated forms of radical social action, and these cannot be traditional centralized structures (especially of the working class), because these, too, are complicit with capitalism. The model of alternative modes was provided by the spontaneous forms of activity developed in France in ‘68, fusions of desire which escape the imprisoning force of the normal. Schizoanalysis provides the alternative: the schizophrenic is not revolutionary, but the schizophrenic process is the potential of revolution, and only in the activity of autonomous, spontaneous groupings, outside the social order, can revolution be achieved. The result, which is central to Hocquenghem’s project, is a worship of the excluded and marginal as the real material of social transformation. In this analysis, we can draw important ties between Hocquenghem’s project and the insurrectionary anarchist project as we conceive it. </w:t>
      </w:r>
      <w:r w:rsidRPr="003737EB">
        <w:rPr>
          <w:rStyle w:val="StyleUnderline"/>
        </w:rPr>
        <w:t xml:space="preserve">The intertwining of the desires of autonomous groups in the process of struggle is exactly what we understand to be an insurrectionary process. Not the massified expansion of a party, but rather the multiplication and diffusion of anal groupings. Only by avoiding the old-forms of ‘revolutionary’ or ‘working class’ organization can we side-step the traps which are laid out by recuperation. </w:t>
      </w:r>
      <w:r w:rsidRPr="003737EB">
        <w:rPr>
          <w:sz w:val="16"/>
        </w:rPr>
        <w:t xml:space="preserve">To orient ourselves around desire, and to pursue the ‘blissful enjoyment of the present,’ would mean to disavow the progressive ideologies of reform, inclusion, movement building, </w:t>
      </w:r>
      <w:r w:rsidRPr="003737EB">
        <w:rPr>
          <w:sz w:val="16"/>
        </w:rPr>
        <w:lastRenderedPageBreak/>
        <w:t xml:space="preserve">or incremental change. </w:t>
      </w:r>
      <w:r w:rsidRPr="003737EB">
        <w:rPr>
          <w:rStyle w:val="StyleUnderline"/>
        </w:rPr>
        <w:t xml:space="preserve">The homosexual does not seek a peaceful and harmonious adjustment to society, and his effusive inclination… leads him along a path of ceaseless struggle. In short, the homosexual has not developed into a partner of human society. Here, human society means of course the Freudian model, in which homosexuality can only find a place according to the sublimated Oedipal mode. </w:t>
      </w:r>
      <w:r w:rsidRPr="003737EB">
        <w:rPr>
          <w:rStyle w:val="Emphasis"/>
        </w:rPr>
        <w:t>On the other hand, the homosexual points the way to another possible form of relationship which we hardly dare call society</w:t>
      </w:r>
      <w:r w:rsidRPr="003737EB">
        <w:rPr>
          <w:sz w:val="16"/>
        </w:rPr>
        <w:t xml:space="preserve">. Though the assimilationist tendencies of the homosexual movement have certainly proved that there isn’t anything inherently radical or anti-social about homosexuality, Hocquenghem is endeavoring here to describe a specific tendency within the movement which escaped representation. </w:t>
      </w:r>
      <w:r w:rsidRPr="003737EB">
        <w:rPr>
          <w:rStyle w:val="Emphasis"/>
        </w:rPr>
        <w:t>We might call this the Real of negativity so closely bound up in queerness, the desire for disorder hidden in the social order itself. The anti-social relationships which draw their potential from queerness could be understood as the potential for an autonomous movements against society</w:t>
      </w:r>
      <w:r w:rsidRPr="003737EB">
        <w:rPr>
          <w:rStyle w:val="StyleUnderline"/>
        </w:rPr>
        <w:t>.</w:t>
      </w:r>
      <w:r w:rsidRPr="003737EB">
        <w:rPr>
          <w:sz w:val="16"/>
        </w:rPr>
        <w:t xml:space="preserve"> The appearance of autonomous movements, movements which reject the law of the signifier all the more because they create a law for themselves, has completely upset the political world. The </w:t>
      </w:r>
      <w:r w:rsidRPr="003737EB">
        <w:rPr>
          <w:rStyle w:val="StyleUnderline"/>
        </w:rPr>
        <w:t>confusion is total, since the links between these desiring situations do not occur according to the logical model of the signifier-signified but prefer to follow the logic of the event.</w:t>
      </w:r>
      <w:r w:rsidRPr="003737EB">
        <w:rPr>
          <w:sz w:val="16"/>
        </w:rPr>
        <w:t xml:space="preserve"> It is therefore no use trying to work out the relationships between these movements in rational or strategic terms. It is incomprehensible that the gay movement should be closely connected with the ecological movement. Nevertheless, it is so. In terms of desire, the motor car and the family heterosexuality are one and the same enemy, however impossible it may be to express this in political logic. Here Hocquenghem perfectly expresses the way in which desire is bound to a refusal of the future, a purely negative critique, and an anti-political praxis. </w:t>
      </w:r>
      <w:r w:rsidRPr="003737EB">
        <w:rPr>
          <w:rStyle w:val="StyleUnderline"/>
        </w:rPr>
        <w:t xml:space="preserve">Politics cannot rationally express why the motor car and the family are the same enemy of queerness. And yet, for us, it is abundantly obvious why these, and literally every other apparatus of modern society must be annihilated. </w:t>
      </w:r>
      <w:r w:rsidRPr="003737EB">
        <w:rPr>
          <w:rStyle w:val="Emphasis"/>
        </w:rPr>
        <w:t>Lacking the means to express this destructive desire through politics, only an anti-politics can elaborate a process by which queer desire can be materialized against the physical arrangement of the social order.</w:t>
      </w:r>
      <w:r w:rsidRPr="003737EB">
        <w:rPr>
          <w:sz w:val="16"/>
        </w:rPr>
        <w:t xml:space="preserve"> The car, the family, the school, the prison, the boutique, the surveillance infrastructure: each an expression of a civilization in the face of which our most potent desire is its annihilation. For him, the undoing of civilization must be linked to a movement based in the uncontrollability of desire. They gay movement appears basically uncivilized, and it is not without reason that many people see it as the end of reproduction and thus the end of the species itself. </w:t>
      </w:r>
      <w:r w:rsidRPr="003737EB">
        <w:rPr>
          <w:rStyle w:val="StyleUnderline"/>
        </w:rPr>
        <w:t>There is no point in speculating whether the class war might be replaced by a war of civilization, which would have the advantage of adding a cultural and sexual dimension to the political and economic struggle</w:t>
      </w:r>
      <w:r w:rsidRPr="003737EB">
        <w:rPr>
          <w:sz w:val="16"/>
        </w:rPr>
        <w:t>. Going to this extent would mean challenging the very concept of civilization, and we must retreat with Fourier to the notion of a struggle against civilization understood as the Oedipal succession of generations. Civilization forms the interpretive grid through which desire becomes cohesive energy. Wildcat movements among workers, actions which take place outside the commonly accepted political frameworks and which make no formal claims, not even for the seizure of power, are part of the disintegration of that coherence</w:t>
      </w:r>
      <w:r w:rsidRPr="003737EB">
        <w:rPr>
          <w:rStyle w:val="StyleUnderline"/>
        </w:rPr>
        <w:t xml:space="preserve">. </w:t>
      </w:r>
      <w:r w:rsidRPr="003737EB">
        <w:rPr>
          <w:rStyle w:val="Emphasis"/>
        </w:rPr>
        <w:t>The most honest leftists will cite the desire for a new society as evidence of absence. It is already too much to believe that the “wild-catter” is a future civilized person, as the child is a future adult</w:t>
      </w:r>
      <w:r w:rsidRPr="003737EB">
        <w:rPr>
          <w:sz w:val="16"/>
        </w:rPr>
        <w:t>. The gay movement is a wildcat movement because it is not the signifier of what might become a new form of social organization, a new stage in civilized humanity, but a crack in what Fourier calls the “system of the falsity of civilized loves”; it demonstrates that civilization is the trap into which desire keeps falling…. The great fear of homosexuality is translated into a fear that the succession of generations, on which civilization is based, may stop. Homosexual desire is neither on the side of death nor on the side of life: it is the killer of civilized egos</w:t>
      </w:r>
      <w:r w:rsidRPr="003737EB">
        <w:rPr>
          <w:rStyle w:val="StyleUnderline"/>
        </w:rPr>
        <w:t xml:space="preserve">. </w:t>
      </w:r>
      <w:r w:rsidRPr="003737EB">
        <w:rPr>
          <w:rStyle w:val="Emphasis"/>
        </w:rPr>
        <w:t>And here, long before Edelman ever put pen to page, is the vital link between the fantasy of futurity, the construction of the coherent self, and their intersection in reproductive futurism. To oppose reproductive futurism, and the reproduction of the social order through the endless succession of generations, is to signify the end of civilization as well as the subjects which comprise it.</w:t>
      </w:r>
      <w:r w:rsidRPr="003737EB">
        <w:rPr>
          <w:rStyle w:val="StyleUnderline"/>
        </w:rPr>
        <w:t xml:space="preserve"> This destruction is to be found in the degeneration and disintegration of social structures into the queer formations which exist in constant pursuit of jouissance and </w:t>
      </w:r>
      <w:r w:rsidRPr="003737EB">
        <w:rPr>
          <w:rStyle w:val="Emphasis"/>
        </w:rPr>
        <w:t>without a care for the future</w:t>
      </w:r>
      <w:r w:rsidRPr="003737EB">
        <w:rPr>
          <w:sz w:val="16"/>
        </w:rPr>
        <w:t xml:space="preserve">. </w:t>
      </w:r>
      <w:r w:rsidRPr="003737EB">
        <w:rPr>
          <w:rStyle w:val="Emphasis"/>
        </w:rPr>
        <w:t xml:space="preserve">The proliferation of these queer autonomous groups does not prefigure </w:t>
      </w:r>
      <w:r w:rsidRPr="003737EB">
        <w:rPr>
          <w:rStyle w:val="Emphasis"/>
        </w:rPr>
        <w:lastRenderedPageBreak/>
        <w:t>a better world; these groupings of desire can only confront civilization as a negative, anti-political, wild force</w:t>
      </w:r>
      <w:r w:rsidRPr="003737EB">
        <w:rPr>
          <w:rStyle w:val="StyleUnderline"/>
        </w:rPr>
        <w:t>. Though we forgo the privilege of naturalness, we are not deterred, for we ally ourselves instead with the chaos and blackness from which Nature itself spills forth</w:t>
      </w:r>
      <w:r w:rsidRPr="003737EB">
        <w:rPr>
          <w:sz w:val="16"/>
        </w:rPr>
        <w:t xml:space="preserve">. If this is your path, as it is mine, let me offer whatever solace you may find in this monstrous benediction: May you discover the enlivening power of darkness within yourself. May it nourish your rage. Our queer position against civilization is not based on some notion of naturalness, eternally linked as we are to signifying the outside of any idealized natural order. </w:t>
      </w:r>
      <w:r w:rsidRPr="003737EB">
        <w:rPr>
          <w:rStyle w:val="Emphasis"/>
        </w:rPr>
        <w:t>Queers must always figure those types of unregenerative, non-productive beings which have no place in a natural order. Neither is our struggle to prove the legitimacy of, or attempt to naturalize queerness</w:t>
      </w:r>
      <w:r w:rsidRPr="003737EB">
        <w:rPr>
          <w:rStyle w:val="StyleUnderline"/>
        </w:rPr>
        <w:t>.</w:t>
      </w:r>
      <w:r w:rsidRPr="003737EB">
        <w:rPr>
          <w:sz w:val="16"/>
        </w:rPr>
        <w:t xml:space="preserve"> Nature itself is a disciplinary category of civilization used to define and classify wild life. Instead, as Stryker insists, </w:t>
      </w:r>
      <w:r w:rsidRPr="003737EB">
        <w:rPr>
          <w:rStyle w:val="StyleUnderline"/>
        </w:rPr>
        <w:t>we’ll ally ourselves with the ‘chaos and darkness’ from which nature spills forth</w:t>
      </w:r>
      <w:r w:rsidRPr="003737EB">
        <w:rPr>
          <w:sz w:val="16"/>
        </w:rPr>
        <w:t xml:space="preserve">. </w:t>
      </w:r>
      <w:r w:rsidRPr="003737EB">
        <w:rPr>
          <w:rStyle w:val="StyleUnderline"/>
        </w:rPr>
        <w:t>This chaos and darkness, being the same unintelligible force which Hocquenghem calls homosexual desire, which Edelman calls the death drive. We locate ourselves in the spilling forth of the same chaos which promises civilization’s undoing.</w:t>
      </w:r>
      <w:r w:rsidRPr="003737EB">
        <w:rPr>
          <w:sz w:val="16"/>
        </w:rPr>
        <w:t xml:space="preserve"> </w:t>
      </w:r>
    </w:p>
    <w:p w:rsidR="00F567B5" w:rsidRDefault="00F567B5" w:rsidP="00F567B5">
      <w:pPr>
        <w:pStyle w:val="Heading4"/>
      </w:pPr>
      <w:r>
        <w:t>Only negativity can help escape the violence placed upon the queer body in existing power structures.</w:t>
      </w:r>
    </w:p>
    <w:p w:rsidR="00F567B5" w:rsidRDefault="00F567B5" w:rsidP="00F567B5">
      <w:r>
        <w:rPr>
          <w:b/>
          <w:sz w:val="26"/>
          <w:szCs w:val="26"/>
        </w:rPr>
        <w:t xml:space="preserve">Baedan 12’ </w:t>
      </w:r>
      <w:r>
        <w:t>[baedan, 2012, “baedan”, The Anarchist Library, 7-8] ER</w:t>
      </w:r>
    </w:p>
    <w:p w:rsidR="00F567B5" w:rsidRPr="00DD17AF" w:rsidRDefault="00F567B5" w:rsidP="00F567B5">
      <w:pPr>
        <w:rPr>
          <w:sz w:val="16"/>
        </w:rPr>
      </w:pPr>
      <w:r w:rsidRPr="00DD17AF">
        <w:rPr>
          <w:sz w:val="16"/>
        </w:rPr>
        <w:t xml:space="preserve">Edelman’s project, insofar as we can imagine it as a starting point, is intriguing because for him </w:t>
      </w:r>
      <w:r w:rsidRPr="00DD17AF">
        <w:rPr>
          <w:rStyle w:val="Emphasis"/>
        </w:rPr>
        <w:t>queerness is fundamentally negative.</w:t>
      </w:r>
      <w:r w:rsidRPr="00DD17AF">
        <w:rPr>
          <w:rStyle w:val="StyleUnderline"/>
        </w:rPr>
        <w:t xml:space="preserve"> Whether in the form of gay assimilation, identity politics, or ‘radical queer’ subculture, </w:t>
      </w:r>
      <w:r w:rsidRPr="00DD17AF">
        <w:rPr>
          <w:rStyle w:val="Emphasis"/>
        </w:rPr>
        <w:t>any contemporary engagement with queerness must reckon with decades of capitalist integration into society and its state</w:t>
      </w:r>
      <w:r w:rsidRPr="00DD17AF">
        <w:rPr>
          <w:rStyle w:val="StyleUnderline"/>
        </w:rPr>
        <w:t>.</w:t>
      </w:r>
      <w:r w:rsidRPr="00DD17AF">
        <w:rPr>
          <w:sz w:val="16"/>
        </w:rPr>
        <w:t xml:space="preserve"> These varying forms are joined together through positive queer identity as a shared content. If we read Edelman with a great sense of catharsis, it is because his conception of </w:t>
      </w:r>
      <w:r w:rsidRPr="00DD17AF">
        <w:rPr>
          <w:rStyle w:val="Emphasis"/>
        </w:rPr>
        <w:t>negative queerness allows us to discard all the identitarian baggage which accompanies queerness</w:t>
      </w:r>
      <w:r w:rsidRPr="00DD17AF">
        <w:rPr>
          <w:rStyle w:val="StyleUnderline"/>
        </w:rPr>
        <w:t>. This move against a positive queer projects is a crucial one</w:t>
      </w:r>
      <w:r w:rsidRPr="00DD17AF">
        <w:rPr>
          <w:sz w:val="16"/>
        </w:rPr>
        <w:t xml:space="preserve">; it illustrates one truth about capital. Capital is predicated on accumulating value—any value—for its own self-reproduction. Capital is in a constant process of revolt against itself. Subjects which were once marginalized or annihilated by the civilized order are absorbed into its circuitry, positions that could mark an outside are moved inward. </w:t>
      </w:r>
      <w:r w:rsidRPr="00DD17AF">
        <w:rPr>
          <w:rStyle w:val="Emphasis"/>
        </w:rPr>
        <w:t>There is no positive queerness that isn’t already a site of society’s reproduction</w:t>
      </w:r>
      <w:r w:rsidRPr="00DD17AF">
        <w:rPr>
          <w:sz w:val="16"/>
        </w:rPr>
        <w:t xml:space="preserve">. The positivist institutions of queerness—its dance parties, community projects, activist groups, social networks, fashion, literature, art, festivals—form the material structure of civilization. Whatever antagonism or difference these forms possess is thoroughly re-made in capital’s image; all value extracted, all danger neutralized. To our horror, queerness becomes the avant-garde of marketplaces and the dynamic lifeblood of the advanced postmodern economy. </w:t>
      </w:r>
      <w:r w:rsidRPr="00DD17AF">
        <w:rPr>
          <w:rStyle w:val="StyleUnderline"/>
        </w:rPr>
        <w:t xml:space="preserve">This analysis of positivism is not particular to queerness. </w:t>
      </w:r>
      <w:r w:rsidRPr="00DD17AF">
        <w:rPr>
          <w:rStyle w:val="Emphasis"/>
        </w:rPr>
        <w:t>One can as easily point to</w:t>
      </w:r>
      <w:r w:rsidRPr="00DD17AF">
        <w:rPr>
          <w:rStyle w:val="StyleUnderline"/>
        </w:rPr>
        <w:t xml:space="preserve"> any number </w:t>
      </w:r>
      <w:r w:rsidRPr="00DD17AF">
        <w:rPr>
          <w:rStyle w:val="Emphasis"/>
        </w:rPr>
        <w:t>of anarchist projects and expose the ways in which they reproduce the very alienation they aim to overcome</w:t>
      </w:r>
      <w:r w:rsidRPr="00DD17AF">
        <w:rPr>
          <w:rStyle w:val="StyleUnderline"/>
        </w:rPr>
        <w:t xml:space="preserve">. </w:t>
      </w:r>
      <w:r w:rsidRPr="00DD17AF">
        <w:rPr>
          <w:sz w:val="16"/>
        </w:rPr>
        <w:t xml:space="preserve">Cooperative business, radical commodities, independent media, social spaces, Food Not Bombs: when positive anarchist projects aren’t doing social work to stave off collapse or upheaval, they are developing the innovations (self-management, decentralized production, crowd-sourcing, social networking) that will help to extend capital’s reign into the next century. </w:t>
      </w:r>
      <w:r w:rsidRPr="00DD17AF">
        <w:rPr>
          <w:rStyle w:val="StyleUnderline"/>
        </w:rPr>
        <w:t>The departure from these forms is the elaboration of queerness in the negative. In this linking of queerness and negativity, we join Edelman, who defines queerness thus: [Q</w:t>
      </w:r>
      <w:r w:rsidRPr="00DD17AF">
        <w:rPr>
          <w:rStyle w:val="Emphasis"/>
        </w:rPr>
        <w:t>]ueerness, irreducibly linked to the “aberrant or atypical,” to what chafes against “normalization</w:t>
      </w:r>
      <w:r w:rsidRPr="00DD17AF">
        <w:rPr>
          <w:rStyle w:val="StyleUnderline"/>
        </w:rPr>
        <w:t>,” finds its value not in a good susceptible to generalization, but only in the stubborn particularity that voids every notion of a general good</w:t>
      </w:r>
      <w:r w:rsidRPr="00DD17AF">
        <w:rPr>
          <w:sz w:val="16"/>
        </w:rPr>
        <w:t xml:space="preserve">. </w:t>
      </w:r>
      <w:r w:rsidRPr="00DD17AF">
        <w:rPr>
          <w:rStyle w:val="Emphasis"/>
        </w:rPr>
        <w:t>The embrace of queer negativity, then, can have no justification if justification requires it to reinforce some positive social value; its value, instead, resides in its challenge to value as defined by the social, and thus in its radical challenge to the very value of the social itself.</w:t>
      </w:r>
      <w:r w:rsidRPr="00DD17AF">
        <w:rPr>
          <w:sz w:val="16"/>
        </w:rPr>
        <w:t xml:space="preserve"> Put another way, we are not interested in a social project of queerness, in queer contributions to society, in carving out our </w:t>
      </w:r>
      <w:r w:rsidRPr="00DD17AF">
        <w:rPr>
          <w:sz w:val="16"/>
        </w:rPr>
        <w:lastRenderedPageBreak/>
        <w:t xml:space="preserve">own ghettos within the material and symbolic structures of capitalist life. </w:t>
      </w:r>
      <w:r w:rsidRPr="00DD17AF">
        <w:rPr>
          <w:rStyle w:val="Emphasis"/>
        </w:rPr>
        <w:t>Rather, our engagement with queer theory must be attuned to locating the moments which reveal the potential undoing of society, its structures and its relations</w:t>
      </w:r>
      <w:r w:rsidRPr="00DD17AF">
        <w:rPr>
          <w:sz w:val="16"/>
        </w:rPr>
        <w:t xml:space="preserve">. For Edelman, a theory of queer negativity begins from an exploration of the fantastic position of queers within society’s collective imaginary. His methodology is to navigate the discourses and nightmares of right-wing heteronormativity. Citing one fundamentalist pundit after another, he fleshes out the terror with which the anti-queer establishment imagines the threat of queerness. </w:t>
      </w:r>
      <w:r w:rsidRPr="00DD17AF">
        <w:rPr>
          <w:rStyle w:val="StyleUnderline"/>
        </w:rPr>
        <w:t>A thread persists through history into the present which imagines queers as the destroyers of social cohesion, the ‘gravediggers of society,’ the repudiation of the values of hard work and family</w:t>
      </w:r>
      <w:r w:rsidRPr="00DD17AF">
        <w:rPr>
          <w:sz w:val="16"/>
        </w:rPr>
        <w:t>, the persistent wave which erodes the bedrock of the monetary and libidinal economies, thieves, tricksters, hustlers, sinners, murderers, deviants, and perverts</w:t>
      </w:r>
      <w:r w:rsidRPr="00DD17AF">
        <w:rPr>
          <w:rStyle w:val="Emphasis"/>
        </w:rPr>
        <w:t>. Queers are not just damned, they are the proof of society’s fundamental damnation as well.</w:t>
      </w:r>
      <w:r w:rsidRPr="00DD17AF">
        <w:rPr>
          <w:sz w:val="16"/>
        </w:rPr>
        <w:t xml:space="preserve"> Sodomites, after all, are named for their symbolic position as the sexual symbol of civilization’s decadence and imminent annihilation. </w:t>
      </w:r>
    </w:p>
    <w:p w:rsidR="00F567B5" w:rsidRDefault="00F567B5" w:rsidP="00F567B5">
      <w:pPr>
        <w:rPr>
          <w:sz w:val="16"/>
        </w:rPr>
      </w:pPr>
    </w:p>
    <w:p w:rsidR="00F567B5" w:rsidRDefault="00F567B5" w:rsidP="00F567B5">
      <w:pPr>
        <w:pStyle w:val="Heading4"/>
        <w:rPr>
          <w:rStyle w:val="Style13ptBold"/>
          <w:b/>
        </w:rPr>
      </w:pPr>
      <w:r>
        <w:rPr>
          <w:rStyle w:val="Style13ptBold"/>
          <w:b/>
        </w:rPr>
        <w:t xml:space="preserve">The alternative is to embrace queerness as a form of pure negativity that undoes civilization. Only a total annihilation of investments in the future, work, and social order opens a terrain of action that can escape recuperation.  </w:t>
      </w:r>
    </w:p>
    <w:p w:rsidR="00F567B5" w:rsidRPr="008C5226" w:rsidRDefault="00F567B5" w:rsidP="00F567B5">
      <w:pPr>
        <w:jc w:val="both"/>
        <w:rPr>
          <w:rStyle w:val="Style13ptBold"/>
          <w:b w:val="0"/>
        </w:rPr>
      </w:pPr>
      <w:r>
        <w:rPr>
          <w:rStyle w:val="Style13ptBold"/>
        </w:rPr>
        <w:t>baedan 12</w:t>
      </w:r>
      <w:r w:rsidRPr="008C5226">
        <w:rPr>
          <w:rStyle w:val="Style13ptBold"/>
          <w:sz w:val="16"/>
        </w:rPr>
        <w:t xml:space="preserve"> </w:t>
      </w:r>
      <w:r w:rsidRPr="008C5226">
        <w:rPr>
          <w:rStyle w:val="Style13ptBold"/>
          <w:b w:val="0"/>
          <w:sz w:val="16"/>
        </w:rPr>
        <w:t xml:space="preserve">[baedan-journal of queer nihilism-issue one. Summer 2012. The Anarchist Library. </w:t>
      </w:r>
      <w:hyperlink r:id="rId18" w:history="1">
        <w:r w:rsidRPr="008C5226">
          <w:rPr>
            <w:rStyle w:val="Hyperlink"/>
            <w:sz w:val="16"/>
          </w:rPr>
          <w:t>https://theanarchistlibrary.org/library/baedan-baedan</w:t>
        </w:r>
      </w:hyperlink>
      <w:r w:rsidRPr="008C5226">
        <w:rPr>
          <w:rStyle w:val="Style13ptBold"/>
          <w:b w:val="0"/>
          <w:sz w:val="16"/>
        </w:rPr>
        <w:t>. SH]</w:t>
      </w:r>
    </w:p>
    <w:p w:rsidR="00F567B5" w:rsidRPr="00AE2F4F" w:rsidRDefault="00F567B5" w:rsidP="00F567B5">
      <w:pPr>
        <w:jc w:val="both"/>
        <w:rPr>
          <w:sz w:val="16"/>
        </w:rPr>
      </w:pPr>
      <w:r w:rsidRPr="00766157">
        <w:rPr>
          <w:sz w:val="16"/>
        </w:rPr>
        <w:t xml:space="preserve">The departure from these forms is the elaboration of queerness in the negative. </w:t>
      </w:r>
      <w:r w:rsidRPr="00766157">
        <w:rPr>
          <w:rStyle w:val="StyleUnderline"/>
        </w:rPr>
        <w:t>In this linking of queerness and negativity</w:t>
      </w:r>
      <w:r w:rsidRPr="00766157">
        <w:rPr>
          <w:sz w:val="16"/>
        </w:rPr>
        <w:t>, we join Edelman, who defines queerness thus: [</w:t>
      </w:r>
      <w:r w:rsidRPr="00766157">
        <w:rPr>
          <w:rStyle w:val="StyleUnderline"/>
        </w:rPr>
        <w:t>Q]ueerness, irreducibly linked to the “aberrant or atypical,” to what chafes against “normalization,” finds its value not in a good susceptible to generalization, but only in the stubborn particularity that voids every notion of a general good. The embrace of queer negativity, then, can have no justification if justification requires it to reinforce some positive social value; its value, instead, resides in its challenge to value as defined by the social, and thus in its radical challenge to the very value of the social itself. Put another way, we are not interested in a social project of queerness, in queer contributions to society, in carving out our own ghettos within the material and symbolic structures of capitalist</w:t>
      </w:r>
      <w:r w:rsidRPr="00766157">
        <w:rPr>
          <w:sz w:val="16"/>
        </w:rPr>
        <w:t xml:space="preserve"> life. Rather, </w:t>
      </w:r>
      <w:r w:rsidRPr="00766157">
        <w:rPr>
          <w:rStyle w:val="StyleUnderline"/>
        </w:rPr>
        <w:t>our engagement with queer theory must be attuned to locating the moments which reveal the potential undoing of society, its structures and its relations</w:t>
      </w:r>
      <w:r w:rsidRPr="00766157">
        <w:rPr>
          <w:sz w:val="16"/>
        </w:rPr>
        <w:t xml:space="preserve">. For Edelman, a theory of queer negativity </w:t>
      </w:r>
      <w:r w:rsidRPr="00766157">
        <w:rPr>
          <w:rStyle w:val="StyleUnderline"/>
        </w:rPr>
        <w:t>begins from an exploration of the fantastic position of queers within society’s collective imaginary. His methodology is to navigate the discourses and nightmares of right-wing heteronormativity</w:t>
      </w:r>
      <w:r w:rsidRPr="00766157">
        <w:rPr>
          <w:sz w:val="16"/>
        </w:rPr>
        <w:t xml:space="preserve">. Citing one fundamentalist pundit after another, </w:t>
      </w:r>
      <w:r w:rsidRPr="00766157">
        <w:rPr>
          <w:rStyle w:val="StyleUnderline"/>
        </w:rPr>
        <w:t>he fleshes out the terror with which the anti-queer establishment imagines the threat of queerness. A thread persists through history into the present which imagines queers as the destroyers of social cohesion, the ‘gravediggers of society,’ the repudiation of the values of hard work and family, the persistent wave which erodes the bedrock of the monetary and libidinal economies, thieves, tricksters, hustlers, sinners, murderers, deviants, and perverts. Queers are not just damned, they are the proof of society’s fundamental damnation as well</w:t>
      </w:r>
      <w:r w:rsidRPr="00766157">
        <w:rPr>
          <w:sz w:val="16"/>
        </w:rPr>
        <w:t xml:space="preserve">. Sodomites, after all, are named for their symbolic position as the sexual symbol of civilization’s decadence and imminent annihilation. Analyzing an example of this fantasy, Edelman writes: We might do well to consider this less as an instance of hyperbolic rant and more as a reminder of the disorientation that queer sexualities should entail: “acceptance or indifference to the homosexual movement will result in society’s destruction by allowing civil order to be redefined and by plummeting ourselves, our children and grandchildren into an age of godlessness. Indeed, the very foundation of Western Civilization is at stake.” Before the self-righteous bromides of liberal pluralism spill from our lips, before we supply once more the assurance that ours is another kind of love but a love like his nonetheless, before we piously invoke the litany of our glorious contributions to the civilizations of east and west alike, dare we pause for a moment to acknowledge that he might be right—or, more important, that he ought to be right: that </w:t>
      </w:r>
      <w:r w:rsidRPr="00766157">
        <w:rPr>
          <w:rStyle w:val="StyleUnderline"/>
        </w:rPr>
        <w:t>queerness should and must destroy such notions of “civil order” through a rupturing of our foundational faith in the reproduction of futurity</w:t>
      </w:r>
      <w:r w:rsidRPr="00766157">
        <w:rPr>
          <w:sz w:val="16"/>
        </w:rPr>
        <w:t xml:space="preserve">? Edelman’s desire for a queerness that would hear itself called a threat to the social order and takes this as a challenge rather than an insult is paralleled by the text “Criminal Intimacy,” authored by ‘a gang of criminal queers’ and published in the anarchist journal Total Destroy in 2009: The machinery of control has rendered our very existence illegal. </w:t>
      </w:r>
      <w:r w:rsidRPr="00766157">
        <w:rPr>
          <w:rStyle w:val="StyleUnderline"/>
        </w:rPr>
        <w:t>We’ve endured the criminalization and crucifixion of our bodies, our sex, our unruly genders. Raids, witch-</w:t>
      </w:r>
      <w:r w:rsidRPr="00766157">
        <w:rPr>
          <w:rStyle w:val="StyleUnderline"/>
        </w:rPr>
        <w:lastRenderedPageBreak/>
        <w:t>hunts, burnings at the stake. We’ve occupied the space of deviants, of whores, of perverts, and abominations. This culture has rendered us criminal, and of course, in turn, we’ve committed our lives to crime. In the criminalization of our pleasures, we’ve found the pleasure to be had in crime! In being outlawed for who we are, we’ve discovered that we are indeed fucking outlaws! Many blame queers for the decline of this society—we take pride in this. Some believe that we intend to shred-to-bits this civilization and it’s moral fabric</w:t>
      </w:r>
      <w:r w:rsidRPr="00766157">
        <w:rPr>
          <w:sz w:val="16"/>
        </w:rPr>
        <w:t xml:space="preserve">—they couldn’t be more accurate. We’re often described as depraved, decadent and revolting—but oh, they ain’t seen nothing yet. </w:t>
      </w:r>
      <w:r w:rsidRPr="00766157">
        <w:rPr>
          <w:rStyle w:val="StyleUnderline"/>
        </w:rPr>
        <w:t>This position of ownership of the negative means a liberatory conspiracy between the enemies of society. It allows us to escape the traps that lie in any attempt at affirming a positive counter-narrative. One cannot deny the destructive and anti-social potential of queerness without also affirming the social order</w:t>
      </w:r>
      <w:r w:rsidRPr="00766157">
        <w:rPr>
          <w:sz w:val="16"/>
        </w:rPr>
        <w:t xml:space="preserve">. One cannot argue against the anti-queer paranoia which imagines us to be enemies of God and state and family without implicitly conceding the legitimacy of each. </w:t>
      </w:r>
      <w:r w:rsidRPr="00766157">
        <w:rPr>
          <w:rStyle w:val="StyleUnderline"/>
        </w:rPr>
        <w:t xml:space="preserve">The hope for progressive notions of tolerance or combative activism to undo this fantasy is an expression of the desire for assimilation into society. Even ‘radical’ or ‘anti-assimilationist’ queer positions attempt to deny this negativity and to create space for queer representation in the State or queer belonging within capitalism. </w:t>
      </w:r>
      <w:r w:rsidRPr="00766157">
        <w:rPr>
          <w:sz w:val="16"/>
        </w:rPr>
        <w:t xml:space="preserve">We’ll follow Edelman as he elaborates on this idea: Rather than rejecting, with liberal discourse, the ascription of negativity to the queer, we might… do better to consider accepting and even embracing it. Not in the hope of forging thereby some more perfect social order—such a hope, after all, would only reproduce the constraining mandate of futurism, just as any such order would equally occasion the negativity of the queer—but rather to </w:t>
      </w:r>
      <w:r w:rsidRPr="00766157">
        <w:rPr>
          <w:rStyle w:val="StyleUnderline"/>
        </w:rPr>
        <w:t>refuse the insistence of hope itself as affirmation, which is always affirmation of an order whose refusal will register as unthinkable, irresponsible, inhumane.</w:t>
      </w:r>
      <w:r w:rsidRPr="00766157">
        <w:rPr>
          <w:sz w:val="16"/>
        </w:rPr>
        <w:t xml:space="preserve"> </w:t>
      </w:r>
      <w:r w:rsidRPr="00766157">
        <w:rPr>
          <w:rStyle w:val="StyleUnderline"/>
        </w:rPr>
        <w:t>And the trump card of affirmation? Always the question: If not this, what? Always the demand to translate the insistence, the pulsive force, or negativity into some determinate stance or “position” whose determination would thus negate it: always the imperative to immure it in some stable and positive form… I do not intend to propose some “good” that will thereby be assured. To the contrary, I mean to insist that nothing, and certainly not what we call “good,” can ever have any assurance at all in the order of the Symbolic</w:t>
      </w:r>
      <w:r w:rsidRPr="00766157">
        <w:rPr>
          <w:sz w:val="16"/>
        </w:rPr>
        <w:t xml:space="preserve">… [W]e might rather, figuratively cast our vote for “none of the above,” for the primacy of a constant “no” in response to the law of the symbolic, which would echo that law’s foundational act, its self-constituting negation. Again, a simple shift can apply this argument to the discursive and imaginary constructions of anarchists. </w:t>
      </w:r>
      <w:r w:rsidRPr="00766157">
        <w:rPr>
          <w:rStyle w:val="StyleUnderline"/>
        </w:rPr>
        <w:t>Many anarchists find themselves compulsively responding to negative characterizations of our intentions and dispositions. In the face of an array of flattering accusations—we are criminal, nihilistic, violent, sowers of disorder—the proponents of a positive anarchism instinctively respond by insisting that we are motivated by the highest ideals</w:t>
      </w:r>
      <w:r w:rsidRPr="00766157">
        <w:rPr>
          <w:sz w:val="16"/>
        </w:rPr>
        <w:t xml:space="preserve"> (democracy, consensus, equality, justice), seek to create a better society, are non-violent, and believe anarchism to be the greatest order of all</w:t>
      </w:r>
      <w:r w:rsidRPr="00766157">
        <w:rPr>
          <w:rStyle w:val="StyleUnderline"/>
        </w:rPr>
        <w:t>. Over and over again anarchists and other revolutionaries offer their allegiance to society by denying the reality or possibility of their enmity with the social order</w:t>
      </w:r>
      <w:r w:rsidRPr="00766157">
        <w:rPr>
          <w:sz w:val="16"/>
        </w:rPr>
        <w:t xml:space="preserve">. </w:t>
      </w:r>
      <w:r w:rsidRPr="00766157">
        <w:rPr>
          <w:rStyle w:val="StyleUnderline"/>
        </w:rPr>
        <w:t>Leftist notions of reform, progress, tolerance, and social justice always come up against the harsh reality that any</w:t>
      </w:r>
      <w:r w:rsidRPr="00766157">
        <w:rPr>
          <w:sz w:val="16"/>
        </w:rPr>
        <w:t xml:space="preserve"> </w:t>
      </w:r>
      <w:r w:rsidRPr="00766157">
        <w:rPr>
          <w:rStyle w:val="StyleUnderline"/>
        </w:rPr>
        <w:t>progressive development can only mean a more sophisticated system of misery and exploitation; that tolerance means nothing; that justice is an impossibility</w:t>
      </w:r>
      <w:r w:rsidRPr="00766157">
        <w:rPr>
          <w:sz w:val="16"/>
        </w:rPr>
        <w:t>. Activists, progressive and revolutionary alike, will always respond to our critique of the social order with a demand that we articulate some sort of alternative. Let us say once and for all that we have none to offer</w:t>
      </w:r>
      <w:r w:rsidRPr="00766157">
        <w:rPr>
          <w:rStyle w:val="StyleUnderline"/>
        </w:rPr>
        <w:t>. Faced with the system’s seamless integration of all positive projects into itself, we can’t afford to affirm or posit any more alternatives for it to consume. Rather we must realize that our task is infinite, not because we have so much to build but because we have an entire world to destroy. Our daily life is so saturated and structured by capital that it is impossible to imagine a life worth living, except one of revolt. We understand destruction to be necessary, and we desire it in abundance.</w:t>
      </w:r>
      <w:r w:rsidRPr="00766157">
        <w:rPr>
          <w:sz w:val="16"/>
        </w:rPr>
        <w:t xml:space="preserve"> We have nothing to gain through shame or lack of confidence in these desires. </w:t>
      </w:r>
      <w:r w:rsidRPr="00766157">
        <w:rPr>
          <w:rStyle w:val="StyleUnderline"/>
        </w:rPr>
        <w:t xml:space="preserve">There cannot be freedom in the shadow of prisons, there cannot be human community in the context of commodities, there cannot be self-determination under the reign of a state. This world—the police and armies that defend it, the institutions that constitute it, the architecture that gives it shape, the subjectivities that populate it, the apparatuses that administer its function, the schools that inscribe its ideology, the activism that franticly responds to its crises, the arteries of its circulation and flows, the commodities that define life within it, the communication </w:t>
      </w:r>
      <w:r w:rsidRPr="00766157">
        <w:rPr>
          <w:rStyle w:val="StyleUnderline"/>
        </w:rPr>
        <w:lastRenderedPageBreak/>
        <w:t>networks that proliferate it, the information technology that surveils and records it—must be annihilated in every instance, all at once.</w:t>
      </w:r>
      <w:r w:rsidRPr="00766157">
        <w:rPr>
          <w:sz w:val="16"/>
        </w:rPr>
        <w:t xml:space="preserve"> To shy away from this task, to assure our enemies of our good intentions, is the most crass dishonesty. Anarchy, as with queerness, is most powerful in its negative form. Positive conceptions of these, when they are not simply a quiet acquiescence in the face of a sophisticated and evolving totality of domination, are hopelessly trapped in combat with the details of this totality on its own terms. In No Future, Edelman appropriates and privileges a particular psychoanalytic concept: the death drive. In elaborating the relationship of “queer theory and the death drive” (the subtitle of No Future), he deploys the concept in order </w:t>
      </w:r>
      <w:r w:rsidRPr="00766157">
        <w:rPr>
          <w:rStyle w:val="StyleUnderline"/>
        </w:rPr>
        <w:t xml:space="preserve">to name a force that isn’t specifically tied to queer identity. He argues that the death drive is a constant eruption of disorder from within the symbolic order itself. It is an unnameable and inarticulable tendency for any society to produce the contradictions and forces which can tear that society apart. </w:t>
      </w:r>
      <w:r w:rsidRPr="00766157">
        <w:rPr>
          <w:sz w:val="16"/>
        </w:rPr>
        <w:t xml:space="preserve">To avoid getting trapped in Lacanian ideology, we should quickly depart from a purely psychoanalytic framework for understanding this drive. Marxism, to imagine it another way, assures us that a fundamental crisis within the capitalist mode of production guarantees that it will produce its own negation from within itself. Messianic traditions, likewise, hold fast to a faith that the messiah must emerge in the course of daily life to overthrow the horror of history. The most romantic elaborations of anarchism describe the inevitability that individuals will revolt against the banality and alienation of modern life. Cybernetic government operates on the understanding that the illusions of social peace contain a complex and unpredictable series of risks, catastrophes, contagions, events and upheavals to be managed. Each of these contains a kernel of truth, if perhaps in spite of their ideologies. The death drive names </w:t>
      </w:r>
      <w:r w:rsidRPr="00766157">
        <w:rPr>
          <w:rStyle w:val="StyleUnderline"/>
        </w:rPr>
        <w:t>that permanent and irreducible element which has and will always produce revolt. Species being, queerness, chaos, willful revolt, the commune, rupture, the Idea, the wild, oppositional defiance disorder—we can give innumerable names to what escapes our ability to describe it. Each of these attempts to term the erratic negation intrinsic to society. Each comes close to theorizing the universal tendency that any civilization will produce its own undoing. Explosions of urban rioting, the prevalence of methods of piracy and expropriation, the hatred of work, gender dysphoria, the inexplicable rise in violent attacks against police officers, self-immolation, non-reproductive sexual practices, irrational sabotage, nihilistic hacker culture, lawless encampments which exist simply for themselves—the death drive is evidenced in each moment that exceeds the social order and begins to rip at its fabric. The symbolic deployment of queerness by the social order is always an attempt to identify the negativity of the death drive, to lock this chaotic potential up in the confines of this or that subjectivity. Foucault’s work is foundational to queer theory in part because of his argument that power must create and then classify antagonistic subjectivities so as to then annihilate any subversive potential within a social body. Homosexuals, gangsters, criminals, immigrants, welfare mothers, transsexuals, women, youth, terrorists, the black bloc, communists, extremists: power is always constructing and defining these antagonistic subjects which must be managed. When the smoke clears after a riot, the state and media apparatuses universally begin to locate such events within the logic of identity, freezing the fluidity of revolt into a handful of subject positions to be imprisoned, or, more sinisterly, organized.</w:t>
      </w:r>
      <w:r w:rsidRPr="00766157">
        <w:rPr>
          <w:sz w:val="16"/>
        </w:rPr>
        <w:t xml:space="preserve"> </w:t>
      </w:r>
      <w:r w:rsidRPr="00766157">
        <w:rPr>
          <w:rStyle w:val="StyleUnderline"/>
        </w:rPr>
        <w:t>Progressivism, with its drive toward inclusion and assimilation, stakes its hope on the social viability of these subjects, on their ability to participate in the daily reproduction of society. In doing so, the ideology of progress functions to trap subversive potential within a particular subject, and then to solicit that subject’s self-repudiation of the danger which they’ve been constructed to represent</w:t>
      </w:r>
      <w:r w:rsidRPr="00766157">
        <w:rPr>
          <w:sz w:val="16"/>
        </w:rPr>
        <w:t xml:space="preserve">. This move for social peace fails to eliminate the drive, because despite a whole range of determinisms, there is no subject which can solely and perfectly contain the potential for revolt. </w:t>
      </w:r>
      <w:r w:rsidRPr="00766157">
        <w:rPr>
          <w:rStyle w:val="StyleUnderline"/>
        </w:rPr>
        <w:t xml:space="preserve">The simultaneous attempt at justice must also fail, because the integration of each successive subject position into normative relations necessitates the construction of the next Other to be disciplined or destroyed. </w:t>
      </w:r>
      <w:r w:rsidRPr="00766157">
        <w:rPr>
          <w:sz w:val="16"/>
        </w:rPr>
        <w:t xml:space="preserve">Rather than a progressive project which aims to steadily eradicate an emergent chaos over time, our project, located at the threshold of Edelman’s work, bases itself upon the persistent negativity of the death drive. </w:t>
      </w:r>
      <w:r w:rsidRPr="00766157">
        <w:rPr>
          <w:rStyle w:val="StyleUnderline"/>
        </w:rPr>
        <w:t xml:space="preserve">We choose not to establish a place for queers, thereby shifting the structural position of queerness to some other population. We identify with the negativity of the drive, and thereby perform a disidentification away from any identity to be represented or which can beg for rights. </w:t>
      </w:r>
      <w:r w:rsidRPr="00766157">
        <w:rPr>
          <w:sz w:val="16"/>
        </w:rPr>
        <w:t xml:space="preserve">Following Edelman further: To figure the undoing of civil society, the death drive of the dominant order, is neither to be nor to become that drive; such a being is not the point. Rather, </w:t>
      </w:r>
      <w:r w:rsidRPr="00766157">
        <w:rPr>
          <w:rStyle w:val="StyleUnderline"/>
        </w:rPr>
        <w:t xml:space="preserve">acceding to that figural position means recognizing and refusing the consequences of grounding reality in denial of that drive. As the death drive dissolves those congealments of identity that permit us to know and survive as ourselves, so the queer must insist on disturbing, on queering, social organization as such—on disturbing, and therefore on </w:t>
      </w:r>
      <w:r w:rsidRPr="00766157">
        <w:rPr>
          <w:rStyle w:val="StyleUnderline"/>
        </w:rPr>
        <w:lastRenderedPageBreak/>
        <w:t>queering ourselves and our investment in such organization</w:t>
      </w:r>
      <w:r w:rsidRPr="00766157">
        <w:rPr>
          <w:sz w:val="16"/>
        </w:rPr>
        <w:t xml:space="preserve">. For queerness can never define an identity; it can only ever disturb one. And so, when I argue, as I aim to do here, that the burden of queerness is to be located less in the assertion of an oppositional political identity than in opposition to politics as the governing fantasy of realizing identities, I am </w:t>
      </w:r>
      <w:r w:rsidRPr="00766157">
        <w:rPr>
          <w:rStyle w:val="StyleUnderline"/>
        </w:rPr>
        <w:t>proposing no platform or position from which queer sexuality or any queer subject might finally and truly become itself, as if it could somehow manage thereby to achieve an essential queerness. I am suggesting instead that the efficacy of queerness, its real strategic value, lies in its resistance to a symbolic reality that only ever invests us as subjects insofar as we invest ourselves in it, clinging to its governing fictions, its persistent sublimations, as reality itself.</w:t>
      </w:r>
      <w:r w:rsidRPr="00766157">
        <w:rPr>
          <w:sz w:val="16"/>
        </w:rPr>
        <w:t xml:space="preserve"> </w:t>
      </w:r>
      <w:r w:rsidRPr="00766157">
        <w:rPr>
          <w:rStyle w:val="StyleUnderline"/>
        </w:rPr>
        <w:t>This negative queerness severs us from any simple understanding of ourselves. More so, it severs us from any formulaic or easily-represented notions of what we need, what we desire, or what is to be done. Our queerness does not imagine a coherent self, and thus cannot agitate for any selves to find their place within civilization. The only queerness that queer sexuality could ever hope to achieve would exist in a total refusal of attempts at the symbolic integration of our sexuality into governing and market structures. This refusal of representation forecloses on any hope that we ever have in identity politics or positive identity projects</w:t>
      </w:r>
      <w:r w:rsidRPr="00766157">
        <w:rPr>
          <w:sz w:val="16"/>
        </w:rPr>
        <w:t xml:space="preserve">. We decline the progressive faith in the ability for our bodies to be figured into the symbolic order. We decline the liberal assurance that everything will turn out right, if we just have faith. No, instead we mean to “unleash negativity against the coherence of any self-image, subjecting us to a moral law that evacuates the subject so as to locate it through and in that very act of evacuation, permitting the realization, thereby, of a freedom beyond the boundaries of any image or representation, a freedom that ultimately resides in nothing more than the capacity to advance into emptiness.” </w:t>
      </w:r>
      <w:r w:rsidRPr="00766157">
        <w:rPr>
          <w:rStyle w:val="StyleUnderline"/>
        </w:rPr>
        <w:t>A non-identitarian, unrepresentable, unintelligible queer revolt will be purely negative</w:t>
      </w:r>
      <w:r w:rsidRPr="00766157">
        <w:rPr>
          <w:sz w:val="16"/>
        </w:rPr>
        <w:t xml:space="preserve">, or it won’t be at all. In the same way, </w:t>
      </w:r>
      <w:r w:rsidRPr="00766157">
        <w:rPr>
          <w:rStyle w:val="StyleUnderline"/>
        </w:rPr>
        <w:t>an insurrectionary anarchy must embrace the death drive against all the positivisms afforded by the world it opposes. If we hope to interrupt the ceaseless forward motion of capital and its state, we cannot rely on failed methods. Identity politics, platforms, formal organizations, subcultures, activist campaigns</w:t>
      </w:r>
      <w:r w:rsidRPr="00766157">
        <w:rPr>
          <w:sz w:val="16"/>
        </w:rPr>
        <w:t xml:space="preserve"> (each being either queer or anarchist) </w:t>
      </w:r>
      <w:r w:rsidRPr="00766157">
        <w:rPr>
          <w:rStyle w:val="StyleUnderline"/>
        </w:rPr>
        <w:t>will always arrive at the dead ends of identity and representation. We must flee from these positivities, these models, to instead experiment with the undying negativity of the death drive</w:t>
      </w:r>
      <w:r w:rsidRPr="00766157">
        <w:rPr>
          <w:sz w:val="16"/>
        </w:rPr>
        <w:t xml:space="preserve">. Edelman again: </w:t>
      </w:r>
      <w:r w:rsidRPr="00766157">
        <w:rPr>
          <w:rStyle w:val="StyleUnderline"/>
        </w:rPr>
        <w:t>The death drive’s immortality, then refers to a persistent negation that offers assurance of nothing at all: neither identity, nor survival, nor any promise of the future</w:t>
      </w:r>
      <w:r w:rsidRPr="00766157">
        <w:rPr>
          <w:sz w:val="16"/>
        </w:rPr>
        <w:t xml:space="preserve">. Instead, </w:t>
      </w:r>
      <w:r w:rsidRPr="00766157">
        <w:rPr>
          <w:rStyle w:val="StyleUnderline"/>
        </w:rPr>
        <w:t>it insists both on and as the impossibility of Symbolic closure, the absence of any Other to affirm the Symbolic order’s truth and hence the illusory status of meaning as defense against the self-negating substance of jouissance… [Queerness] affirms a constant, eruptive jouissance that responds to the inarticulable real, to the impossibility of sexual rapport or of ever being able to signify the relation between the sexes. [Queerness] then, like the death drive, engages, by refusing, the normative stasis, the immobility, of sexuation</w:t>
      </w:r>
      <w:r w:rsidRPr="00766157">
        <w:rPr>
          <w:sz w:val="16"/>
        </w:rPr>
        <w:t>… breaks down the mortifying structures that give us ourselves as selves and does so with all the force of the Real that such forms must fail to signify… the death drive both evades and undoes representation… the gravediggers of society [are] those who care nothing for the future.</w:t>
      </w:r>
    </w:p>
    <w:p w:rsidR="00F567B5" w:rsidRDefault="00F567B5" w:rsidP="00F567B5">
      <w:pPr>
        <w:rPr>
          <w:sz w:val="16"/>
        </w:rPr>
      </w:pPr>
    </w:p>
    <w:p w:rsidR="00F567B5" w:rsidRPr="00A71B72" w:rsidRDefault="00F567B5" w:rsidP="00F567B5"/>
    <w:p w:rsidR="00F567B5" w:rsidRDefault="00F567B5" w:rsidP="00F567B5">
      <w:pPr>
        <w:pStyle w:val="Heading3"/>
      </w:pPr>
      <w:bookmarkStart w:id="66" w:name="_Toc489138956"/>
      <w:r>
        <w:lastRenderedPageBreak/>
        <w:t>Alt: Bareback Pedagogy</w:t>
      </w:r>
      <w:bookmarkEnd w:id="66"/>
    </w:p>
    <w:p w:rsidR="00F567B5" w:rsidRDefault="00F567B5" w:rsidP="00F567B5">
      <w:pPr>
        <w:pStyle w:val="Heading4"/>
      </w:pPr>
      <w:r>
        <w:t xml:space="preserve">The alternative is to engage in a bareback pedagogy which embraces queer negativity through a processes of risking the self. Prefer a pedagogy that proliferates new modes of relationality rather than one that imposes normative sexualities </w:t>
      </w:r>
    </w:p>
    <w:p w:rsidR="00F567B5" w:rsidRDefault="00F567B5" w:rsidP="00F567B5">
      <w:r w:rsidRPr="00F82712">
        <w:rPr>
          <w:rStyle w:val="Author-Date"/>
        </w:rPr>
        <w:t>Greteman 2013</w:t>
      </w:r>
      <w:r>
        <w:t xml:space="preserve"> [Adam J., Adjunct Assistant Professor of Art Education at the School of the Art Institute of Chicago | “Fashioning a bareback pedagogy: towards a theory of risky (sex) education” </w:t>
      </w:r>
      <w:r w:rsidRPr="004F038D">
        <w:rPr>
          <w:i/>
        </w:rPr>
        <w:t>Sex Education</w:t>
      </w:r>
      <w:r>
        <w:t>, 2013]</w:t>
      </w:r>
    </w:p>
    <w:p w:rsidR="00F567B5" w:rsidRDefault="00F567B5" w:rsidP="00F567B5">
      <w:pPr>
        <w:rPr>
          <w:sz w:val="16"/>
        </w:rPr>
      </w:pPr>
      <w:r w:rsidRPr="00801856">
        <w:rPr>
          <w:sz w:val="16"/>
        </w:rPr>
        <w:t xml:space="preserve">In Rolling Stone’s February 2003 article, ‘Bug Chasing: The Men Who Long to Be HIVþ’, journalist Gregory Freeman brought – for better or worse – the figure of the ‘barebacker’ into the mainstream.1 The Human Rights Campaign (HRC) expressed outrage at the publication, calling it irresponsible, arguably because it showed a representation of ‘homosexuality’ that is not in line with the HRC’s more (homo)normative political goals. In spite of the backlash, barebackers gained mainstream notoriety from the article and the practice, and the practitioners have been placed under the literal and metaphorical microscope of various researchers (medical, psychological, sociological) for the past decade to understand and explain such a phenomenon – namely the phenomenon of men knowingly not using condoms and engaging in risky sex. Barebackers are nowhere near a homogenous group.2 While some saw it as the dirty little secret of homosexuals, others saw it as something overblown and sensationalised, as a curiosity, and as a confirmation of gay men’s ‘death drive’. </w:t>
      </w:r>
      <w:r w:rsidRPr="00EB79A6">
        <w:rPr>
          <w:rStyle w:val="StyleUnderline"/>
        </w:rPr>
        <w:t>The figure of the barebacker has become a rather queer ‘pedagogue’ at the start of the twenty-first century. This figure has unknowingly taught us about ethics</w:t>
      </w:r>
      <w:r w:rsidRPr="00801856">
        <w:rPr>
          <w:sz w:val="16"/>
        </w:rPr>
        <w:t xml:space="preserve"> (Dean 2009), </w:t>
      </w:r>
      <w:r w:rsidRPr="00EB79A6">
        <w:rPr>
          <w:rStyle w:val="StyleUnderline"/>
        </w:rPr>
        <w:t>impersonal intimacy and asceticism</w:t>
      </w:r>
      <w:r w:rsidRPr="00801856">
        <w:rPr>
          <w:sz w:val="16"/>
        </w:rPr>
        <w:t xml:space="preserve"> (Bersani and Phillips 2008), </w:t>
      </w:r>
      <w:r w:rsidRPr="00EB79A6">
        <w:rPr>
          <w:rStyle w:val="StyleUnderline"/>
        </w:rPr>
        <w:t>gay male subjectivity</w:t>
      </w:r>
      <w:r w:rsidRPr="00801856">
        <w:rPr>
          <w:sz w:val="16"/>
        </w:rPr>
        <w:t xml:space="preserve"> (Halperin 2007) </w:t>
      </w:r>
      <w:r w:rsidRPr="00EB79A6">
        <w:rPr>
          <w:rStyle w:val="StyleUnderline"/>
        </w:rPr>
        <w:t>and the psychological aspects of such practices</w:t>
      </w:r>
      <w:r w:rsidRPr="00801856">
        <w:rPr>
          <w:sz w:val="16"/>
        </w:rPr>
        <w:t xml:space="preserve"> (Shernoff 2005). While barebackers have implicitly been viewed as teachers, this paper seeks to explore the pedagogical lessons these practices and their practitioners offer. Barebackers did not set out to be identified as pedagogues but through their practices and the critical scholarship that has emerged surrounding them, they have unwittingly come to teach. Barebackers, it would seem, have no place within education, particularly sex education. However, they are, in fact, quite central to (sex) education. </w:t>
      </w:r>
      <w:r w:rsidRPr="008A3767">
        <w:rPr>
          <w:rStyle w:val="StyleUnderline"/>
        </w:rPr>
        <w:t>Barebackers, by inhabiting the outside of sex and sex education, are made ‘other’ by the dominant discourses that emerge post-HIV that have classified particular practices (risky vs. safe) and models of intimacy (healthy vs. unhealthy) in the process of normalisation</w:t>
      </w:r>
      <w:r w:rsidRPr="00801856">
        <w:rPr>
          <w:sz w:val="16"/>
        </w:rPr>
        <w:t xml:space="preserve">. Barebackers have taught what not to do, how not to live. My intentions in this paper are to counter-intuitively use the figure of the barebacker as a lifestyle for thinking through sex education in the twenty-first century. </w:t>
      </w:r>
      <w:r w:rsidRPr="008A3767">
        <w:rPr>
          <w:rStyle w:val="StyleUnderline"/>
        </w:rPr>
        <w:t>The barebacker</w:t>
      </w:r>
      <w:r w:rsidRPr="00801856">
        <w:rPr>
          <w:sz w:val="16"/>
        </w:rPr>
        <w:t xml:space="preserve"> does not simply offer a lesson of what not to do, but </w:t>
      </w:r>
      <w:r w:rsidRPr="008A3767">
        <w:rPr>
          <w:rStyle w:val="StyleUnderline"/>
        </w:rPr>
        <w:t>allows us to explore possible ways of coming into presence</w:t>
      </w:r>
      <w:r w:rsidRPr="00801856">
        <w:rPr>
          <w:sz w:val="16"/>
        </w:rPr>
        <w:t xml:space="preserve">, echoing the work of Biesta (2006). Barebackers, as a whole, are a complex, complicated and heterogeneous subsection of men who have sex with men (they may be gay, bisexual or straight). The prevalence of barebacking is highly contested, often relying on anecdotal evidence (see Dawson et al. 2005). Yet, </w:t>
      </w:r>
      <w:r w:rsidRPr="008A3767">
        <w:rPr>
          <w:rStyle w:val="StyleUnderline"/>
        </w:rPr>
        <w:t>the figure of the barebacker has been invented and developed in any number of ways to do something within contemporary sexual politics</w:t>
      </w:r>
      <w:r w:rsidRPr="00801856">
        <w:rPr>
          <w:sz w:val="16"/>
        </w:rPr>
        <w:t xml:space="preserve"> – </w:t>
      </w:r>
      <w:r w:rsidRPr="008A3767">
        <w:rPr>
          <w:rStyle w:val="StyleUnderline"/>
        </w:rPr>
        <w:t>from policing sexual activity to offering alternative ways of relating to the self and other.</w:t>
      </w:r>
      <w:r w:rsidRPr="00801856">
        <w:rPr>
          <w:sz w:val="16"/>
        </w:rPr>
        <w:t xml:space="preserve"> In this paper, </w:t>
      </w:r>
      <w:r w:rsidRPr="008A3767">
        <w:rPr>
          <w:rStyle w:val="StyleUnderline"/>
        </w:rPr>
        <w:t>I use the figure of the barebacker</w:t>
      </w:r>
      <w:r w:rsidRPr="00801856">
        <w:rPr>
          <w:sz w:val="16"/>
        </w:rPr>
        <w:t xml:space="preserve"> as developed within sexuality and queer studies </w:t>
      </w:r>
      <w:r w:rsidRPr="008A3767">
        <w:rPr>
          <w:rStyle w:val="StyleUnderline"/>
        </w:rPr>
        <w:t>to explore the pedagogical potential for thinking through barebacking and how this queer sexual practice allows individuals to thrive in the midst of violence, homophobia and the regimes of the normative. Might these practices</w:t>
      </w:r>
      <w:r w:rsidRPr="00801856">
        <w:rPr>
          <w:sz w:val="16"/>
        </w:rPr>
        <w:t xml:space="preserve"> (and their associated ‘lifestyle’) </w:t>
      </w:r>
      <w:r w:rsidRPr="008A3767">
        <w:rPr>
          <w:rStyle w:val="StyleUnderline"/>
        </w:rPr>
        <w:t>offer a space and time to think through not only survival</w:t>
      </w:r>
      <w:r w:rsidRPr="00801856">
        <w:rPr>
          <w:sz w:val="16"/>
        </w:rPr>
        <w:t xml:space="preserve"> (methods of safe(r) sex; information about sexually transmitted infections), </w:t>
      </w:r>
      <w:r w:rsidRPr="008A3767">
        <w:rPr>
          <w:rStyle w:val="StyleUnderline"/>
        </w:rPr>
        <w:t>but also thrival</w:t>
      </w:r>
      <w:r w:rsidRPr="00801856">
        <w:rPr>
          <w:sz w:val="16"/>
        </w:rPr>
        <w:t xml:space="preserve"> (methods of becoming) </w:t>
      </w:r>
      <w:r w:rsidRPr="008A3767">
        <w:rPr>
          <w:rStyle w:val="StyleUnderline"/>
        </w:rPr>
        <w:t>in the face of normative ideas about sex education relating to HIV transmission?</w:t>
      </w:r>
      <w:r>
        <w:rPr>
          <w:rStyle w:val="StyleUnderline"/>
        </w:rPr>
        <w:t xml:space="preserve"> </w:t>
      </w:r>
      <w:r w:rsidRPr="00801856">
        <w:rPr>
          <w:sz w:val="16"/>
        </w:rPr>
        <w:t xml:space="preserve">With Freeman’s article, the mainstream reader is given an ‘inside’ look on the practices of barebackers – Carlos and Doug – both positioned problematically as teachers. Carlos, arguably the central figure of the article, teaches the reader about barebacking, noting how he finds sexual partners and the various reasons for practising what most see as risky sexual acts – mainly unprotected sex with men whose status is unknown or known to be opposite of Carlos’ negative status. Carlos explains his reasoning for such erotic practices provocatively. As Freeman wrote, ‘his [Carlos’] eyes light up as he says that the actual moment of transmission, the instant he gets HIV, will be “the most erotic thing I can imagine”’ (Rolling Stone, February 2003). Carlos will, of course, have to imagine that moment for transmission of HIV is temporally delayed. One never knows exactly when one converts. It takes time for antibodies to develop and it takes time – even with rapidresponse tests now widely available – to learn of one’s HIV status (which is confirmed if one tests positive for the antibodies by a longer wait to test for the actual HIV virus). The moment of transmission is less about the literal moment then and more about the imagined moment, the fantasy of joining the ‘brotherhood’. Carlos is, arguably, already a member of the brotherhood, a member of the subculture of barebackers (both gift givers and bug chasers) who have created over the past two decades a recognisable, although highly contested, subculture. Furthermore, Carlos admits that ‘he hasn’t been tested in a couple of years, and he’s reluctant to get a test now’. ‘He might very well be positive already’, Freeman writes, ‘But as long as he doesn’t know for sure, he can always hope that tonight is the night he gets the virus. Every date is potentially The One’. While Carlos illuminated the perverse lessons of barebacking, Doug enters Freeman’s story as one who has already learned by mistake. Doug’s lessons will challenge the erotic practices advocated by Carlos. Doug regretted his time barebacking – particularly after he became positive. Doug’s story begins with the shame and low self-esteem he had that prompted him to engage in such risky sexual practices. It was only after he found out he was positive that the appeal of </w:t>
      </w:r>
      <w:r w:rsidRPr="00801856">
        <w:rPr>
          <w:sz w:val="16"/>
        </w:rPr>
        <w:lastRenderedPageBreak/>
        <w:t xml:space="preserve">barebacking was shown for its problems. Such a revelation was perhaps one fuck too late. However, Doug becomes the safe pedagogue in Freeman’s account, showing the mistakes of Carlos’ lessons and allowing Freeman to maintain an us versus them mentality towards HIV/AIDS, writing ‘while the rest of the world fights the AIDS epidemic and most people fear HIV infection, this subculture celebrates the virus and eroticizes it’ (Rolling Stone, February 2003, 44). Doug, once one of ‘them’, is now one of ‘us’ helping fight the AIDS epidemic. As Gonzalez notes, such an approach ‘denies any possibility of situating HIV from an AIDS-centric cultural perspective in the public sphere’ (2010, 93). Likewise, as Gonzalez continues: </w:t>
      </w:r>
      <w:r w:rsidRPr="00FB7A62">
        <w:rPr>
          <w:rStyle w:val="StyleUnderline"/>
        </w:rPr>
        <w:t>Freeman’s sensationalist report boils down any nuances of gay desire across the social field of HIV/AIDS to a form of unredeemable deviance</w:t>
      </w:r>
      <w:r w:rsidRPr="007D3730">
        <w:rPr>
          <w:rStyle w:val="StyleUnderline"/>
        </w:rPr>
        <w:t>. This naturalised ideological re-presentation of the diseased and disabled gay male body, in the form of reporting on the ‘chase’, reinforces a dominant reading of HIV-positive gay men as</w:t>
      </w:r>
      <w:r w:rsidRPr="00801856">
        <w:rPr>
          <w:sz w:val="16"/>
        </w:rPr>
        <w:t xml:space="preserve"> ineluctably undesirable because they signify only the </w:t>
      </w:r>
      <w:r w:rsidRPr="007D3730">
        <w:rPr>
          <w:rStyle w:val="StyleUnderline"/>
        </w:rPr>
        <w:t>vectors of death and disease.</w:t>
      </w:r>
      <w:r w:rsidRPr="00801856">
        <w:rPr>
          <w:sz w:val="16"/>
        </w:rPr>
        <w:t xml:space="preserve"> (2010, 94) </w:t>
      </w:r>
      <w:r w:rsidRPr="007D3730">
        <w:rPr>
          <w:rStyle w:val="StyleUnderline"/>
        </w:rPr>
        <w:t>The figure of the barebacker</w:t>
      </w:r>
      <w:r w:rsidRPr="00801856">
        <w:rPr>
          <w:sz w:val="16"/>
        </w:rPr>
        <w:t xml:space="preserve">, while a contested ‘empirical reality’, then </w:t>
      </w:r>
      <w:r w:rsidRPr="007D3730">
        <w:rPr>
          <w:rStyle w:val="StyleUnderline"/>
        </w:rPr>
        <w:t>operates as a figure – represented in discourse to discipline and regulate what counts as normal gay sex</w:t>
      </w:r>
      <w:r w:rsidRPr="00801856">
        <w:rPr>
          <w:sz w:val="16"/>
        </w:rPr>
        <w:t xml:space="preserve"> (Halperin 2007; Dean 2009; Gonzalez 2010). My particular interest in this figure is how the barebacker comes to operate pedagogically or how the barebacker comes to teach through his practices (imagined or real). Following the work of Tim Dean, my foray into barebacking’s pedagogical promises is an attempt to think through the possibility for queer ethics and the need for risky (sex) education so that such an education might do less harm than it has done in the past. Fashioning barebackers Barebackers are fashionable within sex(ualities) research. Fashions, of course, come and go like fashions must to be ‘fashionable’.3 But fashions are important, for they, in their constant state of change, illustrate diverse practices of creating the self and the community. Svedsen writes, ‘the role of modern man in this world does not consist in realising a given essence but in realising himself by creating himself’ (2006, 138). The modern man – or more so the ‘postmodern’ subject – is preoccupied with constructing the self without the stable traditions that defined the ‘premodern’ subject. ‘Lacking traditions’, Svedsen writes, ‘we are hyperactive lifestyle constructors, in an attempt to form meaning and identity’ (139). And this process of creating and maintaining a lifestyle is much more demanding than membership in a social class because, ‘lifestyles go out of fashion, so that constant assessments have to be made as to what extent they are to be retained or a new one chosen if one is to keep abreast of fashion’ (139). </w:t>
      </w:r>
      <w:r w:rsidRPr="007D3730">
        <w:rPr>
          <w:rStyle w:val="StyleUnderline"/>
        </w:rPr>
        <w:t>The postmodern, consumer society’s emphasis on lifestyle</w:t>
      </w:r>
      <w:r w:rsidRPr="00801856">
        <w:rPr>
          <w:sz w:val="16"/>
        </w:rPr>
        <w:t xml:space="preserve"> requires, perhaps even </w:t>
      </w:r>
      <w:r w:rsidRPr="007D3730">
        <w:rPr>
          <w:rStyle w:val="StyleUnderline"/>
        </w:rPr>
        <w:t>demands, that one question one’s reality and search for alternative models of</w:t>
      </w:r>
      <w:r w:rsidRPr="00801856">
        <w:rPr>
          <w:sz w:val="16"/>
        </w:rPr>
        <w:t xml:space="preserve"> being or </w:t>
      </w:r>
      <w:r w:rsidRPr="007D3730">
        <w:rPr>
          <w:rStyle w:val="StyleUnderline"/>
        </w:rPr>
        <w:t>becoming</w:t>
      </w:r>
      <w:r w:rsidRPr="00801856">
        <w:rPr>
          <w:sz w:val="16"/>
        </w:rPr>
        <w:t xml:space="preserve"> (Baudrillard 1998). </w:t>
      </w:r>
      <w:r w:rsidRPr="007D3730">
        <w:rPr>
          <w:rStyle w:val="StyleUnderline"/>
        </w:rPr>
        <w:t>This is</w:t>
      </w:r>
      <w:r w:rsidRPr="00801856">
        <w:rPr>
          <w:sz w:val="16"/>
        </w:rPr>
        <w:t xml:space="preserve">, in part, </w:t>
      </w:r>
      <w:r w:rsidRPr="007D3730">
        <w:rPr>
          <w:rStyle w:val="StyleUnderline"/>
        </w:rPr>
        <w:t>one way in which we might read barebackers – eschewing medical or scientific discourse in favour of aesthetic and ethical discourses</w:t>
      </w:r>
      <w:r w:rsidRPr="00801856">
        <w:rPr>
          <w:sz w:val="16"/>
        </w:rPr>
        <w:t xml:space="preserve">. Echoing Svedsen, ‘we must choose a lifestyle and, as a style, the choice is basically an aesthetic one. Aesthetics, then, becomes a center for the formation of identity’ (142). </w:t>
      </w:r>
      <w:r w:rsidRPr="007D3730">
        <w:rPr>
          <w:rStyle w:val="StyleUnderline"/>
        </w:rPr>
        <w:t xml:space="preserve">Within this engagement, </w:t>
      </w:r>
      <w:r w:rsidRPr="007D3730">
        <w:rPr>
          <w:rStyle w:val="Emphasis"/>
        </w:rPr>
        <w:t>barebackers</w:t>
      </w:r>
      <w:r w:rsidRPr="007D3730">
        <w:rPr>
          <w:rStyle w:val="StyleUnderline"/>
        </w:rPr>
        <w:t xml:space="preserve"> do not reveal an ‘essence’ of queerness, but within the historical/social/political context they emerge from, they </w:t>
      </w:r>
      <w:r w:rsidRPr="007D3730">
        <w:rPr>
          <w:rStyle w:val="Emphasis"/>
        </w:rPr>
        <w:t>model ways of fashioning a lifestyle that contests</w:t>
      </w:r>
      <w:r w:rsidRPr="00801856">
        <w:rPr>
          <w:sz w:val="16"/>
        </w:rPr>
        <w:t xml:space="preserve"> (quite radically) a variety of </w:t>
      </w:r>
      <w:r w:rsidRPr="007D3730">
        <w:rPr>
          <w:rStyle w:val="Emphasis"/>
        </w:rPr>
        <w:t>social norms while opening up ways of relating to the self and the other.</w:t>
      </w:r>
      <w:r w:rsidRPr="00801856">
        <w:rPr>
          <w:sz w:val="16"/>
        </w:rPr>
        <w:t xml:space="preserve"> In line with Foucault’s assertion in ‘Friendship as a Way of Life’, </w:t>
      </w:r>
      <w:r w:rsidRPr="007D3730">
        <w:rPr>
          <w:rStyle w:val="StyleUnderline"/>
        </w:rPr>
        <w:t>the practices of barebacking invent ways of living instead of remaining obstinate in asserting an identity</w:t>
      </w:r>
      <w:r w:rsidRPr="00801856">
        <w:rPr>
          <w:sz w:val="16"/>
        </w:rPr>
        <w:t xml:space="preserve"> (1998). If education is, in part, a process of forming identity and sex education is specifically an engagement with forming a sexual identity – such as being a knowledgeable sexual subject, understanding one’s rights as a sexual being – the current paper makes a move in sexuality research thinking through ways in which sex education fashions subjects and vice versa. I question how such fashioning changes, given the advancements in scientific, medical, technological and aesthetic discourses. In addition, how do the fashions of sex education ‘edit’ out particular ways of being in the process? Within what might be called the popular imagination, sex education’s purpose is to teach about issues related to human sexuality – including human sexual anatomy, sexual reproduction, reproductive rights and responsibilities, human sexual behaviour and other related topics. This type of education formally occurs via parents or guardians, school curricula and programmes and/or public health initiatives, and informally via peers and various forms of media (e.g. film, television and pornography). However, history shows us that: Sex education became the site for working on the bodies of children, adolescents, and teachers. But it also repeated its own ambivalent relation to the workings of sexuality. The shift to a pedagogy for making normalcy, as well as the idea that normalcy was an effect of proper pedagogy and not an a priori state, were essentially the grounds for the social hygiene movement called ‘sex education’. (Britzman 1998a, 67) Sex education – be it ‘normal’ or ‘critical’ (to use Britzman’s distinctions) – ‘cannot exceed the moralism and the eugenic categories of the normal’ (1998a, 66). Yet, a third version of sex education Britzman offered is the ‘polymorphously perverse’, which ‘conceptualises sexuality as movement and as otherness and, as such, as a part of the imaginary domain that means to refuse to stabilise sexuality’ (66). It is this ‘not yet tolerated’ form of sex education that Britzman explores and that I take up here – placing the obvious (e.g. barebackers as irresponsible) at risk to illuminate how risky-sex education (as opposed to safer-sex education) challenges certain ethical and aesthetic demands – contesting the ‘normal’. This is not to propose a ‘curriculum’ of barebacking, but to investigate what new or ‘fashionable’ sexual practices and subcultures offer education to think through. Teaching about sex is in constant crisis as what is ‘proper’ is always in flux, dependent on various social, political and religious views. While there may be no true way to teach about sex despite the constant battles seeking to do so, as Britzman’s work has constantly shown, there is a need to investigate the ‘unthinkable’ in (sex) education. To follow the work of Silin, there is a need to challenge ‘our passion for ignorance in the age of AIDS’ (1995, 3). This, I will argue, requires a move away from talking about sex to talking and thinking through sex. McCallum (1999) offers an exploration of such an approach – writing about ways to think (and teach) through fetishism. ‘The change from thinking about fetishism to thinking through fetishism’, McCallum writes, ‘calls for a change in attention, from fetish objects to the use subjects make of fetishes and fetishism’. This change in thinking has an aim, ‘to show how thinking as a fetishist leads us to a more complicated and nuanced view about sexual and ontological differences and . . . more creative and productive interpretations of subjects and objects can emerge’ (xvi). I am not engaging fetishism, but using McCallum’s distinction between thinking about versus thinking through to assist in my aims here regarding barebacking. What might we learn if </w:t>
      </w:r>
      <w:r w:rsidRPr="00801856">
        <w:rPr>
          <w:sz w:val="16"/>
        </w:rPr>
        <w:lastRenderedPageBreak/>
        <w:t xml:space="preserve">we think ‘as’ a barebacker and the ways we make use of HIV to do something? Barebackers, while potentially viewed as subjects who fethishise HIV by turning the virus into an erotic object, are for my purposes the most challenging ethical and aesthetic sexual figure within contemporary sexuality studies. While it might be more palatable to take a psychological approach – an approach Halperin (2007) has already adequately contested – alternative approaches are necessary. Britzman’s adventures into a queer pedagogy already offered groundwork for such an approach wherein one of the stakes of queer pedagogy was the need for ‘thinking ethically about what discourses of difference, choice, and visibility mean in classrooms, in pedagogy, and in how education can be thought about’ (1995, 152). If this is the case – that barebacking offers us insights further into queer pedagogy – then thinking through barebacking allows sex education to move beyond simple epistemological questions (what students should know or think about sex?) to also think about how subjects emerge in relationship to other subjects. Or, in this case, how sex education edits out particular types of sexual subjects and practices in the name of the ‘normal’ and certainty. There is no certainty regarding HIV transmission and the consequences of acquiring HIV. No advanced screening, no test, no curriculum can, for certain, teach what needs to be taught and establish ‘safe’ education – one reason why the rhetoric around sex education has moved to talk of ‘safer’ sex – implicating the reality that sex can only ever be ‘safer’ but never completely safe. The challenges that sex brings to education then, particularly in the age of AIDS, demand a queer pedagogy; a pedagogy that requires reading practices that disrupt the ‘straight’ fashions of education to make lives livable or allows lives to think through the possibilities. Bareback reading </w:t>
      </w:r>
      <w:r w:rsidRPr="009507D5">
        <w:rPr>
          <w:rStyle w:val="StyleUnderline"/>
        </w:rPr>
        <w:t>Gallop proposes a methodology ‘trying to theorise pedagogy in a way that</w:t>
      </w:r>
      <w:r w:rsidRPr="00801856">
        <w:rPr>
          <w:sz w:val="16"/>
        </w:rPr>
        <w:t xml:space="preserve"> resists the norm’ (2002, 6). This ‘exorbitant theorizing’ </w:t>
      </w:r>
      <w:r w:rsidRPr="009507D5">
        <w:rPr>
          <w:rStyle w:val="StyleUnderline"/>
        </w:rPr>
        <w:t>is ‘excessive’</w:t>
      </w:r>
      <w:r w:rsidRPr="00801856">
        <w:rPr>
          <w:sz w:val="16"/>
        </w:rPr>
        <w:t xml:space="preserve">, ‘romantic’, </w:t>
      </w:r>
      <w:r w:rsidRPr="009507D5">
        <w:rPr>
          <w:rStyle w:val="StyleUnderline"/>
        </w:rPr>
        <w:t>‘perverse’ and ‘queer’</w:t>
      </w:r>
      <w:r w:rsidRPr="00801856">
        <w:rPr>
          <w:sz w:val="16"/>
        </w:rPr>
        <w:t xml:space="preserve"> (7). The pedagogical relationship is quite central to such theorising, for it is the pedagogical relationship that gives way to theorising. </w:t>
      </w:r>
      <w:r w:rsidRPr="009507D5">
        <w:rPr>
          <w:rStyle w:val="StyleUnderline"/>
        </w:rPr>
        <w:t xml:space="preserve">Exorbitant theorising cuts through the oppositions of theory and practice, the humorous and serious, ‘in order to produce theory with a better sense of humour, theorising which honours that uncanny detail of lived experience’ </w:t>
      </w:r>
      <w:r w:rsidRPr="00801856">
        <w:rPr>
          <w:sz w:val="16"/>
        </w:rPr>
        <w:t xml:space="preserve">(2). It is a theory that is open to surprise. Relying on the anecdote – an ‘exorbitant model’ – Gallop illuminates the importance of the moment through her rigorous close readings of cultural shifts and texts. Deconstruction has taught her that it is the moment that is ‘the site of productive thinking’ (3). The moment becomes central to ‘theorising’ and such theorising turns out to be ‘insistently sexual’, as it constantly is ‘grappling with its erotics’ (8). Yet, it cannot be mistaken as forgoing its responsibility to the real; rather it seeks to open up more heterogeneous ways of producing theory and experiencing the world. In addition, while the anecdote allows us to focus in on the particular – the moment – it also allows us to read from within the particular – in this case, the subculture of barebacking via the highly charged anecdotes Freeman wields in his article. </w:t>
      </w:r>
      <w:r w:rsidRPr="009507D5">
        <w:rPr>
          <w:rStyle w:val="StyleUnderline"/>
        </w:rPr>
        <w:t>Rather than trying to find the truth regarding this practice, the challenge becomes one of thinking through how practices of barebacking might offer promising ways of engaging sexuality.</w:t>
      </w:r>
      <w:r w:rsidRPr="00801856">
        <w:rPr>
          <w:sz w:val="16"/>
        </w:rPr>
        <w:t xml:space="preserve"> I might, through this anecdotal theorising, find something specifically queer – something (a practice) that helps create a queer subculture and identification with HIV that is defined by its departure from heterosexuality and homosexuality. </w:t>
      </w:r>
      <w:r w:rsidRPr="00A311B3">
        <w:rPr>
          <w:rStyle w:val="StyleUnderline"/>
        </w:rPr>
        <w:t>Barebacking becomes</w:t>
      </w:r>
      <w:r w:rsidRPr="00801856">
        <w:rPr>
          <w:sz w:val="16"/>
        </w:rPr>
        <w:t>, relying on Halperin, ‘</w:t>
      </w:r>
      <w:r w:rsidRPr="00A311B3">
        <w:rPr>
          <w:rStyle w:val="StyleUnderline"/>
        </w:rPr>
        <w:t>a form of understanding, a way of seeing men, women, and the world’ through sexuality</w:t>
      </w:r>
      <w:r w:rsidRPr="00801856">
        <w:rPr>
          <w:sz w:val="16"/>
        </w:rPr>
        <w:t xml:space="preserve"> (2012, 375). </w:t>
      </w:r>
      <w:r w:rsidRPr="00A311B3">
        <w:rPr>
          <w:rStyle w:val="Emphasis"/>
        </w:rPr>
        <w:t>For sex education, this method of reading ‘sex’ moves beyond the medical and health models that assume particular normative needs for living and instead offers an aesthetic and ethical view of sex and subjectivity that offer radical ways of being and relating.</w:t>
      </w:r>
      <w:r w:rsidRPr="00801856">
        <w:rPr>
          <w:sz w:val="16"/>
        </w:rPr>
        <w:t xml:space="preserve"> It may not be immediately humorous – sex education rarely allows itself to laugh. Nor does such a way of reading and theorising offer broad generalised ideas of teaching sex. What it does do is quite humbly focus on and privilege the moment – the moment itself something highly fantasised about within Carlos’ account of barebacking. There are all kinds of moments in education. Most of those moments pass by unnoticed, forgotten in the forward progression of time. These moments eventually add up though and create – in relation with other factors – educated subjects. The debates and controversies that emerge around education might be boiled down to the struggle over which types of subjects should be created and which should be destroyed or ‘straightened’ out.4 Education is, quite simply, a space and time in which students develop lifestyles and within ‘sex’ education the concern, particularly around ‘sexual behaviours’ (read non-heterosexual behaviours), is that one will choose a non-heterosexual lifestyle. Or put differently, one’s fear of sex education that is inclusive of homosexuality is that it will teach children how to be gay. Most rebuttals to such fears are in the form of denying such intentions – arguing that homosexuality is neither a ‘choice’ nor something that can be taught. Rather, it is ‘natural’ or to quote Lady Gaga we are ‘born this way’. So, it is rather tenuous to talk about lifestyle in relationship to sexuality since it has been a mantra of LGBT politics to claim that homosexuality is not a lifestyle. However, it is perhaps necessary to eschew the disdain for lifestyle and embrace what ‘lifestyle’ offers us in thinking about sexuality and sex education within our consumer society. While it has rarely been fashionable to use fashion-speak in education – in favour of tradition (developed through ‘evidence-based research’) – I use fashion here to think about what might be a rather unfashionable subject. In particular, I use the barebacking lifestyle to explore potential pedagogical insights where pedagogy is viewed not simply as methods of teaching or the art of teaching, but as the process of fashioning the self through relationships with knowledge, the self and others (e.g. peers and teachers). Barebacking education Nowhere is the challenge of queerness more apparent than in sex education where discussions about homosexuality and non-reproductive sexuality are often challenged and controversial. Yet, </w:t>
      </w:r>
      <w:r w:rsidRPr="00A311B3">
        <w:rPr>
          <w:rStyle w:val="StyleUnderline"/>
        </w:rPr>
        <w:t>queerness is not simply about sexual practices but also about queer people</w:t>
      </w:r>
      <w:r w:rsidRPr="00801856">
        <w:rPr>
          <w:sz w:val="16"/>
        </w:rPr>
        <w:t xml:space="preserve"> – </w:t>
      </w:r>
      <w:r w:rsidRPr="00A311B3">
        <w:rPr>
          <w:rStyle w:val="StyleUnderline"/>
        </w:rPr>
        <w:t>people who live lives, have lifestyles, that are unrepresented within schools and could illustrate ways of ‘becoming’ queer</w:t>
      </w:r>
      <w:r w:rsidRPr="00801856">
        <w:rPr>
          <w:sz w:val="16"/>
        </w:rPr>
        <w:t xml:space="preserve"> – something Eric Rofes so eloquently argued in his work. </w:t>
      </w:r>
      <w:r w:rsidRPr="00A311B3">
        <w:rPr>
          <w:rStyle w:val="Emphasis"/>
        </w:rPr>
        <w:t>Simply offering representations of queer people is inadequate</w:t>
      </w:r>
      <w:r w:rsidRPr="00A311B3">
        <w:rPr>
          <w:rStyle w:val="StyleUnderline"/>
        </w:rPr>
        <w:t>. Representations used more often than not continue to conform to the accepted status quo</w:t>
      </w:r>
      <w:r w:rsidRPr="00801856">
        <w:rPr>
          <w:sz w:val="16"/>
        </w:rPr>
        <w:t xml:space="preserve"> (Britzman 1998b). And while barebackers are the epitome of the ‘anti-social’ – anti-social not because they are anti-communal but because they are, as Halperin (2012) notes, ‘contrary to social norms’ – they do offer a </w:t>
      </w:r>
      <w:r w:rsidRPr="00801856">
        <w:rPr>
          <w:sz w:val="16"/>
        </w:rPr>
        <w:lastRenderedPageBreak/>
        <w:t xml:space="preserve">compelling lifestyle choice to think through, to illuminate the challenges and possibilities of ‘inventing’ a lifestyle. </w:t>
      </w:r>
      <w:r w:rsidRPr="00A311B3">
        <w:rPr>
          <w:rStyle w:val="StyleUnderline"/>
        </w:rPr>
        <w:t>Barebacking, while an extreme practice, illustrates a particular promise of a queer lifestyle.</w:t>
      </w:r>
      <w:r w:rsidRPr="00801856">
        <w:rPr>
          <w:sz w:val="16"/>
        </w:rPr>
        <w:t xml:space="preserve"> Dean argued that the emergence of the bareback subculture was directly related to the campaign for same-sex marriage. ‘The AIDS epidemic’, he argued, ‘not only made gay sexuality more visible but also led to the promotion of a more socially conservative gay political agenda’ and with the promotion of such a conservative agenda ‘queers invented bareback subculture to help keep their sex outside the pale of bourgeois respectability’ (2009, 84–85). The emergence of such a subculture also came at a time when HIV was no longer a death sentence due to anti-retrovirals (assuming, of course, one has access). The temporality of AIDS was no longer certain as those who found themselves ‘positive’ did not have to ask ‘how long’ but could look to a manageable illness. Dean, looking at ‘Bareback Time’, extends the strange relationship of ‘marriage’ and ‘barebacking’, writing ‘insofar as both involve experiments in kinship formation’ it is also possible to see that both experiments ‘may be understood as an equally symptomatic response to the anxiety of not knowing which timeline one is living’ (2012, 83). ‘Marriage, like barebacking, promises’, as Dean notes, ‘the seductive illusion that one can be sure about which temporality he or she inhabits; it offers an answer to questions that may barely have been formulated. Marriage, like barebacking, seems to make the future more certain’ (83). Yet, such certainty is quite illusory. Similarly</w:t>
      </w:r>
      <w:r w:rsidRPr="00A311B3">
        <w:rPr>
          <w:rStyle w:val="StyleUnderline"/>
        </w:rPr>
        <w:t>, educational research while seeking certainty must inevitably find ways to grapple with uncertainty – not to fall prey to nihilism but to find ways of living up to the promise of queerness to insist on the ‘particularity of the subject’</w:t>
      </w:r>
      <w:r w:rsidRPr="00801856">
        <w:rPr>
          <w:sz w:val="16"/>
        </w:rPr>
        <w:t xml:space="preserve"> (Edelman 2004, 5). </w:t>
      </w:r>
      <w:r w:rsidRPr="00A311B3">
        <w:rPr>
          <w:rStyle w:val="StyleUnderline"/>
        </w:rPr>
        <w:t>Education is</w:t>
      </w:r>
      <w:r w:rsidRPr="00801856">
        <w:rPr>
          <w:sz w:val="16"/>
        </w:rPr>
        <w:t xml:space="preserve">, however, </w:t>
      </w:r>
      <w:r w:rsidRPr="00A311B3">
        <w:rPr>
          <w:rStyle w:val="StyleUnderline"/>
        </w:rPr>
        <w:t>always concerned with the future.</w:t>
      </w:r>
      <w:r w:rsidRPr="00801856">
        <w:rPr>
          <w:sz w:val="16"/>
        </w:rPr>
        <w:t xml:space="preserve"> Its central task in the USA, it would seem, is to prepare students for any number of future activities – from being productive workers to being informed democratic citizens to helping keep the USA competitive and innovative (Labaree 1992). ‘The future is kids’ stuff’ to echo Edelman (2004). And in these postmodern times, the future is itself uncertain as the assumptions and dreams of the Enlightenment come apart. </w:t>
      </w:r>
      <w:r w:rsidRPr="006479B5">
        <w:rPr>
          <w:rStyle w:val="StyleUnderline"/>
        </w:rPr>
        <w:t>For Edelman, the future may be kids’ stuff but as such it is a problem for queers. Queers in his estimation, are not on the side of the future, but always placed as being against it</w:t>
      </w:r>
      <w:r w:rsidRPr="00801856">
        <w:rPr>
          <w:sz w:val="16"/>
        </w:rPr>
        <w:t xml:space="preserve">. Queers cannot reproduce; queers ‘pervert’ our children; queers are responsible for Hurricane Katrina. And so the story (homophobic to be sure) goes on. Queers have become, in the homophobic imagination, that which is against everything ‘good’ and ‘positive’. Edelman’s response to the positioning of queers as ‘negative’ is not to disavow this negativity as liberal responses often go. Instead, </w:t>
      </w:r>
      <w:r w:rsidRPr="006479B5">
        <w:rPr>
          <w:rStyle w:val="StyleUnderline"/>
        </w:rPr>
        <w:t>the negativity so often associated with ‘queerness’ and queers becomes central to the promise of queerness</w:t>
      </w:r>
      <w:r w:rsidRPr="00801856">
        <w:rPr>
          <w:sz w:val="16"/>
        </w:rPr>
        <w:t xml:space="preserve"> – </w:t>
      </w:r>
      <w:r w:rsidRPr="006479B5">
        <w:rPr>
          <w:rStyle w:val="StyleUnderline"/>
        </w:rPr>
        <w:t>through negativity queerness challenges and contests the normative and reproductive.</w:t>
      </w:r>
      <w:r w:rsidRPr="00801856">
        <w:rPr>
          <w:sz w:val="16"/>
        </w:rPr>
        <w:t xml:space="preserve"> As Edelman writes: far from partaking of this narrative movement toward a viable political future, far from perpetuating the fantasy of meaning’s eventual realisation, the queer comes to figure the bar to every realisation of futurity, the resistance, internal to the social, to every social structure or form. (2004, 4) </w:t>
      </w:r>
      <w:r w:rsidRPr="006479B5">
        <w:rPr>
          <w:rStyle w:val="StyleUnderline"/>
        </w:rPr>
        <w:t>Queers promise to refuse, ‘the structuring optimism of politics to which the order to meaning commits us, installing as it does the perpetual hope of reading meaning through signification’ to propose something ‘better’ that is inevitably ‘absolutely nothing’ except the ‘insistent particularity of the subject’</w:t>
      </w:r>
      <w:r w:rsidRPr="00801856">
        <w:rPr>
          <w:sz w:val="16"/>
        </w:rPr>
        <w:t xml:space="preserve"> (2004, 5). </w:t>
      </w:r>
      <w:r w:rsidRPr="006479B5">
        <w:rPr>
          <w:rStyle w:val="StyleUnderline"/>
        </w:rPr>
        <w:t>The value of such a promise ‘resides in its challenge to value as defined by the social and thus in its radical challenge to the very value of the social itself’</w:t>
      </w:r>
      <w:r w:rsidRPr="00801856">
        <w:rPr>
          <w:sz w:val="16"/>
        </w:rPr>
        <w:t xml:space="preserve"> (6). A queer pedagogy for barebackers Luhmann, in an early engagement ‘Queering/Querying Pedagogy’, notes that </w:t>
      </w:r>
      <w:r w:rsidRPr="00E61862">
        <w:rPr>
          <w:rStyle w:val="StyleUnderline"/>
        </w:rPr>
        <w:t>what is at stake in a queer pedagogy</w:t>
      </w:r>
      <w:r w:rsidRPr="00801856">
        <w:rPr>
          <w:sz w:val="16"/>
        </w:rPr>
        <w:t xml:space="preserve">: </w:t>
      </w:r>
      <w:r w:rsidRPr="00E61862">
        <w:rPr>
          <w:rStyle w:val="StyleUnderline"/>
        </w:rPr>
        <w:t>is not the application of queer theory</w:t>
      </w:r>
      <w:r w:rsidRPr="00801856">
        <w:rPr>
          <w:sz w:val="16"/>
        </w:rPr>
        <w:t xml:space="preserve"> (as a new knowledge) </w:t>
      </w:r>
      <w:r w:rsidRPr="00E61862">
        <w:rPr>
          <w:rStyle w:val="StyleUnderline"/>
        </w:rPr>
        <w:t>onto pedagogy</w:t>
      </w:r>
      <w:r w:rsidRPr="00801856">
        <w:rPr>
          <w:sz w:val="16"/>
        </w:rPr>
        <w:t xml:space="preserve">, nor the application of pedagogy (as a new method) for the dissemination of queer theory/knowledge . . . </w:t>
      </w:r>
      <w:r w:rsidRPr="00E61862">
        <w:rPr>
          <w:rStyle w:val="StyleUnderline"/>
        </w:rPr>
        <w:t>A queer pedagogy aims at the infinite proliferation of new identifications</w:t>
      </w:r>
      <w:r w:rsidRPr="00E61862">
        <w:rPr>
          <w:rStyle w:val="Emphasis"/>
        </w:rPr>
        <w:t>. A queer pedagogy suggests that, rather than finding the self in knowledge and representations, learning is about the process of risking the self.</w:t>
      </w:r>
      <w:r w:rsidRPr="00801856">
        <w:rPr>
          <w:sz w:val="16"/>
        </w:rPr>
        <w:t xml:space="preserve"> (1998, 151) For sex education, the notion of risking the self is a more ‘real’ issue than when it comes to almost any other subject. Not learning one’s lessons in history might lead one to fail a test or appear uninformed, but not learning one’s lesson in sex education can mean the difference between ‘life’ and ‘death’ or ‘healthy’ and ‘diseased’. Determinations of what counts as ‘life’ and ‘healthy’, however, are made by those who have the ability to do so, making those who fall outside those norms become ‘queer’. Those who fail to live in normal ways are not incapable of living life, but contest the normative order. </w:t>
      </w:r>
      <w:r w:rsidRPr="00E61862">
        <w:rPr>
          <w:rStyle w:val="StyleUnderline"/>
        </w:rPr>
        <w:t>‘Queer suggests’, as Morris wrote, ‘a self-naming that stands outside the dominant cultural codes; queer opposes sex-policing, gender-policing, heteronormativity, and assimilationist politics’</w:t>
      </w:r>
      <w:r w:rsidRPr="00801856">
        <w:rPr>
          <w:sz w:val="16"/>
        </w:rPr>
        <w:t xml:space="preserve"> (1998, 276). </w:t>
      </w:r>
      <w:r w:rsidRPr="00E61862">
        <w:rPr>
          <w:rStyle w:val="Emphasis"/>
        </w:rPr>
        <w:t>Barebackers offer an extreme position and an extreme lesson contesting the normalising tendencies of sex education</w:t>
      </w:r>
      <w:r w:rsidRPr="00801856">
        <w:rPr>
          <w:sz w:val="16"/>
        </w:rPr>
        <w:t xml:space="preserve"> – </w:t>
      </w:r>
      <w:r w:rsidRPr="00E61862">
        <w:rPr>
          <w:rStyle w:val="StyleUnderline"/>
        </w:rPr>
        <w:t>particularly because of its emphasis on medical and scientific discourses</w:t>
      </w:r>
      <w:r w:rsidRPr="00801856">
        <w:rPr>
          <w:sz w:val="16"/>
        </w:rPr>
        <w:t xml:space="preserve">. In opposing the fashioning practices of sex education, </w:t>
      </w:r>
      <w:r w:rsidRPr="00E61862">
        <w:rPr>
          <w:rStyle w:val="StyleUnderline"/>
        </w:rPr>
        <w:t>barebackers illuminate alternative lifestyles that challenge the ever-present process of normalisation. They illuminate the ethical challenges of sex education by eschewing ‘knowledge’ in favour of engaging relations as Dean illustrated.</w:t>
      </w:r>
      <w:r w:rsidRPr="00801856">
        <w:rPr>
          <w:sz w:val="16"/>
        </w:rPr>
        <w:t xml:space="preserve"> While knowledge about sex is ubiquitous from sex manuals, classes and pornography, </w:t>
      </w:r>
      <w:r w:rsidRPr="00E61862">
        <w:rPr>
          <w:rStyle w:val="StyleUnderline"/>
        </w:rPr>
        <w:t>the challenge of sex continues to be about how to relate to the self and other.</w:t>
      </w:r>
      <w:r w:rsidRPr="00801856">
        <w:rPr>
          <w:sz w:val="16"/>
        </w:rPr>
        <w:t xml:space="preserve"> Sex, like education, as Bingham wrote, ‘is primarily about beings who meet’ (2011, 517).</w:t>
      </w:r>
    </w:p>
    <w:p w:rsidR="00F567B5" w:rsidRDefault="00F567B5" w:rsidP="00F567B5">
      <w:pPr>
        <w:pStyle w:val="Heading3"/>
      </w:pPr>
      <w:bookmarkStart w:id="67" w:name="_Toc489138957"/>
      <w:r>
        <w:lastRenderedPageBreak/>
        <w:t>Alt: Bareback Pedagogy—Queer Thrival</w:t>
      </w:r>
      <w:bookmarkEnd w:id="67"/>
    </w:p>
    <w:p w:rsidR="00F567B5" w:rsidRDefault="00F567B5" w:rsidP="00F567B5">
      <w:pPr>
        <w:rPr>
          <w:rStyle w:val="Style13ptBold"/>
          <w:b w:val="0"/>
        </w:rPr>
      </w:pPr>
    </w:p>
    <w:p w:rsidR="00F567B5" w:rsidRPr="00D6490A" w:rsidRDefault="00F567B5" w:rsidP="00F567B5">
      <w:pPr>
        <w:pStyle w:val="Heading4"/>
        <w:rPr>
          <w:rStyle w:val="Style13ptBold"/>
          <w:b/>
        </w:rPr>
      </w:pPr>
      <w:r>
        <w:rPr>
          <w:rStyle w:val="Style13ptBold"/>
          <w:b/>
        </w:rPr>
        <w:t xml:space="preserve">Queer thrival opens a space for exploring life amongst the pathological and establishes new models of community. </w:t>
      </w:r>
    </w:p>
    <w:p w:rsidR="00F567B5" w:rsidRPr="00D6490A" w:rsidRDefault="00F567B5" w:rsidP="00F567B5">
      <w:pPr>
        <w:rPr>
          <w:rStyle w:val="Style13ptBold"/>
          <w:b w:val="0"/>
          <w:i/>
        </w:rPr>
      </w:pPr>
      <w:r>
        <w:rPr>
          <w:rStyle w:val="Style13ptBold"/>
        </w:rPr>
        <w:t xml:space="preserve">Greteman 16 </w:t>
      </w:r>
      <w:r w:rsidRPr="00D6490A">
        <w:rPr>
          <w:rStyle w:val="Style13ptBold"/>
          <w:b w:val="0"/>
          <w:sz w:val="16"/>
          <w:szCs w:val="16"/>
        </w:rPr>
        <w:t xml:space="preserve">[Adam J. Adjunct Assistant Professor Art Education at School of the Art Institute of Chicago. “Queer Thrival.” </w:t>
      </w:r>
      <w:r w:rsidRPr="00D6490A">
        <w:rPr>
          <w:sz w:val="16"/>
          <w:szCs w:val="16"/>
        </w:rPr>
        <w:t>Critical Concepts in Queer Studies and Education, Ed. N.M. Rodriguez et al. DOI 10.1057/978-1-137-55425-3_30. SH]</w:t>
      </w:r>
    </w:p>
    <w:p w:rsidR="00F567B5" w:rsidRPr="00D6490A" w:rsidRDefault="00F567B5" w:rsidP="00F567B5">
      <w:pPr>
        <w:rPr>
          <w:sz w:val="16"/>
        </w:rPr>
      </w:pPr>
      <w:r w:rsidRPr="00D6490A">
        <w:rPr>
          <w:rStyle w:val="StyleUnderline"/>
        </w:rPr>
        <w:t>The work of survival done by and with queer theory has,</w:t>
      </w:r>
      <w:r w:rsidRPr="00D6490A">
        <w:rPr>
          <w:sz w:val="16"/>
        </w:rPr>
        <w:t xml:space="preserve"> in many ways, </w:t>
      </w:r>
      <w:r w:rsidRPr="00D6490A">
        <w:rPr>
          <w:rStyle w:val="StyleUnderline"/>
        </w:rPr>
        <w:t>had some success.</w:t>
      </w:r>
      <w:r w:rsidRPr="00D6490A">
        <w:rPr>
          <w:sz w:val="16"/>
        </w:rPr>
        <w:t xml:space="preserve"> Gay kids in schools are more recognized, have more protections against bullying and discrimination, and have created a movement for Gay-Straight Alliances (GSAs). There is recognition that gay and lesbian subjects deserve to survive. Lisa Duggan’s (2004) concept “homonormativity” coined over a decade ago illustrates the success that some have had at surviving; surviving through assimilation. I am not sure we can totally fault such a strategy, although we might not see such a strategy as very queer. </w:t>
      </w:r>
      <w:r w:rsidRPr="00D6490A">
        <w:rPr>
          <w:rStyle w:val="StyleUnderline"/>
        </w:rPr>
        <w:t>We must</w:t>
      </w:r>
      <w:r w:rsidRPr="00D6490A">
        <w:rPr>
          <w:sz w:val="16"/>
        </w:rPr>
        <w:t xml:space="preserve">, as Mayo taught us, </w:t>
      </w:r>
      <w:r w:rsidRPr="00D6490A">
        <w:rPr>
          <w:rStyle w:val="StyleUnderline"/>
        </w:rPr>
        <w:t>recognize the process of becoming recognized or dominant while also remembering to continue our search for those left behind, unnoticed, unrecognized</w:t>
      </w:r>
      <w:r w:rsidRPr="00D6490A">
        <w:rPr>
          <w:sz w:val="16"/>
        </w:rPr>
        <w:t xml:space="preserve">. This, Mayo (2014) suggested, “requires </w:t>
      </w:r>
      <w:r w:rsidRPr="00D6490A">
        <w:rPr>
          <w:rStyle w:val="StyleUnderline"/>
        </w:rPr>
        <w:t>taking on new kinds of curiosities and being aware of the sorts of ignorances that have structured schools’ relation to reproducing ‘normal’ unquestioningly</w:t>
      </w:r>
      <w:r w:rsidRPr="00D6490A">
        <w:rPr>
          <w:sz w:val="16"/>
        </w:rPr>
        <w:t xml:space="preserve">” (p. 74). </w:t>
      </w:r>
      <w:r w:rsidRPr="00D6490A">
        <w:rPr>
          <w:rStyle w:val="StyleUnderline"/>
        </w:rPr>
        <w:t>Can education utilize and become curious about lessons from queer subcultures—such as the Leather community or barebackers—that offer models of queer thrival within and because of sexual pleasures</w:t>
      </w:r>
      <w:r w:rsidRPr="00D6490A">
        <w:rPr>
          <w:sz w:val="16"/>
        </w:rPr>
        <w:t xml:space="preserve">? Can queers educate youth on ways of living, being, and relating that embrace any number of “dissing” actions (e.g., dissent, disobedience, disidentification) to thrive recognizing that there is no prescription for this form of “wellness” (Greteman 2014; Muñoz 1999, 2009)? Such questions are central to my work within queer educational research. In my work I seek to explore both how </w:t>
      </w:r>
      <w:r w:rsidRPr="00D6490A">
        <w:rPr>
          <w:rStyle w:val="StyleUnderline"/>
        </w:rPr>
        <w:t>queer subcultures offer educational opportunities to make schools survivable for GLBTQ students but also queer practices that assist in cultivating queer thrival beyond the hetero- and homonormative</w:t>
      </w:r>
      <w:r w:rsidRPr="00D6490A">
        <w:rPr>
          <w:sz w:val="16"/>
        </w:rPr>
        <w:t xml:space="preserve">. Joining the trend in the late 2000s to engage the emerging discussions on barebacking and its practitioners, I sought to “fashion </w:t>
      </w:r>
      <w:r w:rsidRPr="00D6490A">
        <w:rPr>
          <w:rStyle w:val="StyleUnderline"/>
        </w:rPr>
        <w:t>a bareback pedagogy” in the contested terrain of sex education</w:t>
      </w:r>
      <w:r w:rsidRPr="00D6490A">
        <w:rPr>
          <w:sz w:val="16"/>
        </w:rPr>
        <w:t xml:space="preserve"> (Greteman 2013a). “The figure of the barebacker,” I argued, “while a contested ‘empirical reality’ … operates as a figure—represented in discourse to discipline and regulate what counts as normal gay sex” (p. 3). The barebacker might, at first look, have no place in sex education; however, I argued the barebacker is central to it </w:t>
      </w:r>
      <w:r w:rsidRPr="00D6490A">
        <w:rPr>
          <w:rStyle w:val="StyleUnderline"/>
        </w:rPr>
        <w:t>because “barebackers, by inhabiting the outside of sex and sex education, are made ‘other’ by dominant discourses that emerge post-HIV that have classified particular practices (risky vs. safe) and models of intimacy (healthy vs. unhealthy)”</w:t>
      </w:r>
      <w:r w:rsidRPr="00D6490A">
        <w:rPr>
          <w:sz w:val="16"/>
        </w:rPr>
        <w:t xml:space="preserve"> (p. 2). In engaging the figure of the barebacker, I sought less to promote such practices but </w:t>
      </w:r>
      <w:r w:rsidRPr="00D6490A">
        <w:rPr>
          <w:rStyle w:val="StyleUnderline"/>
        </w:rPr>
        <w:t>to explore the ways a particular population considered “queer” for their sexual practices both teaches us, but also is able to thrive amid the homophobic and normative discourses that often position such practices as pathological. In the face of risk, barebackers open up opportunities to encounter queer thrival by asking how the definition of wellness developed in the face of the AIDS crisis comes into conflict with queer practices that seek to stand outside the social norms established by science, medicine, and politics</w:t>
      </w:r>
      <w:r w:rsidRPr="00D6490A">
        <w:rPr>
          <w:sz w:val="16"/>
        </w:rPr>
        <w:t xml:space="preserve">. And </w:t>
      </w:r>
      <w:r w:rsidRPr="00D6490A">
        <w:rPr>
          <w:rStyle w:val="StyleUnderline"/>
        </w:rPr>
        <w:t>while queers have been and still are considered pathological in some ways in some places, there is a history of their thrival</w:t>
      </w:r>
      <w:r w:rsidRPr="00D6490A">
        <w:rPr>
          <w:sz w:val="16"/>
        </w:rPr>
        <w:t xml:space="preserve">. It is this history that interested me in “Lessons from the Leather Archives and Museum: On the Promises of Bondage, Domination, Sadism, Masochism (BDSM)” (Greteman 2013b). What happens, I explored in this article, when art education students are taken to The Leather Archives and Museum (LA&amp;M) to encounter the archives and art of the Leather, Fetish, and Bondage, Domination, Sadism, Masochism communities? While teacher education and education scholarship has and continues to expound on the state of lesbian, gay, bisexual, transgender, and queer (LGBTQ) students, such work has often, until recently, focused on the victim narrative—a narrative both Rofes (2005) and Marshall (2010) have challenged. My work with students at LA&amp;M sought to instead focus on the material realities of sexual subcultures that contest normative ideas and practices. What does the art of this complicated community teach us about queerness? And how does the potential discomfort of being in the midst of explicitly sexual art work and history assist students in moving beyond an abstract understanding of queerness to a concrete view of the complexity, the projects, and the lessons of queer practices that are outside the norm? As I wrote then: </w:t>
      </w:r>
      <w:r w:rsidRPr="00D6490A">
        <w:rPr>
          <w:rStyle w:val="StyleUnderline"/>
        </w:rPr>
        <w:t>the hope is that such lessons created the opportunities that allowed for an encounter with strange ideas, images, languages, and ways of relating that might reframe education and the practices of teachers ever so slightly to allow not only for queer educational scholarship to be occupied by survival, but also become preoccupied with the thrival of queerness</w:t>
      </w:r>
      <w:r w:rsidRPr="00D6490A">
        <w:rPr>
          <w:sz w:val="16"/>
        </w:rPr>
        <w:t>. (p. 264)</w:t>
      </w:r>
    </w:p>
    <w:p w:rsidR="00F567B5" w:rsidRPr="00882FC6" w:rsidRDefault="00F567B5" w:rsidP="00F567B5"/>
    <w:p w:rsidR="0062164B" w:rsidRDefault="00DE5E47" w:rsidP="00DE5E47">
      <w:pPr>
        <w:pStyle w:val="Heading1"/>
      </w:pPr>
      <w:bookmarkStart w:id="68" w:name="_Toc489138958"/>
      <w:r>
        <w:lastRenderedPageBreak/>
        <w:t>Queer Failure</w:t>
      </w:r>
      <w:bookmarkEnd w:id="68"/>
    </w:p>
    <w:p w:rsidR="0062164B" w:rsidRDefault="0062164B" w:rsidP="0062164B">
      <w:pPr>
        <w:pStyle w:val="Heading3"/>
      </w:pPr>
      <w:bookmarkStart w:id="69" w:name="_Toc489138959"/>
      <w:r>
        <w:lastRenderedPageBreak/>
        <w:t>Notes for deployment/organization:</w:t>
      </w:r>
      <w:bookmarkEnd w:id="69"/>
    </w:p>
    <w:p w:rsidR="0062164B" w:rsidRDefault="0062164B" w:rsidP="0062164B">
      <w:r>
        <w:t>The first couple of generic links can go with any set of failure alts—Halberstam or otherwise.</w:t>
      </w:r>
    </w:p>
    <w:p w:rsidR="0062164B" w:rsidRDefault="0062164B" w:rsidP="0062164B"/>
    <w:p w:rsidR="0062164B" w:rsidRDefault="0062164B" w:rsidP="0062164B">
      <w:r>
        <w:t>Against K affs—the Boring Politics/Silly Theory stuff should go with the g</w:t>
      </w:r>
      <w:r w:rsidR="00622942">
        <w:t>eneral halberstam failure stuff. The activism link can also fal in this area</w:t>
      </w:r>
    </w:p>
    <w:p w:rsidR="00622942" w:rsidRPr="0062164B" w:rsidRDefault="00622942" w:rsidP="0062164B">
      <w:r>
        <w:t xml:space="preserve">The subversion and fun links should be paired with the shadow feminism/darkness/no fun alternatives since they prioritize a different and potentially contradictory affect than the boring/silly politics stuff </w:t>
      </w:r>
    </w:p>
    <w:p w:rsidR="0062164B" w:rsidRDefault="0062164B" w:rsidP="0062164B">
      <w:pPr>
        <w:pStyle w:val="Heading3"/>
      </w:pPr>
      <w:bookmarkStart w:id="70" w:name="_Toc489138960"/>
      <w:r w:rsidRPr="00B00483">
        <w:lastRenderedPageBreak/>
        <w:t>Link</w:t>
      </w:r>
      <w:r w:rsidR="000D3F1C">
        <w:t xml:space="preserve">: </w:t>
      </w:r>
      <w:r w:rsidRPr="00B00483">
        <w:t>Education</w:t>
      </w:r>
      <w:r>
        <w:t>—Failure</w:t>
      </w:r>
      <w:bookmarkEnd w:id="70"/>
      <w:r>
        <w:t xml:space="preserve"> </w:t>
      </w:r>
    </w:p>
    <w:p w:rsidR="0062164B" w:rsidRPr="00B00483" w:rsidRDefault="0062164B" w:rsidP="0062164B">
      <w:pPr>
        <w:pStyle w:val="Heading4"/>
      </w:pPr>
      <w:r>
        <w:t xml:space="preserve">Schooling is premised on a culture of hope that constantly aims to ward off failure or render it productive.  </w:t>
      </w:r>
    </w:p>
    <w:p w:rsidR="0062164B" w:rsidRPr="001E0F77" w:rsidRDefault="0062164B" w:rsidP="0062164B">
      <w:pPr>
        <w:rPr>
          <w:rStyle w:val="Style13ptBold"/>
          <w:b w:val="0"/>
        </w:rPr>
      </w:pPr>
      <w:r>
        <w:rPr>
          <w:rStyle w:val="Style13ptBold"/>
        </w:rPr>
        <w:t xml:space="preserve">O’Gorman and Werry 12 </w:t>
      </w:r>
      <w:r w:rsidRPr="001E0F77">
        <w:rPr>
          <w:rStyle w:val="Style13ptBold"/>
          <w:b w:val="0"/>
          <w:sz w:val="16"/>
          <w:szCs w:val="16"/>
        </w:rPr>
        <w:t>[Róisín O'Gorman &amp; Margaret Werry. Róisín O’Gorman is a lecturer in Drama &amp; Theatre Studies at University College Cork. Margaret Werry is Associate Professor in the Theatre Department at the University of Minnesota. “On Failure (On Pedagogy): Editorial Introduction.” Editorial Introduction, Performance Research, 17:1, 1-8, DOI: 10.1080/13528165.2012.651857. SH]</w:t>
      </w:r>
    </w:p>
    <w:p w:rsidR="0062164B" w:rsidRPr="0024680F" w:rsidRDefault="0062164B" w:rsidP="0062164B">
      <w:pPr>
        <w:rPr>
          <w:sz w:val="16"/>
        </w:rPr>
      </w:pPr>
      <w:r w:rsidRPr="0024680F">
        <w:rPr>
          <w:rStyle w:val="StyleUnderline"/>
        </w:rPr>
        <w:t>This failure-driven reimagination,</w:t>
      </w:r>
      <w:r w:rsidRPr="0024680F">
        <w:rPr>
          <w:sz w:val="16"/>
        </w:rPr>
        <w:t xml:space="preserve"> however, </w:t>
      </w:r>
      <w:r w:rsidRPr="0024680F">
        <w:rPr>
          <w:rStyle w:val="StyleUnderline"/>
        </w:rPr>
        <w:t>is taking place within an institutional and political climate ever more hostile to failure’s promise</w:t>
      </w:r>
      <w:r w:rsidRPr="0024680F">
        <w:rPr>
          <w:sz w:val="16"/>
        </w:rPr>
        <w:t xml:space="preserve">. We cannot afford to forget – although we often conveniently do – how mutually dependent are the rarified worlds of experimental performance and the massive apparatus of academe, with its work of publishing, teaching, producing audiences and artists, circulating and valorizing artists and their work. How might performance’s evolving understanding and practice of failure intervene in this scene, with which most of us – artists and scholars alike – are entangled? Progressive hopes and developmental narratives cluster around pedagogy, and </w:t>
      </w:r>
      <w:r w:rsidRPr="0024680F">
        <w:rPr>
          <w:rStyle w:val="StyleUnderline"/>
        </w:rPr>
        <w:t>the recuperative drive associated with failure is powerfully concentrated here. (Failure is OK only if we learn from it, only if it leads us to ultimate success). Higher education is animated by its idealization of success and hope</w:t>
      </w:r>
      <w:r w:rsidRPr="0024680F">
        <w:rPr>
          <w:sz w:val="16"/>
        </w:rPr>
        <w:t xml:space="preserve">: this much is well-established.2 </w:t>
      </w:r>
      <w:r w:rsidRPr="0024680F">
        <w:rPr>
          <w:rStyle w:val="Emphasis"/>
        </w:rPr>
        <w:t>Schooling of all kinds rests on successful performances of authority</w:t>
      </w:r>
      <w:r w:rsidRPr="0024680F">
        <w:rPr>
          <w:rStyle w:val="StyleUnderline"/>
        </w:rPr>
        <w:t xml:space="preserve"> that are also performances of sanctioned, normative knowledge, and that form the ticket of admission (for teachers and students alike) to the ranks of power and privilege, </w:t>
      </w:r>
      <w:r w:rsidRPr="0024680F">
        <w:rPr>
          <w:rStyle w:val="Emphasis"/>
        </w:rPr>
        <w:t>hardening the lines of inclusion and exclusion in the process</w:t>
      </w:r>
      <w:r w:rsidRPr="0024680F">
        <w:rPr>
          <w:sz w:val="16"/>
        </w:rPr>
        <w:t xml:space="preserve">. Here, </w:t>
      </w:r>
      <w:r w:rsidRPr="0024680F">
        <w:rPr>
          <w:rStyle w:val="Emphasis"/>
        </w:rPr>
        <w:t>failure is an instrument of structural violence</w:t>
      </w:r>
      <w:r w:rsidRPr="0024680F">
        <w:rPr>
          <w:sz w:val="16"/>
        </w:rPr>
        <w:t xml:space="preserve"> </w:t>
      </w:r>
      <w:r w:rsidRPr="0024680F">
        <w:rPr>
          <w:rStyle w:val="StyleUnderline"/>
        </w:rPr>
        <w:t>– to make successes of students, schools must winnow out the failures</w:t>
      </w:r>
      <w:r w:rsidRPr="0024680F">
        <w:rPr>
          <w:sz w:val="16"/>
        </w:rPr>
        <w:t xml:space="preserve">; a dilemma for performance instructors for whom failure is critical to creative experimentation. </w:t>
      </w:r>
      <w:r w:rsidRPr="0024680F">
        <w:rPr>
          <w:rStyle w:val="Emphasis"/>
        </w:rPr>
        <w:t>Schooling</w:t>
      </w:r>
      <w:r w:rsidRPr="0024680F">
        <w:rPr>
          <w:sz w:val="16"/>
        </w:rPr>
        <w:t xml:space="preserve">, furthermore, </w:t>
      </w:r>
      <w:r w:rsidRPr="0024680F">
        <w:rPr>
          <w:rStyle w:val="Emphasis"/>
        </w:rPr>
        <w:t>suffers from a surfeit of hope.</w:t>
      </w:r>
      <w:r w:rsidRPr="0024680F">
        <w:rPr>
          <w:sz w:val="16"/>
        </w:rPr>
        <w:t xml:space="preserve"> </w:t>
      </w:r>
      <w:r w:rsidRPr="0024680F">
        <w:rPr>
          <w:rStyle w:val="StyleUnderline"/>
        </w:rPr>
        <w:t>Education has historically been the site for ameliorative social projects</w:t>
      </w:r>
      <w:r w:rsidRPr="0024680F">
        <w:rPr>
          <w:sz w:val="16"/>
        </w:rPr>
        <w:t xml:space="preserve"> (</w:t>
      </w:r>
      <w:r w:rsidRPr="0024680F">
        <w:rPr>
          <w:rStyle w:val="StyleUnderline"/>
        </w:rPr>
        <w:t>often</w:t>
      </w:r>
      <w:r w:rsidRPr="0024680F">
        <w:rPr>
          <w:sz w:val="16"/>
        </w:rPr>
        <w:t xml:space="preserve"> ones </w:t>
      </w:r>
      <w:r w:rsidRPr="0024680F">
        <w:rPr>
          <w:rStyle w:val="StyleUnderline"/>
        </w:rPr>
        <w:t>compensating for failures elsewhere in our systems), from combating racism, to revitalizing industry or growing the middle class by rescuing students from the ignominy of social and economic failure</w:t>
      </w:r>
      <w:r w:rsidRPr="0024680F">
        <w:rPr>
          <w:sz w:val="16"/>
        </w:rPr>
        <w:t xml:space="preserve">. </w:t>
      </w:r>
      <w:r w:rsidRPr="0024680F">
        <w:rPr>
          <w:rStyle w:val="StyleUnderline"/>
        </w:rPr>
        <w:t>Yet in pedagogy, as in performance, failure is endemic – they are, after all, both live arts, premised on co-presence. Efforts misfire. Opportunities are missed. Communication goes awry. Ignorance is exposed, change resisted, desire thwarted</w:t>
      </w:r>
      <w:r w:rsidRPr="0024680F">
        <w:rPr>
          <w:sz w:val="16"/>
        </w:rPr>
        <w:t xml:space="preserve">. </w:t>
      </w:r>
      <w:r w:rsidRPr="0024680F">
        <w:rPr>
          <w:rStyle w:val="StyleUnderline"/>
        </w:rPr>
        <w:t>What has upped the stakes in this absurd drama is the cultural dominance of hope and success in a neoliberal age</w:t>
      </w:r>
      <w:r w:rsidRPr="0024680F">
        <w:rPr>
          <w:sz w:val="16"/>
        </w:rPr>
        <w:t xml:space="preserve">, now the mandate, measure and mantra of the corporatizing university. We live in the depressive ruins of the university, an entity </w:t>
      </w:r>
      <w:r w:rsidRPr="0024680F">
        <w:rPr>
          <w:rStyle w:val="StyleUnderline"/>
        </w:rPr>
        <w:t>dedicated to the rabid pursuit of illusory success when any substantive mission that might give that success substance has long since been mortgaged to market values</w:t>
      </w:r>
      <w:r w:rsidRPr="0024680F">
        <w:rPr>
          <w:sz w:val="16"/>
        </w:rPr>
        <w:t xml:space="preserve"> (see Readings 1996 and Werry and O’Gorman 2009). </w:t>
      </w:r>
      <w:r w:rsidRPr="0024680F">
        <w:rPr>
          <w:rStyle w:val="StyleUnderline"/>
        </w:rPr>
        <w:t>The fetishization of excellence and outcomes, the prevalence of ‘audit culture’</w:t>
      </w:r>
      <w:r w:rsidRPr="0024680F">
        <w:rPr>
          <w:sz w:val="16"/>
        </w:rPr>
        <w:t xml:space="preserve"> (Strathern 2000) </w:t>
      </w:r>
      <w:r w:rsidRPr="0024680F">
        <w:rPr>
          <w:rStyle w:val="StyleUnderline"/>
        </w:rPr>
        <w:t>and prevailing instrumentalism and vocationalism, all institutionalize, codify and restigmatize failure.</w:t>
      </w:r>
      <w:r w:rsidRPr="0024680F">
        <w:rPr>
          <w:sz w:val="16"/>
        </w:rPr>
        <w:t xml:space="preserve"> Now </w:t>
      </w:r>
      <w:r w:rsidRPr="0024680F">
        <w:rPr>
          <w:rStyle w:val="StyleUnderline"/>
        </w:rPr>
        <w:t>the encompassing regime of the test eclipses all other ways of understanding and valuing schooling: through standardized testing, student evaluations and bureaucratic measures of school ‘performance’, the threat of failure is the defining condition under which we (not just students but also teachers and institutions) operate</w:t>
      </w:r>
      <w:r w:rsidRPr="0024680F">
        <w:rPr>
          <w:sz w:val="16"/>
        </w:rPr>
        <w:t>. In these contexts, accidental failure is perilous, and the strategic, emancipatory or experimental use of failure – however much it is still necessary – is freighted with risk, danger and difficulty. The right to fail (with all its promise of inclusiveness, generosity, freedom) can only be claimed at an ever-mounting cost.</w:t>
      </w:r>
    </w:p>
    <w:p w:rsidR="0062164B" w:rsidRDefault="000D3F1C" w:rsidP="0062164B">
      <w:pPr>
        <w:pStyle w:val="Heading3"/>
      </w:pPr>
      <w:bookmarkStart w:id="71" w:name="_Toc489138961"/>
      <w:r>
        <w:lastRenderedPageBreak/>
        <w:t xml:space="preserve">Link: </w:t>
      </w:r>
      <w:r w:rsidR="0062164B">
        <w:t>Crisis Management</w:t>
      </w:r>
      <w:bookmarkEnd w:id="71"/>
      <w:r w:rsidR="0062164B">
        <w:t xml:space="preserve"> </w:t>
      </w:r>
    </w:p>
    <w:p w:rsidR="0062164B" w:rsidRDefault="0062164B" w:rsidP="0062164B">
      <w:pPr>
        <w:pStyle w:val="Heading4"/>
        <w:rPr>
          <w:rStyle w:val="Style13ptBold"/>
          <w:b/>
        </w:rPr>
      </w:pPr>
      <w:r>
        <w:rPr>
          <w:rStyle w:val="Style13ptBold"/>
          <w:b/>
        </w:rPr>
        <w:t xml:space="preserve">Success is the crisis—social order is cohered by the production of crises that reinvests subjects in finding new solutions. This normalizes the everyday violence of social order while restricting the terrain of political possibility.  </w:t>
      </w:r>
    </w:p>
    <w:p w:rsidR="0062164B" w:rsidRPr="00043EB8" w:rsidRDefault="0062164B" w:rsidP="0062164B">
      <w:pPr>
        <w:rPr>
          <w:rStyle w:val="Style13ptBold"/>
          <w:b w:val="0"/>
        </w:rPr>
      </w:pPr>
      <w:r>
        <w:rPr>
          <w:rStyle w:val="Style13ptBold"/>
        </w:rPr>
        <w:t>Vaid-Menon 2013</w:t>
      </w:r>
      <w:r w:rsidRPr="00043EB8">
        <w:rPr>
          <w:rStyle w:val="Style13ptBold"/>
          <w:sz w:val="16"/>
          <w:szCs w:val="16"/>
        </w:rPr>
        <w:t xml:space="preserve"> </w:t>
      </w:r>
      <w:r>
        <w:rPr>
          <w:rStyle w:val="Style13ptBold"/>
          <w:b w:val="0"/>
          <w:sz w:val="16"/>
          <w:szCs w:val="16"/>
        </w:rPr>
        <w:t xml:space="preserve">[Alok. 12/20/2013. </w:t>
      </w:r>
      <w:r w:rsidRPr="00043EB8">
        <w:rPr>
          <w:rStyle w:val="Style13ptBold"/>
          <w:b w:val="0"/>
          <w:sz w:val="16"/>
          <w:szCs w:val="16"/>
        </w:rPr>
        <w:t xml:space="preserve">ALOK VAID-MENON is a transfeminine south  asian  writer,  performance artist, and community  organizer  based in NYC. for the past six years they  have organized  in solidarity with racial,  economic,  and gender justice  movements across the world. Their creative and  political work  grapples  with questions of power,  trauma, diaspora, race, and  desire.  Alok currently works with The Audre Lorde  Project  and is on tour with DarkMatter, a trans South Asian  art collaboration with Janani Balasubramanian. “We Are Nothing (And That is Beautiful)”. Talk given at TedxMiddlebury. </w:t>
      </w:r>
      <w:r>
        <w:rPr>
          <w:rStyle w:val="Style13ptBold"/>
          <w:b w:val="0"/>
          <w:i/>
          <w:sz w:val="16"/>
          <w:szCs w:val="16"/>
        </w:rPr>
        <w:t xml:space="preserve">Return the Gayze. </w:t>
      </w:r>
      <w:hyperlink r:id="rId19" w:history="1">
        <w:r w:rsidRPr="00043EB8">
          <w:rPr>
            <w:rStyle w:val="Hyperlink"/>
            <w:sz w:val="16"/>
            <w:szCs w:val="16"/>
          </w:rPr>
          <w:t>http://returnthegayze.com/2013/12/20/we-are-nothing-and-that-is-beautiful-full-text/</w:t>
        </w:r>
      </w:hyperlink>
      <w:r w:rsidRPr="00043EB8">
        <w:rPr>
          <w:rStyle w:val="Style13ptBold"/>
          <w:b w:val="0"/>
          <w:sz w:val="16"/>
          <w:szCs w:val="16"/>
        </w:rPr>
        <w:t>. SH]</w:t>
      </w:r>
    </w:p>
    <w:p w:rsidR="0062164B" w:rsidRPr="00043EB8" w:rsidRDefault="0062164B" w:rsidP="0062164B">
      <w:pPr>
        <w:rPr>
          <w:sz w:val="16"/>
        </w:rPr>
      </w:pPr>
      <w:r w:rsidRPr="00043EB8">
        <w:rPr>
          <w:sz w:val="16"/>
        </w:rPr>
        <w:t xml:space="preserve">In the spirit of full disclosure I am here to recruit you. This is not a recruitment interview like the ones your career centers have prepared you for. This is not about your resume and job skills. I do not care where you went to school nor what you majored in. These things are no longer relevant in a world where </w:t>
      </w:r>
      <w:r w:rsidRPr="008B7620">
        <w:rPr>
          <w:rStyle w:val="StyleUnderline"/>
        </w:rPr>
        <w:t xml:space="preserve">we are losing </w:t>
      </w:r>
      <w:r w:rsidRPr="00DA1B60">
        <w:rPr>
          <w:rStyle w:val="StyleUnderline"/>
        </w:rPr>
        <w:t xml:space="preserve">some of our most creative minds </w:t>
      </w:r>
      <w:r w:rsidRPr="008B7620">
        <w:rPr>
          <w:rStyle w:val="StyleUnderline"/>
        </w:rPr>
        <w:t xml:space="preserve">to the epidemic of success. </w:t>
      </w:r>
      <w:r w:rsidRPr="00DA1B60">
        <w:rPr>
          <w:rStyle w:val="StyleUnderline"/>
        </w:rPr>
        <w:t>This is not the crisis they tell you about on the news: that the economy is tanking, the world is at war. This is something different. This is a crisis of succe</w:t>
      </w:r>
      <w:r w:rsidRPr="00043EB8">
        <w:rPr>
          <w:rStyle w:val="StyleUnderline"/>
        </w:rPr>
        <w:t xml:space="preserve">ss. </w:t>
      </w:r>
      <w:r w:rsidRPr="008B7620">
        <w:rPr>
          <w:rStyle w:val="StyleUnderline"/>
        </w:rPr>
        <w:t>Too many things are working too well. The government</w:t>
      </w:r>
      <w:r w:rsidRPr="00043EB8">
        <w:rPr>
          <w:rStyle w:val="StyleUnderline"/>
        </w:rPr>
        <w:t xml:space="preserve"> isn’t broken; it </w:t>
      </w:r>
      <w:r w:rsidRPr="008B7620">
        <w:rPr>
          <w:rStyle w:val="StyleUnderline"/>
        </w:rPr>
        <w:t>is thriving</w:t>
      </w:r>
      <w:r w:rsidRPr="00043EB8">
        <w:rPr>
          <w:rStyle w:val="StyleUnderline"/>
        </w:rPr>
        <w:t xml:space="preserve">. </w:t>
      </w:r>
      <w:r w:rsidRPr="00DA1B60">
        <w:rPr>
          <w:rStyle w:val="StyleUnderline"/>
        </w:rPr>
        <w:t xml:space="preserve">The universities are not broken; they are perfect. </w:t>
      </w:r>
      <w:r w:rsidRPr="008B7620">
        <w:rPr>
          <w:rStyle w:val="StyleUnderline"/>
        </w:rPr>
        <w:t>Our generation is</w:t>
      </w:r>
      <w:r w:rsidRPr="00043EB8">
        <w:rPr>
          <w:rStyle w:val="StyleUnderline"/>
        </w:rPr>
        <w:t xml:space="preserve"> not apathetic; it is </w:t>
      </w:r>
      <w:r w:rsidRPr="008B7620">
        <w:rPr>
          <w:rStyle w:val="StyleUnderline"/>
        </w:rPr>
        <w:t>flourishing</w:t>
      </w:r>
      <w:r w:rsidRPr="00043EB8">
        <w:rPr>
          <w:rStyle w:val="StyleUnderline"/>
        </w:rPr>
        <w:t xml:space="preserve">. This means that you are not actually a leader, an innovator, an exceptional student, and all of the other medals they have placed around your neck. These are merely accomplishments that you have been taught define your worth. </w:t>
      </w:r>
      <w:r w:rsidRPr="008B7620">
        <w:rPr>
          <w:rStyle w:val="StyleUnderline"/>
        </w:rPr>
        <w:t>Should you desire to be successful you will not actually bring human rights for all, eliminate poverty, end nuclear war, or fix Congress.</w:t>
      </w:r>
      <w:r w:rsidRPr="00043EB8">
        <w:rPr>
          <w:rStyle w:val="StyleUnderline"/>
        </w:rPr>
        <w:t xml:space="preserve"> If you go in with this mindset chances are </w:t>
      </w:r>
      <w:r w:rsidRPr="008B7620">
        <w:rPr>
          <w:rStyle w:val="StyleUnderline"/>
        </w:rPr>
        <w:t>you will be defeated like all the generations before us. The key to changing the world is to fail to live up to its expectations</w:t>
      </w:r>
      <w:r w:rsidRPr="008B7620">
        <w:rPr>
          <w:sz w:val="16"/>
        </w:rPr>
        <w:t>.</w:t>
      </w:r>
      <w:r w:rsidRPr="00043EB8">
        <w:rPr>
          <w:sz w:val="16"/>
        </w:rPr>
        <w:t xml:space="preserve"> My name is Alok Vaid-Menon and you could call me a fashionista, activist, or provocateur but I’d prefer to call myself a professional failure: someone who (at least my mother reminds me) was set for all the riches of the world but somehow took a detour on the way. You see, I grew up in a comfortable middle class Indian family where the expectation was that I’d always be some fancy schmancy academic. Both of my parents were PhD’s so from a young age the bar was set high: I remember getting chastised for talking on the phone rather than reading the New York Times. I had to learn how to argue for the legitimacy of everything. The key was finding a scholar who had written about something and then it became magically legitimate: this is how I discovered Critical Youtube Studies (it’s real). It’s not that my parents pressured me to do well in school; it was more of a quiet expectation. This was part of our immigration story: to move to this country and not challenge its rules, but do better than everyone else. Which goes to say that from an early age success seemed like the only way to justify my parents’ journey across the ocean. When I got into Stanford my parents didn’t really congratulate me, it was something more, well…expected. But when I got to school I started to see how violent success could actually be. At my opening convocation – before we had actually done anything — I was told that I was surrounded by the future leaders of the world. Yet what I soon realized is that the way we were defining success was less about our impact and actually more about prestige. In the beginning everyone seemed to have some brilliant idea of what it was going to take to change the world. But then at some point the methods became… shall we say…less specific. </w:t>
      </w:r>
      <w:r w:rsidRPr="00043EB8">
        <w:rPr>
          <w:rStyle w:val="StyleUnderline"/>
        </w:rPr>
        <w:t>We were expected to congratulate the class leader– a self proclaimed ‘public servant’ – even though he accepted a job offer at a corporation that left hundreds of thousands of people starving. We were expected to applaud for a successful keynote speaker and not mention his vocal support for racist policies</w:t>
      </w:r>
      <w:r w:rsidRPr="00043EB8">
        <w:rPr>
          <w:sz w:val="16"/>
        </w:rPr>
        <w:t xml:space="preserve">. Low and behold my classmates continued to flock to all of the talks by these ‘success stories’ not because of what they’d actually done, but because of this elusive concept of who they were. </w:t>
      </w:r>
      <w:r w:rsidRPr="008B7620">
        <w:rPr>
          <w:rStyle w:val="StyleUnderline"/>
        </w:rPr>
        <w:t xml:space="preserve">Success has never </w:t>
      </w:r>
      <w:r w:rsidRPr="00DA1B60">
        <w:rPr>
          <w:rStyle w:val="StyleUnderline"/>
        </w:rPr>
        <w:t xml:space="preserve">really </w:t>
      </w:r>
      <w:r w:rsidRPr="008B7620">
        <w:rPr>
          <w:rStyle w:val="StyleUnderline"/>
        </w:rPr>
        <w:t>been about fixing problems; it’s been about perpetuating them.</w:t>
      </w:r>
      <w:r w:rsidRPr="00043EB8">
        <w:rPr>
          <w:rStyle w:val="StyleUnderline"/>
        </w:rPr>
        <w:t xml:space="preserve"> The pomp and circumstance around success masks over the incredible violence it takes to accomplish</w:t>
      </w:r>
      <w:r w:rsidRPr="00043EB8">
        <w:rPr>
          <w:sz w:val="16"/>
        </w:rPr>
        <w:t>. Think about it: What happened to the thousands of students who were denied admission to your university? What happened to the hundreds of applicants who didn’t get the job y</w:t>
      </w:r>
      <w:r w:rsidRPr="00DA1B60">
        <w:rPr>
          <w:sz w:val="16"/>
        </w:rPr>
        <w:t xml:space="preserve">ou got? Who is made to suffer so that you can thrive? Do you even care? </w:t>
      </w:r>
      <w:r w:rsidRPr="00DA1B60">
        <w:rPr>
          <w:rStyle w:val="StyleUnderline"/>
        </w:rPr>
        <w:t>Success is about self-promotion, not putting change into motion. We are part of a generation whose elders expect us to fix the problems</w:t>
      </w:r>
      <w:r w:rsidRPr="00043EB8">
        <w:rPr>
          <w:rStyle w:val="StyleUnderline"/>
        </w:rPr>
        <w:t xml:space="preserve"> we inherited. But the irony is that we are bound to fail just like them because we are using the same tactics.</w:t>
      </w:r>
      <w:r w:rsidRPr="00043EB8">
        <w:rPr>
          <w:sz w:val="16"/>
        </w:rPr>
        <w:t xml:space="preserve"> Success just isn’t going to cut it anymore. Ask yourself this: </w:t>
      </w:r>
      <w:r w:rsidRPr="00043EB8">
        <w:rPr>
          <w:rStyle w:val="StyleUnderline"/>
        </w:rPr>
        <w:t xml:space="preserve">If all the best universities really produced the most successful leaders then why do we still have so much corruption? </w:t>
      </w:r>
      <w:r w:rsidRPr="008B7620">
        <w:rPr>
          <w:rStyle w:val="StyleUnderline"/>
        </w:rPr>
        <w:t>If all the success stories throughout time were really successful then why do we still find ourselves living in a violently unequal world</w:t>
      </w:r>
      <w:r w:rsidRPr="00043EB8">
        <w:rPr>
          <w:sz w:val="16"/>
        </w:rPr>
        <w:t xml:space="preserve">? I think it’s time we broke up with success, at least as it’s currently been defined. I know you’re skeptical. This contradicts well everything we’ve been taught about how the world works. Success feels good and I am asking you to feel bad about it. I get in: I sound totally ridiculous. It’s like what would it have felt like in second grade to write your first love poem and have your teach respond “you failed!” </w:t>
      </w:r>
      <w:r w:rsidRPr="00043EB8">
        <w:rPr>
          <w:sz w:val="16"/>
        </w:rPr>
        <w:lastRenderedPageBreak/>
        <w:t xml:space="preserve">Hear me out. I didn’t always think this way. It took me failing — and recognizing how beautiful that was — to understand. In 2011 I had the opportunity to work with transgender movement in South Africa. I was there to study the discrepancy between progressive legislation and the tremendous experience of violence. Naturally – as a type A model minority — things went according to plan. I got the most generous research grants, obtained cutting edge interviews and I genuinely felt that I had identified what could be fixed. I returned to the US to start writing my thesis. In the process I got an email that one of the women I worked with in the office with had passed way. I had just listened to her interview the day before. Her name was Cym. </w:t>
      </w:r>
      <w:r w:rsidRPr="008B7620">
        <w:rPr>
          <w:rStyle w:val="StyleUnderline"/>
        </w:rPr>
        <w:t xml:space="preserve">What is the point of a thesis written in a language inaccessible by the very people it is about? </w:t>
      </w:r>
      <w:r w:rsidRPr="00DA1B60">
        <w:rPr>
          <w:rStyle w:val="StyleUnderline"/>
        </w:rPr>
        <w:t xml:space="preserve">What is the point of a researcher who knows the name of theorists but not the names of her own neighbors? </w:t>
      </w:r>
      <w:r w:rsidRPr="008B7620">
        <w:rPr>
          <w:rStyle w:val="StyleUnderline"/>
        </w:rPr>
        <w:t>Who is invited to present a paper on a movement and who must die for it</w:t>
      </w:r>
      <w:r w:rsidRPr="00043EB8">
        <w:rPr>
          <w:rStyle w:val="StyleUnderline"/>
        </w:rPr>
        <w:t>?</w:t>
      </w:r>
      <w:r w:rsidRPr="00043EB8">
        <w:rPr>
          <w:sz w:val="16"/>
        </w:rPr>
        <w:t xml:space="preserve"> I never spent the time getting to know Cym because I was so fixated on being the perfect academic. I was so concerned with success that I glossed over the places where real transformative work could have occurred: the work of building trust, solidarity, empathy. The hard and invisible parts. I shared the same office with her for two months and I couldn’t tell you her favorite color, where she lived, and what made her weep for joy. The only parts of her that mattered were the parts that fit into my own analysis. </w:t>
      </w:r>
      <w:r w:rsidRPr="00043EB8">
        <w:rPr>
          <w:rStyle w:val="StyleUnderline"/>
        </w:rPr>
        <w:t>Success can be a violent and manipulative process</w:t>
      </w:r>
      <w:r w:rsidRPr="00043EB8">
        <w:rPr>
          <w:sz w:val="16"/>
        </w:rPr>
        <w:t xml:space="preserve">. The thesis committee didn’t care about my ability to contribute to the movement, my ability to make the knowledge relevant and accessible by local organizers. The publishing of my </w:t>
      </w:r>
      <w:r w:rsidRPr="00DA1B60">
        <w:rPr>
          <w:sz w:val="16"/>
        </w:rPr>
        <w:t xml:space="preserve">thesis would do nothing to end violence in South Africa – if anything it would continue it so that future foreign researchers could come and study it for their own job promotion. Let’s call that a success story. So I changed my topic. I deleted Cym’s interview. And I started thinking. Even though I failed at being an academic, I succeeded at becoming a better human being. </w:t>
      </w:r>
      <w:r w:rsidRPr="00DA1B60">
        <w:rPr>
          <w:rStyle w:val="StyleUnderline"/>
        </w:rPr>
        <w:t>Failure is</w:t>
      </w:r>
      <w:r w:rsidRPr="00DA1B60">
        <w:rPr>
          <w:sz w:val="16"/>
        </w:rPr>
        <w:t xml:space="preserve">, in its own way, </w:t>
      </w:r>
      <w:r w:rsidRPr="00DA1B60">
        <w:rPr>
          <w:rStyle w:val="StyleUnderline"/>
        </w:rPr>
        <w:t>another type of success. The system isn’t broken. Every problem in the world can actually be reconsidered as the successful implementation of an idea: the persistence of segregated schools is the accomplishment of institutionalized racism, the crisis of student debt reveals the success of the logic that we should pay for our education rather than be entitled to it, the persistence of violence against LGBT people reveals the clout of a currency of intolerance. These</w:t>
      </w:r>
      <w:r w:rsidRPr="00043EB8">
        <w:rPr>
          <w:rStyle w:val="StyleUnderline"/>
        </w:rPr>
        <w:t xml:space="preserve"> issues are not problems. They are victories; they are success stories. </w:t>
      </w:r>
      <w:r w:rsidRPr="008B7620">
        <w:rPr>
          <w:rStyle w:val="StyleUnderline"/>
        </w:rPr>
        <w:t>The system</w:t>
      </w:r>
      <w:r w:rsidRPr="00043EB8">
        <w:rPr>
          <w:rStyle w:val="StyleUnderline"/>
        </w:rPr>
        <w:t xml:space="preserve"> isn’t broken. It’s working. It is working so well that it </w:t>
      </w:r>
      <w:r w:rsidRPr="008B7620">
        <w:rPr>
          <w:rStyle w:val="StyleUnderline"/>
        </w:rPr>
        <w:t xml:space="preserve">teaches us that it broken in order to keep us continually trying to improve it rather than building alternatives. </w:t>
      </w:r>
      <w:r w:rsidRPr="00DA1B60">
        <w:rPr>
          <w:rStyle w:val="StyleUnderline"/>
        </w:rPr>
        <w:t>To be successful is actually to maintain the status quo. Few of us have thought about who determines the</w:t>
      </w:r>
      <w:r w:rsidRPr="00043EB8">
        <w:rPr>
          <w:rStyle w:val="StyleUnderline"/>
        </w:rPr>
        <w:t xml:space="preserve"> standards of success let alone challenged them. Because we have allowed the crisis of success to go unregulated, we find ourselves in a peculiar state of contradiction: celebrating so many success stories while by and large – the world is actually getting more unhealthy, unequal, and </w:t>
      </w:r>
      <w:r w:rsidRPr="00DA1B60">
        <w:rPr>
          <w:rStyle w:val="StyleUnderline"/>
        </w:rPr>
        <w:t>unbearable for the majority of people.</w:t>
      </w:r>
      <w:r w:rsidRPr="00DA1B60">
        <w:rPr>
          <w:sz w:val="16"/>
        </w:rPr>
        <w:t xml:space="preserve"> Those of us interested in solving these problems can no longer defer to the typical success sorry. We have to create new models of success: models that are not as superficial and selfish. Our models might be thought of as failures, and to some degree they are right. </w:t>
      </w:r>
      <w:r w:rsidRPr="00DA1B60">
        <w:rPr>
          <w:rStyle w:val="StyleUnderline"/>
        </w:rPr>
        <w:t>We are failing to accept a world of injustice. We are failing to buy into the myth of progress. We are failing to leave one another behind.</w:t>
      </w:r>
      <w:r w:rsidRPr="00043EB8">
        <w:rPr>
          <w:rStyle w:val="StyleUnderline"/>
        </w:rPr>
        <w:t xml:space="preserve"> So </w:t>
      </w:r>
      <w:r w:rsidRPr="008B7620">
        <w:rPr>
          <w:rStyle w:val="StyleUnderline"/>
        </w:rPr>
        <w:t>I encourage you to fail more</w:t>
      </w:r>
      <w:r w:rsidRPr="00043EB8">
        <w:rPr>
          <w:sz w:val="16"/>
        </w:rPr>
        <w:t xml:space="preserve">. Consider how your passion has been stolen from you and manipulated into a career trajectory oriented toward status and not substance. </w:t>
      </w:r>
      <w:r w:rsidRPr="00043EB8">
        <w:rPr>
          <w:rStyle w:val="StyleUnderline"/>
        </w:rPr>
        <w:t>Think about whose standards define success and what this success will actually and realistically accomplish for people beyond yourself. And what I hope you will find by failing is that a whole new world of possibilities opens up for you</w:t>
      </w:r>
      <w:r w:rsidRPr="00043EB8">
        <w:rPr>
          <w:sz w:val="16"/>
        </w:rPr>
        <w:t xml:space="preserve">: like the time I failed and remembered how to love strangers. </w:t>
      </w:r>
      <w:r w:rsidRPr="00043EB8">
        <w:rPr>
          <w:rStyle w:val="StyleUnderline"/>
        </w:rPr>
        <w:t xml:space="preserve">There are possibilities for transformation hidden by our drive to succeed. </w:t>
      </w:r>
      <w:r w:rsidRPr="008B7620">
        <w:rPr>
          <w:rStyle w:val="StyleUnderline"/>
        </w:rPr>
        <w:t xml:space="preserve">This is </w:t>
      </w:r>
      <w:r w:rsidRPr="00DA1B60">
        <w:rPr>
          <w:rStyle w:val="StyleUnderline"/>
        </w:rPr>
        <w:t xml:space="preserve">actually </w:t>
      </w:r>
      <w:r w:rsidRPr="008B7620">
        <w:rPr>
          <w:rStyle w:val="StyleUnderline"/>
        </w:rPr>
        <w:t xml:space="preserve">the most important work: </w:t>
      </w:r>
      <w:r w:rsidRPr="00DA1B60">
        <w:rPr>
          <w:rStyle w:val="StyleUnderline"/>
        </w:rPr>
        <w:t xml:space="preserve">work like </w:t>
      </w:r>
      <w:r w:rsidRPr="008B7620">
        <w:rPr>
          <w:rStyle w:val="StyleUnderline"/>
        </w:rPr>
        <w:t>building relationships with your neighbors, crying together, making art and movements, healing, and all of the million skills that will never fit on your resume</w:t>
      </w:r>
      <w:r w:rsidRPr="00043EB8">
        <w:rPr>
          <w:sz w:val="16"/>
        </w:rPr>
        <w:t>. These can become your new standards of success. Think about the parts of the day you do not tell people about, the gray areas that do not make it into your conversations and job interviews. These parts are the most exciting and transformative. Major in that feeling.</w:t>
      </w:r>
    </w:p>
    <w:p w:rsidR="0062164B" w:rsidRPr="00AB0410" w:rsidRDefault="0062164B" w:rsidP="0062164B"/>
    <w:p w:rsidR="0062164B" w:rsidRDefault="000D3F1C" w:rsidP="0062164B">
      <w:pPr>
        <w:pStyle w:val="Heading3"/>
      </w:pPr>
      <w:bookmarkStart w:id="72" w:name="_Toc489138962"/>
      <w:r>
        <w:lastRenderedPageBreak/>
        <w:t xml:space="preserve">Link: </w:t>
      </w:r>
      <w:r w:rsidR="0062164B">
        <w:t>Boring Politics</w:t>
      </w:r>
      <w:bookmarkEnd w:id="72"/>
    </w:p>
    <w:p w:rsidR="0062164B" w:rsidRPr="00677496" w:rsidRDefault="0062164B" w:rsidP="0062164B">
      <w:pPr>
        <w:pStyle w:val="Heading4"/>
        <w:rPr>
          <w:rStyle w:val="Style13ptBold"/>
          <w:b/>
        </w:rPr>
      </w:pPr>
      <w:r>
        <w:rPr>
          <w:rStyle w:val="Style13ptBold"/>
          <w:b/>
        </w:rPr>
        <w:t xml:space="preserve">Your politics are boring as fuck—the separation of politics and theory from everyday life makes it the realm of wealthy intellectuals and turns politics into a new form of work. Only a politics of joy and the quotidian enables new connections and sets the field for transformative mobilizations. </w:t>
      </w:r>
    </w:p>
    <w:p w:rsidR="0062164B" w:rsidRPr="00844777" w:rsidRDefault="0062164B" w:rsidP="0062164B">
      <w:pPr>
        <w:jc w:val="both"/>
        <w:rPr>
          <w:rStyle w:val="Style13ptBold"/>
          <w:b w:val="0"/>
        </w:rPr>
      </w:pPr>
      <w:r>
        <w:rPr>
          <w:rStyle w:val="Style13ptBold"/>
        </w:rPr>
        <w:t xml:space="preserve">Nadia No Date </w:t>
      </w:r>
      <w:r w:rsidRPr="00844777">
        <w:rPr>
          <w:rStyle w:val="Style13ptBold"/>
          <w:b w:val="0"/>
          <w:sz w:val="16"/>
        </w:rPr>
        <w:t xml:space="preserve">[Nadia C. “Your Politics Are Boring As Fuck.” </w:t>
      </w:r>
      <w:r w:rsidRPr="00844777">
        <w:rPr>
          <w:rStyle w:val="Style13ptBold"/>
          <w:b w:val="0"/>
          <w:i/>
          <w:sz w:val="16"/>
        </w:rPr>
        <w:t xml:space="preserve">Crimethinc. </w:t>
      </w:r>
      <w:hyperlink r:id="rId20" w:history="1">
        <w:r w:rsidRPr="00844777">
          <w:rPr>
            <w:rStyle w:val="Hyperlink"/>
            <w:sz w:val="16"/>
          </w:rPr>
          <w:t>http://www.crimethinc.com/texts/selected/asfuck.php</w:t>
        </w:r>
      </w:hyperlink>
      <w:r w:rsidRPr="00844777">
        <w:rPr>
          <w:rStyle w:val="Style13ptBold"/>
          <w:b w:val="0"/>
          <w:sz w:val="16"/>
        </w:rPr>
        <w:t>. SH]</w:t>
      </w:r>
    </w:p>
    <w:p w:rsidR="0062164B" w:rsidRPr="00844777" w:rsidRDefault="0062164B" w:rsidP="0062164B">
      <w:pPr>
        <w:jc w:val="both"/>
        <w:rPr>
          <w:rStyle w:val="StyleUnderline"/>
        </w:rPr>
      </w:pPr>
      <w:r w:rsidRPr="00844777">
        <w:rPr>
          <w:sz w:val="16"/>
        </w:rPr>
        <w:t>The truth is</w:t>
      </w:r>
      <w:r w:rsidRPr="00844777">
        <w:rPr>
          <w:rStyle w:val="StyleUnderline"/>
        </w:rPr>
        <w:t>, your politics are boring</w:t>
      </w:r>
      <w:r w:rsidRPr="00844777">
        <w:rPr>
          <w:sz w:val="16"/>
        </w:rPr>
        <w:t xml:space="preserve"> to them </w:t>
      </w:r>
      <w:r w:rsidRPr="00844777">
        <w:rPr>
          <w:rStyle w:val="StyleUnderline"/>
        </w:rPr>
        <w:t>because they really are irrelevant. They know that your antiquated styles of protest—your marches, hand held signs, and gatherings—are now powerless to effect real change because they have become such a predictable part of the status quo. They know that your post-Marxist jargon is off-putting because it really is a language of mere academic dispute, not a weapon capable of undermining systems of control. They know that your infighting, your splinter groups and endless quarrels over ephemeral theories can never effect any real change in the world they experience from day to day. They know that no matter who is in office, what laws are on the books, what "ism"s the intellectuals march under, the content of their lives will remain the same. They—we—know that our boredom is proof that these "politics" are not the key to any real transformation of life.</w:t>
      </w:r>
      <w:r w:rsidRPr="00844777">
        <w:rPr>
          <w:sz w:val="16"/>
        </w:rPr>
        <w:t xml:space="preserve"> For our lives are boring enough already! And you know it too. For how many of you is politics a responsibility? Something you engage in because you feel you should, when in your heart of hearts there are a million things you would rather be doing? Your volunteer work—is it your most favorite pastime, or do you do it out of a sense of obligation? Why do you think it is so hard to motivate others to volunteer as you do? Could it be that it is, above all, a feeling of guilt that drives you to fulfill your "duty" to be politically active? Perhaps you spice up your "work" by trying (consciously or not) to get in trouble with the authorities, to get arrested: not because it will practically serve your cause, but to make things more exciting, to recapture a little of the romance of turbulent times now long past. Have you ever felt that you were participating in a ritual, a long-established tradition of fringe protest, that really serves only to strengthen the position of the mainstream? Have you ever secretly longed to escape from the stagnation and boredom of your political "responsibilities"? It's no wonder that no one has joined you in your political endeavors. Perhaps you tell yourself that it's tough, thankless work, but somebody's got to do it. The answer is, well, NO. </w:t>
      </w:r>
      <w:r w:rsidRPr="00844777">
        <w:rPr>
          <w:rStyle w:val="StyleUnderline"/>
        </w:rPr>
        <w:t>You actually do us all a real disservice with your tiresome, tedious politics. For in fact, there is nothing more important than politics. NOT the politics of American "democracy" and law, of who is elected state legislator to sign the same bills and perpetuate the same system. Not the politics of the "I got involved with the radical left because I enjoy quibbling over trivial details and writing rhetorically about an unreachable utopia" anarchist. Not the politics of any leader or ideology that demands that you make sacrifices for "the cause." But the politics of our everyday lives. When you separate politics from the immediate, everyday experiences of individual men and women, it becomes completely irrelevant. Indeed, it becomes the private domain of wealthy, comfortable intellectuals, who can trouble themselves with such dreary, theoretical things</w:t>
      </w:r>
      <w:r w:rsidRPr="00844777">
        <w:rPr>
          <w:sz w:val="16"/>
        </w:rPr>
        <w:t xml:space="preserve">. </w:t>
      </w:r>
      <w:r w:rsidRPr="00844777">
        <w:rPr>
          <w:rStyle w:val="StyleUnderline"/>
        </w:rPr>
        <w:t>When you involve yourself in politics out of a sense of obligation, and make political action into a dull responsibility rather than an exciting game that is worthwhile for its own sake, you scare away people whose lives are already far too dull for any more tedium. When you make politics into a lifeless thing, a joyless thing, a dreadful responsibility, it becomes just another weight upon people, rather than a means to lift weight from people</w:t>
      </w:r>
      <w:r w:rsidRPr="00844777">
        <w:rPr>
          <w:sz w:val="16"/>
        </w:rPr>
        <w:t xml:space="preserve">. And thus you ruin the idea of politics for the people to whom it should be most important. For everyone has a stake in considering their lives, in asking themselves what they want out of life and how they can get it. But you make politics look to them like a miserable, self-referential, pointless middle class/bohemian game, a game with no relevance to the real lives they are living out. </w:t>
      </w:r>
      <w:r w:rsidRPr="00844777">
        <w:rPr>
          <w:rStyle w:val="StyleUnderline"/>
        </w:rPr>
        <w:t xml:space="preserve">What should be political? Whether we enjoy what we do to get food and shelter. Whether we feel like our daily interactions with our friends, neighbors, and coworkers are fulfilling. Whether we have the opportunity to live each day the way we desire to. And "politics" should consist not of merely discussing these questions, but of acting directly to improve our lives in the immediate present. Acting in a way that is itself entertaining, exciting, joyous—because political action that is tedious, tiresome, and oppressive can only perpetuate tedium, fatigue, and oppression in our lives. No more time should be wasted debating over issues that will be irrelevant when we must go to work again the next day. No more predictable ritual </w:t>
      </w:r>
      <w:r w:rsidRPr="00844777">
        <w:rPr>
          <w:rStyle w:val="StyleUnderline"/>
        </w:rPr>
        <w:lastRenderedPageBreak/>
        <w:t>protests that the authorities know all too well how to deal with; no more boring ritual protests which will not sound like a thrilling way to spend a Saturday afternoon to potential volunteers—clearly, those won't get us anywhere.</w:t>
      </w:r>
      <w:r w:rsidRPr="00844777">
        <w:rPr>
          <w:sz w:val="16"/>
        </w:rPr>
        <w:t xml:space="preserve"> Never again shall we "sacrifice ourselves for the cause." For we ourselves, happiness in our own lives and the lives of our fellows, must be our cause! After we make politics relevant and exciting, the rest will follow. But </w:t>
      </w:r>
      <w:r w:rsidRPr="00844777">
        <w:rPr>
          <w:rStyle w:val="StyleUnderline"/>
        </w:rPr>
        <w:t>from a dreary, merely theoretical and/or ritualized politics, nothing valuable can follow</w:t>
      </w:r>
      <w:r w:rsidRPr="00844777">
        <w:rPr>
          <w:sz w:val="16"/>
        </w:rPr>
        <w:t xml:space="preserve">. This is not to say that we should show no interest in the welfare of humans, animals, or ecosystems that do not contact us directly in our day to day existence. But </w:t>
      </w:r>
      <w:r w:rsidRPr="00844777">
        <w:rPr>
          <w:rStyle w:val="StyleUnderline"/>
        </w:rPr>
        <w:t xml:space="preserve">the foundation of our politics must be concrete: it must be immediate, it must be obvious to everyone why it is worth the effort, it must be fun in itself. </w:t>
      </w:r>
      <w:r w:rsidRPr="00844777">
        <w:rPr>
          <w:sz w:val="16"/>
        </w:rPr>
        <w:t xml:space="preserve">How can we do positive things for others if we ourselves do not enjoy our own lives? </w:t>
      </w:r>
      <w:r w:rsidRPr="00844777">
        <w:rPr>
          <w:rStyle w:val="StyleUnderline"/>
        </w:rPr>
        <w:t>To make this concrete for a moment: an afternoon of collecting food from businesses that would have thrown it away and serving it to hungry people and people who are tired of working to pay for food—that is good political action, but only if you enjoy it. If you do it with your friends, if you meet new friends while you're doing it, if you fall in love or trade funny stories or just feel proud to have helped a woman by easing her financial needs, that's good political action.</w:t>
      </w:r>
      <w:r w:rsidRPr="00844777">
        <w:rPr>
          <w:sz w:val="16"/>
        </w:rPr>
        <w:t xml:space="preserve"> On the other hand, if you spend the afternoon typing an angry letter to an obscure leftist tabloid objecting to a columnist's use of the term "anarcho-syndicalist," that's not going to accomplish shit, and you know it. Perhaps it is time for a new word for "politics," since you have made such a swear word out of the old one. For no one should be put off when we talk about acting together to improve our lives. And so we present to you our demands, which are non-negotiable, and must be met as soon as possible—because we're not going to live forever, are we? </w:t>
      </w:r>
      <w:r w:rsidRPr="00844777">
        <w:rPr>
          <w:rStyle w:val="StyleUnderline"/>
        </w:rPr>
        <w:t>1. Make politics relevant to our everyday experience of life again. The farther away the object of our political concern, the less it will mean to us, the less real and pressing it will seem to us, and the more wearisome politics will be.</w:t>
      </w:r>
      <w:r>
        <w:rPr>
          <w:rStyle w:val="StyleUnderline"/>
        </w:rPr>
        <w:t xml:space="preserve"> </w:t>
      </w:r>
      <w:r w:rsidRPr="00844777">
        <w:rPr>
          <w:rStyle w:val="StyleUnderline"/>
        </w:rPr>
        <w:t>2. All political activity must be joyous and exciting in itself. You cannot escape from dreariness with more dreariness.</w:t>
      </w:r>
      <w:r>
        <w:rPr>
          <w:rStyle w:val="StyleUnderline"/>
        </w:rPr>
        <w:t xml:space="preserve"> </w:t>
      </w:r>
      <w:r w:rsidRPr="00844777">
        <w:rPr>
          <w:rStyle w:val="StyleUnderline"/>
        </w:rPr>
        <w:t>3. To accomplish those first two steps, entirely new political approaches and methods must be created. The old ones are outdated, outmoded. Perhaps they were NEVER any good, and that's why our world is the way it is now.</w:t>
      </w:r>
      <w:r>
        <w:rPr>
          <w:rStyle w:val="StyleUnderline"/>
        </w:rPr>
        <w:t xml:space="preserve"> </w:t>
      </w:r>
      <w:r w:rsidRPr="00844777">
        <w:rPr>
          <w:sz w:val="16"/>
        </w:rPr>
        <w:t xml:space="preserve">4. Enjoy yourselves! There is never any excuse for being bored . . . or boring! </w:t>
      </w:r>
      <w:r w:rsidRPr="00844777">
        <w:rPr>
          <w:rStyle w:val="StyleUnderline"/>
        </w:rPr>
        <w:t>Join us in making the "revolution" a game; a game played for the highest stakes of all, but a joyous, carefree game nonetheless!</w:t>
      </w:r>
    </w:p>
    <w:p w:rsidR="0062164B" w:rsidRDefault="000D3F1C" w:rsidP="0062164B">
      <w:pPr>
        <w:pStyle w:val="Heading3"/>
      </w:pPr>
      <w:bookmarkStart w:id="73" w:name="_Toc489138963"/>
      <w:r>
        <w:lastRenderedPageBreak/>
        <w:t xml:space="preserve">Link: </w:t>
      </w:r>
      <w:r w:rsidR="0062164B">
        <w:t>activism</w:t>
      </w:r>
      <w:bookmarkEnd w:id="73"/>
      <w:r w:rsidR="0062164B">
        <w:t xml:space="preserve"> </w:t>
      </w:r>
    </w:p>
    <w:p w:rsidR="0062164B" w:rsidRPr="00C72062" w:rsidRDefault="0062164B" w:rsidP="0062164B">
      <w:pPr>
        <w:pStyle w:val="Heading4"/>
        <w:rPr>
          <w:rStyle w:val="Style13ptBold"/>
          <w:b/>
        </w:rPr>
      </w:pPr>
      <w:r w:rsidRPr="00C72062">
        <w:rPr>
          <w:rStyle w:val="Style13ptBold"/>
          <w:b/>
        </w:rPr>
        <w:t>The 1ac’s activist orientation</w:t>
      </w:r>
      <w:r>
        <w:rPr>
          <w:rStyle w:val="Style13ptBold"/>
          <w:b/>
        </w:rPr>
        <w:t xml:space="preserve"> ritualizes and separates politics from everyday life—this turns their transformative potential and </w:t>
      </w:r>
      <w:r w:rsidRPr="00C72062">
        <w:rPr>
          <w:rStyle w:val="Style13ptBold"/>
          <w:b/>
        </w:rPr>
        <w:t>converts debate into a training camp for authoritarian vanguards</w:t>
      </w:r>
      <w:r>
        <w:rPr>
          <w:rStyle w:val="Style13ptBold"/>
          <w:b/>
        </w:rPr>
        <w:t xml:space="preserve"> and non-profit CEOs. </w:t>
      </w:r>
    </w:p>
    <w:p w:rsidR="0062164B" w:rsidRPr="00C72062" w:rsidRDefault="0062164B" w:rsidP="0062164B">
      <w:pPr>
        <w:jc w:val="both"/>
        <w:rPr>
          <w:rStyle w:val="Style13ptBold"/>
          <w:b w:val="0"/>
        </w:rPr>
      </w:pPr>
      <w:r>
        <w:rPr>
          <w:rStyle w:val="Style13ptBold"/>
        </w:rPr>
        <w:t>Alasdair 12</w:t>
      </w:r>
      <w:r w:rsidRPr="00C72062">
        <w:rPr>
          <w:rStyle w:val="Style13ptBold"/>
          <w:sz w:val="16"/>
        </w:rPr>
        <w:t xml:space="preserve"> </w:t>
      </w:r>
      <w:r w:rsidRPr="00C72062">
        <w:rPr>
          <w:rStyle w:val="Style13ptBold"/>
          <w:b w:val="0"/>
          <w:sz w:val="16"/>
        </w:rPr>
        <w:t xml:space="preserve">[some commie. “Do something! A critique of activism.” </w:t>
      </w:r>
      <w:r w:rsidRPr="00C72062">
        <w:rPr>
          <w:rStyle w:val="Style13ptBold"/>
          <w:b w:val="0"/>
          <w:i/>
          <w:sz w:val="16"/>
        </w:rPr>
        <w:t xml:space="preserve">Libcom. </w:t>
      </w:r>
      <w:hyperlink r:id="rId21" w:history="1">
        <w:r w:rsidRPr="00C72062">
          <w:rPr>
            <w:rStyle w:val="Hyperlink"/>
            <w:sz w:val="16"/>
          </w:rPr>
          <w:t>https://libcom.org/blog/do-something-critique-activism-28052012</w:t>
        </w:r>
      </w:hyperlink>
      <w:r w:rsidRPr="00C72062">
        <w:rPr>
          <w:rStyle w:val="Style13ptBold"/>
          <w:b w:val="0"/>
          <w:sz w:val="16"/>
        </w:rPr>
        <w:t>. SH]</w:t>
      </w:r>
    </w:p>
    <w:p w:rsidR="0062164B" w:rsidRDefault="0062164B" w:rsidP="0062164B">
      <w:pPr>
        <w:jc w:val="both"/>
        <w:rPr>
          <w:rStyle w:val="StyleUnderline"/>
        </w:rPr>
      </w:pPr>
      <w:r w:rsidRPr="00B33D51">
        <w:rPr>
          <w:rStyle w:val="StyleUnderline"/>
        </w:rPr>
        <w:t>"By 'an activist mentality' what I mean is that people think of themselves primarily as activists and as belonging to some wider community of activists. The activist identifies with what they do and thinks of it as their role in life, like a job or career.</w:t>
      </w:r>
      <w:r w:rsidRPr="00C72062">
        <w:rPr>
          <w:sz w:val="16"/>
        </w:rPr>
        <w:t xml:space="preserve"> In the same way some people will identify with their job as a doctor or a teacher, instead of it being something they just happen to be doing, it becomes an essential part of their self-image. </w:t>
      </w:r>
      <w:r w:rsidRPr="00B33D51">
        <w:rPr>
          <w:rStyle w:val="StyleUnderline"/>
        </w:rPr>
        <w:t>The activist is a specialist or an expert in social change. To think of yourself as being an activist means to think of yourself as being somehow privileged or more advanced than others in your appreciation of the need fo social change</w:t>
      </w:r>
      <w:r w:rsidRPr="00C72062">
        <w:rPr>
          <w:sz w:val="16"/>
        </w:rPr>
        <w:t xml:space="preserve">, in the knowledge of how to achieve it and as leading or being in the forefront of practical struggle to create this change." "Activism is based on [the] misconception that it is only activists who do social change - whereas of course class struggle is happening all the time" "activism can bring down a business of stop a road but capitalism carries merrily on, if anything stronger than before" In fact the examples of activism having even that large a direct effect are limited to say the least, it might be more accurate to say that activism can cause inconvenience and slight losses in profit for a business or delay a road but </w:t>
      </w:r>
      <w:r w:rsidRPr="00B33D51">
        <w:rPr>
          <w:rStyle w:val="StyleUnderline"/>
        </w:rPr>
        <w:t>in the long run the effect on even these specific locations will likely be wiped out.</w:t>
      </w:r>
      <w:r>
        <w:rPr>
          <w:rStyle w:val="StyleUnderline"/>
        </w:rPr>
        <w:t xml:space="preserve"> </w:t>
      </w:r>
      <w:r w:rsidRPr="00B33D51">
        <w:rPr>
          <w:rStyle w:val="StyleUnderline"/>
        </w:rPr>
        <w:t>To accept the role of activist is to accept a particular set of stereotypes and cliches around what defines an activist</w:t>
      </w:r>
      <w:r w:rsidRPr="00C72062">
        <w:rPr>
          <w:sz w:val="16"/>
        </w:rPr>
        <w:t xml:space="preserve">, the type of person who engages with that kind of activity and the manner in which it is carried out. But in accepting the role </w:t>
      </w:r>
      <w:r w:rsidRPr="00B33D51">
        <w:rPr>
          <w:rStyle w:val="StyleUnderline"/>
        </w:rPr>
        <w:t>that image is in fact realised and the stereotype becomes self-fullfilling - see, for example, the history of road protests where masses of local people crossing a wide spectrum of backgrounds</w:t>
      </w:r>
      <w:r>
        <w:rPr>
          <w:rStyle w:val="StyleUnderline"/>
        </w:rPr>
        <w:t xml:space="preserve"> </w:t>
      </w:r>
      <w:r w:rsidRPr="00C72062">
        <w:rPr>
          <w:sz w:val="16"/>
        </w:rPr>
        <w:t xml:space="preserve">I have to admit that much of the activism I myself have been involved with over the past 18 months falls very easily within this description. Edinburgh Uncut performed - and I use that word deliberately - over 20 actions over the course of about 6 months. We built a strong bond between our group in taking that level of action and I think the uncut movement as a whole was worthwhile - it certainly helped me personally to develop my politics - but </w:t>
      </w:r>
      <w:r w:rsidRPr="00B33D51">
        <w:rPr>
          <w:rStyle w:val="StyleUnderline"/>
        </w:rPr>
        <w:t>the actions did become dull and repetitive, our numbers gradually shrank, we achieved none of our direct aims and built little real movement or awareness that has carried on into this year</w:t>
      </w:r>
      <w:r w:rsidRPr="00C72062">
        <w:rPr>
          <w:sz w:val="16"/>
        </w:rPr>
        <w:t xml:space="preserve">; when the boycott workfare campaign replicated the tactics of standing outside (or sometimes inside) a shop handing out leaflets and arguing with the police, other than a core of 5 or 6 of us who were active in Uncut from the start, very few of the people who had taken part in Uncut stunts also came to the workfare actions. It should be noted that this is despite the fact that there has been far greater success for the workfare campaign, it might win, and if it doesn't the results will very likely materially affect the people (mainly students at the time) who took part in Uncut. So what of the activists themselves, who take on this identity? On this Give Up Activism is, in my mind, too harsh: "Like union bosses, activists are eternal representatives and mediators." </w:t>
      </w:r>
      <w:r w:rsidRPr="00B33D51">
        <w:rPr>
          <w:rStyle w:val="StyleUnderline"/>
        </w:rPr>
        <w:t>We need activism to fail, fundamentally, so that we can preserve our position and carry on in our self-allotted role</w:t>
      </w:r>
      <w:r w:rsidRPr="00C72062">
        <w:rPr>
          <w:sz w:val="16"/>
        </w:rPr>
        <w:t xml:space="preserve">. Here, I disagree fundamentally with the comparison, though both union officials and activists have problems, they not the same. </w:t>
      </w:r>
      <w:r w:rsidRPr="00B33D51">
        <w:rPr>
          <w:rStyle w:val="StyleUnderline"/>
        </w:rPr>
        <w:t>The same vested interests do not exist for activists to perpetuate the struggle without result, nor to demobilise and mediate it</w:t>
      </w:r>
      <w:r w:rsidRPr="00C72062">
        <w:rPr>
          <w:sz w:val="16"/>
        </w:rPr>
        <w:t xml:space="preserve">. Many activists I know would far rather sit in the park or down the pub with our friends, than stand in the cold and rain handing out leaflets and sitting through endless meetings with them, but we feel we have to 'do something'. A better comparison might be not with the union boss, but the shop steward, </w:t>
      </w:r>
      <w:r w:rsidRPr="00B33D51">
        <w:rPr>
          <w:rStyle w:val="StyleUnderline"/>
        </w:rPr>
        <w:t>a role we as a vanguard of the struggle feel we must take on, but which does not personally benefit us much</w:t>
      </w:r>
      <w:r w:rsidRPr="00C72062">
        <w:rPr>
          <w:sz w:val="16"/>
        </w:rPr>
        <w:t xml:space="preserve"> - except perhaps in what I might uncharitably describe as a feeling of superiority. "Capitalism is based on work; our struggles against it are not based on our work but quite the opposite, they are something we do outside whatever work we may do. </w:t>
      </w:r>
      <w:r w:rsidRPr="00B33D51">
        <w:rPr>
          <w:rStyle w:val="StyleUnderline"/>
        </w:rPr>
        <w:t>Our struggles are not based on our direct needs (as for example, going on strike for higher wages); they seem disconnected, arbitrary. Our 'days of action' and so forth have no connection to any wider on-going struggle in society</w:t>
      </w:r>
      <w:r w:rsidRPr="00C72062">
        <w:rPr>
          <w:sz w:val="16"/>
        </w:rPr>
        <w:t xml:space="preserve">. We treat capitalism as if it was something external, ignoring our own relation to it." </w:t>
      </w:r>
      <w:r w:rsidRPr="00B33D51">
        <w:rPr>
          <w:rStyle w:val="StyleUnderline"/>
        </w:rPr>
        <w:t>Activism can very easily lead to a ghettoisation of 'politics' into the meetings and actions we do as activists, separate from our daily lives - where politics should exist</w:t>
      </w:r>
      <w:r w:rsidRPr="00C72062">
        <w:rPr>
          <w:sz w:val="16"/>
        </w:rPr>
        <w:t xml:space="preserve">. We work at our jobs, or do our coursework, depressed at the alienation of it all, sure that we would like to organise there but don't know how to, or don't think we can succeed. We go home to our flats for dinner where we are pissed at the price of our rent and how who? hasn't fixed the repairs they said they would, then we go out to a meeting to talk about what's happening in Quebec, or Palestine, or welfare reform, and feel better that we're doing something. </w:t>
      </w:r>
      <w:r w:rsidRPr="00B33D51">
        <w:rPr>
          <w:rStyle w:val="StyleUnderline"/>
        </w:rPr>
        <w:t xml:space="preserve">We fill our free time designing posters and leaflets, writing press releases and emails. We measure the success of our campaigns in media coverage and attendance at the next </w:t>
      </w:r>
      <w:r w:rsidRPr="00B33D51">
        <w:rPr>
          <w:rStyle w:val="StyleUnderline"/>
        </w:rPr>
        <w:lastRenderedPageBreak/>
        <w:t>meeting where we begin it all again. But too often the strategy to link it to anything larger simply doesn't even exist. When it does,</w:t>
      </w:r>
      <w:r w:rsidRPr="00C72062">
        <w:rPr>
          <w:sz w:val="16"/>
        </w:rPr>
        <w:t xml:space="preserve"> building links usually means with other activist groups or perhaps with union officials, </w:t>
      </w:r>
      <w:r w:rsidRPr="00B33D51">
        <w:rPr>
          <w:rStyle w:val="StyleUnderline"/>
        </w:rPr>
        <w:t>rarely does it reach to any larger community by any direct measure.</w:t>
      </w:r>
      <w:r>
        <w:rPr>
          <w:rStyle w:val="StyleUnderline"/>
        </w:rPr>
        <w:t xml:space="preserve"> </w:t>
      </w:r>
    </w:p>
    <w:p w:rsidR="0062164B" w:rsidRDefault="000D3F1C" w:rsidP="0062164B">
      <w:pPr>
        <w:pStyle w:val="Heading3"/>
      </w:pPr>
      <w:bookmarkStart w:id="74" w:name="_Toc489138964"/>
      <w:r>
        <w:lastRenderedPageBreak/>
        <w:t xml:space="preserve">Link: </w:t>
      </w:r>
      <w:r w:rsidR="0062164B">
        <w:t>Study</w:t>
      </w:r>
      <w:bookmarkEnd w:id="74"/>
    </w:p>
    <w:p w:rsidR="0062164B" w:rsidRPr="00507620" w:rsidRDefault="0062164B" w:rsidP="0062164B">
      <w:pPr>
        <w:pStyle w:val="Heading4"/>
        <w:rPr>
          <w:rStyle w:val="Style13ptBold"/>
          <w:b/>
        </w:rPr>
      </w:pPr>
      <w:r w:rsidRPr="00507620">
        <w:rPr>
          <w:rStyle w:val="Style13ptBold"/>
          <w:b/>
        </w:rPr>
        <w:t xml:space="preserve">Study is the postmodern reformulation of stupidity—this apolitical stupidity masks underlying power dynamics that facilitate male power and right-wing populism.  </w:t>
      </w:r>
    </w:p>
    <w:p w:rsidR="0062164B" w:rsidRDefault="0062164B" w:rsidP="0062164B">
      <w:r w:rsidRPr="00F05AD1">
        <w:rPr>
          <w:rStyle w:val="Style13ptBold"/>
        </w:rPr>
        <w:t>Halberstam 11</w:t>
      </w:r>
      <w:r>
        <w:t xml:space="preserve">. </w:t>
      </w:r>
      <w:r w:rsidRPr="00AE5E87">
        <w:rPr>
          <w:sz w:val="16"/>
          <w:szCs w:val="16"/>
        </w:rPr>
        <w:t xml:space="preserve">[J. Jack Halberstam, professor of English at the University of Southern California, </w:t>
      </w:r>
      <w:r w:rsidRPr="00AE5E87">
        <w:rPr>
          <w:i/>
          <w:sz w:val="16"/>
          <w:szCs w:val="16"/>
        </w:rPr>
        <w:t>The Queer Art of Failure</w:t>
      </w:r>
      <w:r w:rsidRPr="00AE5E87">
        <w:rPr>
          <w:sz w:val="16"/>
          <w:szCs w:val="16"/>
        </w:rPr>
        <w:t xml:space="preserve">. Duke UPress. pg. </w:t>
      </w:r>
      <w:r>
        <w:rPr>
          <w:sz w:val="16"/>
          <w:szCs w:val="16"/>
        </w:rPr>
        <w:t>57-57.</w:t>
      </w:r>
      <w:r w:rsidRPr="00AE5E87">
        <w:rPr>
          <w:sz w:val="16"/>
          <w:szCs w:val="16"/>
        </w:rPr>
        <w:t xml:space="preserve"> SH.]</w:t>
      </w:r>
    </w:p>
    <w:p w:rsidR="0062164B" w:rsidRDefault="0062164B" w:rsidP="0062164B">
      <w:pPr>
        <w:rPr>
          <w:rStyle w:val="StyleUnderline"/>
        </w:rPr>
      </w:pPr>
      <w:r w:rsidRPr="00D93ADD">
        <w:rPr>
          <w:sz w:val="16"/>
        </w:rPr>
        <w:t xml:space="preserve">The spectacle of Howard clicking through a slideshow with nothing to say while still seducing a few admiring fans in the audience brings to mind countless other millennial dimbos. </w:t>
      </w:r>
      <w:r w:rsidRPr="00D93ADD">
        <w:rPr>
          <w:rStyle w:val="StyleUnderline"/>
        </w:rPr>
        <w:t>Since at least the year 2000 and</w:t>
      </w:r>
      <w:r>
        <w:rPr>
          <w:rStyle w:val="StyleUnderline"/>
        </w:rPr>
        <w:t xml:space="preserve"> </w:t>
      </w:r>
      <w:r w:rsidRPr="00D93ADD">
        <w:rPr>
          <w:rStyle w:val="StyleUnderline"/>
        </w:rPr>
        <w:t>the election of George W. Bush, Americans have shown themselves to be</w:t>
      </w:r>
      <w:r>
        <w:rPr>
          <w:rStyle w:val="StyleUnderline"/>
        </w:rPr>
        <w:t xml:space="preserve"> </w:t>
      </w:r>
      <w:r w:rsidRPr="00D93ADD">
        <w:rPr>
          <w:rStyle w:val="StyleUnderline"/>
        </w:rPr>
        <w:t>increasingly enamored with the heroic couplet of men and stupidity</w:t>
      </w:r>
      <w:r w:rsidRPr="00D93ADD">
        <w:rPr>
          <w:sz w:val="16"/>
        </w:rPr>
        <w:t xml:space="preserve">. As the election in 2004 proved, </w:t>
      </w:r>
      <w:r w:rsidRPr="00D93ADD">
        <w:rPr>
          <w:rStyle w:val="StyleUnderline"/>
        </w:rPr>
        <w:t>playing dumb means playing to “the people,”</w:t>
      </w:r>
      <w:r>
        <w:rPr>
          <w:rStyle w:val="StyleUnderline"/>
        </w:rPr>
        <w:t xml:space="preserve"> </w:t>
      </w:r>
      <w:r w:rsidRPr="00D93ADD">
        <w:rPr>
          <w:rStyle w:val="StyleUnderline"/>
        </w:rPr>
        <w:t>who</w:t>
      </w:r>
      <w:r w:rsidRPr="00D93ADD">
        <w:rPr>
          <w:sz w:val="16"/>
        </w:rPr>
        <w:t xml:space="preserve">, apparently, </w:t>
      </w:r>
      <w:r w:rsidRPr="00D93ADD">
        <w:rPr>
          <w:rStyle w:val="StyleUnderline"/>
        </w:rPr>
        <w:t>find intellectual acumen to be a sign of overeducation,</w:t>
      </w:r>
      <w:r>
        <w:rPr>
          <w:rStyle w:val="StyleUnderline"/>
        </w:rPr>
        <w:t xml:space="preserve"> </w:t>
      </w:r>
      <w:r w:rsidRPr="00D93ADD">
        <w:rPr>
          <w:rStyle w:val="StyleUnderline"/>
        </w:rPr>
        <w:t>elitism, and Washington insider status</w:t>
      </w:r>
      <w:r w:rsidRPr="00D93ADD">
        <w:rPr>
          <w:sz w:val="16"/>
        </w:rPr>
        <w:t xml:space="preserve">. As many critics have pointed out, no one could be more of a Washington insider than George W. Bush, the son of a former president and the brother of the governor of Florida. Even so, in both of his election campaigns </w:t>
      </w:r>
      <w:r w:rsidRPr="00D93ADD">
        <w:rPr>
          <w:rStyle w:val="StyleUnderline"/>
        </w:rPr>
        <w:t>Bush made a populist version of stupidity</w:t>
      </w:r>
      <w:r>
        <w:rPr>
          <w:rStyle w:val="StyleUnderline"/>
        </w:rPr>
        <w:t xml:space="preserve"> </w:t>
      </w:r>
      <w:r w:rsidRPr="00D93ADD">
        <w:rPr>
          <w:rStyle w:val="StyleUnderline"/>
        </w:rPr>
        <w:t>into a trademark and sold himself to the public as a down- home</w:t>
      </w:r>
      <w:r>
        <w:rPr>
          <w:rStyle w:val="StyleUnderline"/>
        </w:rPr>
        <w:t xml:space="preserve"> </w:t>
      </w:r>
      <w:r w:rsidRPr="00D93ADD">
        <w:rPr>
          <w:rStyle w:val="StyleUnderline"/>
        </w:rPr>
        <w:t>guy, a fun BBQ pal, a man’s man, a student privileged enough to go to Yale</w:t>
      </w:r>
      <w:r>
        <w:rPr>
          <w:rStyle w:val="StyleUnderline"/>
        </w:rPr>
        <w:t xml:space="preserve"> </w:t>
      </w:r>
      <w:r w:rsidRPr="00D93ADD">
        <w:rPr>
          <w:rStyle w:val="StyleUnderline"/>
        </w:rPr>
        <w:t>but “real” enough to only get Cs—in other words, an inarticulate, monolingual</w:t>
      </w:r>
      <w:r>
        <w:rPr>
          <w:rStyle w:val="StyleUnderline"/>
        </w:rPr>
        <w:t xml:space="preserve"> </w:t>
      </w:r>
      <w:r w:rsidRPr="00D93ADD">
        <w:rPr>
          <w:rStyle w:val="StyleUnderline"/>
        </w:rPr>
        <w:t>buffoon who was a safe bet for the White House because he was</w:t>
      </w:r>
      <w:r>
        <w:rPr>
          <w:rStyle w:val="StyleUnderline"/>
        </w:rPr>
        <w:t xml:space="preserve"> </w:t>
      </w:r>
      <w:r w:rsidRPr="00D93ADD">
        <w:rPr>
          <w:rStyle w:val="StyleUnderline"/>
        </w:rPr>
        <w:t>not trying to befuddle an increasingly uneducated populace with facts,</w:t>
      </w:r>
      <w:r>
        <w:rPr>
          <w:rStyle w:val="StyleUnderline"/>
        </w:rPr>
        <w:t xml:space="preserve"> </w:t>
      </w:r>
      <w:r w:rsidRPr="00D93ADD">
        <w:rPr>
          <w:rStyle w:val="StyleUnderline"/>
        </w:rPr>
        <w:t>figures, or, god forbid, ideas</w:t>
      </w:r>
      <w:r w:rsidRPr="00D93ADD">
        <w:rPr>
          <w:sz w:val="16"/>
        </w:rPr>
        <w:t xml:space="preserve">. His opponent in the election, John Kerry, was fluent in French, well educated, well spoken, and highly suspicious on all counts. </w:t>
      </w:r>
      <w:r w:rsidRPr="00D93ADD">
        <w:rPr>
          <w:rStyle w:val="StyleUnderline"/>
        </w:rPr>
        <w:t>Stupidity in women</w:t>
      </w:r>
      <w:r w:rsidRPr="00D93ADD">
        <w:rPr>
          <w:sz w:val="16"/>
        </w:rPr>
        <w:t xml:space="preserve">, as we know, </w:t>
      </w:r>
      <w:r w:rsidRPr="00D93ADD">
        <w:rPr>
          <w:rStyle w:val="StyleUnderline"/>
        </w:rPr>
        <w:t>is often expected</w:t>
      </w:r>
      <w:r w:rsidRPr="00D93ADD">
        <w:rPr>
          <w:sz w:val="16"/>
        </w:rPr>
        <w:t xml:space="preserve"> in this maledominated culture, </w:t>
      </w:r>
      <w:r w:rsidRPr="00D93ADD">
        <w:rPr>
          <w:rStyle w:val="StyleUnderline"/>
        </w:rPr>
        <w:t>and some women cultivate it because they see it rewarded</w:t>
      </w:r>
      <w:r>
        <w:rPr>
          <w:rStyle w:val="StyleUnderline"/>
        </w:rPr>
        <w:t xml:space="preserve"> </w:t>
      </w:r>
      <w:r w:rsidRPr="00D93ADD">
        <w:rPr>
          <w:rStyle w:val="StyleUnderline"/>
        </w:rPr>
        <w:t>in popular icons</w:t>
      </w:r>
      <w:r w:rsidRPr="00D93ADD">
        <w:rPr>
          <w:sz w:val="16"/>
        </w:rPr>
        <w:t xml:space="preserve">, from Goldie Hawn to Jessica Simpson. </w:t>
      </w:r>
      <w:r w:rsidRPr="00D93ADD">
        <w:rPr>
          <w:rStyle w:val="StyleUnderline"/>
        </w:rPr>
        <w:t>Stupid</w:t>
      </w:r>
      <w:r>
        <w:rPr>
          <w:rStyle w:val="StyleUnderline"/>
        </w:rPr>
        <w:t xml:space="preserve"> </w:t>
      </w:r>
      <w:r w:rsidRPr="00D93ADD">
        <w:rPr>
          <w:rStyle w:val="StyleUnderline"/>
        </w:rPr>
        <w:t>women make men feel bigger, better, smarter</w:t>
      </w:r>
      <w:r w:rsidRPr="00D93ADD">
        <w:rPr>
          <w:sz w:val="16"/>
        </w:rPr>
        <w:t xml:space="preserve">. But what is the appeal in North America of the stupid man, and why does the representation of male stupidity not lead to male disempowerment? Stupidity in men is represented as, well, disarming (Adam Sandler), charming (Jerry Lewis), comforting (George W.), or innocent (Will Farrell in Elf, Tom Hanks in everything). </w:t>
      </w:r>
      <w:r w:rsidRPr="00D93ADD">
        <w:rPr>
          <w:rStyle w:val="StyleUnderline"/>
        </w:rPr>
        <w:t xml:space="preserve">Male stupidity </w:t>
      </w:r>
      <w:r w:rsidRPr="00D93ADD">
        <w:rPr>
          <w:rStyle w:val="Emphasis"/>
        </w:rPr>
        <w:t>masks the will to power</w:t>
      </w:r>
      <w:r w:rsidRPr="00D93ADD">
        <w:rPr>
          <w:rStyle w:val="StyleUnderline"/>
        </w:rPr>
        <w:t xml:space="preserve"> that lies just behind</w:t>
      </w:r>
      <w:r>
        <w:rPr>
          <w:rStyle w:val="StyleUnderline"/>
        </w:rPr>
        <w:t xml:space="preserve"> </w:t>
      </w:r>
      <w:r w:rsidRPr="00D93ADD">
        <w:rPr>
          <w:rStyle w:val="StyleUnderline"/>
        </w:rPr>
        <w:t>the goofy grin, and it masquerades as some kind of internalization of</w:t>
      </w:r>
      <w:r>
        <w:rPr>
          <w:rStyle w:val="StyleUnderline"/>
        </w:rPr>
        <w:t xml:space="preserve"> </w:t>
      </w:r>
      <w:r w:rsidRPr="00D93ADD">
        <w:rPr>
          <w:rStyle w:val="StyleUnderline"/>
        </w:rPr>
        <w:t>feminist critiques. The clueless male in movies usually requires a spunky</w:t>
      </w:r>
      <w:r>
        <w:rPr>
          <w:rStyle w:val="StyleUnderline"/>
        </w:rPr>
        <w:t xml:space="preserve"> </w:t>
      </w:r>
      <w:r w:rsidRPr="00D93ADD">
        <w:rPr>
          <w:rStyle w:val="StyleUnderline"/>
        </w:rPr>
        <w:t>and intelligent woman to pull him along, educate and civilize him, and</w:t>
      </w:r>
      <w:r>
        <w:rPr>
          <w:rStyle w:val="StyleUnderline"/>
        </w:rPr>
        <w:t xml:space="preserve"> </w:t>
      </w:r>
      <w:r w:rsidRPr="00D93ADD">
        <w:rPr>
          <w:rStyle w:val="Emphasis"/>
        </w:rPr>
        <w:t>this masks the gender inequality that structures their relationship</w:t>
      </w:r>
      <w:r w:rsidRPr="00D93ADD">
        <w:rPr>
          <w:rStyle w:val="StyleUnderline"/>
        </w:rPr>
        <w:t>.</w:t>
      </w:r>
      <w:r>
        <w:rPr>
          <w:rStyle w:val="StyleUnderline"/>
        </w:rPr>
        <w:t xml:space="preserve"> </w:t>
      </w:r>
      <w:r w:rsidRPr="00D93ADD">
        <w:rPr>
          <w:rStyle w:val="Emphasis"/>
        </w:rPr>
        <w:t>Male stupidity is in fact a new form of macho</w:t>
      </w:r>
      <w:r w:rsidRPr="00D93ADD">
        <w:rPr>
          <w:sz w:val="16"/>
        </w:rPr>
        <w:t xml:space="preserve">, </w:t>
      </w:r>
      <w:r w:rsidRPr="00D93ADD">
        <w:rPr>
          <w:rStyle w:val="StyleUnderline"/>
        </w:rPr>
        <w:t>and it comes at a time</w:t>
      </w:r>
      <w:r>
        <w:rPr>
          <w:rStyle w:val="StyleUnderline"/>
        </w:rPr>
        <w:t xml:space="preserve"> </w:t>
      </w:r>
      <w:r w:rsidRPr="00D93ADD">
        <w:rPr>
          <w:rStyle w:val="StyleUnderline"/>
        </w:rPr>
        <w:t>when alternative masculinities have achieved some small measure of</w:t>
      </w:r>
      <w:r>
        <w:rPr>
          <w:rStyle w:val="StyleUnderline"/>
        </w:rPr>
        <w:t xml:space="preserve"> </w:t>
      </w:r>
      <w:r w:rsidRPr="00D93ADD">
        <w:rPr>
          <w:rStyle w:val="StyleUnderline"/>
        </w:rPr>
        <w:t>currency.</w:t>
      </w:r>
      <w:r w:rsidRPr="00D93ADD">
        <w:rPr>
          <w:sz w:val="16"/>
        </w:rPr>
        <w:t xml:space="preserve"> It matters little whether we are discussing avant- garde film or popular film, because, in both, </w:t>
      </w:r>
      <w:r w:rsidRPr="00D93ADD">
        <w:rPr>
          <w:rStyle w:val="StyleUnderline"/>
        </w:rPr>
        <w:t>male unknowing facilitates male power</w:t>
      </w:r>
      <w:r w:rsidRPr="00D93ADD">
        <w:rPr>
          <w:sz w:val="16"/>
        </w:rPr>
        <w:t xml:space="preserve">. Pedro Almodovar’s critically acclaimed masterpiece of misogyny, Talk to Her (2004), is an aesthetically complex piece of work in which male stupidity allows for the complete decimation of two talented women. First, a ballet dancer and a female bullfighter are involved in separate accidents that render them comatose. Next, their comatose bodies become wallpaper while two unappealing and unremarkable male admirers flirt and coo across their mute and prone bodies. While the male leads are exposed as flawed, criminal even, deceptive, and conniving, the film still focuses on them while leaving the women inert, simple, silent. </w:t>
      </w:r>
      <w:r w:rsidRPr="00D93ADD">
        <w:rPr>
          <w:rStyle w:val="StyleUnderline"/>
        </w:rPr>
        <w:t>Stupidity</w:t>
      </w:r>
      <w:r w:rsidRPr="00D93ADD">
        <w:rPr>
          <w:sz w:val="16"/>
        </w:rPr>
        <w:t xml:space="preserve">, in other words, </w:t>
      </w:r>
      <w:r w:rsidRPr="00D93ADD">
        <w:rPr>
          <w:rStyle w:val="StyleUnderline"/>
        </w:rPr>
        <w:t xml:space="preserve">passes as complexity, and </w:t>
      </w:r>
      <w:r w:rsidRPr="00D93ADD">
        <w:rPr>
          <w:rStyle w:val="Emphasis"/>
        </w:rPr>
        <w:t>male complexity requires</w:t>
      </w:r>
      <w:r w:rsidRPr="00D93ADD">
        <w:rPr>
          <w:rStyle w:val="StyleUnderline"/>
        </w:rPr>
        <w:t xml:space="preserve">, again, </w:t>
      </w:r>
      <w:r w:rsidRPr="00D93ADD">
        <w:rPr>
          <w:rStyle w:val="Emphasis"/>
        </w:rPr>
        <w:t>female</w:t>
      </w:r>
      <w:r>
        <w:rPr>
          <w:rStyle w:val="Emphasis"/>
        </w:rPr>
        <w:t xml:space="preserve"> </w:t>
      </w:r>
      <w:r w:rsidRPr="00D93ADD">
        <w:rPr>
          <w:rStyle w:val="Emphasis"/>
        </w:rPr>
        <w:t>simplicity</w:t>
      </w:r>
      <w:r w:rsidRPr="00D93ADD">
        <w:rPr>
          <w:rStyle w:val="StyleUnderline"/>
        </w:rPr>
        <w:t xml:space="preserve">. </w:t>
      </w:r>
    </w:p>
    <w:p w:rsidR="0062164B" w:rsidRDefault="000D3F1C" w:rsidP="0062164B">
      <w:pPr>
        <w:pStyle w:val="Heading3"/>
      </w:pPr>
      <w:bookmarkStart w:id="75" w:name="_Toc489138965"/>
      <w:r>
        <w:lastRenderedPageBreak/>
        <w:t xml:space="preserve">Link: </w:t>
      </w:r>
      <w:r w:rsidR="0062164B">
        <w:t>Subversion—Shadow Feminism</w:t>
      </w:r>
      <w:bookmarkEnd w:id="75"/>
      <w:r w:rsidR="0062164B">
        <w:t xml:space="preserve"> </w:t>
      </w:r>
    </w:p>
    <w:p w:rsidR="0062164B" w:rsidRPr="00FD4384" w:rsidRDefault="0062164B" w:rsidP="0062164B">
      <w:pPr>
        <w:pStyle w:val="Heading4"/>
        <w:rPr>
          <w:rStyle w:val="StyleUnderline"/>
          <w:b/>
          <w:u w:val="none"/>
        </w:rPr>
      </w:pPr>
      <w:r w:rsidRPr="00FD4384">
        <w:rPr>
          <w:rStyle w:val="StyleUnderline"/>
          <w:b/>
          <w:u w:val="none"/>
        </w:rPr>
        <w:t xml:space="preserve">The </w:t>
      </w:r>
      <w:r>
        <w:rPr>
          <w:rStyle w:val="StyleUnderline"/>
          <w:b/>
          <w:u w:val="none"/>
        </w:rPr>
        <w:t xml:space="preserve">1ac’s radical theorization of subversion and resistance relies on an implicitly American grammar of heroic individual—the construction of resistance as agency and freedom consolidates an academic monopoly on power and representation. This forecloses attention to a politics of negativity and unbecoming that refuses a teleology of progressive or radical politics. </w:t>
      </w:r>
    </w:p>
    <w:p w:rsidR="0062164B" w:rsidRDefault="0062164B" w:rsidP="0062164B">
      <w:r w:rsidRPr="00F05AD1">
        <w:rPr>
          <w:rStyle w:val="Style13ptBold"/>
        </w:rPr>
        <w:t>Halberstam 11</w:t>
      </w:r>
      <w:r>
        <w:t xml:space="preserve">. </w:t>
      </w:r>
      <w:r w:rsidRPr="00AE5E87">
        <w:rPr>
          <w:sz w:val="16"/>
          <w:szCs w:val="16"/>
        </w:rPr>
        <w:t xml:space="preserve">[J. Jack Halberstam, professor of English at the University of Southern California, </w:t>
      </w:r>
      <w:r w:rsidRPr="00AE5E87">
        <w:rPr>
          <w:i/>
          <w:sz w:val="16"/>
          <w:szCs w:val="16"/>
        </w:rPr>
        <w:t>The Queer Art of Failure</w:t>
      </w:r>
      <w:r w:rsidRPr="00AE5E87">
        <w:rPr>
          <w:sz w:val="16"/>
          <w:szCs w:val="16"/>
        </w:rPr>
        <w:t>. Duke UPress. pg. 126-129. SH.]</w:t>
      </w:r>
    </w:p>
    <w:p w:rsidR="0062164B" w:rsidRPr="006B7431" w:rsidRDefault="0062164B" w:rsidP="0062164B">
      <w:pPr>
        <w:jc w:val="both"/>
        <w:rPr>
          <w:rStyle w:val="StyleUnderline"/>
        </w:rPr>
      </w:pPr>
      <w:r w:rsidRPr="00AE5E87">
        <w:rPr>
          <w:rStyle w:val="StyleUnderline"/>
        </w:rPr>
        <w:t>Postcolonial feminists</w:t>
      </w:r>
      <w:r w:rsidRPr="00AE5E87">
        <w:rPr>
          <w:sz w:val="16"/>
        </w:rPr>
        <w:t xml:space="preserve"> from Spivak to Saba Mahmood </w:t>
      </w:r>
      <w:r w:rsidRPr="00AE5E87">
        <w:rPr>
          <w:rStyle w:val="StyleUnderline"/>
        </w:rPr>
        <w:t>have shown how prescriptive Western feminist theories of agency and power, freedom and resistance tend to be and have proposed alternative ways of thinking about self and action that emerge from contexts often rejected outright by feminism</w:t>
      </w:r>
      <w:r w:rsidRPr="00AE5E87">
        <w:rPr>
          <w:sz w:val="16"/>
        </w:rPr>
        <w:t xml:space="preserve">. While </w:t>
      </w:r>
      <w:r w:rsidRPr="00AE5E87">
        <w:rPr>
          <w:rStyle w:val="StyleUnderline"/>
        </w:rPr>
        <w:t>Mahmood focuses on Islamic women engaged in religious practices in the women’s mosque movement in Egypt to flesh out a critique of feminist theories of agency</w:t>
      </w:r>
      <w:r w:rsidRPr="00AE5E87">
        <w:rPr>
          <w:sz w:val="16"/>
        </w:rPr>
        <w:t xml:space="preserve">, in her famous essay “Can the Subaltern Speak?” </w:t>
      </w:r>
      <w:r w:rsidRPr="00AE5E87">
        <w:rPr>
          <w:rStyle w:val="StyleUnderline"/>
        </w:rPr>
        <w:t>Spivak uses the example of nineteenth- century bride suicide</w:t>
      </w:r>
      <w:r w:rsidRPr="00AE5E87">
        <w:rPr>
          <w:sz w:val="16"/>
        </w:rPr>
        <w:t xml:space="preserve"> (after the death of the husband) </w:t>
      </w:r>
      <w:r w:rsidRPr="00AE5E87">
        <w:rPr>
          <w:rStyle w:val="StyleUnderline"/>
        </w:rPr>
        <w:t>to demonstrate a mode of being woman that was incomprehensible within a normative feminist framework. Both theorists argue in terms of a “grammar of concepts,” to use Mahmood’s term, and both consider speech to be something other than the conventional feminist trope of breaking silence</w:t>
      </w:r>
      <w:r w:rsidRPr="00AE5E87">
        <w:rPr>
          <w:sz w:val="16"/>
        </w:rPr>
        <w:t xml:space="preserve">. At the heart of Mahmood’s book, The Politics of Piety: The Islamic Revival and the Feminist Subject is a concept of woman that does not presume the universality of desires for freedom and autonomy and for whom resistance to patriarchal trade tions may not be the goal (2005: 180). At the center of Spivak’s essay is a notion of womanhood that exceeds the Western feminist formulation of female life. Spivak ends her essay on the perils of intellectual attempts to represent oppressed peoples with an extended meditation on suttee, and Mahmood ends her book with an exploration of the meaning of feminine piety within Islam. </w:t>
      </w:r>
      <w:r w:rsidRPr="00AE5E87">
        <w:rPr>
          <w:rStyle w:val="StyleUnderline"/>
        </w:rPr>
        <w:t>Both theorists use patently antifeminist acts and activities to point to the limits of a feminist theory that already presumes the form that agency must take. Spivak explores the British attempt</w:t>
      </w:r>
      <w:r w:rsidRPr="00AE5E87">
        <w:rPr>
          <w:sz w:val="16"/>
        </w:rPr>
        <w:t xml:space="preserve"> in 1829 </w:t>
      </w:r>
      <w:r w:rsidRPr="00AE5E87">
        <w:rPr>
          <w:rStyle w:val="StyleUnderline"/>
        </w:rPr>
        <w:t>to abolish Hindu widow burning in relation to the self- representation of colonialism as benevolent intervention</w:t>
      </w:r>
      <w:r w:rsidRPr="00AE5E87">
        <w:rPr>
          <w:sz w:val="16"/>
        </w:rPr>
        <w:t xml:space="preserve"> and places this argument against the claim advanced by nativist Indians that sati must be respected as a practice because these women who lost their husbands actually wanted to die. She uses sati </w:t>
      </w:r>
      <w:r w:rsidRPr="00AE5E87">
        <w:rPr>
          <w:rStyle w:val="StyleUnderline"/>
        </w:rPr>
        <w:t>to illustrate her claim that colonialism articulates itself as “white men saving brown women from brown men,” but also to mark the complicity of Western feminism in this formulation</w:t>
      </w:r>
      <w:r w:rsidRPr="00AE5E87">
        <w:rPr>
          <w:sz w:val="16"/>
        </w:rPr>
        <w:t xml:space="preserve">. In a move that echoes Spivak’s counterintuitive break from even poststructuralist feminisms, </w:t>
      </w:r>
      <w:r w:rsidRPr="00AE5E87">
        <w:rPr>
          <w:rStyle w:val="StyleUnderline"/>
        </w:rPr>
        <w:t>Mahmood explores women in the mosque movement and their commitment to piety in order to ask, “Does the category of resistance impose a teleology of progressive politics on the analytics of power—a teleology that makes it hard for us to see and understand forms of being and action that are not necessarily encapsulated by the narrative of subversion and reinscription of norms</w:t>
      </w:r>
      <w:r w:rsidRPr="00AE5E87">
        <w:rPr>
          <w:sz w:val="16"/>
        </w:rPr>
        <w:t xml:space="preserve">?” (2005: 9). “Can the Subaltern Speak?” sets up </w:t>
      </w:r>
      <w:r w:rsidRPr="00AE5E87">
        <w:rPr>
          <w:rStyle w:val="StyleUnderline"/>
        </w:rPr>
        <w:t>a contradiction between different modes of representation within which an intellectual proposes to speak for an oppressed o</w:t>
      </w:r>
      <w:r>
        <w:rPr>
          <w:rStyle w:val="StyleUnderline"/>
        </w:rPr>
        <w:t>/</w:t>
      </w:r>
      <w:r w:rsidRPr="00AE5E87">
        <w:rPr>
          <w:rStyle w:val="StyleUnderline"/>
        </w:rPr>
        <w:t>ther</w:t>
      </w:r>
      <w:r w:rsidRPr="00AE5E87">
        <w:rPr>
          <w:sz w:val="16"/>
        </w:rPr>
        <w:t xml:space="preserve">. Spivak </w:t>
      </w:r>
      <w:r w:rsidRPr="00AE5E87">
        <w:rPr>
          <w:rStyle w:val="StyleUnderline"/>
        </w:rPr>
        <w:t>accuses Foucault and Deleuze as well as Western feminism of sneaking a heroic individualism in the back door of discursive critique. “Neither</w:t>
      </w:r>
      <w:r w:rsidRPr="00AE5E87">
        <w:rPr>
          <w:sz w:val="16"/>
        </w:rPr>
        <w:t xml:space="preserve"> Deleuze nor Foucault,” she writes, “</w:t>
      </w:r>
      <w:r w:rsidRPr="00AE5E87">
        <w:rPr>
          <w:rStyle w:val="StyleUnderline"/>
        </w:rPr>
        <w:t>seems aware that the intellectual within socialized capital, brandishing concrete experience, can help consolidate the international division of labor</w:t>
      </w:r>
      <w:r w:rsidRPr="00AE5E87">
        <w:rPr>
          <w:sz w:val="16"/>
        </w:rPr>
        <w:t xml:space="preserve">” (1988: 275). For Spivak, </w:t>
      </w:r>
      <w:r w:rsidRPr="00AE5E87">
        <w:rPr>
          <w:rStyle w:val="StyleUnderline"/>
        </w:rPr>
        <w:t>intellectuals</w:t>
      </w:r>
      <w:r w:rsidRPr="00AE5E87">
        <w:rPr>
          <w:sz w:val="16"/>
        </w:rPr>
        <w:t xml:space="preserve">, like poststructuralist feminist theorists for Mahmood, </w:t>
      </w:r>
      <w:r w:rsidRPr="00AE5E87">
        <w:rPr>
          <w:rStyle w:val="StyleUnderline"/>
        </w:rPr>
        <w:t>by imagining themselves to be a transparent vector for the exposure of ideological contradictions, cannot account for their own impact on the processes of domination and instead always imagine themselves in the heroic place of the individual who knows better than the oppressed masses about whom they theorize. The very notion of representation</w:t>
      </w:r>
      <w:r w:rsidRPr="00AE5E87">
        <w:rPr>
          <w:sz w:val="16"/>
        </w:rPr>
        <w:t xml:space="preserve">, Spivak claims, </w:t>
      </w:r>
      <w:r w:rsidRPr="00AE5E87">
        <w:rPr>
          <w:rStyle w:val="StyleUnderline"/>
        </w:rPr>
        <w:t>in terms of both a theory of economic exploitation and an ideological function, depends upon the production of “heroes, paternal proxies and agents of power</w:t>
      </w:r>
      <w:r w:rsidRPr="00AE5E87">
        <w:rPr>
          <w:sz w:val="16"/>
        </w:rPr>
        <w:t xml:space="preserve">” (279) </w:t>
      </w:r>
      <w:r w:rsidRPr="00AE5E87">
        <w:rPr>
          <w:rStyle w:val="StyleUnderline"/>
        </w:rPr>
        <w:t>and harbors “the possibility that the intellectual is complicit in the persistent constitution of the Other as the self’s shadow</w:t>
      </w:r>
      <w:r w:rsidRPr="00AE5E87">
        <w:rPr>
          <w:sz w:val="16"/>
        </w:rPr>
        <w:t xml:space="preserve">” (280). This idea, that </w:t>
      </w:r>
      <w:r w:rsidRPr="00AE5E87">
        <w:rPr>
          <w:rStyle w:val="StyleUnderline"/>
        </w:rPr>
        <w:t>intellectuals construct an otherness to “save” in order to fortify a sovereign notion of self</w:t>
      </w:r>
      <w:r w:rsidRPr="00AE5E87">
        <w:rPr>
          <w:sz w:val="16"/>
        </w:rPr>
        <w:t xml:space="preserve">, applies also to liberal feminism. In the context of the Hindu widow’s suicide, for example, the Western feminist can see only the workings of extraordinary patriarchy, and she also believes in a benevolent British colonialism that steps in to stop a brutal and archaic ritual. For Spivak, feminism is complicit in the project of constructing the subaltern subject it wants to represent and then heroically casting itself as the subaltern’s salvation. What if, Spivak seems to ask in her enigmatic final sentence, feminism was actually able to attend to the nativist </w:t>
      </w:r>
      <w:r w:rsidRPr="00AE5E87">
        <w:rPr>
          <w:sz w:val="16"/>
        </w:rPr>
        <w:lastRenderedPageBreak/>
        <w:t xml:space="preserve">claim that women who commit suttee actually want to die? She writes, “The female intellectual as an intellectual has a circumscribed task which she must not disown with a flourish” (308). Leaving aside the ambiguity of the double negative here (“must not disown”), the meaning of “female,” “intellectual,” and “circumscribed task” are all up for grabs, especially since Spivak has already contended that suttee makes an essential link between unbeing and femininity. This question clearly informs and influences Mahmood’s question about whether we have become willfully blind to forms of agency that do not take the form of resistance. In her Derridean deconstructivist mode, Spivak is </w:t>
      </w:r>
      <w:r w:rsidRPr="00AE5E87">
        <w:rPr>
          <w:rStyle w:val="StyleUnderline"/>
        </w:rPr>
        <w:t>calling for a feminism that can claim not to speak for the subaltern or to demand that the subaltern speak in the active voice of Western feminism; instead she imagines a feminism born of a dynamic intellectual struggle with the fact that some women may desire their own destruction for really good political reasons, even if those politics and those reasons lie beyond the purview of the version of feminism for which we have settled</w:t>
      </w:r>
      <w:r w:rsidRPr="00AE5E87">
        <w:rPr>
          <w:sz w:val="16"/>
        </w:rPr>
        <w:t xml:space="preserve">. Spivak’s call for a “female intellectual” who does not disown another version of womanhood, femininity, and feminism, indeed for any kind of intellectual who can learn how not to know the other, how not to sacrifice the other on behalf of his or her own sovereignty, is a call that has largely gone unanswered. It is this version of feminism that I seek to inhabit, </w:t>
      </w:r>
      <w:r w:rsidRPr="00AE5E87">
        <w:rPr>
          <w:rStyle w:val="StyleUnderline"/>
        </w:rPr>
        <w:t>a feminism that fails to save others or to replicate itself, a feminism that finds purpose in its own failure</w:t>
      </w:r>
      <w:r w:rsidRPr="00AE5E87">
        <w:rPr>
          <w:sz w:val="16"/>
        </w:rPr>
        <w:t xml:space="preserve">. A more accessible text makes the very same point. In one of my favorite feminist texts of all time, the epic animated drama Chicken Run, the politically active and explicitly feminist bird Ginger is opposed in her struggle to inspire the birds to rise up by two other “feminist subjects.” One is the cynic, Bunty, a hard- nosed fighter who rejects utopian dreams out of hand, and the other is Babs, voiced by Jane Horrocks, who sometimes gives voice to feminine naïveté and sometimes points to the absurdity of the political terrain as it has been outlined by the activist Ginger. Ginger says, for example, “We either die free chickens, or we die trying.” Babs asks naïvely, “Are those the only choices?” Like Babs, and indeed like Spivak and Mahmood, I am proposing that </w:t>
      </w:r>
      <w:r w:rsidRPr="00AE5E87">
        <w:rPr>
          <w:rStyle w:val="StyleUnderline"/>
        </w:rPr>
        <w:t>feminists refuse the choices as offered—freedom in liberal terms or death—in order to think about a shadow archive of resistance, one that does not speak in the language of action and momentum but instead articulates itself in terms of evacuation, refusal, passivity, unbecoming, unbeing. This could be called an antisocial feminism, a form of feminism preoccupied with negativity and negation</w:t>
      </w:r>
      <w:r w:rsidRPr="00AE5E87">
        <w:rPr>
          <w:sz w:val="16"/>
        </w:rPr>
        <w:t xml:space="preserve">. As Roderick Ferguson puts it in a chapter titled “The Negations of Black Lesbian Feminism” in Aberrations in Black, “Negation not only points to the conditions of exploitation. It denotes the circumstances for critique and alternatives as well” (2005: 136–37). Building on the work of Hortense Spillers, Ferguson is trying </w:t>
      </w:r>
      <w:r w:rsidRPr="00AE5E87">
        <w:rPr>
          <w:rStyle w:val="StyleUnderline"/>
        </w:rPr>
        <w:t>to circumvent an “American” political grammar that insists upon placing liberation struggles within the same logic as the normative regimes against which they struggle. A different, anarchistic type of struggle requires a new grammar, possibly a new voice, potentially the passive voice.</w:t>
      </w:r>
    </w:p>
    <w:p w:rsidR="0062164B" w:rsidRPr="00825570" w:rsidRDefault="0062164B" w:rsidP="0062164B"/>
    <w:p w:rsidR="0062164B" w:rsidRDefault="0062164B" w:rsidP="0062164B"/>
    <w:p w:rsidR="0062164B" w:rsidRDefault="0062164B" w:rsidP="0062164B"/>
    <w:p w:rsidR="0062164B" w:rsidRPr="00AB0410" w:rsidRDefault="0062164B" w:rsidP="0062164B"/>
    <w:p w:rsidR="0062164B" w:rsidRDefault="0062164B" w:rsidP="0062164B">
      <w:pPr>
        <w:pStyle w:val="Heading3"/>
      </w:pPr>
      <w:bookmarkStart w:id="76" w:name="_Toc489138966"/>
      <w:r>
        <w:lastRenderedPageBreak/>
        <w:t>Link—Fun</w:t>
      </w:r>
      <w:bookmarkEnd w:id="76"/>
      <w:r>
        <w:t xml:space="preserve"> </w:t>
      </w:r>
    </w:p>
    <w:p w:rsidR="0062164B" w:rsidRPr="002102B8" w:rsidRDefault="0062164B" w:rsidP="0062164B">
      <w:pPr>
        <w:pStyle w:val="Heading4"/>
      </w:pPr>
      <w:r>
        <w:t>The aff’s positively affected play reproduces Western paradigms of entertainment</w:t>
      </w:r>
    </w:p>
    <w:p w:rsidR="0062164B" w:rsidRPr="004A3C3A" w:rsidRDefault="0062164B" w:rsidP="0062164B">
      <w:pPr>
        <w:rPr>
          <w:rStyle w:val="Style13ptBold"/>
          <w:b w:val="0"/>
        </w:rPr>
      </w:pPr>
      <w:r>
        <w:rPr>
          <w:rStyle w:val="Style13ptBold"/>
        </w:rPr>
        <w:t xml:space="preserve">Ruberg 15 </w:t>
      </w:r>
      <w:r w:rsidRPr="004A3C3A">
        <w:rPr>
          <w:rStyle w:val="Style13ptBold"/>
          <w:b w:val="0"/>
          <w:sz w:val="16"/>
          <w:szCs w:val="16"/>
        </w:rPr>
        <w:t xml:space="preserve">[Bonnie. Bonnie Ruberg is a PhD candidate at the University of California at Berkeley, where her work spans the departments of Comparative Literature, New Media, and Gender and Women’s Studies. “No Fun: The Queer Potential of Video Games that Annoy, Anger, Disappoint, Sadden, and Hurt.” </w:t>
      </w:r>
      <w:r w:rsidRPr="004A3C3A">
        <w:rPr>
          <w:rStyle w:val="Style13ptBold"/>
          <w:b w:val="0"/>
          <w:i/>
          <w:sz w:val="16"/>
          <w:szCs w:val="16"/>
        </w:rPr>
        <w:t>QED: A Journal in GLBTQ Worldmaking</w:t>
      </w:r>
      <w:r w:rsidRPr="004A3C3A">
        <w:rPr>
          <w:rStyle w:val="Style13ptBold"/>
          <w:b w:val="0"/>
          <w:sz w:val="16"/>
          <w:szCs w:val="16"/>
        </w:rPr>
        <w:t xml:space="preserve"> Vol. 2 No. 2 Summer 2015. SH]</w:t>
      </w:r>
    </w:p>
    <w:p w:rsidR="0062164B" w:rsidRPr="00B40570" w:rsidRDefault="0062164B" w:rsidP="0062164B">
      <w:pPr>
        <w:rPr>
          <w:rStyle w:val="StyleUnderline"/>
        </w:rPr>
      </w:pPr>
      <w:r w:rsidRPr="00B40570">
        <w:rPr>
          <w:sz w:val="16"/>
        </w:rPr>
        <w:t xml:space="preserve">More than just a matter of best-design practices, this question of fun versus no-fun gets at some of today’s most heated debates about video games as a medium. </w:t>
      </w:r>
      <w:r w:rsidRPr="00B40570">
        <w:rPr>
          <w:rStyle w:val="StyleUnderline"/>
        </w:rPr>
        <w:t>Fun is central to the discourse of GamerGate, the extensive online harassment campaign currently being waged against female game designers and feminist games journalists</w:t>
      </w:r>
      <w:r w:rsidRPr="00B40570">
        <w:rPr>
          <w:sz w:val="16"/>
        </w:rPr>
        <w:t xml:space="preserve">. In anonymous forums and on social media, Gamer-Gaters have organized </w:t>
      </w:r>
      <w:r w:rsidRPr="00B40570">
        <w:rPr>
          <w:rStyle w:val="StyleUnderline"/>
        </w:rPr>
        <w:t>around the principle that video games shouldn’t be subject to socially engaged critique</w:t>
      </w:r>
      <w:r w:rsidRPr="00B40570">
        <w:rPr>
          <w:sz w:val="16"/>
        </w:rPr>
        <w:t xml:space="preserve">. Rather, </w:t>
      </w:r>
      <w:r w:rsidRPr="00B40570">
        <w:rPr>
          <w:rStyle w:val="StyleUnderline"/>
        </w:rPr>
        <w:t>they should remain “just for fun</w:t>
      </w:r>
      <w:r w:rsidRPr="00B40570">
        <w:rPr>
          <w:sz w:val="16"/>
        </w:rPr>
        <w:t xml:space="preserve">.” Long implicit in reactionary gamer culture, where “serious” concerns like discrimination and sexism have been deliberately silenced, the war over fun is no longer a subtle one. As the New York Times pointed out, the game that first incensed GamerGate harassers, Zoe Quinn’s Depression Quest, is notably no fun—nor is it meant to be.4 The idea that such a game might bring into question dominant paradigms of entertainment has, it seems, sufficed to incite threats of real-life rape and murder. Couched within such vitriol, it is easy to see how an insistence on fun can breed unanticipated social dangers. However, some of fun’s pitfalls are less immediately obvious. As journalist Leigh Alexander has argued, foregrounding fun as a design principle holds back video games in their public perception as an art form.5 Designers will need to allow for a wider range of emotional experiences if they hope to achieve legitimacy in a culture that currently views games as juvenile, fun as escapist, and real art as emotionally challenging. Those who argue for art-form status often compare the history of games to the history of film. Yet who would demand that all films be fun—or even beautiful? Think [End Page 111] of all the films that would have to be cut from the canon of cinema if the moving image had to be, in the most mainstream sense, entertaining. Those are the video games, many of them yet to be imagined, that we cast aside when we insist on fun. And whose fun are we talking about, anyway? Fun as a focus for video games is problematic in part because </w:t>
      </w:r>
      <w:r w:rsidRPr="00B40570">
        <w:rPr>
          <w:rStyle w:val="StyleUnderline"/>
        </w:rPr>
        <w:t>fun itself</w:t>
      </w:r>
      <w:r w:rsidRPr="00B40570">
        <w:rPr>
          <w:sz w:val="16"/>
        </w:rPr>
        <w:t xml:space="preserve"> is not a natural and invariable experience. It </w:t>
      </w:r>
      <w:r w:rsidRPr="00B40570">
        <w:rPr>
          <w:rStyle w:val="StyleUnderline"/>
        </w:rPr>
        <w:t>is culturally specific and personal. Asking this question (whose fun?) is, in fact, an ethical imperative for all games designers</w:t>
      </w:r>
      <w:r w:rsidRPr="00B40570">
        <w:rPr>
          <w:sz w:val="16"/>
        </w:rPr>
        <w:t xml:space="preserve">. For example, as Mohini Dutta has pointed out in arguing for the value of participatory design, what is fun in America isn’t necessarily fun all over the world.6 </w:t>
      </w:r>
      <w:r w:rsidRPr="00B40570">
        <w:rPr>
          <w:rStyle w:val="StyleUnderline"/>
        </w:rPr>
        <w:t>Designers</w:t>
      </w:r>
      <w:r w:rsidRPr="00B40570">
        <w:rPr>
          <w:sz w:val="16"/>
        </w:rPr>
        <w:t xml:space="preserve"> of serious games </w:t>
      </w:r>
      <w:r w:rsidRPr="00B40570">
        <w:rPr>
          <w:rStyle w:val="StyleUnderline"/>
        </w:rPr>
        <w:t>run the risk of engaging in neo-imperialism when they design games for education in the global south that impose upon their players Western paradigms of entertainment</w:t>
      </w:r>
      <w:r w:rsidRPr="00B40570">
        <w:rPr>
          <w:sz w:val="16"/>
        </w:rPr>
        <w:t>. The point I want to make here is that “</w:t>
      </w:r>
      <w:r w:rsidRPr="00B40570">
        <w:rPr>
          <w:rStyle w:val="StyleUnderline"/>
        </w:rPr>
        <w:t>fun” is never “just fun.” Fun is cultural, structural, gendered, and commonly hegemonic. Fun as an experience is deeply personal, yet fun as a construct is unavoidably political.</w:t>
      </w:r>
    </w:p>
    <w:p w:rsidR="0062164B" w:rsidRDefault="0062164B" w:rsidP="0062164B"/>
    <w:p w:rsidR="0062164B" w:rsidRDefault="0062164B" w:rsidP="0062164B"/>
    <w:p w:rsidR="0062164B" w:rsidRDefault="0062164B" w:rsidP="0062164B">
      <w:pPr>
        <w:pStyle w:val="Heading3"/>
      </w:pPr>
      <w:bookmarkStart w:id="77" w:name="_Toc489138967"/>
      <w:r>
        <w:lastRenderedPageBreak/>
        <w:t>Impact/Alt—Long</w:t>
      </w:r>
      <w:bookmarkEnd w:id="77"/>
      <w:r>
        <w:t xml:space="preserve"> </w:t>
      </w:r>
    </w:p>
    <w:p w:rsidR="0062164B" w:rsidRPr="009F30B0" w:rsidRDefault="0062164B" w:rsidP="0062164B">
      <w:pPr>
        <w:pStyle w:val="Heading4"/>
        <w:rPr>
          <w:rStyle w:val="Style13ptBold"/>
          <w:b/>
        </w:rPr>
      </w:pPr>
      <w:r w:rsidRPr="009F30B0">
        <w:rPr>
          <w:rStyle w:val="Style13ptBold"/>
          <w:b/>
        </w:rPr>
        <w:t xml:space="preserve">The reproduction of social order is guaranteed through an unspoken war against all other forms of life. Against this, refuse disciplinarity and embrace the frivolous, silly, and failures as sites of political autonomy—these modes of doing politics signal new ways of knowing and being that open up fractures and refuses political manipulation </w:t>
      </w:r>
    </w:p>
    <w:p w:rsidR="0062164B" w:rsidRDefault="0062164B" w:rsidP="0062164B">
      <w:r w:rsidRPr="00F05AD1">
        <w:rPr>
          <w:rStyle w:val="Style13ptBold"/>
        </w:rPr>
        <w:t>Halberstam 11</w:t>
      </w:r>
      <w:r>
        <w:t xml:space="preserve">. </w:t>
      </w:r>
      <w:r w:rsidRPr="00AE5E87">
        <w:rPr>
          <w:sz w:val="16"/>
          <w:szCs w:val="16"/>
        </w:rPr>
        <w:t xml:space="preserve">[J. Jack Halberstam, professor of English at the University of Southern California, </w:t>
      </w:r>
      <w:r w:rsidRPr="00AE5E87">
        <w:rPr>
          <w:i/>
          <w:sz w:val="16"/>
          <w:szCs w:val="16"/>
        </w:rPr>
        <w:t>The Queer Art of Failure</w:t>
      </w:r>
      <w:r w:rsidRPr="00AE5E87">
        <w:rPr>
          <w:sz w:val="16"/>
          <w:szCs w:val="16"/>
        </w:rPr>
        <w:t xml:space="preserve">. Duke UPress. pg. </w:t>
      </w:r>
      <w:r>
        <w:rPr>
          <w:sz w:val="16"/>
          <w:szCs w:val="16"/>
        </w:rPr>
        <w:t>6-13</w:t>
      </w:r>
      <w:r w:rsidRPr="00AE5E87">
        <w:rPr>
          <w:sz w:val="16"/>
          <w:szCs w:val="16"/>
        </w:rPr>
        <w:t>. SH.]</w:t>
      </w:r>
    </w:p>
    <w:p w:rsidR="0062164B" w:rsidRPr="00A842EC" w:rsidRDefault="0062164B" w:rsidP="0062164B">
      <w:pPr>
        <w:autoSpaceDE w:val="0"/>
        <w:autoSpaceDN w:val="0"/>
        <w:adjustRightInd w:val="0"/>
        <w:spacing w:after="0" w:line="240" w:lineRule="auto"/>
        <w:jc w:val="both"/>
        <w:rPr>
          <w:rFonts w:eastAsia="Quadraat-t-text"/>
          <w:sz w:val="16"/>
          <w:szCs w:val="20"/>
        </w:rPr>
      </w:pPr>
      <w:r w:rsidRPr="001301B9">
        <w:rPr>
          <w:rStyle w:val="Emphasis"/>
        </w:rPr>
        <w:t>Illegibility</w:t>
      </w:r>
      <w:r w:rsidRPr="003E7D3A">
        <w:rPr>
          <w:sz w:val="16"/>
        </w:rPr>
        <w:t xml:space="preserve">, then, </w:t>
      </w:r>
      <w:r w:rsidRPr="001301B9">
        <w:rPr>
          <w:rStyle w:val="StyleUnderline"/>
        </w:rPr>
        <w:t xml:space="preserve">has been and </w:t>
      </w:r>
      <w:r w:rsidRPr="001301B9">
        <w:rPr>
          <w:rStyle w:val="Emphasis"/>
        </w:rPr>
        <w:t>remains, a reliable source for political autonomy</w:t>
      </w:r>
      <w:r w:rsidRPr="003E7D3A">
        <w:rPr>
          <w:sz w:val="16"/>
        </w:rPr>
        <w:t xml:space="preserve">. —James C. Scott, Seeing Like a State Any book that begins with a quote from SpongeBob SquarePants and is motored by wisdom gleaned from Fantastic Mr. Fox, Chicken Run, and Find- ing Nemo, among other animated guides to life, runs the risk of not being taken seriously. Yet this is my goal. </w:t>
      </w:r>
      <w:r w:rsidRPr="001301B9">
        <w:rPr>
          <w:rStyle w:val="StyleUnderline"/>
        </w:rPr>
        <w:t>Being taken seriously means missing out on the chance to be frivolous, promiscuous, and irrelevant. The desire to be taken seriously is precisely what compels people to follow the tried and true paths of knowledge production around which I would like to map a few detours</w:t>
      </w:r>
      <w:r w:rsidRPr="003E7D3A">
        <w:rPr>
          <w:sz w:val="16"/>
        </w:rPr>
        <w:t xml:space="preserve">. Indeed </w:t>
      </w:r>
      <w:r w:rsidRPr="001301B9">
        <w:rPr>
          <w:rStyle w:val="StyleUnderline"/>
        </w:rPr>
        <w:t xml:space="preserve">terms like serious and rigorous </w:t>
      </w:r>
      <w:r w:rsidRPr="001301B9">
        <w:rPr>
          <w:rStyle w:val="Emphasis"/>
        </w:rPr>
        <w:t>tend to be code words</w:t>
      </w:r>
      <w:r w:rsidRPr="003E7D3A">
        <w:rPr>
          <w:sz w:val="16"/>
        </w:rPr>
        <w:t xml:space="preserve">, in academia as well as other contexts, </w:t>
      </w:r>
      <w:r w:rsidRPr="001301B9">
        <w:rPr>
          <w:rStyle w:val="Emphasis"/>
        </w:rPr>
        <w:t>for disciplinary correctness</w:t>
      </w:r>
      <w:r w:rsidRPr="003E7D3A">
        <w:rPr>
          <w:sz w:val="16"/>
        </w:rPr>
        <w:t xml:space="preserve">; </w:t>
      </w:r>
      <w:r w:rsidRPr="001301B9">
        <w:rPr>
          <w:rStyle w:val="StyleUnderline"/>
        </w:rPr>
        <w:t>they signal a form of training and learning that confirms what is already known according to approved methods of knowing, but they do not allow for visionary insights or flights of fancy. Training of any kind, in fact, is a way of refusing a kind of Benjaminian relation to knowing, a stroll down uncharted streets in the “wrong” direction</w:t>
      </w:r>
      <w:r w:rsidRPr="003E7D3A">
        <w:rPr>
          <w:sz w:val="16"/>
        </w:rPr>
        <w:t xml:space="preserve"> (Benjamin 1996); it is precisely about staying in well-lit territories and about knowing exactly which way to go before you set out. Like many others before me, I propose that instead </w:t>
      </w:r>
      <w:r w:rsidRPr="001301B9">
        <w:rPr>
          <w:rStyle w:val="StyleUnderline"/>
        </w:rPr>
        <w:t>the goal is to lose one’s way, and indeed to be prepared to lose more than one’s way. Losing,</w:t>
      </w:r>
      <w:r w:rsidRPr="003E7D3A">
        <w:rPr>
          <w:sz w:val="16"/>
        </w:rPr>
        <w:t xml:space="preserve"> we may agree with Elizabeth Bishop, </w:t>
      </w:r>
      <w:r w:rsidRPr="001301B9">
        <w:rPr>
          <w:rStyle w:val="StyleUnderline"/>
        </w:rPr>
        <w:t>is an art, and one “that is not too hard to master / Though it may look like a disaster</w:t>
      </w:r>
      <w:r w:rsidRPr="003E7D3A">
        <w:rPr>
          <w:sz w:val="16"/>
        </w:rPr>
        <w:t xml:space="preserve">” (2008: 166–167). </w:t>
      </w:r>
      <w:r w:rsidRPr="001301B9">
        <w:rPr>
          <w:rStyle w:val="StyleUnderline"/>
        </w:rPr>
        <w:t>In the sciences</w:t>
      </w:r>
      <w:r w:rsidRPr="003E7D3A">
        <w:rPr>
          <w:sz w:val="16"/>
        </w:rPr>
        <w:t xml:space="preserve">, particularly physics and mathematics, </w:t>
      </w:r>
      <w:r w:rsidRPr="001301B9">
        <w:rPr>
          <w:rStyle w:val="StyleUnderline"/>
        </w:rPr>
        <w:t>there are many examples of rogue intellectuals</w:t>
      </w:r>
      <w:r w:rsidRPr="003E7D3A">
        <w:rPr>
          <w:sz w:val="16"/>
        </w:rPr>
        <w:t xml:space="preserve">, not all of whom are reclusive Unabomber types (although more than a few are just that), </w:t>
      </w:r>
      <w:r w:rsidRPr="001301B9">
        <w:rPr>
          <w:rStyle w:val="StyleUnderline"/>
        </w:rPr>
        <w:t>who wander off into uncharted territories and refuse the academy because the publish-or-perish pressure of academic life keeps them tethered to conventional knowledge production and its well-traveled byways</w:t>
      </w:r>
      <w:r w:rsidRPr="003E7D3A">
        <w:rPr>
          <w:sz w:val="16"/>
        </w:rPr>
        <w:t xml:space="preserve">. Popular mathematics books, for example, revel in stories about unconventional loners who are self- schooled and who make their own way through the world of numbers. For some kooky minds, disciplines actually get in the way of answers and theorems precisely because they offer maps of thought where intuition and blind [unscripted] fumbling might yield better results. In 2008, for example, The New Yorker featured a story about an oddball physicist who, like many ambitious physicists and mathematicians, was in hot pursuit of a grand theory, a “theory of everything.” This thinker, Garrett Lisi, had dropped out of academic physics because string theory dominated the field at that time and he thought the answers lay elsewhere. As an outsider to the discipline, writes Benjamin Wallace-Wells, Lisi “built his theory as an outsider might, relying on a grab bag of component parts: a hand-built mathematical structure, an unconventional way of describing gravity, and a mysterious mathematical entity known as E8.”1 In the end Lisi’s “theory of everything” fell short of expectations, but it nonetheless yielded a whole terrain of new questions and methods. Similarly the computer scientists who pioneered new programs to produce computer-generated imagery (CGI), as many accounts of the rise of Pixar have chronicled, were academic rejects or dropouts who created independent institutes in order to explore their dreams of animated worlds.2 </w:t>
      </w:r>
      <w:r w:rsidRPr="001301B9">
        <w:rPr>
          <w:rStyle w:val="StyleUnderline"/>
        </w:rPr>
        <w:t>These alternative cultural and academic realms,</w:t>
      </w:r>
      <w:r w:rsidRPr="003E7D3A">
        <w:rPr>
          <w:sz w:val="16"/>
        </w:rPr>
        <w:t xml:space="preserve"> the areas beside academia rather than within it, </w:t>
      </w:r>
      <w:r w:rsidRPr="001301B9">
        <w:rPr>
          <w:rStyle w:val="StyleUnderline"/>
        </w:rPr>
        <w:t>the intellectual worlds conjured by losers, failures, dropouts, and refuseniks, often serve as the launching pad for alternatives precisely when the university cannot. This is not a bad time to experiment with disciplinary transformation on behalf of the project of generating new forms of knowing, since the fields that were assembled over one hundred years ago to respond to new market economies and the demand for narrow expertise</w:t>
      </w:r>
      <w:r w:rsidRPr="003E7D3A">
        <w:rPr>
          <w:sz w:val="16"/>
        </w:rPr>
        <w:t xml:space="preserve">, as Foucault de- scribed them, </w:t>
      </w:r>
      <w:r w:rsidRPr="001301B9">
        <w:rPr>
          <w:rStyle w:val="StyleUnderline"/>
        </w:rPr>
        <w:t>are now losing relevance and failing to respond either to real-world knowledge projects or student interests</w:t>
      </w:r>
      <w:r w:rsidRPr="003E7D3A">
        <w:rPr>
          <w:sz w:val="16"/>
        </w:rPr>
        <w:t>. As the big disciplines begin to crumble like banks that have invested in bad securities we might ask more broadly, Do we really want to shore up the ragged boundaries of our shared interests and intellectual commitments, or might we rather take this opportunity to rethink the project of learning and thinking altogether?</w:t>
      </w:r>
      <w:r w:rsidRPr="001301B9">
        <w:rPr>
          <w:rStyle w:val="StyleUnderline"/>
        </w:rPr>
        <w:t xml:space="preserve"> Just as the standardized tests that the U.S. favors as a guide to intellectual advancement in high schools tend to identify people who are good at standardized exams (as opposed to, say, intellectual visionaries), so in universities grades, exams, and </w:t>
      </w:r>
      <w:r w:rsidRPr="003E7D3A">
        <w:rPr>
          <w:rStyle w:val="Emphasis"/>
        </w:rPr>
        <w:t>knowledge of canons identify scholars</w:t>
      </w:r>
      <w:r w:rsidRPr="001301B9">
        <w:rPr>
          <w:rStyle w:val="StyleUnderline"/>
        </w:rPr>
        <w:t xml:space="preserve"> with an aptitude for maintaining and </w:t>
      </w:r>
      <w:r w:rsidRPr="003E7D3A">
        <w:rPr>
          <w:rStyle w:val="Emphasis"/>
        </w:rPr>
        <w:t>conforming to the dictates of the discipline</w:t>
      </w:r>
      <w:r w:rsidRPr="003E7D3A">
        <w:rPr>
          <w:sz w:val="16"/>
        </w:rPr>
        <w:t xml:space="preserve">. This book, a stroll out of the confines of conventional knowledge and into the unregulated territories of failure, loss, and unbecoming, must make a long detour around disciplines and ordinary ways of thinking. Let me explain how </w:t>
      </w:r>
      <w:r w:rsidRPr="001301B9">
        <w:rPr>
          <w:rStyle w:val="StyleUnderline"/>
        </w:rPr>
        <w:t xml:space="preserve">universities (and by implication high schools) squash rather than </w:t>
      </w:r>
      <w:r w:rsidRPr="001301B9">
        <w:rPr>
          <w:rStyle w:val="StyleUnderline"/>
        </w:rPr>
        <w:lastRenderedPageBreak/>
        <w:t>promote quirky and original thought</w:t>
      </w:r>
      <w:r w:rsidRPr="003E7D3A">
        <w:rPr>
          <w:sz w:val="16"/>
        </w:rPr>
        <w:t xml:space="preserve">. </w:t>
      </w:r>
      <w:r w:rsidRPr="001301B9">
        <w:rPr>
          <w:rStyle w:val="Emphasis"/>
        </w:rPr>
        <w:t>Disciplinarity</w:t>
      </w:r>
      <w:r w:rsidRPr="003E7D3A">
        <w:rPr>
          <w:sz w:val="16"/>
        </w:rPr>
        <w:t xml:space="preserve">, as de- fined by Foucault (1995), </w:t>
      </w:r>
      <w:r w:rsidRPr="001301B9">
        <w:rPr>
          <w:rStyle w:val="Emphasis"/>
        </w:rPr>
        <w:t>is a technique of modern power</w:t>
      </w:r>
      <w:r w:rsidRPr="001301B9">
        <w:rPr>
          <w:rStyle w:val="StyleUnderline"/>
        </w:rPr>
        <w:t>: it depends upon and deploys normalization, routines, convention, tradition, and regularity, and it produces experts and administrative forms of governance. The university structure that houses the disciplines and jealously guards their boundaries now stands at a crossroads,</w:t>
      </w:r>
      <w:r w:rsidRPr="003E7D3A">
        <w:rPr>
          <w:sz w:val="16"/>
        </w:rPr>
        <w:t xml:space="preserve"> not of disciplinarity and interdisciplinarity, past and future, national and transnational; the crossroads at which the rapidly disintegrating bandwagon of disciplines, subfields, and interdisciplines has arrived offer a choice between the university as corporation and investment opportunity and the university as a new kind of public sphere with a different investment in knowledge, in ideas, and in thought and politics. A radical take on disciplinarity and the university that presumes both the breakdown of the disciplines and the closing of gaps between fields conventionally presumed to be separated can be found in a manifesto published by Fred Moten and Stefano Harney in 2004 in Social Text titled “The University and the Undercommons: Seven Theses.” Their essay is a searing critique directed at the intellectual and the critical intellectual, the professional scholar and the “critical academic professionals.” For Moten and Harney, </w:t>
      </w:r>
      <w:r w:rsidRPr="003E7D3A">
        <w:rPr>
          <w:rStyle w:val="StyleUnderline"/>
        </w:rPr>
        <w:t>the critical academic is not the answer to encroaching professionalization but an extension of it, using the very same tools and legitimating strategies to become “</w:t>
      </w:r>
      <w:r w:rsidRPr="003E7D3A">
        <w:rPr>
          <w:rStyle w:val="Emphasis"/>
        </w:rPr>
        <w:t>an ally of professional education</w:t>
      </w:r>
      <w:r w:rsidRPr="003E7D3A">
        <w:rPr>
          <w:sz w:val="16"/>
        </w:rPr>
        <w:t xml:space="preserve">.” </w:t>
      </w:r>
      <w:r w:rsidRPr="003E7D3A">
        <w:rPr>
          <w:rStyle w:val="StyleUnderline"/>
        </w:rPr>
        <w:t>Moten and Harney prefer to pitch their tent with the “subversive intellectuals,” a maroon community of outcast thinkers who refuse, resist, and renege on the demands of “rigor,” “excellence,” and “productivity.” They tell us to “steal from the university,” to “steal the enlightenment for others”</w:t>
      </w:r>
      <w:r w:rsidRPr="003E7D3A">
        <w:rPr>
          <w:sz w:val="16"/>
        </w:rPr>
        <w:t xml:space="preserve"> (112), </w:t>
      </w:r>
      <w:r w:rsidRPr="003E7D3A">
        <w:rPr>
          <w:rStyle w:val="StyleUnderline"/>
        </w:rPr>
        <w:t>and to act against “what Foucault called</w:t>
      </w:r>
      <w:r w:rsidRPr="003E7D3A">
        <w:rPr>
          <w:sz w:val="16"/>
        </w:rPr>
        <w:t xml:space="preserve"> </w:t>
      </w:r>
      <w:r w:rsidRPr="003E7D3A">
        <w:rPr>
          <w:rStyle w:val="Emphasis"/>
        </w:rPr>
        <w:t>the Conquest, the unspoken war that founded, and with the force of law refounds, society</w:t>
      </w:r>
      <w:r w:rsidRPr="003E7D3A">
        <w:rPr>
          <w:sz w:val="16"/>
        </w:rPr>
        <w:t xml:space="preserve">” (113). And what does the undercommons of the university want to be? It wants to constitute </w:t>
      </w:r>
      <w:r w:rsidRPr="003E7D3A">
        <w:rPr>
          <w:rStyle w:val="StyleUnderline"/>
        </w:rPr>
        <w:t>an unprofessional force of fugitive knowers, with a set of intellectual practices not bound by examination systems and test scores. The goal for this unprofessionalization is not to abolish</w:t>
      </w:r>
      <w:r w:rsidRPr="003E7D3A">
        <w:rPr>
          <w:sz w:val="16"/>
        </w:rPr>
        <w:t>; in fact Moten and Harney set the fugitive intellectual against the elimination or abolition of this, the founding or refounding of that: “</w:t>
      </w:r>
      <w:r w:rsidRPr="003E7D3A">
        <w:rPr>
          <w:rStyle w:val="StyleUnderline"/>
        </w:rPr>
        <w:t xml:space="preserve">Not so much the abolition of prisons but the </w:t>
      </w:r>
      <w:r w:rsidRPr="003E7D3A">
        <w:rPr>
          <w:rStyle w:val="Emphasis"/>
        </w:rPr>
        <w:t>abolition of a society that could have prisons</w:t>
      </w:r>
      <w:r w:rsidRPr="003E7D3A">
        <w:rPr>
          <w:sz w:val="16"/>
        </w:rPr>
        <w:t xml:space="preserve">, </w:t>
      </w:r>
      <w:r w:rsidRPr="003E7D3A">
        <w:rPr>
          <w:rStyle w:val="StyleUnderline"/>
        </w:rPr>
        <w:t xml:space="preserve">that could have </w:t>
      </w:r>
      <w:r w:rsidRPr="003E7D3A">
        <w:rPr>
          <w:rStyle w:val="Emphasis"/>
        </w:rPr>
        <w:t>slavery</w:t>
      </w:r>
      <w:r w:rsidRPr="003E7D3A">
        <w:rPr>
          <w:rStyle w:val="StyleUnderline"/>
        </w:rPr>
        <w:t xml:space="preserve">, that could have </w:t>
      </w:r>
      <w:r w:rsidRPr="003E7D3A">
        <w:rPr>
          <w:rStyle w:val="Emphasis"/>
        </w:rPr>
        <w:t xml:space="preserve">the wage, </w:t>
      </w:r>
      <w:r w:rsidRPr="003E7D3A">
        <w:rPr>
          <w:rStyle w:val="StyleUnderline"/>
        </w:rPr>
        <w:t>and therefore not abolition as the elimination of anything</w:t>
      </w:r>
      <w:r w:rsidRPr="003E7D3A">
        <w:rPr>
          <w:rStyle w:val="Emphasis"/>
        </w:rPr>
        <w:t xml:space="preserve"> but abolition as the founding of a new society</w:t>
      </w:r>
      <w:r w:rsidRPr="003E7D3A">
        <w:rPr>
          <w:sz w:val="16"/>
        </w:rPr>
        <w:t xml:space="preserve">” (113). Not the elimination of anything but the founding of a new society. And why not? Why not think in terms of a different kind of society than the one that first created and then abolished slavery? </w:t>
      </w:r>
      <w:r w:rsidRPr="003E7D3A">
        <w:rPr>
          <w:rStyle w:val="StyleUnderline"/>
        </w:rPr>
        <w:t>The social worlds we inhabit</w:t>
      </w:r>
      <w:r w:rsidRPr="003E7D3A">
        <w:rPr>
          <w:sz w:val="16"/>
        </w:rPr>
        <w:t xml:space="preserve">, after all, as so many thinkers have reminded us, </w:t>
      </w:r>
      <w:r w:rsidRPr="003E7D3A">
        <w:rPr>
          <w:rStyle w:val="StyleUnderline"/>
        </w:rPr>
        <w:t>are not inevitable</w:t>
      </w:r>
      <w:r w:rsidRPr="003E7D3A">
        <w:rPr>
          <w:sz w:val="16"/>
        </w:rPr>
        <w:t xml:space="preserve">; they were not always bound to turn out this way, and what’s more, </w:t>
      </w:r>
      <w:r w:rsidRPr="003E7D3A">
        <w:rPr>
          <w:rStyle w:val="StyleUnderline"/>
        </w:rPr>
        <w:t>in the process of producing this reality, many other realities, fields of knowledge, and ways of being have been discarded and,</w:t>
      </w:r>
      <w:r w:rsidRPr="003E7D3A">
        <w:rPr>
          <w:sz w:val="16"/>
        </w:rPr>
        <w:t xml:space="preserve"> to cite Fou- cault again, “</w:t>
      </w:r>
      <w:r w:rsidRPr="003E7D3A">
        <w:rPr>
          <w:rStyle w:val="StyleUnderline"/>
        </w:rPr>
        <w:t>disqualified</w:t>
      </w:r>
      <w:r w:rsidRPr="003E7D3A">
        <w:rPr>
          <w:sz w:val="16"/>
        </w:rPr>
        <w:t xml:space="preserve">.” A few visionary books, produced alongside disciplinary knowledge, show us the paths not taken. For example, in a book that itself began as a detour, Seeing Like a State: How Certain Schemes to Improve the Human Condition Have Failed (1999), James C. Scott details the ways </w:t>
      </w:r>
      <w:r w:rsidRPr="003E7D3A">
        <w:rPr>
          <w:rStyle w:val="StyleUnderline"/>
        </w:rPr>
        <w:t>the modern state has run roughshod over local, customary, and undisciplined forms of knowledge in order to rationalize and simplify social, agricultural, and political practices that have profit as their primary motivation</w:t>
      </w:r>
      <w:r w:rsidRPr="003E7D3A">
        <w:rPr>
          <w:sz w:val="16"/>
        </w:rPr>
        <w:t>. In the process, says Scott</w:t>
      </w:r>
      <w:r w:rsidRPr="003E7D3A">
        <w:rPr>
          <w:rStyle w:val="StyleUnderline"/>
        </w:rPr>
        <w:t>, certain ways of seeing the world are established as normal or natural, as obvious and necessary, even though they are often entirely counterintuitive and socially engineered</w:t>
      </w:r>
      <w:r w:rsidRPr="003E7D3A">
        <w:rPr>
          <w:sz w:val="16"/>
        </w:rPr>
        <w:t>. Seeing Like a State began as a study of “why the state has always seemed to be the enemy of ‘people who move around,’” but quickly became a study of the demand by the state for legibility through the imposition of methods of standardization and uniformity (1). While Dean Spade (2008) and other queer scholars use Scott’s book to think about how we came to insist upon the documentation of gender identity on all govern- mental documentation, I want to use his monumental study to pick up some of the discarded local knowledges that are trampled underfoot in the rush to bureaucratize and rationalize an economic order that privileges profit over all kinds of other motivations for being and doing</w:t>
      </w:r>
      <w:r w:rsidRPr="00E65A58">
        <w:rPr>
          <w:rStyle w:val="StyleUnderline"/>
        </w:rPr>
        <w:t xml:space="preserve">. </w:t>
      </w:r>
      <w:r w:rsidRPr="003E7D3A">
        <w:rPr>
          <w:rFonts w:eastAsia="Quadraat-t-text"/>
          <w:sz w:val="16"/>
          <w:szCs w:val="20"/>
        </w:rPr>
        <w:t xml:space="preserve">In place of the Germanic ordered forest that Scott uses as a potent metaphor for the start of the modern imposition of bureaucratic order upon populations, we might go with the thicket of subjugated knowledge that sprouts like weeds among the disciplinary forms of knowledge, threatening always to overwhelm the cultivation and pruning of the intellect with mad plant life. For Scott, </w:t>
      </w:r>
      <w:r w:rsidRPr="00E65A58">
        <w:rPr>
          <w:rStyle w:val="StyleUnderline"/>
        </w:rPr>
        <w:t xml:space="preserve">to “see like a state” means to accept the order of things and to internalize them; it means that we begin to deploy and think with the logic of </w:t>
      </w:r>
      <w:r w:rsidRPr="003E7D3A">
        <w:rPr>
          <w:rStyle w:val="Emphasis"/>
        </w:rPr>
        <w:t>the superiority of orderliness</w:t>
      </w:r>
      <w:r w:rsidRPr="00E65A58">
        <w:rPr>
          <w:rStyle w:val="StyleUnderline"/>
        </w:rPr>
        <w:t xml:space="preserve"> and that we erase and indeed </w:t>
      </w:r>
      <w:r w:rsidRPr="003E7D3A">
        <w:rPr>
          <w:rStyle w:val="Emphasis"/>
        </w:rPr>
        <w:t>sacrifice</w:t>
      </w:r>
      <w:r w:rsidRPr="00E65A58">
        <w:rPr>
          <w:rStyle w:val="StyleUnderline"/>
        </w:rPr>
        <w:t xml:space="preserve"> other, more </w:t>
      </w:r>
      <w:r w:rsidRPr="003E7D3A">
        <w:rPr>
          <w:rStyle w:val="Emphasis"/>
        </w:rPr>
        <w:t>local practices of knowledge</w:t>
      </w:r>
      <w:r w:rsidRPr="00E65A58">
        <w:rPr>
          <w:rStyle w:val="StyleUnderline"/>
        </w:rPr>
        <w:t>, practices moreover that may be less efficient, may yield less marketable results, but may also, in the long term, be more sustaining</w:t>
      </w:r>
      <w:r w:rsidRPr="003E7D3A">
        <w:rPr>
          <w:rFonts w:eastAsia="Quadraat-t-text"/>
          <w:sz w:val="16"/>
          <w:szCs w:val="20"/>
        </w:rPr>
        <w:t>. What is at stake in arguing for the trees and against the forest? Scott identifies “</w:t>
      </w:r>
      <w:r w:rsidRPr="00E65A58">
        <w:rPr>
          <w:rStyle w:val="StyleUnderline"/>
        </w:rPr>
        <w:t>legibility” as the favored technique of high modernism for sorting, organizing, and profiting from land and people and for abstracting systems of knowledge from local knowledge practices.</w:t>
      </w:r>
      <w:r w:rsidRPr="003E7D3A">
        <w:rPr>
          <w:rFonts w:eastAsia="Quadraat-t-text"/>
          <w:sz w:val="16"/>
          <w:szCs w:val="20"/>
        </w:rPr>
        <w:t xml:space="preserve"> He talks about the garden and gardeners as representative of a new spirit of intervention and order favored within </w:t>
      </w:r>
      <w:r w:rsidRPr="003E7D3A">
        <w:rPr>
          <w:rFonts w:eastAsia="Quadraat-t-text"/>
          <w:sz w:val="16"/>
          <w:szCs w:val="18"/>
        </w:rPr>
        <w:t xml:space="preserve">10 introDuCtion </w:t>
      </w:r>
      <w:r w:rsidRPr="003E7D3A">
        <w:rPr>
          <w:rFonts w:eastAsia="Quadraat-t-text"/>
          <w:sz w:val="16"/>
          <w:szCs w:val="20"/>
        </w:rPr>
        <w:t>high modernism, and he points to the minimalism and simplicity of Le Corbusier’s urban design as part of a new commitment to symmetry and division and planning that complements authoritarian preferences for hierarchies and despises the complex and messy forms of organic profusion and improvised creativity. “</w:t>
      </w:r>
      <w:r w:rsidRPr="003E7D3A">
        <w:rPr>
          <w:rStyle w:val="Emphasis"/>
        </w:rPr>
        <w:t>Legibility</w:t>
      </w:r>
      <w:r w:rsidRPr="003E7D3A">
        <w:rPr>
          <w:rFonts w:eastAsia="Quadraat-t-text"/>
          <w:sz w:val="16"/>
          <w:szCs w:val="20"/>
        </w:rPr>
        <w:t>,” writes Scott, “</w:t>
      </w:r>
      <w:r w:rsidRPr="003E7D3A">
        <w:rPr>
          <w:rStyle w:val="Emphasis"/>
        </w:rPr>
        <w:t>is a condition of manipulation</w:t>
      </w:r>
      <w:r w:rsidRPr="00E65A58">
        <w:rPr>
          <w:rStyle w:val="StyleUnderline"/>
        </w:rPr>
        <w:t>”</w:t>
      </w:r>
      <w:r w:rsidRPr="003E7D3A">
        <w:rPr>
          <w:rFonts w:eastAsia="Quadraat-t-text"/>
          <w:sz w:val="16"/>
          <w:szCs w:val="20"/>
        </w:rPr>
        <w:t xml:space="preserve"> (1999: 183). </w:t>
      </w:r>
      <w:r w:rsidRPr="00E65A58">
        <w:rPr>
          <w:rStyle w:val="StyleUnderline"/>
        </w:rPr>
        <w:t xml:space="preserve">He favors instead, borrowing from European anarchist thought, more practical forms of knowledge that he </w:t>
      </w:r>
      <w:r w:rsidRPr="00E65A58">
        <w:rPr>
          <w:rStyle w:val="StyleUnderline"/>
        </w:rPr>
        <w:lastRenderedPageBreak/>
        <w:t xml:space="preserve">calls metis and that emphasize </w:t>
      </w:r>
      <w:r w:rsidRPr="003E7D3A">
        <w:rPr>
          <w:rStyle w:val="Emphasis"/>
        </w:rPr>
        <w:t>mutuality, collectivity, plasticity, diversity, and adaptability.</w:t>
      </w:r>
      <w:r w:rsidRPr="00E65A58">
        <w:rPr>
          <w:rStyle w:val="StyleUnderline"/>
        </w:rPr>
        <w:t xml:space="preserve"> Illegibility may in fact be one way of escaping the political manipulation to which all university fields and disciplines are subject</w:t>
      </w:r>
      <w:r w:rsidRPr="003E7D3A">
        <w:rPr>
          <w:rFonts w:eastAsia="Quadraat-t-text"/>
          <w:sz w:val="16"/>
          <w:szCs w:val="20"/>
        </w:rPr>
        <w:t xml:space="preserve">. While Scott’s insight about </w:t>
      </w:r>
      <w:r w:rsidRPr="00E65A58">
        <w:rPr>
          <w:rStyle w:val="StyleUnderline"/>
        </w:rPr>
        <w:t xml:space="preserve">illegibility has implications for all kinds of subjects who are manipulated precisely when they become legible and visible to the state (undocumented workers, visible queers, racialized minorities), it also points to an argument for antidisciplinarity in the sense that knowledge practices that refuse </w:t>
      </w:r>
      <w:r w:rsidRPr="003E7D3A">
        <w:rPr>
          <w:rStyle w:val="Emphasis"/>
        </w:rPr>
        <w:t>both the form and the content</w:t>
      </w:r>
      <w:r w:rsidRPr="00E65A58">
        <w:rPr>
          <w:rStyle w:val="StyleUnderline"/>
        </w:rPr>
        <w:t xml:space="preserve"> of traditional canons may lead to unbounded forms of speculation, modes of thinking that ally not with rigor and order but with inspiration and unpredictability</w:t>
      </w:r>
      <w:r w:rsidRPr="003E7D3A">
        <w:rPr>
          <w:rFonts w:eastAsia="Quadraat-t-text"/>
          <w:sz w:val="16"/>
          <w:szCs w:val="20"/>
        </w:rPr>
        <w:t xml:space="preserve">. We may in fact want to think about how to see </w:t>
      </w:r>
      <w:r w:rsidRPr="003E7D3A">
        <w:rPr>
          <w:rFonts w:eastAsia="Quadraat-ttextitalic"/>
          <w:i/>
          <w:iCs/>
          <w:sz w:val="16"/>
          <w:szCs w:val="20"/>
        </w:rPr>
        <w:t xml:space="preserve">unlike </w:t>
      </w:r>
      <w:r w:rsidRPr="003E7D3A">
        <w:rPr>
          <w:rFonts w:eastAsia="Quadraat-t-text"/>
          <w:sz w:val="16"/>
          <w:szCs w:val="20"/>
        </w:rPr>
        <w:t xml:space="preserve">a state; </w:t>
      </w:r>
      <w:r w:rsidRPr="00E65A58">
        <w:rPr>
          <w:rStyle w:val="StyleUnderline"/>
        </w:rPr>
        <w:t>we may want new rationales for knowledge production, different aesthetic standards for ordering or disordering space, other modes of political engagement than those conjured by the liberal imagination. We may, ultimately, want more undisciplined knowledge, more questions and fewer answers. Disciplines qualify and disqualify, legitimate and delegitimate, reward and punish; most important, they statically reproduce themselves and inhibit dissent</w:t>
      </w:r>
      <w:r w:rsidRPr="003E7D3A">
        <w:rPr>
          <w:rFonts w:eastAsia="Quadraat-t-text"/>
          <w:sz w:val="16"/>
          <w:szCs w:val="20"/>
        </w:rPr>
        <w:t xml:space="preserve">. As Foucault writes, “Disciplines will define not a code of law, but a code of normalization” (2003: 38). In a series of lectures on knowledge production given at the College de France and then published posthumously as a collection titled </w:t>
      </w:r>
      <w:r w:rsidRPr="003E7D3A">
        <w:rPr>
          <w:rFonts w:eastAsia="Quadraat-ttextitalic"/>
          <w:i/>
          <w:iCs/>
          <w:sz w:val="16"/>
          <w:szCs w:val="20"/>
        </w:rPr>
        <w:t>Society Must Be Defended</w:t>
      </w:r>
      <w:r w:rsidRPr="003E7D3A">
        <w:rPr>
          <w:rFonts w:eastAsia="Quadraat-t-text"/>
          <w:sz w:val="16"/>
          <w:szCs w:val="20"/>
        </w:rPr>
        <w:t xml:space="preserve">, Foucault provides a context for his own antidisciplinary thinking and declares the age of “all- encompassing and global theories” to be over, giving way to the “local character of critique” or “something resembling a sort of autonomous and non- centralized theoretical production, or in other words a theoretical production that does not need a visa from some common regime to establish its validity” (6). These lectures coincide with the writing of </w:t>
      </w:r>
      <w:r w:rsidRPr="003E7D3A">
        <w:rPr>
          <w:rFonts w:eastAsia="Quadraat-ttextitalic"/>
          <w:i/>
          <w:iCs/>
          <w:sz w:val="16"/>
          <w:szCs w:val="20"/>
        </w:rPr>
        <w:t>The History of Sexuality Volume 1</w:t>
      </w:r>
      <w:r w:rsidRPr="003E7D3A">
        <w:rPr>
          <w:rFonts w:eastAsia="Quadraat-t-text"/>
          <w:sz w:val="16"/>
          <w:szCs w:val="20"/>
        </w:rPr>
        <w:t xml:space="preserve">, and we find the outline of his critique of repressive power in these pages (Foucault, 1998). I will return to Foucault’s insights about the reverse discourse in </w:t>
      </w:r>
      <w:r w:rsidRPr="003E7D3A">
        <w:rPr>
          <w:rFonts w:eastAsia="Quadraat-ttextitalic"/>
          <w:i/>
          <w:iCs/>
          <w:sz w:val="16"/>
          <w:szCs w:val="20"/>
        </w:rPr>
        <w:t xml:space="preserve">The History of Sexuality </w:t>
      </w:r>
      <w:r w:rsidRPr="003E7D3A">
        <w:rPr>
          <w:rFonts w:eastAsia="Quadraat-t-text"/>
          <w:sz w:val="16"/>
          <w:szCs w:val="20"/>
        </w:rPr>
        <w:t>later in the book, especially to the places where he implicates sexual mi</w:t>
      </w:r>
      <w:r w:rsidRPr="003E7D3A">
        <w:rPr>
          <w:rFonts w:eastAsia="Quadraat-t-text"/>
          <w:sz w:val="16"/>
          <w:szCs w:val="18"/>
        </w:rPr>
        <w:t xml:space="preserve">low theory 11 </w:t>
      </w:r>
      <w:r w:rsidRPr="003E7D3A">
        <w:rPr>
          <w:rFonts w:eastAsia="Quadraat-t-text"/>
          <w:sz w:val="16"/>
          <w:szCs w:val="20"/>
        </w:rPr>
        <w:t xml:space="preserve">norities in the production of systems of classification, but in </w:t>
      </w:r>
      <w:r w:rsidRPr="003E7D3A">
        <w:rPr>
          <w:rFonts w:eastAsia="Quadraat-ttextitalic"/>
          <w:i/>
          <w:iCs/>
          <w:sz w:val="16"/>
          <w:szCs w:val="20"/>
        </w:rPr>
        <w:t xml:space="preserve">Society Must Be Defended </w:t>
      </w:r>
      <w:r w:rsidRPr="003E7D3A">
        <w:rPr>
          <w:rFonts w:eastAsia="Quadraat-t-text"/>
          <w:sz w:val="16"/>
          <w:szCs w:val="20"/>
        </w:rPr>
        <w:t xml:space="preserve">his target is academic legibility and legitimation, and he describes and analyzes the function of the academic in the circulation and reproduction of hegemonic structures. </w:t>
      </w:r>
      <w:r w:rsidRPr="00E65A58">
        <w:rPr>
          <w:rStyle w:val="StyleUnderline"/>
        </w:rPr>
        <w:t>In place of the “all- encompassing and global theories” that the university encourages, Foucault exhorts his students to think about and turn to “subjugated knowledges,” namely those forms of knowledge production that have been “buried or masked in functional coherences or formal systematizations</w:t>
      </w:r>
      <w:r w:rsidRPr="003E7D3A">
        <w:rPr>
          <w:rFonts w:eastAsia="Quadraat-t-text"/>
          <w:sz w:val="16"/>
          <w:szCs w:val="20"/>
        </w:rPr>
        <w:t xml:space="preserve">” (2003: 7). These forms of knowledge have not simply been lost or forgotten; </w:t>
      </w:r>
      <w:r w:rsidRPr="00E65A58">
        <w:rPr>
          <w:rStyle w:val="StyleUnderline"/>
        </w:rPr>
        <w:t>they have been disqualified, rendered nonsensical or nonconceptual or “insufficiently elaborated.”</w:t>
      </w:r>
      <w:r w:rsidRPr="003E7D3A">
        <w:rPr>
          <w:rFonts w:eastAsia="Quadraat-t-text"/>
          <w:sz w:val="16"/>
          <w:szCs w:val="20"/>
        </w:rPr>
        <w:t xml:space="preserve"> Foucault calls them “naive knowledges, hierarchically inferior knowledges, knowledges that are below the required level of erudition or scientificity” (7)—this is what we mean by </w:t>
      </w:r>
      <w:r w:rsidRPr="003E7D3A">
        <w:rPr>
          <w:rFonts w:eastAsia="Quadraat-ttextitalic"/>
          <w:i/>
          <w:iCs/>
          <w:sz w:val="16"/>
          <w:szCs w:val="20"/>
        </w:rPr>
        <w:t>knowledge from below</w:t>
      </w:r>
      <w:r w:rsidRPr="003E7D3A">
        <w:rPr>
          <w:rFonts w:eastAsia="Quadraat-t-text"/>
          <w:sz w:val="16"/>
          <w:szCs w:val="20"/>
        </w:rPr>
        <w:t xml:space="preserve">. In relation to the identification of “subjugated knowledges,” we might ask, How do we participate in the production and circulation of “subjugated knowledge”? How do we keep disciplinary forms of knowledge at bay? How do we avoid precisely the “scientific” forms of knowing that relegate other modes of knowing to the redundant or irrelevant? How do we engage in and teach antidisciplinary knowledge? Foucault proposes this answer: “Truth to tell, if we are to struggle against disciplines, or rather against disciplinary power, in our search for a nondisciplinary power, we should not be turning to the old right of sovereignty; we should be looking to a new right that is both anti- disciplinary and emancipated from the principle of sovereignty” (2003: 40). In some sense </w:t>
      </w:r>
      <w:r w:rsidRPr="00E65A58">
        <w:rPr>
          <w:rStyle w:val="StyleUnderline"/>
        </w:rPr>
        <w:t>we have to untrain ourselves so that we can read the struggles and debates back into questions that seem settled and resolved.</w:t>
      </w:r>
      <w:r w:rsidRPr="003E7D3A">
        <w:rPr>
          <w:rFonts w:eastAsia="Quadraat-t-text"/>
          <w:sz w:val="16"/>
          <w:szCs w:val="20"/>
        </w:rPr>
        <w:t xml:space="preserve"> On behalf of such a project, and in the spirit of the “Seven Theses” proposed by Moten and Harney, </w:t>
      </w:r>
      <w:r w:rsidRPr="00E65A58">
        <w:rPr>
          <w:rStyle w:val="StyleUnderline"/>
        </w:rPr>
        <w:t>this book joins forces with their “subversive intellectual” and agrees to steal from the university, to, as they say, “abuse its hospitality” and to be “in but not of it</w:t>
      </w:r>
      <w:r w:rsidRPr="003E7D3A">
        <w:rPr>
          <w:rFonts w:eastAsia="Quadraat-t-text"/>
          <w:sz w:val="16"/>
          <w:szCs w:val="20"/>
        </w:rPr>
        <w:t xml:space="preserve">” (101). Moten and Harney’s theses exhort the subversive intellectual </w:t>
      </w:r>
      <w:r w:rsidRPr="00E65A58">
        <w:rPr>
          <w:rStyle w:val="StyleUnderline"/>
        </w:rPr>
        <w:t>to, among other things, worry about the university, refuse professionalization, forge a collectivity, and retreat to the external world beyond the ivied walls of the campus</w:t>
      </w:r>
      <w:r w:rsidRPr="003E7D3A">
        <w:rPr>
          <w:rFonts w:eastAsia="Quadraat-t-text"/>
          <w:sz w:val="16"/>
          <w:szCs w:val="20"/>
        </w:rPr>
        <w:t xml:space="preserve">. I would add to their theses the following. First, </w:t>
      </w:r>
      <w:r w:rsidRPr="003E7D3A">
        <w:rPr>
          <w:rStyle w:val="Emphasis"/>
        </w:rPr>
        <w:t>Resist mastery</w:t>
      </w:r>
      <w:r w:rsidRPr="003E7D3A">
        <w:rPr>
          <w:rFonts w:eastAsia="Quadraat-t-text"/>
          <w:sz w:val="16"/>
          <w:szCs w:val="20"/>
        </w:rPr>
        <w:t xml:space="preserve">. Here we might insist upon a critique of the “all- encompassing and global theories” identified by Foucault. In my book this resistance takes the form of </w:t>
      </w:r>
      <w:r w:rsidRPr="00E65A58">
        <w:rPr>
          <w:rStyle w:val="StyleUnderline"/>
        </w:rPr>
        <w:t xml:space="preserve">investing in counterintuitive modes of knowing such as failure and stupidity; we might read failure, for example, as a refusal of mastery, a critique of </w:t>
      </w:r>
      <w:r w:rsidRPr="003E7D3A">
        <w:rPr>
          <w:rFonts w:eastAsia="Quadraat-t-text"/>
          <w:sz w:val="16"/>
          <w:szCs w:val="18"/>
        </w:rPr>
        <w:t xml:space="preserve">12 introDuCtion </w:t>
      </w:r>
      <w:r w:rsidRPr="00E65A58">
        <w:rPr>
          <w:rStyle w:val="StyleUnderline"/>
        </w:rPr>
        <w:t xml:space="preserve">the intuitive connections within capitalism between success and profit, </w:t>
      </w:r>
      <w:r w:rsidRPr="003E7D3A">
        <w:rPr>
          <w:rFonts w:eastAsia="Quadraat-t-text"/>
          <w:sz w:val="16"/>
          <w:szCs w:val="20"/>
        </w:rPr>
        <w:t xml:space="preserve">and as a counterhegemonic discourse of losing. </w:t>
      </w:r>
      <w:r w:rsidRPr="003E7D3A">
        <w:rPr>
          <w:rFonts w:eastAsia="Quadraat-ttextitalic"/>
          <w:i/>
          <w:iCs/>
          <w:sz w:val="16"/>
          <w:szCs w:val="20"/>
        </w:rPr>
        <w:t xml:space="preserve">Stupidity </w:t>
      </w:r>
      <w:r w:rsidRPr="003E7D3A">
        <w:rPr>
          <w:rFonts w:eastAsia="Quadraat-t-text"/>
          <w:sz w:val="16"/>
          <w:szCs w:val="20"/>
        </w:rPr>
        <w:t xml:space="preserve">could refer not simply to a lack of knowledge but to </w:t>
      </w:r>
      <w:r w:rsidRPr="00E65A58">
        <w:rPr>
          <w:rStyle w:val="StyleUnderline"/>
        </w:rPr>
        <w:t>the limits of certain forms of knowing and certain ways of inhabiting structures of knowing. Really imaginative ethnographies, for example, depend upon an unknowing relation to the other. To begin</w:t>
      </w:r>
      <w:r w:rsidRPr="003E7D3A">
        <w:rPr>
          <w:rFonts w:eastAsia="Quadraat-t-text"/>
          <w:sz w:val="16"/>
          <w:szCs w:val="20"/>
        </w:rPr>
        <w:t xml:space="preserve"> an ethnographic project </w:t>
      </w:r>
      <w:r w:rsidRPr="00E65A58">
        <w:rPr>
          <w:rStyle w:val="StyleUnderline"/>
        </w:rPr>
        <w:t>with a goal,</w:t>
      </w:r>
      <w:r w:rsidRPr="003E7D3A">
        <w:rPr>
          <w:rFonts w:eastAsia="Quadraat-t-text"/>
          <w:sz w:val="16"/>
          <w:szCs w:val="20"/>
        </w:rPr>
        <w:t xml:space="preserve"> with an object of research and a set of presumptions, </w:t>
      </w:r>
      <w:r w:rsidRPr="00E65A58">
        <w:rPr>
          <w:rStyle w:val="StyleUnderline"/>
        </w:rPr>
        <w:t>is already to stymie the process of discovery; it blocks one’s ability to learn something that exceeds the frameworks with which one enters</w:t>
      </w:r>
      <w:r w:rsidRPr="003E7D3A">
        <w:rPr>
          <w:rFonts w:eastAsia="Quadraat-t-text"/>
          <w:sz w:val="16"/>
          <w:szCs w:val="20"/>
        </w:rPr>
        <w:t xml:space="preserve">. For example, in an ethnography to which I return later in the book, a study of “the Islamic revival and the feminist subject” in contemporary Egypt, Saba Mahmood explains how she had to give up on mastery in order to engage certain forms of Islamism. She writes: “it is through this process of dwelling in the modes of reasoning endemic to a tradition that I once judged abhorrent, by immersing myself within the thick texture of its sensibilities and attachments, that I have been able to dislocate the certitude of my own projections and even begin to comprehend why Islam . . . exerts such a force in people’s lives” (2005: 199). She concludes this thought as follows: “This attempt at comprehension offers the slim hope in the embattled and imperious climate, one in which feminist politics runs the risk of being reduced to a rhetorical display of the placard of Islam’s abuses, that analysis as a mode of conversation, </w:t>
      </w:r>
      <w:r w:rsidRPr="003E7D3A">
        <w:rPr>
          <w:rFonts w:eastAsia="Quadraat-ttextitalic"/>
          <w:i/>
          <w:iCs/>
          <w:sz w:val="16"/>
          <w:szCs w:val="20"/>
        </w:rPr>
        <w:t>rather than mastery</w:t>
      </w:r>
      <w:r w:rsidRPr="003E7D3A">
        <w:rPr>
          <w:rFonts w:eastAsia="Quadraat-t-text"/>
          <w:sz w:val="16"/>
          <w:szCs w:val="20"/>
        </w:rPr>
        <w:t xml:space="preserve">, can yield a vision of co- existence that does not require making others lifeworlds extinct or provisional” (199). Conversation rather than mastery indeed seems to offer one very concrete way of being in relation to another form of being and knowing without seeking to measure that life modality by the standards that are external to it. Second, </w:t>
      </w:r>
      <w:r w:rsidRPr="003E7D3A">
        <w:rPr>
          <w:rStyle w:val="Emphasis"/>
        </w:rPr>
        <w:t xml:space="preserve">Privilege </w:t>
      </w:r>
      <w:r w:rsidRPr="003E7D3A">
        <w:rPr>
          <w:rStyle w:val="Emphasis"/>
        </w:rPr>
        <w:lastRenderedPageBreak/>
        <w:t>the naive or nonsensical</w:t>
      </w:r>
      <w:r w:rsidRPr="003E7D3A">
        <w:rPr>
          <w:rFonts w:eastAsia="Quadraat-ttextitalic"/>
          <w:i/>
          <w:iCs/>
          <w:sz w:val="16"/>
          <w:szCs w:val="20"/>
        </w:rPr>
        <w:t xml:space="preserve"> </w:t>
      </w:r>
      <w:r w:rsidRPr="003E7D3A">
        <w:rPr>
          <w:rFonts w:eastAsia="Quadraat-t-text"/>
          <w:sz w:val="16"/>
          <w:szCs w:val="20"/>
        </w:rPr>
        <w:t xml:space="preserve">(stupidity). Here </w:t>
      </w:r>
      <w:r w:rsidRPr="00E65A58">
        <w:rPr>
          <w:rStyle w:val="StyleUnderline"/>
        </w:rPr>
        <w:t>we might argue for the nonsensible or nonconceptual over sense- making structures that are often embedded in a common notion of ethics. The naive or the ignorant may in fact lead to a different set of knowledge practices. It certainly requires what some have called oppositional pedagogies</w:t>
      </w:r>
      <w:r w:rsidRPr="003E7D3A">
        <w:rPr>
          <w:rFonts w:eastAsia="Quadraat-t-text"/>
          <w:sz w:val="16"/>
          <w:szCs w:val="20"/>
        </w:rPr>
        <w:t xml:space="preserve">. In pursuit of such pedagogies we must realize that, as Eve Kosofsky Sedgwick once said, ignorance is “as potent and multiple a thing as knowledge” and that learning often takes place completely independently of teaching (1991: 4). In fact, to speak personally for a moment, I am not sure that I myself am teachable! As someone who never aced an exam, who has tried and tried without much success to become fluent in another language, and who can read a book without retaining much at all, I realize that I can </w:t>
      </w:r>
      <w:r w:rsidRPr="003E7D3A">
        <w:rPr>
          <w:rFonts w:eastAsia="Quadraat-t-text"/>
          <w:sz w:val="16"/>
          <w:szCs w:val="18"/>
        </w:rPr>
        <w:t xml:space="preserve">low theory 13 </w:t>
      </w:r>
      <w:r w:rsidRPr="003E7D3A">
        <w:rPr>
          <w:rFonts w:eastAsia="Quadraat-t-text"/>
          <w:sz w:val="16"/>
          <w:szCs w:val="20"/>
        </w:rPr>
        <w:t xml:space="preserve">learn only what I can teach myself, and that much of what I was taught in school left very little impression upon me at all. The question of unteachability arises as a political problem, indeed a national problem, in the extraordinary French documentary about a year in the life of a high school in the suburbs of Paris, </w:t>
      </w:r>
      <w:r w:rsidRPr="003E7D3A">
        <w:rPr>
          <w:rFonts w:eastAsia="Quadraat-ttextitalic"/>
          <w:i/>
          <w:iCs/>
          <w:sz w:val="16"/>
          <w:szCs w:val="20"/>
        </w:rPr>
        <w:t xml:space="preserve">The Class </w:t>
      </w:r>
      <w:r w:rsidRPr="003E7D3A">
        <w:rPr>
          <w:rFonts w:eastAsia="Quadraat-t-text"/>
          <w:sz w:val="16"/>
          <w:szCs w:val="20"/>
        </w:rPr>
        <w:t>(</w:t>
      </w:r>
      <w:r w:rsidRPr="003E7D3A">
        <w:rPr>
          <w:rFonts w:eastAsia="Quadraat-ttextitalic"/>
          <w:i/>
          <w:iCs/>
          <w:sz w:val="16"/>
          <w:szCs w:val="20"/>
        </w:rPr>
        <w:t>Entre Les Murs</w:t>
      </w:r>
      <w:r w:rsidRPr="003E7D3A">
        <w:rPr>
          <w:rFonts w:eastAsia="Quadraat-t-text"/>
          <w:sz w:val="16"/>
          <w:szCs w:val="20"/>
        </w:rPr>
        <w:t>, 2008, directed by Laurent Cantet). In the film a white schoolteacher, Francois Begaudeau (who wrote the memoir upon which the film is based), tries to reach out to his disinterested and profoundly alienated, mostly African, Asian, and Arab immigrant students. The cultural and racial and class differences between the teacher and his students make effective communication difficult, and his cultural references (</w:t>
      </w:r>
      <w:r w:rsidRPr="003E7D3A">
        <w:rPr>
          <w:rFonts w:eastAsia="Quadraat-ttextitalic"/>
          <w:i/>
          <w:iCs/>
          <w:sz w:val="16"/>
          <w:szCs w:val="20"/>
        </w:rPr>
        <w:t>The Diary of Ann Frank</w:t>
      </w:r>
      <w:r w:rsidRPr="003E7D3A">
        <w:rPr>
          <w:rFonts w:eastAsia="Quadraat-t-text"/>
          <w:sz w:val="16"/>
          <w:szCs w:val="20"/>
        </w:rPr>
        <w:t>, Moliere, French grammar) leave the students cold, while theirs (soccer, Islam, hip- hop) induce only pained responses from their otherwise personable teacher. The film, like a Frederick Wiseman documentary, tries to just let the action unfold without any voice- of- God narration, so we see close up the rage and frustrations of teacher and students alike. At the end of the film an extraordinary moment occurs. Begaudeau asks the students to think about what they have learned and write down one thing to take away from the class, one concept, text, or idea that might have made a difference. The class disperses, and one girl shuffles up to the front. The teacher looks at her expectantly and draws out her comment. “I didn’t learn anything,” she tells him without malice or anger, “nothing. . . . I can’t think of anything I learned.” The moment is a defeat for the teacher and a disappointment for the viewer, who wants to believe in a narrative of educational uplift, but it is a triumph for alternative pedagogies because it reminds us that learning is a two- way street and you cannot teach without a dialogic relation to the learner.</w:t>
      </w:r>
    </w:p>
    <w:p w:rsidR="0062164B" w:rsidRDefault="0062164B" w:rsidP="0062164B"/>
    <w:p w:rsidR="004143C4" w:rsidRPr="00B47A2A" w:rsidRDefault="004143C4" w:rsidP="004143C4">
      <w:pPr>
        <w:pStyle w:val="Heading3"/>
      </w:pPr>
      <w:bookmarkStart w:id="78" w:name="_Toc489138968"/>
      <w:r w:rsidRPr="00B47A2A">
        <w:lastRenderedPageBreak/>
        <w:t>Silly Theory—Link and Alt—long</w:t>
      </w:r>
      <w:bookmarkEnd w:id="78"/>
    </w:p>
    <w:p w:rsidR="004143C4" w:rsidRDefault="004143C4" w:rsidP="004143C4">
      <w:pPr>
        <w:pStyle w:val="Heading4"/>
        <w:rPr>
          <w:rStyle w:val="Style13ptBold"/>
          <w:b/>
        </w:rPr>
      </w:pPr>
      <w:r>
        <w:rPr>
          <w:rStyle w:val="Style13ptBold"/>
          <w:b/>
        </w:rPr>
        <w:t xml:space="preserve">The 1ac while revolutionary content is overly serious in form—the logical structure of the aff maintains an investment in doom-and-gloom proclamations, perfect ideas and theories, and dry jargon. This radical posturing expels the queer potential of unseriousness and renders theory an elitist tool. Instead, render theory itself silly through an engagement with the quotidian, improper, undisciplinary, and imperfect. </w:t>
      </w:r>
    </w:p>
    <w:p w:rsidR="004143C4" w:rsidRPr="00B805F2" w:rsidRDefault="004143C4" w:rsidP="004143C4">
      <w:pPr>
        <w:rPr>
          <w:rStyle w:val="Style13ptBold"/>
          <w:b w:val="0"/>
        </w:rPr>
      </w:pPr>
      <w:r>
        <w:rPr>
          <w:rStyle w:val="Style13ptBold"/>
        </w:rPr>
        <w:t xml:space="preserve">Stein 12 </w:t>
      </w:r>
      <w:r w:rsidRPr="00B805F2">
        <w:rPr>
          <w:rStyle w:val="Style13ptBold"/>
          <w:b w:val="0"/>
          <w:sz w:val="16"/>
        </w:rPr>
        <w:t xml:space="preserve">[Jordan Alexander Stein. November 20, 2012. “SILLY THEORY.” </w:t>
      </w:r>
      <w:r w:rsidRPr="00B805F2">
        <w:rPr>
          <w:rStyle w:val="Style13ptBold"/>
          <w:b w:val="0"/>
          <w:i/>
          <w:sz w:val="16"/>
        </w:rPr>
        <w:t xml:space="preserve">LA Review of Books. </w:t>
      </w:r>
      <w:hyperlink r:id="rId22" w:history="1">
        <w:r w:rsidRPr="00B805F2">
          <w:rPr>
            <w:rStyle w:val="Hyperlink"/>
            <w:sz w:val="16"/>
          </w:rPr>
          <w:t>http://avidly.lareviewofbooks.org/2012/11/20/silly-theory/</w:t>
        </w:r>
      </w:hyperlink>
      <w:r w:rsidRPr="00B805F2">
        <w:rPr>
          <w:rStyle w:val="Style13ptBold"/>
          <w:b w:val="0"/>
          <w:sz w:val="16"/>
        </w:rPr>
        <w:t>. SH]</w:t>
      </w:r>
    </w:p>
    <w:p w:rsidR="004143C4" w:rsidRPr="0091147B" w:rsidRDefault="004143C4" w:rsidP="004143C4">
      <w:pPr>
        <w:jc w:val="both"/>
        <w:rPr>
          <w:sz w:val="14"/>
        </w:rPr>
      </w:pPr>
      <w:r w:rsidRPr="0091147B">
        <w:rPr>
          <w:sz w:val="14"/>
        </w:rPr>
        <w:t xml:space="preserve">Some years ago, I found myself at 24-hour vegetarian diner in a California college town, breakfasting with a dear friend. We had ordered coffee, but the main course was psychoanalysis. “You can’t read Lacan without Hegel,” I assured her earnestly. She broke into a grin, paused for a brief, dramatic moment, and then sang my words back to me, to the tune of Keith Richards and Mick Jagger’s “You Can’t Always Get What You Want,” hitting the second syllable of “Hegel” in a flat F. </w:t>
      </w:r>
      <w:r w:rsidRPr="00EC0148">
        <w:rPr>
          <w:rStyle w:val="StyleUnderline"/>
        </w:rPr>
        <w:t>College was full of capital-T theory</w:t>
      </w:r>
      <w:r w:rsidRPr="00FE2B3A">
        <w:rPr>
          <w:rStyle w:val="StyleUnderline"/>
        </w:rPr>
        <w:t xml:space="preserve">: that interdisciplinary set of literary and critical writings which blend Continental philosophy with </w:t>
      </w:r>
      <w:r w:rsidRPr="00EC0148">
        <w:rPr>
          <w:rStyle w:val="StyleUnderline"/>
        </w:rPr>
        <w:t>qualitative sociology and theories of “the text</w:t>
      </w:r>
      <w:r w:rsidRPr="00FE2B3A">
        <w:rPr>
          <w:rStyle w:val="StyleUnderline"/>
        </w:rPr>
        <w:t>.”</w:t>
      </w:r>
      <w:r>
        <w:rPr>
          <w:rStyle w:val="StyleUnderline"/>
        </w:rPr>
        <w:t xml:space="preserve"> </w:t>
      </w:r>
      <w:r w:rsidRPr="00FE2B3A">
        <w:rPr>
          <w:rStyle w:val="StyleUnderline"/>
        </w:rPr>
        <w:t xml:space="preserve">As generations of college students have noted, theory is often </w:t>
      </w:r>
      <w:r w:rsidRPr="007F3A91">
        <w:rPr>
          <w:rStyle w:val="Emphasis"/>
        </w:rPr>
        <w:t>stylistically difficult</w:t>
      </w:r>
      <w:r w:rsidRPr="00EC0148">
        <w:rPr>
          <w:rStyle w:val="StyleUnderline"/>
        </w:rPr>
        <w:t xml:space="preserve"> and </w:t>
      </w:r>
      <w:r w:rsidRPr="007F3A91">
        <w:rPr>
          <w:rStyle w:val="Emphasis"/>
        </w:rPr>
        <w:t>menacingly abstract</w:t>
      </w:r>
      <w:r w:rsidRPr="00EC0148">
        <w:rPr>
          <w:rStyle w:val="StyleUnderline"/>
        </w:rPr>
        <w:t xml:space="preserve">, as </w:t>
      </w:r>
      <w:r w:rsidRPr="007F3A91">
        <w:rPr>
          <w:rStyle w:val="Emphasis"/>
        </w:rPr>
        <w:t>obscure to the uninitiated</w:t>
      </w:r>
      <w:r w:rsidRPr="00EC0148">
        <w:rPr>
          <w:rStyle w:val="StyleUnderline"/>
        </w:rPr>
        <w:t xml:space="preserve"> as any other kind of heavy thinking, and yet way too cool to be called simply “philosophy</w:t>
      </w:r>
      <w:r w:rsidRPr="00FE2B3A">
        <w:rPr>
          <w:rStyle w:val="StyleUnderline"/>
        </w:rPr>
        <w:t>.”</w:t>
      </w:r>
      <w:r>
        <w:rPr>
          <w:rStyle w:val="StyleUnderline"/>
        </w:rPr>
        <w:t xml:space="preserve"> </w:t>
      </w:r>
      <w:r w:rsidRPr="0091147B">
        <w:rPr>
          <w:sz w:val="14"/>
        </w:rPr>
        <w:t xml:space="preserve">My friends and I were, in the parlance of the day, “theory heads.” We elected to read the Germanic sentences penned by French absurdists, and we had a great time doing so. We were young and smug and deconstructed. In the classrooms and bookshops of millennial California, we staked the foundation for our educations in an incisive critique of foundationalist thinking. We saw the irony, and we embraced it with the kind of reflexive detachment that today’s fashionistas could only hope to conjure when they declare that something is “so ‘90s.” Detached as it may have been, </w:t>
      </w:r>
      <w:r w:rsidRPr="0097220D">
        <w:rPr>
          <w:rStyle w:val="StyleUnderline"/>
        </w:rPr>
        <w:t>our experience of reading theory</w:t>
      </w:r>
      <w:r w:rsidRPr="00FE2B3A">
        <w:rPr>
          <w:rStyle w:val="StyleUnderline"/>
        </w:rPr>
        <w:t xml:space="preserve"> was far from dry.</w:t>
      </w:r>
      <w:r>
        <w:rPr>
          <w:rStyle w:val="StyleUnderline"/>
        </w:rPr>
        <w:t xml:space="preserve"> </w:t>
      </w:r>
      <w:r w:rsidRPr="0091147B">
        <w:rPr>
          <w:sz w:val="14"/>
        </w:rPr>
        <w:t>As the Jagger-cum-Lacan anecdote suggests, my college years embraced theory</w:t>
      </w:r>
      <w:r w:rsidRPr="00FE2B3A">
        <w:rPr>
          <w:rStyle w:val="StyleUnderline"/>
        </w:rPr>
        <w:t xml:space="preserve"> as though participating in what Lauren Berlant </w:t>
      </w:r>
      <w:r w:rsidRPr="0091147B">
        <w:rPr>
          <w:sz w:val="14"/>
        </w:rPr>
        <w:t>(in an essay I read over and over)</w:t>
      </w:r>
      <w:r w:rsidRPr="00FE2B3A">
        <w:rPr>
          <w:rStyle w:val="StyleUnderline"/>
        </w:rPr>
        <w:t xml:space="preserve"> called “a counter-politics of the silly object.” We had a million puns (Kristeva?</w:t>
      </w:r>
      <w:r>
        <w:rPr>
          <w:rStyle w:val="StyleUnderline"/>
        </w:rPr>
        <w:t xml:space="preserve"> </w:t>
      </w:r>
      <w:r w:rsidRPr="00FE2B3A">
        <w:rPr>
          <w:rStyle w:val="StyleUnderline"/>
        </w:rPr>
        <w:t>Whateva!</w:t>
      </w:r>
      <w:r>
        <w:rPr>
          <w:rStyle w:val="StyleUnderline"/>
        </w:rPr>
        <w:t xml:space="preserve"> </w:t>
      </w:r>
      <w:r w:rsidRPr="00FE2B3A">
        <w:rPr>
          <w:rStyle w:val="StyleUnderline"/>
        </w:rPr>
        <w:t>Bourdieu?</w:t>
      </w:r>
      <w:r>
        <w:rPr>
          <w:rStyle w:val="StyleUnderline"/>
        </w:rPr>
        <w:t xml:space="preserve"> </w:t>
      </w:r>
      <w:r w:rsidRPr="00FE2B3A">
        <w:rPr>
          <w:rStyle w:val="StyleUnderline"/>
        </w:rPr>
        <w:t>Bored me too!</w:t>
      </w:r>
      <w:r>
        <w:rPr>
          <w:rStyle w:val="StyleUnderline"/>
        </w:rPr>
        <w:t xml:space="preserve"> </w:t>
      </w:r>
      <w:r w:rsidRPr="00FE2B3A">
        <w:rPr>
          <w:rStyle w:val="StyleUnderline"/>
        </w:rPr>
        <w:t>Understand Deconstruction?</w:t>
      </w:r>
      <w:r>
        <w:rPr>
          <w:rStyle w:val="StyleUnderline"/>
        </w:rPr>
        <w:t xml:space="preserve"> </w:t>
      </w:r>
      <w:r w:rsidRPr="00FE2B3A">
        <w:rPr>
          <w:rStyle w:val="StyleUnderline"/>
        </w:rPr>
        <w:t>You de Man!)</w:t>
      </w:r>
      <w:r>
        <w:rPr>
          <w:rStyle w:val="StyleUnderline"/>
        </w:rPr>
        <w:t xml:space="preserve"> </w:t>
      </w:r>
      <w:r w:rsidRPr="00FE2B3A">
        <w:rPr>
          <w:rStyle w:val="StyleUnderline"/>
        </w:rPr>
        <w:t>We plotted the names of bands (Foucault’s Hos, The Heidegrrrls) and cocktails (notably the Pink Freud, whose recipe I don’t think we ever perfected, but nearly all of whose iterations involved a banana).</w:t>
      </w:r>
      <w:r>
        <w:rPr>
          <w:rStyle w:val="StyleUnderline"/>
        </w:rPr>
        <w:t xml:space="preserve"> </w:t>
      </w:r>
      <w:r w:rsidRPr="00FE2B3A">
        <w:rPr>
          <w:rStyle w:val="StyleUnderline"/>
        </w:rPr>
        <w:t>I wrote the treatment for a play called “Rendt: A Musical about AID,” which replaced the transvestite character in Jonathan Larson’s Broadway smash with a young, bohemian Hannah Arendt (also played by a transvestite).</w:t>
      </w:r>
      <w:r>
        <w:rPr>
          <w:rStyle w:val="StyleUnderline"/>
        </w:rPr>
        <w:t xml:space="preserve"> </w:t>
      </w:r>
      <w:r w:rsidRPr="00FE2B3A">
        <w:rPr>
          <w:rStyle w:val="StyleUnderline"/>
        </w:rPr>
        <w:t>We created Lacanian drinking games for our favorite movies (“sip your Pink Freud when being and having are confused in a condition of lack”).</w:t>
      </w:r>
      <w:r>
        <w:rPr>
          <w:rStyle w:val="StyleUnderline"/>
        </w:rPr>
        <w:t xml:space="preserve"> </w:t>
      </w:r>
      <w:r w:rsidRPr="00FE2B3A">
        <w:rPr>
          <w:rStyle w:val="StyleUnderline"/>
        </w:rPr>
        <w:t>And in perhaps my most star-struck celebrity sighting ever, I one day had the thrill of walking through a Longs Drugstore three paces behind Angela Davis, who (perhaps unaware of me, perhaps all too used to being followed) appeared to be doing nothing more revolutionary than buying cold medicine.</w:t>
      </w:r>
      <w:r>
        <w:rPr>
          <w:rStyle w:val="StyleUnderline"/>
        </w:rPr>
        <w:t xml:space="preserve"> </w:t>
      </w:r>
      <w:r w:rsidRPr="00FE2B3A">
        <w:rPr>
          <w:rStyle w:val="StyleUnderline"/>
        </w:rPr>
        <w:t>For someone who wasn’t there, few things capture the tenor of these moments of my youth as well as Feminist Ryan Gosling.</w:t>
      </w:r>
      <w:r>
        <w:rPr>
          <w:rStyle w:val="StyleUnderline"/>
        </w:rPr>
        <w:t xml:space="preserve"> </w:t>
      </w:r>
      <w:r w:rsidRPr="00FE2B3A">
        <w:rPr>
          <w:rStyle w:val="StyleUnderline"/>
        </w:rPr>
        <w:t>This celebrated meme, created by University of Wisconsin graduate student Danielle Henderson, features dashing photos of the Canadian actor captioned by insights from academic feminist theory.</w:t>
      </w:r>
      <w:r>
        <w:rPr>
          <w:rStyle w:val="StyleUnderline"/>
        </w:rPr>
        <w:t xml:space="preserve"> </w:t>
      </w:r>
      <w:r w:rsidRPr="00FE2B3A">
        <w:rPr>
          <w:rStyle w:val="StyleUnderline"/>
        </w:rPr>
        <w:t>When Feminist Ryan Gosling, frocked in a light blue collared shirt, looked softly back at me through my computer screen one day last spring to say, “Hey Girl, Just thinking about Chandra Mohanty’s theory that Western feminism problematically constructs the Third World woman as the pejorative ‘other’ and the colonial habits that keep women oppressed,”</w:t>
      </w:r>
      <w:r>
        <w:rPr>
          <w:rStyle w:val="StyleUnderline"/>
        </w:rPr>
        <w:t xml:space="preserve"> </w:t>
      </w:r>
      <w:r w:rsidRPr="00FE2B3A">
        <w:rPr>
          <w:rStyle w:val="StyleUnderline"/>
        </w:rPr>
        <w:t>I saw nothing so much as myself in 1998.</w:t>
      </w:r>
      <w:r>
        <w:rPr>
          <w:rStyle w:val="StyleUnderline"/>
        </w:rPr>
        <w:t xml:space="preserve"> </w:t>
      </w:r>
      <w:r w:rsidRPr="00FE2B3A">
        <w:rPr>
          <w:rStyle w:val="StyleUnderline"/>
        </w:rPr>
        <w:t>And, Reader, it is not because I look like Ryan Gosling.</w:t>
      </w:r>
      <w:r>
        <w:rPr>
          <w:rStyle w:val="StyleUnderline"/>
        </w:rPr>
        <w:t xml:space="preserve"> </w:t>
      </w:r>
      <w:r w:rsidRPr="00FE2B3A">
        <w:rPr>
          <w:rStyle w:val="StyleUnderline"/>
        </w:rPr>
        <w:t xml:space="preserve">Like the games my college friends and I played with theory, </w:t>
      </w:r>
      <w:r w:rsidRPr="00EC0148">
        <w:rPr>
          <w:rStyle w:val="StyleUnderline"/>
        </w:rPr>
        <w:t xml:space="preserve">Feminist Ryan Gosling </w:t>
      </w:r>
      <w:r w:rsidRPr="0097220D">
        <w:rPr>
          <w:rStyle w:val="Emphasis"/>
        </w:rPr>
        <w:t>yokes the serious to the silly, the obscure and the corny, the dense with the glib.</w:t>
      </w:r>
      <w:r w:rsidRPr="00EC0148">
        <w:rPr>
          <w:rStyle w:val="StyleUnderline"/>
        </w:rPr>
        <w:t xml:space="preserve"> It reminds us that </w:t>
      </w:r>
      <w:r w:rsidRPr="0097220D">
        <w:rPr>
          <w:rStyle w:val="Emphasis"/>
        </w:rPr>
        <w:t>the world of perfect ideas</w:t>
      </w:r>
      <w:r w:rsidRPr="00EC0148">
        <w:rPr>
          <w:rStyle w:val="StyleUnderline"/>
        </w:rPr>
        <w:t xml:space="preserve"> shares an open border with </w:t>
      </w:r>
      <w:r w:rsidRPr="0097220D">
        <w:rPr>
          <w:rStyle w:val="Emphasis"/>
        </w:rPr>
        <w:t>the world of imperfect people</w:t>
      </w:r>
      <w:r w:rsidRPr="00EC0148">
        <w:rPr>
          <w:rStyle w:val="StyleUnderline"/>
        </w:rPr>
        <w:t>—</w:t>
      </w:r>
      <w:r w:rsidRPr="0097220D">
        <w:rPr>
          <w:rStyle w:val="Emphasis"/>
        </w:rPr>
        <w:t xml:space="preserve">those who are impressed with their own cleverness, </w:t>
      </w:r>
      <w:r w:rsidRPr="00EC0148">
        <w:rPr>
          <w:rStyle w:val="StyleUnderline"/>
        </w:rPr>
        <w:t xml:space="preserve">who meant to finish the reading between classes but maybe didn’t get to it, or </w:t>
      </w:r>
      <w:r w:rsidRPr="0097220D">
        <w:rPr>
          <w:rStyle w:val="Emphasis"/>
        </w:rPr>
        <w:t>whose thinking isn’t always motivated by what’s above the neck</w:t>
      </w:r>
      <w:r w:rsidRPr="00EC0148">
        <w:rPr>
          <w:rStyle w:val="StyleUnderline"/>
        </w:rPr>
        <w:t>.</w:t>
      </w:r>
      <w:r>
        <w:rPr>
          <w:rStyle w:val="StyleUnderline"/>
        </w:rPr>
        <w:t xml:space="preserve"> </w:t>
      </w:r>
      <w:r w:rsidRPr="00FE2B3A">
        <w:rPr>
          <w:rStyle w:val="StyleUnderline"/>
        </w:rPr>
        <w:t xml:space="preserve">Sure, some people </w:t>
      </w:r>
      <w:r w:rsidRPr="00FE2B3A">
        <w:rPr>
          <w:rStyle w:val="StyleUnderline"/>
        </w:rPr>
        <w:lastRenderedPageBreak/>
        <w:t xml:space="preserve">are interested in theory because of what it is; but like Feminist Ryan Gosling, my college friends and I were </w:t>
      </w:r>
      <w:r w:rsidRPr="00EC0148">
        <w:rPr>
          <w:rStyle w:val="StyleUnderline"/>
        </w:rPr>
        <w:t>interested in theory because of what we could do with it</w:t>
      </w:r>
      <w:r w:rsidRPr="00FE2B3A">
        <w:rPr>
          <w:rStyle w:val="StyleUnderline"/>
        </w:rPr>
        <w:t>.</w:t>
      </w:r>
      <w:r w:rsidRPr="0091147B">
        <w:rPr>
          <w:sz w:val="14"/>
        </w:rPr>
        <w:t xml:space="preserve"> And we did quite a bit. </w:t>
      </w:r>
      <w:r w:rsidRPr="0097220D">
        <w:rPr>
          <w:rStyle w:val="StyleUnderline"/>
        </w:rPr>
        <w:t>Playing</w:t>
      </w:r>
      <w:r w:rsidRPr="0097220D">
        <w:rPr>
          <w:rStyle w:val="Emphasis"/>
        </w:rPr>
        <w:t xml:space="preserve"> </w:t>
      </w:r>
      <w:r w:rsidRPr="0097220D">
        <w:rPr>
          <w:rStyle w:val="StyleUnderline"/>
        </w:rPr>
        <w:t>silly games with serious ideas provided us with a way to lavish attention on the scene of our learning.</w:t>
      </w:r>
      <w:r>
        <w:rPr>
          <w:rStyle w:val="StyleUnderline"/>
        </w:rPr>
        <w:t xml:space="preserve"> </w:t>
      </w:r>
      <w:r w:rsidRPr="00FE2B3A">
        <w:rPr>
          <w:rStyle w:val="StyleUnderline"/>
        </w:rPr>
        <w:t xml:space="preserve">In retrospect, it seems clear that the actions of my college friends and I were not about theory, the object, but </w:t>
      </w:r>
      <w:r w:rsidRPr="00EC0148">
        <w:rPr>
          <w:rStyle w:val="StyleUnderline"/>
        </w:rPr>
        <w:t>about creating a reflexive awareness of the context in which that object could</w:t>
      </w:r>
      <w:r w:rsidRPr="0091147B">
        <w:rPr>
          <w:sz w:val="14"/>
        </w:rPr>
        <w:t xml:space="preserve"> (and in fact did) </w:t>
      </w:r>
      <w:r w:rsidRPr="00EC0148">
        <w:rPr>
          <w:rStyle w:val="StyleUnderline"/>
        </w:rPr>
        <w:t>circulate</w:t>
      </w:r>
      <w:r w:rsidRPr="0091147B">
        <w:rPr>
          <w:sz w:val="14"/>
        </w:rPr>
        <w:t xml:space="preserve">: through the space of early-morning diners and late-night parties, though the hands of amateur mixologists and bargain shoppers, and through the educational transformations of public school graduates into fledgling intellectuals. I would argue that acknowledging just such contexts is precisely what Feminist Ryan Gosling and his sister memes accomplish. </w:t>
      </w:r>
      <w:r w:rsidRPr="00FE2B3A">
        <w:rPr>
          <w:rStyle w:val="StyleUnderline"/>
        </w:rPr>
        <w:t>To be sure, living in a world that increasingly measures messages in characters rather than sentences makes young readers of theory ever more inclined to see that philosophical ideas can be pithy, aphoristic, and even pertinent to the kinds of banalities that swell twitter feeds.</w:t>
      </w:r>
      <w:r>
        <w:rPr>
          <w:rStyle w:val="StyleUnderline"/>
        </w:rPr>
        <w:t xml:space="preserve"> </w:t>
      </w:r>
      <w:r w:rsidRPr="00FE2B3A">
        <w:rPr>
          <w:rStyle w:val="StyleUnderline"/>
        </w:rPr>
        <w:t>Hence the existence of Chaka Lacan, whose short-lived twitter persona</w:t>
      </w:r>
      <w:r w:rsidRPr="0091147B">
        <w:rPr>
          <w:sz w:val="14"/>
        </w:rPr>
        <w:t xml:space="preserve"> (billed as “An interstitial space between hair mousse and the I”) </w:t>
      </w:r>
      <w:r w:rsidRPr="00FE2B3A">
        <w:rPr>
          <w:rStyle w:val="StyleUnderline"/>
        </w:rPr>
        <w:t>includes mashed up gems from its two namesakes</w:t>
      </w:r>
      <w:r w:rsidRPr="0091147B">
        <w:rPr>
          <w:sz w:val="14"/>
        </w:rPr>
        <w:t xml:space="preserve">, like “Regarding this locus of the Other, of one sex as Other, what does this allow us to posit? I am every woman; it’s all in me.” Similarly and more prolifically, Kim Kierkegaardashian fuses the philosophy of Søren Kierkegaard with the tweets and observations of Kim Kardashian, to produce rather stunning pronouncements like “Because my dress isn’t butt-tight, faith alone holds together the cleavages of existence.” What’s most astonishing about such a claim, of course, is that it illustrates Kardashian’s outfit and Kierkegaard’s input far more succinctly than both could explain for themselves. </w:t>
      </w:r>
      <w:r w:rsidRPr="00FE2B3A">
        <w:rPr>
          <w:rStyle w:val="StyleUnderline"/>
        </w:rPr>
        <w:t xml:space="preserve">The ideas contained in these tweets matter, but </w:t>
      </w:r>
      <w:r w:rsidRPr="0097220D">
        <w:rPr>
          <w:rStyle w:val="Emphasis"/>
        </w:rPr>
        <w:t>they matter less than the medium of their expression. The ultimate context for these experiments is their form</w:t>
      </w:r>
      <w:r w:rsidRPr="00FE2B3A">
        <w:rPr>
          <w:rStyle w:val="StyleUnderline"/>
        </w:rPr>
        <w:t>: theory isn’t designed as a sound byte, but not because it couldn’t be.</w:t>
      </w:r>
      <w:r>
        <w:rPr>
          <w:rStyle w:val="StyleUnderline"/>
        </w:rPr>
        <w:t xml:space="preserve"> </w:t>
      </w:r>
      <w:r w:rsidRPr="00FE2B3A">
        <w:rPr>
          <w:rStyle w:val="StyleUnderline"/>
        </w:rPr>
        <w:t>This lesson about context is not, however, one to which all people readily assent.</w:t>
      </w:r>
      <w:r>
        <w:rPr>
          <w:rStyle w:val="StyleUnderline"/>
        </w:rPr>
        <w:t xml:space="preserve"> </w:t>
      </w:r>
      <w:r w:rsidRPr="00FE2B3A">
        <w:rPr>
          <w:rStyle w:val="StyleUnderline"/>
        </w:rPr>
        <w:t xml:space="preserve">Indeed, I have talked with some very smart folks who argue instead that an interest in acknowledging the scenes of theory’s circulation is belittling—whether because it prioritizes context over text, or because </w:t>
      </w:r>
      <w:r w:rsidRPr="0097220D">
        <w:rPr>
          <w:rStyle w:val="Emphasis"/>
        </w:rPr>
        <w:t>it forces lofty philosophical ideas to accommodate late capitalist realism.</w:t>
      </w:r>
      <w:r w:rsidRPr="0091147B">
        <w:rPr>
          <w:sz w:val="14"/>
        </w:rPr>
        <w:t xml:space="preserve"> Perhaps no meme is more likely to encourage such conclusions than Adorno Cats, a tumblr that pitilessly superimposes biting quotations from T. W. Adorno’s critical writings onto color-enhanced photos of tiny kittens. It may be difficult not to look at a fluffy Siamese kitty captioned with “No emancipation without that of society” — the much-quoted conclusion to the 111th chapter of Minima Moralia, (whose proper topic, lest we forget, is Greek myth, sexism, and Hegel)—and not see a deliberate attempt to diffuse Adorno’s dialectical critique in the over-large azure eyes of feline charm. Moving fearlessly across disparate registers. Such an interpretation, however, is decidedly un-Adornian. </w:t>
      </w:r>
      <w:r w:rsidRPr="00FE2B3A">
        <w:rPr>
          <w:rStyle w:val="StyleUnderline"/>
        </w:rPr>
        <w:t>Ever</w:t>
      </w:r>
      <w:r w:rsidRPr="0091147B">
        <w:rPr>
          <w:sz w:val="14"/>
        </w:rPr>
        <w:t xml:space="preserve"> alert to the machinations of ideology in minute locations, Adorno once devoted an entire book to his unbridled distaste for the LA Times horoscope columnist (a book, I should confess, that I have never finished because every attempt at reading it leaves me laughing distractedly). Filling in the gap between culture and industry, </w:t>
      </w:r>
      <w:r w:rsidRPr="00FE2B3A">
        <w:rPr>
          <w:rStyle w:val="StyleUnderline"/>
        </w:rPr>
        <w:t>the bland experience of individuals and the nefarious rationalizations of society, Adorno taught generations of thinkers to move fearlessly across seemingly disparate registers in order to expose the face of ideology—and there is no reason to suppose that he would make an exception when that face has whiskers.</w:t>
      </w:r>
      <w:r>
        <w:rPr>
          <w:rStyle w:val="StyleUnderline"/>
        </w:rPr>
        <w:t xml:space="preserve"> </w:t>
      </w:r>
      <w:r w:rsidRPr="00FE2B3A">
        <w:rPr>
          <w:rStyle w:val="StyleUnderline"/>
        </w:rPr>
        <w:t>The cuteness of Adorno Cats, then, can be understood less as a bid for mastery over theory than as a complex embrace of theory’s great dialectic of earnestness and silliness.</w:t>
      </w:r>
      <w:r>
        <w:rPr>
          <w:rStyle w:val="StyleUnderline"/>
        </w:rPr>
        <w:t xml:space="preserve"> </w:t>
      </w:r>
      <w:r w:rsidRPr="0091147B">
        <w:rPr>
          <w:sz w:val="14"/>
        </w:rPr>
        <w:t xml:space="preserve">(Moreover, the cute, writes Sianne Ngai in a formidable kind of sequel to Adorno’s aesthetic theory, is itself dialectical: something so diminutive invites us to imagine that we can control it, while also controlling us by provoking involuntary cooing.) </w:t>
      </w:r>
      <w:r w:rsidRPr="00FE2B3A">
        <w:rPr>
          <w:rStyle w:val="StyleUnderline"/>
        </w:rPr>
        <w:t>Only in our fantasies can mastery be a one-way street.</w:t>
      </w:r>
      <w:r>
        <w:rPr>
          <w:rStyle w:val="StyleUnderline"/>
        </w:rPr>
        <w:t xml:space="preserve"> </w:t>
      </w:r>
      <w:r w:rsidRPr="0091147B">
        <w:rPr>
          <w:sz w:val="14"/>
        </w:rPr>
        <w:t xml:space="preserve">Contrary to my previous proposition, </w:t>
      </w:r>
      <w:r w:rsidRPr="00FE2B3A">
        <w:rPr>
          <w:rStyle w:val="StyleUnderline"/>
        </w:rPr>
        <w:t>these examples suggest that the currency of silliness in the vicinity of theory may have to do less with the uses to which theory can be put, than with something that may inhere in theory itself</w:t>
      </w:r>
      <w:r w:rsidRPr="0091147B">
        <w:rPr>
          <w:sz w:val="14"/>
        </w:rPr>
        <w:t xml:space="preserve">. If that’s true, then </w:t>
      </w:r>
      <w:r w:rsidRPr="00FE2B3A">
        <w:rPr>
          <w:rStyle w:val="StyleUnderline"/>
        </w:rPr>
        <w:t xml:space="preserve">silliness is not an attempt to take theory down; rather, </w:t>
      </w:r>
      <w:r w:rsidRPr="0097220D">
        <w:rPr>
          <w:rStyle w:val="Emphasis"/>
        </w:rPr>
        <w:t>seriousness is an attempt to guard against the queer material of which theory is made</w:t>
      </w:r>
      <w:r w:rsidRPr="00FE2B3A">
        <w:rPr>
          <w:rStyle w:val="StyleUnderline"/>
        </w:rPr>
        <w:t>—that big, difficult idea which always threatens to turn into a puddle of soft and ridiculous goo.</w:t>
      </w:r>
      <w:r>
        <w:rPr>
          <w:rStyle w:val="StyleUnderline"/>
        </w:rPr>
        <w:t xml:space="preserve"> </w:t>
      </w:r>
      <w:r w:rsidRPr="0097220D">
        <w:rPr>
          <w:rStyle w:val="Emphasis"/>
        </w:rPr>
        <w:t xml:space="preserve">The tonal seriousness </w:t>
      </w:r>
      <w:r w:rsidRPr="0097220D">
        <w:rPr>
          <w:rStyle w:val="StyleUnderline"/>
        </w:rPr>
        <w:t>and</w:t>
      </w:r>
      <w:r w:rsidRPr="0097220D">
        <w:rPr>
          <w:rStyle w:val="Emphasis"/>
        </w:rPr>
        <w:t xml:space="preserve"> prosaic difficulty </w:t>
      </w:r>
      <w:r w:rsidRPr="0097220D">
        <w:rPr>
          <w:rStyle w:val="StyleUnderline"/>
        </w:rPr>
        <w:t>that characterizes theory’s most celebrated practitioners, and</w:t>
      </w:r>
      <w:r w:rsidRPr="00FE2B3A">
        <w:rPr>
          <w:rStyle w:val="StyleUnderline"/>
        </w:rPr>
        <w:t xml:space="preserve"> that is slavishly </w:t>
      </w:r>
      <w:r w:rsidRPr="0097220D">
        <w:rPr>
          <w:rStyle w:val="Emphasis"/>
        </w:rPr>
        <w:t>imitated by</w:t>
      </w:r>
      <w:r w:rsidRPr="00FE2B3A">
        <w:rPr>
          <w:rStyle w:val="StyleUnderline"/>
        </w:rPr>
        <w:t xml:space="preserve"> many </w:t>
      </w:r>
      <w:r w:rsidRPr="0097220D">
        <w:rPr>
          <w:rStyle w:val="Emphasis"/>
        </w:rPr>
        <w:t>zealous</w:t>
      </w:r>
      <w:r w:rsidRPr="00FE2B3A">
        <w:rPr>
          <w:rStyle w:val="StyleUnderline"/>
        </w:rPr>
        <w:t xml:space="preserve"> graduate </w:t>
      </w:r>
      <w:r w:rsidRPr="0097220D">
        <w:rPr>
          <w:rStyle w:val="Emphasis"/>
        </w:rPr>
        <w:t>students</w:t>
      </w:r>
      <w:r w:rsidRPr="00FE2B3A">
        <w:rPr>
          <w:rStyle w:val="StyleUnderline"/>
        </w:rPr>
        <w:t xml:space="preserve"> </w:t>
      </w:r>
      <w:r w:rsidRPr="0091147B">
        <w:rPr>
          <w:sz w:val="14"/>
        </w:rPr>
        <w:t xml:space="preserve">(including, in the darkness of one disavowed semester, myself) </w:t>
      </w:r>
      <w:r w:rsidRPr="00FE2B3A">
        <w:rPr>
          <w:rStyle w:val="StyleUnderline"/>
        </w:rPr>
        <w:t>is but a recent manifestation of the age-old paradox of trying to harness potential by denying its volatility.</w:t>
      </w:r>
      <w:r>
        <w:rPr>
          <w:rStyle w:val="StyleUnderline"/>
        </w:rPr>
        <w:t xml:space="preserve"> </w:t>
      </w:r>
      <w:r w:rsidRPr="00FE2B3A">
        <w:rPr>
          <w:rStyle w:val="StyleUnderline"/>
        </w:rPr>
        <w:t xml:space="preserve">To secure themselves against volatility, serious practitioners of theory often become defensively prone toward </w:t>
      </w:r>
      <w:r w:rsidRPr="0097220D">
        <w:rPr>
          <w:rStyle w:val="Emphasis"/>
        </w:rPr>
        <w:t xml:space="preserve">obscure platitudes </w:t>
      </w:r>
      <w:r w:rsidRPr="0097220D">
        <w:rPr>
          <w:rStyle w:val="StyleUnderline"/>
        </w:rPr>
        <w:t>and</w:t>
      </w:r>
      <w:r w:rsidRPr="0097220D">
        <w:rPr>
          <w:rStyle w:val="Emphasis"/>
        </w:rPr>
        <w:t xml:space="preserve"> dry clichés</w:t>
      </w:r>
      <w:r w:rsidRPr="00FE2B3A">
        <w:rPr>
          <w:rStyle w:val="StyleUnderline"/>
        </w:rPr>
        <w:t xml:space="preserve">—toward </w:t>
      </w:r>
      <w:r w:rsidRPr="0097220D">
        <w:rPr>
          <w:rStyle w:val="Emphasis"/>
        </w:rPr>
        <w:t>a jargon-laden in-speak,</w:t>
      </w:r>
      <w:r w:rsidRPr="00FE2B3A">
        <w:rPr>
          <w:rStyle w:val="StyleUnderline"/>
        </w:rPr>
        <w:t xml:space="preserve"> in other words, that somewhere along the way forgot that any seriousness that studiously ignores unseriousness is rather hard to take seriously.</w:t>
      </w:r>
      <w:r>
        <w:rPr>
          <w:rStyle w:val="StyleUnderline"/>
        </w:rPr>
        <w:t xml:space="preserve"> </w:t>
      </w:r>
      <w:r w:rsidRPr="0091147B">
        <w:rPr>
          <w:sz w:val="14"/>
        </w:rPr>
        <w:t xml:space="preserve">Quite in spite of any aspiration to seriousness on the part of its readers, theory’s volatility persists. I cannot be the only person whose attempts to read Heidegger have left me feeling like I am aboard the Hindenburg. I cannot be the only person who has giggled while reading Deleuze’s unblinking analysis of Artaud’s pronouncement that “All writing is PIG SHIT.” I could not be the only student who was crippled with panic about what to wear to class on the day we were discussing Butler. I know I am not </w:t>
      </w:r>
      <w:r w:rsidRPr="0091147B">
        <w:rPr>
          <w:sz w:val="14"/>
        </w:rPr>
        <w:lastRenderedPageBreak/>
        <w:t xml:space="preserve">the only person who has swooned while reading Barthes. </w:t>
      </w:r>
      <w:r w:rsidRPr="00B805F2">
        <w:rPr>
          <w:rStyle w:val="StyleUnderline"/>
        </w:rPr>
        <w:t>And I freely admit my complicity with the silly movement of theory’s dialectic, because, contra my more serious theoretical brethren, I am not aware of any rule that says dialectics are most true when they tend toward the tragic.</w:t>
      </w:r>
      <w:r>
        <w:rPr>
          <w:rStyle w:val="StyleUnderline"/>
        </w:rPr>
        <w:t xml:space="preserve"> </w:t>
      </w:r>
      <w:r w:rsidRPr="00B805F2">
        <w:rPr>
          <w:rStyle w:val="StyleUnderline"/>
        </w:rPr>
        <w:t>No less an authority on dialectical history than Karl Marx posited that what appears once as tragedy appears a second time as farce.</w:t>
      </w:r>
      <w:r>
        <w:rPr>
          <w:rStyle w:val="StyleUnderline"/>
        </w:rPr>
        <w:t xml:space="preserve"> </w:t>
      </w:r>
      <w:r w:rsidRPr="00B805F2">
        <w:rPr>
          <w:rStyle w:val="StyleUnderline"/>
        </w:rPr>
        <w:t>And, despite a perennially estranged relationship to his brother Groucho, Marx knew that farce, properly executed, is pretty silly.</w:t>
      </w:r>
      <w:r>
        <w:rPr>
          <w:rStyle w:val="StyleUnderline"/>
        </w:rPr>
        <w:t xml:space="preserve"> </w:t>
      </w:r>
      <w:r w:rsidRPr="0091147B">
        <w:rPr>
          <w:sz w:val="14"/>
        </w:rPr>
        <w:t xml:space="preserve">What’s more, </w:t>
      </w:r>
      <w:r w:rsidRPr="00B805F2">
        <w:rPr>
          <w:rStyle w:val="StyleUnderline"/>
        </w:rPr>
        <w:t>acknowledging the silly in theory challenges not only the in-speakyness of theoretical jargon, which takes theory too seriously, but also the kind of demotic counter-snobbery, which dismisses theory out of hand for being too difficult</w:t>
      </w:r>
      <w:r w:rsidRPr="0091147B">
        <w:rPr>
          <w:sz w:val="14"/>
        </w:rPr>
        <w:t xml:space="preserve">. Those stationed irretrievably far into the anti-difficulty camp tend to suppose that plain speech and realist genres count as neutral representations. The problem with this line of thinking is that the generic claims of normative realism, consequential though they may be, are little more than claims that representation ought to be banal. That is, </w:t>
      </w:r>
      <w:r w:rsidRPr="00B805F2">
        <w:rPr>
          <w:rStyle w:val="StyleUnderline"/>
        </w:rPr>
        <w:t>the inverse of imagining that theory is too difficult tends to be imagining that what often counts as more normal is therefore more true, as though our culture’s clichés</w:t>
      </w:r>
      <w:r w:rsidRPr="0091147B">
        <w:rPr>
          <w:sz w:val="14"/>
        </w:rPr>
        <w:t>—houses with white picket fences, politicians who tell it to you straight, beauty accentuated by its flaws, or career women who have it all—</w:t>
      </w:r>
      <w:r w:rsidRPr="00B805F2">
        <w:rPr>
          <w:rStyle w:val="StyleUnderline"/>
        </w:rPr>
        <w:t>circulate in representation first and foremost because they really and unproblematically exist for some statistical majority</w:t>
      </w:r>
      <w:r w:rsidRPr="0091147B">
        <w:rPr>
          <w:sz w:val="14"/>
        </w:rPr>
        <w:t>. In fact, these clichés are as made up as Monique Wittig thought women’s bodies were—which is to say, totally. By this line of thinking</w:t>
      </w:r>
      <w:r w:rsidRPr="00B805F2">
        <w:rPr>
          <w:rStyle w:val="StyleUnderline"/>
        </w:rPr>
        <w:t>, there is no objective reason why anyone should automatically understand the cuteness of a LOL Cat, any more or less that one should understand the thunderous exasperation of one of Adorno’s monodies to the world that was cruelly sacrificed in war.</w:t>
      </w:r>
      <w:r>
        <w:rPr>
          <w:rStyle w:val="StyleUnderline"/>
        </w:rPr>
        <w:t xml:space="preserve"> </w:t>
      </w:r>
      <w:r w:rsidRPr="00B805F2">
        <w:rPr>
          <w:rStyle w:val="StyleUnderline"/>
        </w:rPr>
        <w:t>Understanding either requires certain kinds of literacies that would enable you to recognize the idiom in which each operates</w:t>
      </w:r>
      <w:r w:rsidRPr="0091147B">
        <w:rPr>
          <w:sz w:val="14"/>
        </w:rPr>
        <w:t xml:space="preserve">. What’s interesting, however, is that neither a theoretical bon mot nor a meme belongs exclusively to the domain of realism. </w:t>
      </w:r>
      <w:r w:rsidRPr="00B805F2">
        <w:rPr>
          <w:rStyle w:val="StyleUnderline"/>
        </w:rPr>
        <w:t>Words like “realistic” or “normal” apply as little to LOL Cats as they do to Minima Moralia.</w:t>
      </w:r>
      <w:r>
        <w:rPr>
          <w:rStyle w:val="StyleUnderline"/>
        </w:rPr>
        <w:t xml:space="preserve"> </w:t>
      </w:r>
      <w:r w:rsidRPr="00B805F2">
        <w:rPr>
          <w:rStyle w:val="StyleUnderline"/>
        </w:rPr>
        <w:t>Moreover, I would argue that these words do not apply to these texts for the same reasons: both texts are highly idiosyncratic appeals to general experience, both combine word and image to produce incongruous pictures of the everyday, both want something from reality that it contains primarily in fragments.</w:t>
      </w:r>
      <w:r>
        <w:rPr>
          <w:rStyle w:val="StyleUnderline"/>
        </w:rPr>
        <w:t xml:space="preserve"> </w:t>
      </w:r>
      <w:r w:rsidRPr="00B805F2">
        <w:rPr>
          <w:rStyle w:val="StyleUnderline"/>
        </w:rPr>
        <w:t>To see only that each operates in a different idiom is, I would say, rather foolishly to misrecognize that both are trying to give voice to something that we readers of these texts have perhaps intuited but have heretofore been without a way to represent.</w:t>
      </w:r>
      <w:r>
        <w:rPr>
          <w:rStyle w:val="StyleUnderline"/>
        </w:rPr>
        <w:t xml:space="preserve"> </w:t>
      </w:r>
      <w:r w:rsidRPr="00B805F2">
        <w:rPr>
          <w:rStyle w:val="StyleUnderline"/>
        </w:rPr>
        <w:t>Both begin with some familiar aspect of the world, and both use the recontextualizing arts of combination and juxtaposition to push off from what we think, toward what we have not yet thought</w:t>
      </w:r>
      <w:r w:rsidRPr="0091147B">
        <w:rPr>
          <w:sz w:val="14"/>
        </w:rPr>
        <w:t>.</w:t>
      </w:r>
    </w:p>
    <w:p w:rsidR="0062164B" w:rsidRPr="00234B09" w:rsidRDefault="0062164B" w:rsidP="0062164B">
      <w:pPr>
        <w:pStyle w:val="Heading3"/>
      </w:pPr>
      <w:bookmarkStart w:id="79" w:name="_Toc489138969"/>
      <w:r w:rsidRPr="00234B09">
        <w:lastRenderedPageBreak/>
        <w:t>Alt</w:t>
      </w:r>
      <w:r>
        <w:t>: Performative Failure</w:t>
      </w:r>
      <w:bookmarkEnd w:id="79"/>
      <w:r>
        <w:t xml:space="preserve"> </w:t>
      </w:r>
    </w:p>
    <w:p w:rsidR="0062164B" w:rsidRPr="001E0F77" w:rsidRDefault="0062164B" w:rsidP="0062164B">
      <w:pPr>
        <w:pStyle w:val="Heading4"/>
        <w:rPr>
          <w:rStyle w:val="Style13ptBold"/>
          <w:b/>
        </w:rPr>
      </w:pPr>
      <w:r>
        <w:rPr>
          <w:rStyle w:val="Style13ptBold"/>
          <w:b/>
        </w:rPr>
        <w:t xml:space="preserve">Failure opens the space for new performative potentials that unravel certainty and normativity. This opens a new participatory and process-based politics prior to and against representation.  </w:t>
      </w:r>
    </w:p>
    <w:p w:rsidR="0062164B" w:rsidRPr="001E0F77" w:rsidRDefault="0062164B" w:rsidP="0062164B">
      <w:pPr>
        <w:rPr>
          <w:rStyle w:val="Style13ptBold"/>
          <w:b w:val="0"/>
        </w:rPr>
      </w:pPr>
      <w:r>
        <w:rPr>
          <w:rStyle w:val="Style13ptBold"/>
        </w:rPr>
        <w:t xml:space="preserve">O’Gorman and Werry 12 </w:t>
      </w:r>
      <w:r w:rsidRPr="001E0F77">
        <w:rPr>
          <w:rStyle w:val="Style13ptBold"/>
          <w:b w:val="0"/>
          <w:sz w:val="16"/>
          <w:szCs w:val="16"/>
        </w:rPr>
        <w:t>[Róisín O'Gorman &amp; Margaret Werry. Róisín O’Gorman is a lecturer in Drama &amp; Theatre Studies at University College Cork. Margaret Werry is Associate Professor in the Theatre Department at the University of Minnesota. “On Failure (On Pedagogy): Editorial Introduction.” Editorial Introduction, Performance Research, 17:1, 1-8, DOI: 10.1080/13528165.2012.651857. SH]</w:t>
      </w:r>
    </w:p>
    <w:p w:rsidR="0062164B" w:rsidRDefault="0062164B" w:rsidP="0062164B">
      <w:pPr>
        <w:rPr>
          <w:sz w:val="16"/>
        </w:rPr>
      </w:pPr>
      <w:r w:rsidRPr="001E0F77">
        <w:rPr>
          <w:sz w:val="16"/>
        </w:rPr>
        <w:t>On the other end of the publishing (and political) spectrum,</w:t>
      </w:r>
      <w:r w:rsidRPr="001E0F77">
        <w:rPr>
          <w:rStyle w:val="StyleUnderline"/>
        </w:rPr>
        <w:t xml:space="preserve"> a flurry of scholarship</w:t>
      </w:r>
      <w:r>
        <w:rPr>
          <w:rStyle w:val="StyleUnderline"/>
        </w:rPr>
        <w:t xml:space="preserve"> </w:t>
      </w:r>
      <w:r w:rsidRPr="001E0F77">
        <w:rPr>
          <w:rStyle w:val="StyleUnderline"/>
        </w:rPr>
        <w:t>from queer studies, art criticism and especially</w:t>
      </w:r>
      <w:r>
        <w:rPr>
          <w:rStyle w:val="StyleUnderline"/>
        </w:rPr>
        <w:t xml:space="preserve"> </w:t>
      </w:r>
      <w:r w:rsidRPr="001E0F77">
        <w:rPr>
          <w:rStyle w:val="StyleUnderline"/>
        </w:rPr>
        <w:t>performance studies has also focused on</w:t>
      </w:r>
      <w:r>
        <w:rPr>
          <w:rStyle w:val="StyleUnderline"/>
        </w:rPr>
        <w:t xml:space="preserve"> </w:t>
      </w:r>
      <w:r w:rsidRPr="001E0F77">
        <w:rPr>
          <w:rStyle w:val="StyleUnderline"/>
        </w:rPr>
        <w:t>failure’s intimate relationship with creativity</w:t>
      </w:r>
      <w:r w:rsidRPr="001E0F77">
        <w:rPr>
          <w:sz w:val="16"/>
        </w:rPr>
        <w:t xml:space="preserve">.1 These authors recuperate failure, even champion it as a site of resistance. For them, </w:t>
      </w:r>
      <w:r w:rsidRPr="001E0F77">
        <w:rPr>
          <w:rStyle w:val="Emphasis"/>
        </w:rPr>
        <w:t>failure’s promise lies in its capacity to unravel</w:t>
      </w:r>
      <w:r>
        <w:rPr>
          <w:rStyle w:val="Emphasis"/>
        </w:rPr>
        <w:t xml:space="preserve"> </w:t>
      </w:r>
      <w:r w:rsidRPr="001E0F77">
        <w:rPr>
          <w:rStyle w:val="Emphasis"/>
        </w:rPr>
        <w:t>the certainties of knowledge, competence,</w:t>
      </w:r>
      <w:r>
        <w:rPr>
          <w:rStyle w:val="Emphasis"/>
        </w:rPr>
        <w:t xml:space="preserve"> </w:t>
      </w:r>
      <w:r w:rsidRPr="001E0F77">
        <w:rPr>
          <w:rStyle w:val="Emphasis"/>
        </w:rPr>
        <w:t>representation, normativity and authority</w:t>
      </w:r>
      <w:r w:rsidRPr="001E0F77">
        <w:rPr>
          <w:sz w:val="16"/>
        </w:rPr>
        <w:t xml:space="preserve">. Failure, they argue, is </w:t>
      </w:r>
      <w:r w:rsidRPr="001E0F77">
        <w:rPr>
          <w:rStyle w:val="Emphasis"/>
        </w:rPr>
        <w:t>the inevitable and critical</w:t>
      </w:r>
      <w:r>
        <w:rPr>
          <w:rStyle w:val="Emphasis"/>
        </w:rPr>
        <w:t xml:space="preserve"> </w:t>
      </w:r>
      <w:r w:rsidRPr="001E0F77">
        <w:rPr>
          <w:rStyle w:val="Emphasis"/>
        </w:rPr>
        <w:t>counterpoint to modernity’s empty promises of</w:t>
      </w:r>
      <w:r>
        <w:rPr>
          <w:rStyle w:val="Emphasis"/>
        </w:rPr>
        <w:t xml:space="preserve"> </w:t>
      </w:r>
      <w:r w:rsidRPr="001E0F77">
        <w:rPr>
          <w:rStyle w:val="Emphasis"/>
        </w:rPr>
        <w:t>progress and betterment.</w:t>
      </w:r>
      <w:r w:rsidRPr="001E0F77">
        <w:rPr>
          <w:sz w:val="16"/>
        </w:rPr>
        <w:t xml:space="preserve"> And </w:t>
      </w:r>
      <w:r w:rsidRPr="001E0F77">
        <w:rPr>
          <w:rStyle w:val="StyleUnderline"/>
        </w:rPr>
        <w:t>this is failure’s</w:t>
      </w:r>
      <w:r>
        <w:rPr>
          <w:rStyle w:val="StyleUnderline"/>
        </w:rPr>
        <w:t xml:space="preserve"> </w:t>
      </w:r>
      <w:r w:rsidRPr="001E0F77">
        <w:rPr>
          <w:rStyle w:val="StyleUnderline"/>
        </w:rPr>
        <w:t>moment. From the recent catastrophes of the</w:t>
      </w:r>
      <w:r>
        <w:rPr>
          <w:rStyle w:val="StyleUnderline"/>
        </w:rPr>
        <w:t xml:space="preserve"> </w:t>
      </w:r>
      <w:r w:rsidRPr="001E0F77">
        <w:rPr>
          <w:rStyle w:val="StyleUnderline"/>
        </w:rPr>
        <w:t>global economy, to the impending collapse of</w:t>
      </w:r>
      <w:r>
        <w:rPr>
          <w:rStyle w:val="StyleUnderline"/>
        </w:rPr>
        <w:t xml:space="preserve"> </w:t>
      </w:r>
      <w:r w:rsidRPr="001E0F77">
        <w:rPr>
          <w:rStyle w:val="StyleUnderline"/>
        </w:rPr>
        <w:t>our eco-system, to the long, slow entropy of</w:t>
      </w:r>
      <w:r>
        <w:rPr>
          <w:rStyle w:val="StyleUnderline"/>
        </w:rPr>
        <w:t xml:space="preserve"> </w:t>
      </w:r>
      <w:r w:rsidRPr="001E0F77">
        <w:rPr>
          <w:rStyle w:val="StyleUnderline"/>
        </w:rPr>
        <w:t>the political left, we live mired in failure. Our</w:t>
      </w:r>
      <w:r>
        <w:rPr>
          <w:rStyle w:val="StyleUnderline"/>
        </w:rPr>
        <w:t xml:space="preserve"> </w:t>
      </w:r>
      <w:r w:rsidRPr="001E0F77">
        <w:rPr>
          <w:rStyle w:val="StyleUnderline"/>
        </w:rPr>
        <w:t>current sense of urgency to theorize and own it</w:t>
      </w:r>
      <w:r>
        <w:rPr>
          <w:rStyle w:val="StyleUnderline"/>
        </w:rPr>
        <w:t xml:space="preserve"> </w:t>
      </w:r>
      <w:r w:rsidRPr="001E0F77">
        <w:rPr>
          <w:rStyle w:val="StyleUnderline"/>
        </w:rPr>
        <w:t>should come as little surprise.</w:t>
      </w:r>
      <w:r>
        <w:rPr>
          <w:rStyle w:val="StyleUnderline"/>
        </w:rPr>
        <w:t xml:space="preserve"> </w:t>
      </w:r>
      <w:r w:rsidRPr="001E0F77">
        <w:rPr>
          <w:sz w:val="16"/>
        </w:rPr>
        <w:t xml:space="preserve">But the fact is that despite failure’s recent modishness, </w:t>
      </w:r>
      <w:r w:rsidRPr="001E0F77">
        <w:rPr>
          <w:rStyle w:val="StyleUnderline"/>
        </w:rPr>
        <w:t>we’ve been failing for a long</w:t>
      </w:r>
      <w:r>
        <w:rPr>
          <w:rStyle w:val="StyleUnderline"/>
        </w:rPr>
        <w:t xml:space="preserve"> </w:t>
      </w:r>
      <w:r w:rsidRPr="001E0F77">
        <w:rPr>
          <w:rStyle w:val="StyleUnderline"/>
        </w:rPr>
        <w:t>time. Failure saturates our lives, shapes our</w:t>
      </w:r>
      <w:r>
        <w:rPr>
          <w:rStyle w:val="StyleUnderline"/>
        </w:rPr>
        <w:t xml:space="preserve"> </w:t>
      </w:r>
      <w:r w:rsidRPr="001E0F77">
        <w:rPr>
          <w:rStyle w:val="StyleUnderline"/>
        </w:rPr>
        <w:t>experience and delineates the contours of our</w:t>
      </w:r>
      <w:r>
        <w:rPr>
          <w:rStyle w:val="StyleUnderline"/>
        </w:rPr>
        <w:t xml:space="preserve"> </w:t>
      </w:r>
      <w:r w:rsidRPr="001E0F77">
        <w:rPr>
          <w:rStyle w:val="StyleUnderline"/>
        </w:rPr>
        <w:t>institutions</w:t>
      </w:r>
      <w:r w:rsidRPr="001E0F77">
        <w:rPr>
          <w:sz w:val="16"/>
        </w:rPr>
        <w:t xml:space="preserve">. And mostly (as Beckett well knew), it feels like shit. This issue aims to face failure head on, to see if performance might provide us with a metaphor and methodology for failure. Our collective project is not to be cheerleaders of failure, nor to redeem it or prevent it, but to anatomize it in all its irreducible complexity, painful ambivalence and variety. We have chosen to focus on pedagogy, not only in the institutional context of the university but also in public art projects, those sites of performance that aim to educate an audience or inspire a community to self-education or self-reflection. </w:t>
      </w:r>
      <w:r w:rsidRPr="001E0F77">
        <w:rPr>
          <w:rStyle w:val="StyleUnderline"/>
        </w:rPr>
        <w:t>This scene of teaching and learning</w:t>
      </w:r>
      <w:r w:rsidRPr="001E0F77">
        <w:rPr>
          <w:sz w:val="16"/>
        </w:rPr>
        <w:t xml:space="preserve">, rather than the experimental space of performance art with its privileged freedom to fail, </w:t>
      </w:r>
      <w:r w:rsidRPr="001E0F77">
        <w:rPr>
          <w:rStyle w:val="StyleUnderline"/>
        </w:rPr>
        <w:t>brings into sharp</w:t>
      </w:r>
      <w:r>
        <w:rPr>
          <w:rStyle w:val="StyleUnderline"/>
        </w:rPr>
        <w:t xml:space="preserve"> </w:t>
      </w:r>
      <w:r w:rsidRPr="001E0F77">
        <w:rPr>
          <w:rStyle w:val="StyleUnderline"/>
        </w:rPr>
        <w:t>relief the stakes, economies and politics of</w:t>
      </w:r>
      <w:r>
        <w:rPr>
          <w:rStyle w:val="StyleUnderline"/>
        </w:rPr>
        <w:t xml:space="preserve"> </w:t>
      </w:r>
      <w:r w:rsidRPr="001E0F77">
        <w:rPr>
          <w:rStyle w:val="StyleUnderline"/>
        </w:rPr>
        <w:t>failure.</w:t>
      </w:r>
      <w:r w:rsidRPr="001E0F77">
        <w:rPr>
          <w:sz w:val="16"/>
        </w:rPr>
        <w:t xml:space="preserve"> These essays, dialogues, ethnographies and theoretical reflections tap the analytic power of failure to chart this terrain in which we teach and perform. </w:t>
      </w:r>
      <w:r w:rsidRPr="001E0F77">
        <w:rPr>
          <w:rStyle w:val="StyleUnderline"/>
        </w:rPr>
        <w:t>Failure</w:t>
      </w:r>
      <w:r w:rsidRPr="001E0F77">
        <w:rPr>
          <w:sz w:val="16"/>
        </w:rPr>
        <w:t xml:space="preserve">, for these authors, </w:t>
      </w:r>
      <w:r w:rsidRPr="001E0F77">
        <w:rPr>
          <w:rStyle w:val="StyleUnderline"/>
        </w:rPr>
        <w:t>is neither a dead end nor a pit stop on the path</w:t>
      </w:r>
      <w:r>
        <w:rPr>
          <w:rStyle w:val="StyleUnderline"/>
        </w:rPr>
        <w:t xml:space="preserve"> </w:t>
      </w:r>
      <w:r w:rsidRPr="001E0F77">
        <w:rPr>
          <w:rStyle w:val="StyleUnderline"/>
        </w:rPr>
        <w:t>to success but a generative, unsettling and</w:t>
      </w:r>
      <w:r>
        <w:rPr>
          <w:rStyle w:val="StyleUnderline"/>
        </w:rPr>
        <w:t xml:space="preserve"> </w:t>
      </w:r>
      <w:r w:rsidRPr="001E0F77">
        <w:rPr>
          <w:rStyle w:val="StyleUnderline"/>
        </w:rPr>
        <w:t>revelatory force. Together, they reckon with the</w:t>
      </w:r>
      <w:r>
        <w:rPr>
          <w:rStyle w:val="StyleUnderline"/>
        </w:rPr>
        <w:t xml:space="preserve"> </w:t>
      </w:r>
      <w:r w:rsidRPr="001E0F77">
        <w:rPr>
          <w:rStyle w:val="StyleUnderline"/>
        </w:rPr>
        <w:t>fraught and isolating affective experience of</w:t>
      </w:r>
      <w:r>
        <w:rPr>
          <w:rStyle w:val="StyleUnderline"/>
        </w:rPr>
        <w:t xml:space="preserve"> </w:t>
      </w:r>
      <w:r w:rsidRPr="001E0F77">
        <w:rPr>
          <w:rStyle w:val="StyleUnderline"/>
        </w:rPr>
        <w:t>failure, so often disavowed or dismissed.</w:t>
      </w:r>
      <w:r w:rsidRPr="001E0F77">
        <w:rPr>
          <w:sz w:val="16"/>
        </w:rPr>
        <w:t xml:space="preserve"> Their musings intimate that locking eyes with </w:t>
      </w:r>
      <w:r w:rsidRPr="001E0F77">
        <w:rPr>
          <w:rStyle w:val="StyleUnderline"/>
        </w:rPr>
        <w:t>failure</w:t>
      </w:r>
      <w:r w:rsidRPr="001E0F77">
        <w:rPr>
          <w:sz w:val="16"/>
        </w:rPr>
        <w:t xml:space="preserve"> in this way </w:t>
      </w:r>
      <w:r w:rsidRPr="001E0F77">
        <w:rPr>
          <w:rStyle w:val="StyleUnderline"/>
        </w:rPr>
        <w:t>can point us to an alternative form</w:t>
      </w:r>
      <w:r w:rsidRPr="001E0F77">
        <w:rPr>
          <w:sz w:val="16"/>
        </w:rPr>
        <w:t xml:space="preserve"> </w:t>
      </w:r>
      <w:r w:rsidRPr="001E0F77">
        <w:rPr>
          <w:rStyle w:val="Emphasis"/>
        </w:rPr>
        <w:t>of participatory and process-based politics,</w:t>
      </w:r>
      <w:r>
        <w:rPr>
          <w:rStyle w:val="Emphasis"/>
        </w:rPr>
        <w:t xml:space="preserve"> </w:t>
      </w:r>
      <w:r w:rsidRPr="001E0F77">
        <w:rPr>
          <w:rStyle w:val="StyleUnderline"/>
        </w:rPr>
        <w:t>without defaulting to the pursuit of success that</w:t>
      </w:r>
      <w:r>
        <w:rPr>
          <w:rStyle w:val="StyleUnderline"/>
        </w:rPr>
        <w:t xml:space="preserve"> </w:t>
      </w:r>
      <w:r w:rsidRPr="001E0F77">
        <w:rPr>
          <w:rStyle w:val="StyleUnderline"/>
        </w:rPr>
        <w:t>only breeds further failure.</w:t>
      </w:r>
      <w:r>
        <w:rPr>
          <w:rStyle w:val="StyleUnderline"/>
        </w:rPr>
        <w:t xml:space="preserve"> </w:t>
      </w:r>
      <w:r w:rsidRPr="001E0F77">
        <w:rPr>
          <w:sz w:val="16"/>
        </w:rPr>
        <w:t xml:space="preserve">This issue is inspired not only by the sense of living in failure’s moment but by the conviction that </w:t>
      </w:r>
      <w:r w:rsidRPr="001E0F77">
        <w:rPr>
          <w:rStyle w:val="StyleUnderline"/>
        </w:rPr>
        <w:t>any meaningful response</w:t>
      </w:r>
      <w:r>
        <w:rPr>
          <w:rStyle w:val="StyleUnderline"/>
        </w:rPr>
        <w:t xml:space="preserve"> </w:t>
      </w:r>
      <w:r w:rsidRPr="001E0F77">
        <w:rPr>
          <w:sz w:val="16"/>
        </w:rPr>
        <w:t xml:space="preserve">to it – as performance scholars and artists, and above all as teachers – </w:t>
      </w:r>
      <w:r w:rsidRPr="001E0F77">
        <w:rPr>
          <w:rStyle w:val="StyleUnderline"/>
        </w:rPr>
        <w:t>requires an act of</w:t>
      </w:r>
      <w:r>
        <w:rPr>
          <w:rStyle w:val="StyleUnderline"/>
        </w:rPr>
        <w:t xml:space="preserve"> </w:t>
      </w:r>
      <w:r w:rsidRPr="001E0F77">
        <w:rPr>
          <w:rStyle w:val="StyleUnderline"/>
        </w:rPr>
        <w:t>methodological imagination to which failure,</w:t>
      </w:r>
      <w:r>
        <w:rPr>
          <w:rStyle w:val="StyleUnderline"/>
        </w:rPr>
        <w:t xml:space="preserve"> </w:t>
      </w:r>
      <w:r w:rsidRPr="001E0F77">
        <w:rPr>
          <w:sz w:val="16"/>
        </w:rPr>
        <w:t xml:space="preserve">ironically, </w:t>
      </w:r>
      <w:r w:rsidRPr="001E0F77">
        <w:rPr>
          <w:rStyle w:val="StyleUnderline"/>
        </w:rPr>
        <w:t>is central,</w:t>
      </w:r>
      <w:r w:rsidRPr="001E0F77">
        <w:rPr>
          <w:sz w:val="16"/>
        </w:rPr>
        <w:t xml:space="preserve"> and for which performance itself may offer a set of valuable and practical tools. </w:t>
      </w:r>
      <w:r w:rsidRPr="001E0F77">
        <w:rPr>
          <w:rStyle w:val="StyleUnderline"/>
        </w:rPr>
        <w:t>An excellent and growing literature in the</w:t>
      </w:r>
      <w:r>
        <w:rPr>
          <w:rStyle w:val="StyleUnderline"/>
        </w:rPr>
        <w:t xml:space="preserve"> </w:t>
      </w:r>
      <w:r w:rsidRPr="001E0F77">
        <w:rPr>
          <w:rStyle w:val="StyleUnderline"/>
        </w:rPr>
        <w:t>discipline has established failure as an inherent</w:t>
      </w:r>
      <w:r>
        <w:rPr>
          <w:rStyle w:val="StyleUnderline"/>
        </w:rPr>
        <w:t xml:space="preserve"> </w:t>
      </w:r>
      <w:r w:rsidRPr="001E0F77">
        <w:rPr>
          <w:rStyle w:val="StyleUnderline"/>
        </w:rPr>
        <w:t>element of performance practice. Performance’s</w:t>
      </w:r>
      <w:r>
        <w:rPr>
          <w:rStyle w:val="StyleUnderline"/>
        </w:rPr>
        <w:t xml:space="preserve"> </w:t>
      </w:r>
      <w:r w:rsidRPr="001E0F77">
        <w:rPr>
          <w:rStyle w:val="StyleUnderline"/>
        </w:rPr>
        <w:t>methods of improvisation, rehearsal and</w:t>
      </w:r>
      <w:r>
        <w:rPr>
          <w:rStyle w:val="StyleUnderline"/>
        </w:rPr>
        <w:t xml:space="preserve"> </w:t>
      </w:r>
      <w:r w:rsidRPr="001E0F77">
        <w:rPr>
          <w:rStyle w:val="StyleUnderline"/>
        </w:rPr>
        <w:t>experiment assume an accretion of failures as</w:t>
      </w:r>
      <w:r>
        <w:rPr>
          <w:rStyle w:val="StyleUnderline"/>
        </w:rPr>
        <w:t xml:space="preserve"> </w:t>
      </w:r>
      <w:r w:rsidRPr="001E0F77">
        <w:rPr>
          <w:rStyle w:val="StyleUnderline"/>
        </w:rPr>
        <w:t>an integral part of the creative process. One</w:t>
      </w:r>
      <w:r>
        <w:rPr>
          <w:rStyle w:val="StyleUnderline"/>
        </w:rPr>
        <w:t xml:space="preserve"> </w:t>
      </w:r>
      <w:r w:rsidRPr="001E0F77">
        <w:rPr>
          <w:rStyle w:val="StyleUnderline"/>
        </w:rPr>
        <w:t>must continually make and continually fail</w:t>
      </w:r>
      <w:r>
        <w:rPr>
          <w:rStyle w:val="StyleUnderline"/>
        </w:rPr>
        <w:t xml:space="preserve"> </w:t>
      </w:r>
      <w:r w:rsidRPr="001E0F77">
        <w:rPr>
          <w:rStyle w:val="StyleUnderline"/>
        </w:rPr>
        <w:t>in order to create. If failure is the hallmark of</w:t>
      </w:r>
      <w:r>
        <w:rPr>
          <w:rStyle w:val="StyleUnderline"/>
        </w:rPr>
        <w:t xml:space="preserve"> </w:t>
      </w:r>
      <w:r w:rsidRPr="001E0F77">
        <w:rPr>
          <w:rStyle w:val="StyleUnderline"/>
        </w:rPr>
        <w:t>performance – with its endless interruptions,</w:t>
      </w:r>
      <w:r>
        <w:rPr>
          <w:rStyle w:val="StyleUnderline"/>
        </w:rPr>
        <w:t xml:space="preserve"> </w:t>
      </w:r>
      <w:r w:rsidRPr="001E0F77">
        <w:rPr>
          <w:rStyle w:val="StyleUnderline"/>
        </w:rPr>
        <w:t>accidents, breakdowns, flops, misfires, deadends</w:t>
      </w:r>
      <w:r>
        <w:rPr>
          <w:rStyle w:val="StyleUnderline"/>
        </w:rPr>
        <w:t xml:space="preserve"> </w:t>
      </w:r>
      <w:r w:rsidRPr="001E0F77">
        <w:rPr>
          <w:rStyle w:val="StyleUnderline"/>
        </w:rPr>
        <w:t>and surprises, moodiness and messiness</w:t>
      </w:r>
      <w:r>
        <w:rPr>
          <w:rStyle w:val="StyleUnderline"/>
        </w:rPr>
        <w:t xml:space="preserve"> </w:t>
      </w:r>
      <w:r w:rsidRPr="001E0F77">
        <w:rPr>
          <w:rStyle w:val="StyleUnderline"/>
        </w:rPr>
        <w:t xml:space="preserve">– it is also its innate </w:t>
      </w:r>
      <w:r w:rsidRPr="001E0F77">
        <w:rPr>
          <w:rStyle w:val="Emphasis"/>
        </w:rPr>
        <w:t>ontological condition</w:t>
      </w:r>
      <w:r w:rsidRPr="001E0F77">
        <w:rPr>
          <w:rStyle w:val="StyleUnderline"/>
        </w:rPr>
        <w:t>:</w:t>
      </w:r>
      <w:r>
        <w:rPr>
          <w:rStyle w:val="StyleUnderline"/>
        </w:rPr>
        <w:t xml:space="preserve"> </w:t>
      </w:r>
      <w:r w:rsidRPr="001E0F77">
        <w:rPr>
          <w:rStyle w:val="StyleUnderline"/>
        </w:rPr>
        <w:t>its defining liveness and ephemerality marks</w:t>
      </w:r>
      <w:r>
        <w:rPr>
          <w:rStyle w:val="StyleUnderline"/>
        </w:rPr>
        <w:t xml:space="preserve"> </w:t>
      </w:r>
      <w:r w:rsidRPr="001E0F77">
        <w:rPr>
          <w:rStyle w:val="StyleUnderline"/>
        </w:rPr>
        <w:t>performance’s ultimate failure to perpetuate</w:t>
      </w:r>
      <w:r>
        <w:rPr>
          <w:rStyle w:val="StyleUnderline"/>
        </w:rPr>
        <w:t xml:space="preserve"> </w:t>
      </w:r>
      <w:r w:rsidRPr="001E0F77">
        <w:rPr>
          <w:rStyle w:val="StyleUnderline"/>
        </w:rPr>
        <w:t xml:space="preserve">itself. </w:t>
      </w:r>
      <w:r w:rsidRPr="001E0F77">
        <w:rPr>
          <w:sz w:val="16"/>
        </w:rPr>
        <w:t xml:space="preserve">It becomes itself (to bawdlerize Peggy Phelan) through failing. </w:t>
      </w:r>
      <w:r w:rsidRPr="001E0F77">
        <w:rPr>
          <w:rStyle w:val="StyleUnderline"/>
        </w:rPr>
        <w:t>Late-twentiethcentury</w:t>
      </w:r>
      <w:r>
        <w:rPr>
          <w:rStyle w:val="StyleUnderline"/>
        </w:rPr>
        <w:t xml:space="preserve"> </w:t>
      </w:r>
      <w:r w:rsidRPr="001E0F77">
        <w:rPr>
          <w:rStyle w:val="StyleUnderline"/>
        </w:rPr>
        <w:t>avant-garde performance’s critique</w:t>
      </w:r>
      <w:r>
        <w:rPr>
          <w:rStyle w:val="StyleUnderline"/>
        </w:rPr>
        <w:t xml:space="preserve"> </w:t>
      </w:r>
      <w:r w:rsidRPr="001E0F77">
        <w:rPr>
          <w:rStyle w:val="StyleUnderline"/>
        </w:rPr>
        <w:t>of capital banks on this quality, deliberately</w:t>
      </w:r>
      <w:r>
        <w:rPr>
          <w:rStyle w:val="StyleUnderline"/>
        </w:rPr>
        <w:t xml:space="preserve"> </w:t>
      </w:r>
      <w:r w:rsidRPr="001E0F77">
        <w:rPr>
          <w:rStyle w:val="StyleUnderline"/>
        </w:rPr>
        <w:t>slipping the yoke of commoditization by failing</w:t>
      </w:r>
      <w:r>
        <w:rPr>
          <w:rStyle w:val="StyleUnderline"/>
        </w:rPr>
        <w:t xml:space="preserve"> </w:t>
      </w:r>
      <w:r w:rsidRPr="001E0F77">
        <w:rPr>
          <w:rStyle w:val="StyleUnderline"/>
        </w:rPr>
        <w:t>to achieve permanence, failing to offer the</w:t>
      </w:r>
      <w:r>
        <w:rPr>
          <w:rStyle w:val="StyleUnderline"/>
        </w:rPr>
        <w:t xml:space="preserve"> </w:t>
      </w:r>
      <w:r w:rsidRPr="001E0F77">
        <w:rPr>
          <w:rStyle w:val="StyleUnderline"/>
        </w:rPr>
        <w:t>bankable rewards of virtuosity or emotional</w:t>
      </w:r>
      <w:r>
        <w:rPr>
          <w:rStyle w:val="StyleUnderline"/>
        </w:rPr>
        <w:t xml:space="preserve"> </w:t>
      </w:r>
      <w:r w:rsidRPr="001E0F77">
        <w:rPr>
          <w:rStyle w:val="StyleUnderline"/>
        </w:rPr>
        <w:t>satisfaction. The contemporary experimental</w:t>
      </w:r>
      <w:r>
        <w:rPr>
          <w:rStyle w:val="StyleUnderline"/>
        </w:rPr>
        <w:t xml:space="preserve"> </w:t>
      </w:r>
      <w:r w:rsidRPr="001E0F77">
        <w:rPr>
          <w:rStyle w:val="StyleUnderline"/>
        </w:rPr>
        <w:t>tradition</w:t>
      </w:r>
      <w:r w:rsidRPr="001E0F77">
        <w:rPr>
          <w:sz w:val="16"/>
        </w:rPr>
        <w:t xml:space="preserve"> stemming from this (so ably documented by Sara Jane Bailes, among others) </w:t>
      </w:r>
      <w:r w:rsidRPr="001E0F77">
        <w:rPr>
          <w:rStyle w:val="StyleUnderline"/>
        </w:rPr>
        <w:t>also strategically mobilizes failure to imagine</w:t>
      </w:r>
      <w:r>
        <w:rPr>
          <w:rStyle w:val="StyleUnderline"/>
        </w:rPr>
        <w:t xml:space="preserve"> </w:t>
      </w:r>
      <w:r w:rsidRPr="001E0F77">
        <w:rPr>
          <w:rStyle w:val="StyleUnderline"/>
        </w:rPr>
        <w:t>alternatives foreclosed by the normative</w:t>
      </w:r>
      <w:r>
        <w:rPr>
          <w:rStyle w:val="StyleUnderline"/>
        </w:rPr>
        <w:t xml:space="preserve"> </w:t>
      </w:r>
      <w:r w:rsidRPr="001E0F77">
        <w:rPr>
          <w:rStyle w:val="StyleUnderline"/>
        </w:rPr>
        <w:t>tyranny of success and expected outcomes.</w:t>
      </w:r>
      <w:r>
        <w:rPr>
          <w:rStyle w:val="StyleUnderline"/>
        </w:rPr>
        <w:t xml:space="preserve"> </w:t>
      </w:r>
      <w:r w:rsidRPr="001E0F77">
        <w:rPr>
          <w:rStyle w:val="StyleUnderline"/>
        </w:rPr>
        <w:t>This</w:t>
      </w:r>
      <w:r w:rsidRPr="001E0F77">
        <w:rPr>
          <w:sz w:val="16"/>
        </w:rPr>
        <w:t xml:space="preserve"> constellation of failure-artists </w:t>
      </w:r>
      <w:r w:rsidRPr="001E0F77">
        <w:rPr>
          <w:rStyle w:val="StyleUnderline"/>
        </w:rPr>
        <w:t>collectively</w:t>
      </w:r>
      <w:r>
        <w:rPr>
          <w:rStyle w:val="StyleUnderline"/>
        </w:rPr>
        <w:t xml:space="preserve"> </w:t>
      </w:r>
      <w:r w:rsidRPr="001E0F77">
        <w:rPr>
          <w:rStyle w:val="StyleUnderline"/>
        </w:rPr>
        <w:t>reimagines the role of performance in our</w:t>
      </w:r>
      <w:r>
        <w:rPr>
          <w:rStyle w:val="StyleUnderline"/>
        </w:rPr>
        <w:t xml:space="preserve"> </w:t>
      </w:r>
      <w:r w:rsidRPr="001E0F77">
        <w:rPr>
          <w:rStyle w:val="StyleUnderline"/>
        </w:rPr>
        <w:t>social, political and imaginative lives: they</w:t>
      </w:r>
      <w:r>
        <w:rPr>
          <w:rStyle w:val="StyleUnderline"/>
        </w:rPr>
        <w:t xml:space="preserve"> </w:t>
      </w:r>
      <w:r w:rsidRPr="001E0F77">
        <w:rPr>
          <w:rStyle w:val="StyleUnderline"/>
        </w:rPr>
        <w:t xml:space="preserve">conduct an emancipatory pedagogy </w:t>
      </w:r>
      <w:r w:rsidRPr="001E0F77">
        <w:rPr>
          <w:rStyle w:val="StyleUnderline"/>
        </w:rPr>
        <w:lastRenderedPageBreak/>
        <w:t>of sorts,</w:t>
      </w:r>
      <w:r>
        <w:rPr>
          <w:rStyle w:val="StyleUnderline"/>
        </w:rPr>
        <w:t xml:space="preserve"> </w:t>
      </w:r>
      <w:r w:rsidRPr="001E0F77">
        <w:rPr>
          <w:rStyle w:val="StyleUnderline"/>
        </w:rPr>
        <w:t>pressing audiences to collaborate in acts of</w:t>
      </w:r>
      <w:r>
        <w:rPr>
          <w:rStyle w:val="StyleUnderline"/>
        </w:rPr>
        <w:t xml:space="preserve"> </w:t>
      </w:r>
      <w:r w:rsidRPr="001E0F77">
        <w:rPr>
          <w:rStyle w:val="StyleUnderline"/>
        </w:rPr>
        <w:t>conceptual invention prompted by their staging</w:t>
      </w:r>
      <w:r>
        <w:rPr>
          <w:rStyle w:val="StyleUnderline"/>
        </w:rPr>
        <w:t xml:space="preserve"> </w:t>
      </w:r>
      <w:r w:rsidRPr="001E0F77">
        <w:rPr>
          <w:rStyle w:val="StyleUnderline"/>
        </w:rPr>
        <w:t>of representation’s failure</w:t>
      </w:r>
      <w:r w:rsidRPr="001E0F77">
        <w:rPr>
          <w:sz w:val="16"/>
        </w:rPr>
        <w:t xml:space="preserve"> (Bailes 2011, Bottoms 2007, Power 2010).</w:t>
      </w:r>
    </w:p>
    <w:p w:rsidR="0062164B" w:rsidRDefault="000D3F1C" w:rsidP="0062164B">
      <w:pPr>
        <w:pStyle w:val="Heading3"/>
      </w:pPr>
      <w:bookmarkStart w:id="80" w:name="_Toc489138970"/>
      <w:r>
        <w:lastRenderedPageBreak/>
        <w:t xml:space="preserve">Alt: </w:t>
      </w:r>
      <w:r w:rsidR="0062164B">
        <w:t>Shadow Feminism</w:t>
      </w:r>
      <w:bookmarkEnd w:id="80"/>
    </w:p>
    <w:p w:rsidR="0062164B" w:rsidRDefault="0062164B" w:rsidP="0062164B">
      <w:pPr>
        <w:pStyle w:val="Heading4"/>
      </w:pPr>
      <w:r>
        <w:t xml:space="preserve">The alternative is a shadow feminist mode of masochistic passivity—reveling in the possibility of self-destruction opts out of the progressive logic of agency and opens up new spaces of refusal that fail to reproduce colonial futures and subjectivities. </w:t>
      </w:r>
    </w:p>
    <w:p w:rsidR="0062164B" w:rsidRDefault="0062164B" w:rsidP="0062164B">
      <w:r w:rsidRPr="00F05AD1">
        <w:rPr>
          <w:rStyle w:val="Style13ptBold"/>
        </w:rPr>
        <w:t>Halberstam 11</w:t>
      </w:r>
      <w:r>
        <w:t xml:space="preserve">. </w:t>
      </w:r>
      <w:r w:rsidRPr="00AE5E87">
        <w:rPr>
          <w:sz w:val="16"/>
          <w:szCs w:val="16"/>
        </w:rPr>
        <w:t xml:space="preserve">[J. Jack Halberstam, professor of English at the University of Southern California, </w:t>
      </w:r>
      <w:r w:rsidRPr="00AE5E87">
        <w:rPr>
          <w:i/>
          <w:sz w:val="16"/>
          <w:szCs w:val="16"/>
        </w:rPr>
        <w:t>The Queer Art of Failure</w:t>
      </w:r>
      <w:r w:rsidRPr="00AE5E87">
        <w:rPr>
          <w:sz w:val="16"/>
          <w:szCs w:val="16"/>
        </w:rPr>
        <w:t xml:space="preserve">. Duke UPress. pg. </w:t>
      </w:r>
      <w:r>
        <w:rPr>
          <w:sz w:val="16"/>
          <w:szCs w:val="16"/>
        </w:rPr>
        <w:t>131-133</w:t>
      </w:r>
      <w:r w:rsidRPr="00AE5E87">
        <w:rPr>
          <w:sz w:val="16"/>
          <w:szCs w:val="16"/>
        </w:rPr>
        <w:t>. SH.]</w:t>
      </w:r>
    </w:p>
    <w:p w:rsidR="0062164B" w:rsidRDefault="0062164B" w:rsidP="0062164B">
      <w:pPr>
        <w:jc w:val="both"/>
        <w:rPr>
          <w:rStyle w:val="StyleUnderline"/>
        </w:rPr>
      </w:pPr>
      <w:r w:rsidRPr="00F05AD1">
        <w:rPr>
          <w:rStyle w:val="StyleUnderline"/>
        </w:rPr>
        <w:t>In what follows I propose a radical form of masochistic passivity that not only offers up a critique of the organizing logic of agency and subjectivity itself, but that also opts out of certain systems built around a dialectic between colonizer and colonized. Radical forms of passivity and masochism step out of the easy model of a transfer of femininity from mother to daughter and actually seek to destroy the mother- daughter bond altogether</w:t>
      </w:r>
      <w:r w:rsidRPr="00F05AD1">
        <w:rPr>
          <w:sz w:val="16"/>
        </w:rPr>
        <w:t xml:space="preserve">. For example, in the work of Jamaica Kincaid </w:t>
      </w:r>
      <w:r w:rsidRPr="00F05AD1">
        <w:rPr>
          <w:rStyle w:val="StyleUnderline"/>
        </w:rPr>
        <w:t>the colonized subject literally refuses her role as colonized by refusing to be anything at all</w:t>
      </w:r>
      <w:r w:rsidRPr="00F05AD1">
        <w:rPr>
          <w:sz w:val="16"/>
        </w:rPr>
        <w:t xml:space="preserve">. In Autobiography of My Mother (1997) the main character </w:t>
      </w:r>
      <w:r w:rsidRPr="00F05AD1">
        <w:rPr>
          <w:rStyle w:val="StyleUnderline"/>
        </w:rPr>
        <w:t>removes herself from a colonial order that makes sense of her</w:t>
      </w:r>
      <w:r w:rsidRPr="00F05AD1">
        <w:rPr>
          <w:sz w:val="16"/>
        </w:rPr>
        <w:t xml:space="preserve"> as a daughter, a wife, and a mother by refusing to be any of these, even refusing the category of womanhood altogether. At the novel’s beginning the firstperson narrator tells of the coincidence of her birth and her mother’s death and suggests that this primal loss means that “there was nothing standing between me and eternity. . . . At my beginning was this woman whose face I had never seen, but at my end there was nothing, no one between me and the black room of the world” (3). Obviously </w:t>
      </w:r>
      <w:r w:rsidRPr="00F05AD1">
        <w:rPr>
          <w:rStyle w:val="StyleUnderline"/>
        </w:rPr>
        <w:t>the loss of her mother and the “autobiography” of that mother that ensues is an allegorical tale of the loss of origins within the context of colonialism and the loss of telos that follows. But rather than nostalgically searching for her lost origins or purposefully creating her own telos</w:t>
      </w:r>
      <w:r w:rsidRPr="00F05AD1">
        <w:rPr>
          <w:sz w:val="16"/>
        </w:rPr>
        <w:t xml:space="preserve">, </w:t>
      </w:r>
      <w:r w:rsidRPr="00F05AD1">
        <w:rPr>
          <w:rStyle w:val="StyleUnderline"/>
        </w:rPr>
        <w:t>the narrator</w:t>
      </w:r>
      <w:r w:rsidRPr="00F05AD1">
        <w:rPr>
          <w:sz w:val="16"/>
        </w:rPr>
        <w:t xml:space="preserve">, </w:t>
      </w:r>
      <w:r w:rsidRPr="00F05AD1">
        <w:rPr>
          <w:rStyle w:val="StyleUnderline"/>
        </w:rPr>
        <w:t>Xuela</w:t>
      </w:r>
      <w:r w:rsidRPr="00F05AD1">
        <w:rPr>
          <w:sz w:val="16"/>
        </w:rPr>
        <w:t xml:space="preserve"> Claudette Richardson, </w:t>
      </w:r>
      <w:r w:rsidRPr="00F05AD1">
        <w:rPr>
          <w:rStyle w:val="StyleUnderline"/>
        </w:rPr>
        <w:t>surrenders to a form of unbeing for which beginnings and ends have no meaning. With no past to learn from, no future can be imagined, and with a present tense that is entirely occupied by colonial figures, language, logics, and identities, the colonized self has two options: she can become part of the colonial story or she can refuse to be part of any story at all. Xuela chooses the latter</w:t>
      </w:r>
      <w:r w:rsidRPr="00F05AD1">
        <w:rPr>
          <w:sz w:val="16"/>
        </w:rPr>
        <w:t xml:space="preserve">: Autobiography of My Mother is </w:t>
      </w:r>
      <w:r w:rsidRPr="00F05AD1">
        <w:rPr>
          <w:rStyle w:val="StyleUnderline"/>
        </w:rPr>
        <w:t>the unstory of a woman who cannot be anything but the antithesis of the self that is demanded by colonialism</w:t>
      </w:r>
      <w:r w:rsidRPr="00F05AD1">
        <w:rPr>
          <w:sz w:val="16"/>
        </w:rPr>
        <w:t xml:space="preserve">. Xuela neither tells her own story of becoming, nor does she tell her mother’s story; by appropriating her mother’s unstory as her own she suggests that </w:t>
      </w:r>
      <w:r w:rsidRPr="00F05AD1">
        <w:rPr>
          <w:rStyle w:val="StyleUnderline"/>
        </w:rPr>
        <w:t>the colonized mind is passed down Oedipally from generation to generation and must be resisted through a certain mode of evacuation</w:t>
      </w:r>
      <w:r w:rsidRPr="00F05AD1">
        <w:rPr>
          <w:sz w:val="16"/>
        </w:rPr>
        <w:t xml:space="preserve">. While Xuela’s relationship to her mother is mediated by loss and longing, her relationship with her half- Scots, half- Caribbean policeman father is one of contempt and incomprehension. She despises his capitulation to colonialism, to the law, and to his own mixed heritage, and she tries, through the writing of this narrative, to root out his influence and inhabit completely the space of her absent Carib mother: “And so my mother and father then were a mystery to me; one through death, the other through the maze of living; one I had never seen, one I saw constantly” (41). </w:t>
      </w:r>
      <w:r w:rsidRPr="00F05AD1">
        <w:rPr>
          <w:rStyle w:val="StyleUnderline"/>
        </w:rPr>
        <w:t>Choosing death and absence over a colonized life, Xuela avoids becoming a mother herself</w:t>
      </w:r>
      <w:r w:rsidRPr="00F05AD1">
        <w:rPr>
          <w:sz w:val="16"/>
        </w:rPr>
        <w:t xml:space="preserve">; aborting a child, she avoids love, family, and intimacy and disconnects herself from all of those things that would define her. </w:t>
      </w:r>
      <w:r w:rsidRPr="00F05AD1">
        <w:rPr>
          <w:rStyle w:val="StyleUnderline"/>
        </w:rPr>
        <w:t>In her refusal of identity as such Xuela models a kind of necropolitical relation to colonialism: her refusal to be is also a refusal to perform the role of other within a system that demands her subjugation. “Whatever I was told to hate,” she says, “I loved most</w:t>
      </w:r>
      <w:r w:rsidRPr="00F05AD1">
        <w:rPr>
          <w:sz w:val="16"/>
        </w:rPr>
        <w:t>” (32). In an interview about Autobiography of My Mother Kincaid was told, “Your characters seem to be against most things that are good, yet they have no reason to act this way—they express a kind of negative freedom. Is this the only freedom available to the poor and powerless?”2 Kincaid answered, “I think in many ways the problem that my writing would have with an American reviewer is that Americans find difficulty very hard to take. They are inevitably looking for a happy ending. Perversely</w:t>
      </w:r>
      <w:r w:rsidRPr="00F05AD1">
        <w:rPr>
          <w:rStyle w:val="StyleUnderline"/>
        </w:rPr>
        <w:t>, I will not give the happy ending. I think life is difficult and that’s that. I am not at all—absolutely not at all—interested in the pursuit of happiness. I am not interested in the pursuit of positivity. I am interested in pursuing a truth, and the truth often seems to be not happiness but its opposite</w:t>
      </w:r>
      <w:r w:rsidRPr="00F05AD1">
        <w:rPr>
          <w:sz w:val="16"/>
        </w:rPr>
        <w:t xml:space="preserve">” (1997: 1). Kincaid’s novels do indeed withhold happy endings, and she adds a fine shading to the narrative of colonialism by </w:t>
      </w:r>
      <w:r w:rsidRPr="00F05AD1">
        <w:rPr>
          <w:rStyle w:val="StyleUnderline"/>
        </w:rPr>
        <w:t xml:space="preserve">creating characters who can never thrive, never love, and never create precisely because colonialism has removed the context within which those things would make sense. Kincaid concludes the interview by saying, “I feel it’s my business to make everyone a little less happy.” Kincaid’s commitment to a kind of negative life, a life lived by a colonized character who refuses purpose and who as a result leaves the reader unsettled, disturbed, and discomforted, represents a Fanonian refusal to blindly persist in the occupation of categories of </w:t>
      </w:r>
      <w:r w:rsidRPr="00F05AD1">
        <w:rPr>
          <w:rStyle w:val="StyleUnderline"/>
        </w:rPr>
        <w:lastRenderedPageBreak/>
        <w:t>being that simply round out the colonial project. Where a colonized subject finds happiness</w:t>
      </w:r>
      <w:r w:rsidRPr="00F05AD1">
        <w:rPr>
          <w:sz w:val="16"/>
        </w:rPr>
        <w:t xml:space="preserve">, Kincaid, following Fanon, seems to say, he or she </w:t>
      </w:r>
      <w:r w:rsidRPr="00F05AD1">
        <w:rPr>
          <w:rStyle w:val="StyleUnderline"/>
        </w:rPr>
        <w:t>confirms the benevolence of the colonial project. Where a colonized woman bears a child and passes on her legacy to that child</w:t>
      </w:r>
      <w:r w:rsidRPr="00F05AD1">
        <w:rPr>
          <w:sz w:val="16"/>
        </w:rPr>
        <w:t xml:space="preserve">, Kincaid insists, </w:t>
      </w:r>
      <w:r w:rsidRPr="00F05AD1">
        <w:rPr>
          <w:rStyle w:val="StyleUnderline"/>
        </w:rPr>
        <w:t>the colonial project can spread virus- like from one generation to the next. Refusing to operate as the transfer point for transgenerational colonization, Xuela inhabits another kind of feminism, again a feminism that does not resist through an active war on colonialism, but a mode of femininity that self- destructs and in doing so brings the edifice of colonial rule down one brick at a time.</w:t>
      </w:r>
    </w:p>
    <w:p w:rsidR="0062164B" w:rsidRPr="00AB0410" w:rsidRDefault="0062164B" w:rsidP="0062164B"/>
    <w:p w:rsidR="0062164B" w:rsidRPr="00291783" w:rsidRDefault="000D3F1C" w:rsidP="0062164B">
      <w:pPr>
        <w:pStyle w:val="Heading3"/>
      </w:pPr>
      <w:bookmarkStart w:id="81" w:name="_Toc489138971"/>
      <w:r>
        <w:lastRenderedPageBreak/>
        <w:t xml:space="preserve">Alt: </w:t>
      </w:r>
      <w:r w:rsidR="0062164B">
        <w:t>F</w:t>
      </w:r>
      <w:r w:rsidR="0062164B" w:rsidRPr="00291783">
        <w:t>orgetting</w:t>
      </w:r>
      <w:bookmarkEnd w:id="81"/>
      <w:r w:rsidR="0062164B" w:rsidRPr="00291783">
        <w:t xml:space="preserve"> </w:t>
      </w:r>
    </w:p>
    <w:p w:rsidR="0062164B" w:rsidRPr="00DA3864" w:rsidRDefault="0062164B" w:rsidP="0062164B">
      <w:pPr>
        <w:pStyle w:val="Heading4"/>
        <w:rPr>
          <w:rStyle w:val="StyleUnderline"/>
          <w:b/>
          <w:u w:val="none"/>
        </w:rPr>
      </w:pPr>
      <w:r>
        <w:rPr>
          <w:rStyle w:val="StyleUnderline"/>
          <w:b/>
          <w:u w:val="none"/>
        </w:rPr>
        <w:t>Forget the 1ac—forgetfulness refuses the temporal logics of straight time and reproductive futurism in favor of new modes of relationality and transformation in the here and now.</w:t>
      </w:r>
    </w:p>
    <w:p w:rsidR="0062164B" w:rsidRDefault="0062164B" w:rsidP="0062164B">
      <w:r w:rsidRPr="00F05AD1">
        <w:rPr>
          <w:rStyle w:val="Style13ptBold"/>
        </w:rPr>
        <w:t>Halberstam 11</w:t>
      </w:r>
      <w:r>
        <w:t xml:space="preserve">. </w:t>
      </w:r>
      <w:r w:rsidRPr="00AE5E87">
        <w:rPr>
          <w:sz w:val="16"/>
          <w:szCs w:val="16"/>
        </w:rPr>
        <w:t xml:space="preserve">[J. Jack Halberstam, professor of English at the University of Southern California, </w:t>
      </w:r>
      <w:r w:rsidRPr="00AE5E87">
        <w:rPr>
          <w:i/>
          <w:sz w:val="16"/>
          <w:szCs w:val="16"/>
        </w:rPr>
        <w:t>The Queer Art of Failure</w:t>
      </w:r>
      <w:r w:rsidRPr="00AE5E87">
        <w:rPr>
          <w:sz w:val="16"/>
          <w:szCs w:val="16"/>
        </w:rPr>
        <w:t xml:space="preserve">. Duke UPress. pg. </w:t>
      </w:r>
      <w:r>
        <w:rPr>
          <w:sz w:val="16"/>
          <w:szCs w:val="16"/>
        </w:rPr>
        <w:t>69-71</w:t>
      </w:r>
      <w:r w:rsidRPr="00AE5E87">
        <w:rPr>
          <w:sz w:val="16"/>
          <w:szCs w:val="16"/>
        </w:rPr>
        <w:t>. SH.]</w:t>
      </w:r>
    </w:p>
    <w:p w:rsidR="0062164B" w:rsidRDefault="0062164B" w:rsidP="0062164B">
      <w:pPr>
        <w:rPr>
          <w:sz w:val="16"/>
        </w:rPr>
      </w:pPr>
      <w:r w:rsidRPr="00841AF2">
        <w:rPr>
          <w:sz w:val="16"/>
        </w:rPr>
        <w:t xml:space="preserve">Jesse and Chester forgot where they parked their car, did not remember saving the world from mass destruction, and found themselves alone again with a fridge full of chocolate pudding. </w:t>
      </w:r>
      <w:r w:rsidRPr="00841AF2">
        <w:rPr>
          <w:rStyle w:val="StyleUnderline"/>
        </w:rPr>
        <w:t>Forgetting apparently has its benefits. It also has world- saving potential</w:t>
      </w:r>
      <w:r w:rsidRPr="00841AF2">
        <w:rPr>
          <w:sz w:val="16"/>
        </w:rPr>
        <w:t xml:space="preserve">, or maybe the point of Dude is more that forgetfulness stalls the enactment of a heroic aftermath to salvation because the heroes have forgotten their own messianic mission and have returned to life in Dudesville. But if we learned anything from Jesse and Chester, and I sincerely hope we did not, </w:t>
      </w:r>
      <w:r w:rsidRPr="00841AF2">
        <w:rPr>
          <w:rStyle w:val="StyleUnderline"/>
        </w:rPr>
        <w:t>we learned not to look for grand gestures, we learned that ignorance is bliss, and we learned that resistance lurks in the performance of forgetfulness itself, hiding out in oblivion and waiting for a new erasure to inspire a new beginning</w:t>
      </w:r>
      <w:r w:rsidRPr="00841AF2">
        <w:rPr>
          <w:sz w:val="16"/>
        </w:rPr>
        <w:t xml:space="preserve">. Not all dimbo films loop endlessly in the holding pattern Dude creates; sadly, all too many dumb and dumberer comedies teach their stupid white heroes to be better men and to be worthy of their morally superior women. So while we revel in the unknowing practices produced by Dude we might also inquire after the function of forgetting when it occurs in a dudette. Does forgetfulness in women produce the same desirable effect of stalling the heroic narrative; steering clear of love, marriage, and romance; and creating each day anew as a blank slate upon which to write a new narrative of forgetting? The answer is, predictably, yes and no. In Dude, Where’s My Car? </w:t>
      </w:r>
      <w:r w:rsidRPr="00841AF2">
        <w:rPr>
          <w:rStyle w:val="StyleUnderline"/>
        </w:rPr>
        <w:t>forgetfulness and stupidity combine to produce an alternative mode of knowing, one that resists the positivism of memory projects and refuses a straight and Oedipal logic for understanding the transmission of ideas</w:t>
      </w:r>
      <w:r w:rsidRPr="00841AF2">
        <w:rPr>
          <w:sz w:val="16"/>
        </w:rPr>
        <w:t>. The dudes are infantile (peeing and shitting everywhere, needing to be fed and cared for) but parentless, and in the absence of wisdom passed down from father or mother (but probably father) to son</w:t>
      </w:r>
      <w:r w:rsidRPr="00841AF2">
        <w:rPr>
          <w:rStyle w:val="StyleUnderline"/>
        </w:rPr>
        <w:t xml:space="preserve"> they are enlightened by </w:t>
      </w:r>
      <w:r w:rsidRPr="00841AF2">
        <w:rPr>
          <w:rStyle w:val="Emphasis"/>
        </w:rPr>
        <w:t>peer relations</w:t>
      </w:r>
      <w:r w:rsidRPr="00841AF2">
        <w:rPr>
          <w:rStyle w:val="StyleUnderline"/>
        </w:rPr>
        <w:t xml:space="preserve"> that predictably </w:t>
      </w:r>
      <w:r w:rsidRPr="00841AF2">
        <w:rPr>
          <w:rStyle w:val="Emphasis"/>
        </w:rPr>
        <w:t>preclude advancement, progress, and learning</w:t>
      </w:r>
      <w:r w:rsidRPr="00841AF2">
        <w:rPr>
          <w:rStyle w:val="StyleUnderline"/>
        </w:rPr>
        <w:t>. The dudes learn through imitation,</w:t>
      </w:r>
      <w:r w:rsidRPr="00841AF2">
        <w:rPr>
          <w:sz w:val="16"/>
        </w:rPr>
        <w:t xml:space="preserve"> often of a TV image (as when Chester mimics the ape from the nature show he is watching and learns to use a stick as a tool), </w:t>
      </w:r>
      <w:r w:rsidRPr="00841AF2">
        <w:rPr>
          <w:rStyle w:val="StyleUnderline"/>
        </w:rPr>
        <w:t>and they accumulate information without ever putting that information together in a coherent or temporally logical sequence. This lack of sequence that stalls knowledge and makes discovery into a function of chance and random timing also disrupts many other temporal logics, primarily generational ones</w:t>
      </w:r>
      <w:r w:rsidRPr="00841AF2">
        <w:rPr>
          <w:sz w:val="16"/>
        </w:rPr>
        <w:t xml:space="preserve">, in the film, stranding the dudes in the no- man’s land of adolescence. </w:t>
      </w:r>
      <w:r w:rsidRPr="00841AF2">
        <w:rPr>
          <w:rStyle w:val="StyleUnderline"/>
        </w:rPr>
        <w:t>For women and queer people, forgetfulness can be a useful tool for jamming the smooth operations of the normal and the ordinary. These operations, generally speaking, take on an air of inevitability and naturalness simply by virtue of being passed on from one generation to another</w:t>
      </w:r>
      <w:r w:rsidRPr="00841AF2">
        <w:rPr>
          <w:sz w:val="16"/>
        </w:rPr>
        <w:t xml:space="preserve">. Women are most often the repositories for generational logics of being and becoming, and then become the transmitters of that logic to the next generation. Aided by a few more plot summaries and some animated films, we will see how </w:t>
      </w:r>
      <w:r w:rsidRPr="00841AF2">
        <w:rPr>
          <w:rStyle w:val="StyleUnderline"/>
        </w:rPr>
        <w:t xml:space="preserve">forgetfulness becomes a rupture with the eternally self- generating present, </w:t>
      </w:r>
      <w:r w:rsidRPr="00841AF2">
        <w:rPr>
          <w:sz w:val="16"/>
        </w:rPr>
        <w:t xml:space="preserve">a break with a self- authorizing past, </w:t>
      </w:r>
      <w:r w:rsidRPr="00841AF2">
        <w:rPr>
          <w:rStyle w:val="StyleUnderline"/>
        </w:rPr>
        <w:t xml:space="preserve">and an opportunity for a non- hetero- reproductive future. </w:t>
      </w:r>
      <w:r w:rsidRPr="00841AF2">
        <w:rPr>
          <w:sz w:val="16"/>
        </w:rPr>
        <w:t xml:space="preserve">But why should women and queer people learn to forget? </w:t>
      </w:r>
      <w:r w:rsidRPr="00841AF2">
        <w:rPr>
          <w:rStyle w:val="StyleUnderline"/>
        </w:rPr>
        <w:t>Generational logic underpins our investments in the dialectic of memory and forgetting</w:t>
      </w:r>
      <w:r w:rsidRPr="00841AF2">
        <w:rPr>
          <w:sz w:val="16"/>
        </w:rPr>
        <w:t xml:space="preserve">;3 </w:t>
      </w:r>
      <w:r w:rsidRPr="00841AF2">
        <w:rPr>
          <w:rStyle w:val="StyleUnderline"/>
        </w:rPr>
        <w:t>we tend to organize the chaotic process of historical change by anchoring it to an idea of generational shifts</w:t>
      </w:r>
      <w:r w:rsidRPr="00841AF2">
        <w:rPr>
          <w:sz w:val="16"/>
        </w:rPr>
        <w:t xml:space="preserve"> (from father to son), </w:t>
      </w:r>
      <w:r w:rsidRPr="00841AF2">
        <w:rPr>
          <w:rStyle w:val="StyleUnderline"/>
        </w:rPr>
        <w:t>and we obscure questions about the arbitrariness of memory and the necessity of forgetting by falling back on some notion of the inevitable force of progression and successio</w:t>
      </w:r>
      <w:r w:rsidRPr="00841AF2">
        <w:rPr>
          <w:sz w:val="16"/>
        </w:rPr>
        <w:t xml:space="preserve">n. De- linking the process of generation from the force of historical process is a queer kind of project: </w:t>
      </w:r>
      <w:r w:rsidRPr="00841AF2">
        <w:rPr>
          <w:rStyle w:val="StyleUnderline"/>
        </w:rPr>
        <w:t>queer lives seek to uncouple change from the supposedly organic and immutable forms of family and inheritance; queer lives exploit some potential for a difference in form that lies dormant in queer collectivity not as an essential attribute of sexual otherness but as a possibility embedded in the break from heterosexual life narratives. We may want to forget family and forget lineage and forget tradition in order to start from a new place,</w:t>
      </w:r>
      <w:r w:rsidRPr="00841AF2">
        <w:rPr>
          <w:sz w:val="16"/>
        </w:rPr>
        <w:t xml:space="preserve"> not the place where the old engenders the new, where the old makes a place for the new, but </w:t>
      </w:r>
      <w:r w:rsidRPr="00841AF2">
        <w:rPr>
          <w:rStyle w:val="StyleUnderline"/>
        </w:rPr>
        <w:t>where the new begins afresh, unfettered by memory, tradition, and usable pasts</w:t>
      </w:r>
      <w:r w:rsidRPr="00841AF2">
        <w:rPr>
          <w:sz w:val="16"/>
        </w:rPr>
        <w:t xml:space="preserve">. To say that we might want to think about memory and forgetting differently is in fact to ask that </w:t>
      </w:r>
      <w:r w:rsidRPr="00841AF2">
        <w:rPr>
          <w:rStyle w:val="StyleUnderline"/>
        </w:rPr>
        <w:t>we start seeing alternatives to the inevitable and seemingly organic models we use for marking progress and achievement; it also asks us to notice how and whether change has hap pened</w:t>
      </w:r>
      <w:r w:rsidRPr="00841AF2">
        <w:rPr>
          <w:sz w:val="16"/>
        </w:rPr>
        <w:t xml:space="preserve">: How do we see change? How do we recognize it? </w:t>
      </w:r>
      <w:r w:rsidRPr="00841AF2">
        <w:rPr>
          <w:rStyle w:val="StyleUnderline"/>
        </w:rPr>
        <w:t>Can we be aware of change without saying that change has ended everything (the death of . . .) or that change has meant nothing</w:t>
      </w:r>
      <w:r w:rsidRPr="00841AF2">
        <w:rPr>
          <w:sz w:val="16"/>
        </w:rPr>
        <w:t xml:space="preserve"> (plus ça change . . .)? </w:t>
      </w:r>
      <w:r w:rsidRPr="00841AF2">
        <w:rPr>
          <w:rStyle w:val="StyleUnderline"/>
        </w:rPr>
        <w:t xml:space="preserve">Can we recognize the new without </w:t>
      </w:r>
      <w:r w:rsidRPr="00841AF2">
        <w:rPr>
          <w:rStyle w:val="StyleUnderline"/>
        </w:rPr>
        <w:lastRenderedPageBreak/>
        <w:t>discarding the old? Can we hold on to multiple frameworks of time and transformation at once</w:t>
      </w:r>
      <w:r w:rsidRPr="00841AF2">
        <w:rPr>
          <w:sz w:val="16"/>
        </w:rPr>
        <w:t xml:space="preserve">? I think the answer to these latter questions is yes, and yet there is plenty of evidence in queer culture that we simply allow the rhythms of Oedipal modes of development to regulate the disorderliness of queer culture. The deployment of the concept of family, whether in hetero or homo contexts, almost always introduces normative understandings of time and transmission. Family as a concept is deployed in contemporary popular culture as well as in academic cultures to gloss a deeply reactionary understanding of human interaction; it may be the case that </w:t>
      </w:r>
      <w:r w:rsidRPr="00841AF2">
        <w:rPr>
          <w:rStyle w:val="StyleUnderline"/>
        </w:rPr>
        <w:t>we must forget family in our theorizations of gender, sexuality, community, and politics and adopt forgetting as a strategy for the disruption of the regularity of Oedipal transmission</w:t>
      </w:r>
      <w:r w:rsidRPr="00841AF2">
        <w:rPr>
          <w:sz w:val="16"/>
        </w:rPr>
        <w:t>.</w:t>
      </w:r>
    </w:p>
    <w:p w:rsidR="0062164B" w:rsidRDefault="0062164B" w:rsidP="0062164B">
      <w:pPr>
        <w:rPr>
          <w:sz w:val="16"/>
        </w:rPr>
      </w:pPr>
    </w:p>
    <w:p w:rsidR="0062164B" w:rsidRDefault="000D3F1C" w:rsidP="0062164B">
      <w:pPr>
        <w:pStyle w:val="Heading3"/>
      </w:pPr>
      <w:bookmarkStart w:id="82" w:name="_Toc489138972"/>
      <w:r>
        <w:lastRenderedPageBreak/>
        <w:t xml:space="preserve">Alt: </w:t>
      </w:r>
      <w:r w:rsidR="0062164B">
        <w:t>Queer Darkness</w:t>
      </w:r>
      <w:bookmarkEnd w:id="82"/>
      <w:r w:rsidR="0062164B">
        <w:t xml:space="preserve"> </w:t>
      </w:r>
    </w:p>
    <w:p w:rsidR="0062164B" w:rsidRPr="00CE33ED" w:rsidRDefault="0062164B" w:rsidP="0062164B">
      <w:pPr>
        <w:pStyle w:val="Heading4"/>
        <w:rPr>
          <w:rStyle w:val="Style13ptBold"/>
          <w:b/>
        </w:rPr>
      </w:pPr>
      <w:r>
        <w:rPr>
          <w:rStyle w:val="Style13ptBold"/>
          <w:b/>
        </w:rPr>
        <w:t xml:space="preserve">The alternative is queer darkness—a new interpretative strategy of engaging the world from the position of abjection, negativity, and melancholy to collapse the demand for illumination, knowledge, and legibility </w:t>
      </w:r>
    </w:p>
    <w:p w:rsidR="0062164B" w:rsidRDefault="0062164B" w:rsidP="0062164B">
      <w:r w:rsidRPr="00F05AD1">
        <w:rPr>
          <w:rStyle w:val="Style13ptBold"/>
        </w:rPr>
        <w:t>Halberstam 11</w:t>
      </w:r>
      <w:r>
        <w:t xml:space="preserve">. </w:t>
      </w:r>
      <w:r w:rsidRPr="00AE5E87">
        <w:rPr>
          <w:sz w:val="16"/>
          <w:szCs w:val="16"/>
        </w:rPr>
        <w:t xml:space="preserve">[J. Jack Halberstam, professor of English at the University of Southern California, </w:t>
      </w:r>
      <w:r w:rsidRPr="00AE5E87">
        <w:rPr>
          <w:i/>
          <w:sz w:val="16"/>
          <w:szCs w:val="16"/>
        </w:rPr>
        <w:t>The Queer Art of Failure</w:t>
      </w:r>
      <w:r w:rsidRPr="00AE5E87">
        <w:rPr>
          <w:sz w:val="16"/>
          <w:szCs w:val="16"/>
        </w:rPr>
        <w:t xml:space="preserve">. Duke UPress. pg. </w:t>
      </w:r>
      <w:r>
        <w:rPr>
          <w:sz w:val="16"/>
          <w:szCs w:val="16"/>
        </w:rPr>
        <w:t>96-99</w:t>
      </w:r>
      <w:r w:rsidRPr="00AE5E87">
        <w:rPr>
          <w:sz w:val="16"/>
          <w:szCs w:val="16"/>
        </w:rPr>
        <w:t>. SH.]</w:t>
      </w:r>
    </w:p>
    <w:p w:rsidR="0062164B" w:rsidRPr="00B7077B" w:rsidRDefault="0062164B" w:rsidP="0062164B">
      <w:pPr>
        <w:rPr>
          <w:rStyle w:val="StyleUnderline"/>
        </w:rPr>
      </w:pPr>
      <w:r w:rsidRPr="00B7077B">
        <w:rPr>
          <w:sz w:val="14"/>
        </w:rPr>
        <w:t xml:space="preserve">Gender trouble of the butch variety is very often at the very heart of queer failure. But the queer legend Quentin Crisp transforms the apparent pathos of the gender queer into an asset: “If at first you don’t succeed, failure may be your style” (1968: 196). In this witty refusal of the dogged Protestant work ethic </w:t>
      </w:r>
      <w:r w:rsidRPr="00CE33ED">
        <w:rPr>
          <w:rStyle w:val="StyleUnderline"/>
        </w:rPr>
        <w:t>Crisp makes the crucial link between failure and</w:t>
      </w:r>
      <w:r>
        <w:rPr>
          <w:rStyle w:val="StyleUnderline"/>
        </w:rPr>
        <w:t xml:space="preserve"> </w:t>
      </w:r>
      <w:r w:rsidRPr="00CE33ED">
        <w:rPr>
          <w:rStyle w:val="StyleUnderline"/>
        </w:rPr>
        <w:t>style and, in his own effeminate persona, embodies that link as gender</w:t>
      </w:r>
      <w:r>
        <w:rPr>
          <w:rStyle w:val="StyleUnderline"/>
        </w:rPr>
        <w:t xml:space="preserve"> </w:t>
      </w:r>
      <w:r w:rsidRPr="00CE33ED">
        <w:rPr>
          <w:rStyle w:val="StyleUnderline"/>
        </w:rPr>
        <w:t>trouble, gender deviance, gender variance</w:t>
      </w:r>
      <w:r w:rsidRPr="00B7077B">
        <w:rPr>
          <w:sz w:val="14"/>
        </w:rPr>
        <w:t xml:space="preserve">. For Crisp, failure as a style also involves his “career” as a “naked civil servant,” someone who chooses not to work and someone for whom work cannot be life’s fulfillment. Indeed his autobiography, The Naked Civil Servant, links his own coming of age, and his moment of coming out into his own particularly flamboyant queerness, with the fall of Wall Street in 1931. He writes, “The sky was dark with millionaires throwing themselves out of windows. So black was the way ahead that my progress consisted of long periods of inert despondency punctuated by spasmodic lurches forward toward any small chink of light I thought I saw. . . . As the years went by, it did not get any lighter, but I became accustomed to the dark” (2). </w:t>
      </w:r>
      <w:r w:rsidRPr="00CE33ED">
        <w:rPr>
          <w:rStyle w:val="StyleUnderline"/>
        </w:rPr>
        <w:t>This particular ethos of resignation</w:t>
      </w:r>
      <w:r>
        <w:rPr>
          <w:rStyle w:val="StyleUnderline"/>
        </w:rPr>
        <w:t xml:space="preserve"> </w:t>
      </w:r>
      <w:r w:rsidRPr="00CE33ED">
        <w:rPr>
          <w:rStyle w:val="StyleUnderline"/>
        </w:rPr>
        <w:t>to failure, to lack of progress and a particular form of darkness, a negativity</w:t>
      </w:r>
      <w:r>
        <w:rPr>
          <w:rStyle w:val="StyleUnderline"/>
        </w:rPr>
        <w:t xml:space="preserve"> </w:t>
      </w:r>
      <w:r w:rsidRPr="00CE33ED">
        <w:rPr>
          <w:rStyle w:val="StyleUnderline"/>
        </w:rPr>
        <w:t>really</w:t>
      </w:r>
      <w:r w:rsidRPr="00B7077B">
        <w:rPr>
          <w:sz w:val="14"/>
        </w:rPr>
        <w:t xml:space="preserve"> (which I discuss in later chapters), </w:t>
      </w:r>
      <w:r w:rsidRPr="00CE33ED">
        <w:rPr>
          <w:rStyle w:val="StyleUnderline"/>
        </w:rPr>
        <w:t>can be called a queer aesthetic</w:t>
      </w:r>
      <w:r w:rsidRPr="00B7077B">
        <w:rPr>
          <w:sz w:val="14"/>
        </w:rPr>
        <w:t xml:space="preserve">. For Crisp, as for an artist such as Andy Warhol, </w:t>
      </w:r>
      <w:r w:rsidRPr="00CE33ED">
        <w:rPr>
          <w:rStyle w:val="StyleUnderline"/>
        </w:rPr>
        <w:t>failure presents an</w:t>
      </w:r>
      <w:r>
        <w:rPr>
          <w:rStyle w:val="StyleUnderline"/>
        </w:rPr>
        <w:t xml:space="preserve"> </w:t>
      </w:r>
      <w:r w:rsidRPr="00CE33ED">
        <w:rPr>
          <w:rStyle w:val="StyleUnderline"/>
        </w:rPr>
        <w:t>opportunity rather than a dead end; in true camp fashion, the queer artist</w:t>
      </w:r>
      <w:r>
        <w:rPr>
          <w:rStyle w:val="StyleUnderline"/>
        </w:rPr>
        <w:t xml:space="preserve"> </w:t>
      </w:r>
      <w:r w:rsidRPr="00CE33ED">
        <w:rPr>
          <w:rStyle w:val="StyleUnderline"/>
        </w:rPr>
        <w:t>works with rather than against failure and inhabits the darkness. Indeed</w:t>
      </w:r>
      <w:r>
        <w:rPr>
          <w:rStyle w:val="StyleUnderline"/>
        </w:rPr>
        <w:t xml:space="preserve"> </w:t>
      </w:r>
      <w:r w:rsidRPr="00CE33ED">
        <w:rPr>
          <w:rStyle w:val="StyleUnderline"/>
        </w:rPr>
        <w:t>the darkness becomes a crucial part of a queer aesthetic.</w:t>
      </w:r>
      <w:r w:rsidRPr="00B7077B">
        <w:rPr>
          <w:sz w:val="14"/>
        </w:rPr>
        <w:t xml:space="preserve"> In Bodies in Dissent (2006) Daphne Brooks makes a similar claim about the aesthetic of darkness in relation to the theatrical performances of African Americans from the period of antebellum slavery to the early twentieth century. Using an impressive array of primary materials culled from archives in the U.S. and the U.K., she reconstructs not only the contexts for African American performance but also </w:t>
      </w:r>
      <w:r w:rsidRPr="00282F78">
        <w:rPr>
          <w:rStyle w:val="StyleUnderline"/>
        </w:rPr>
        <w:t>the reception of these</w:t>
      </w:r>
      <w:r>
        <w:rPr>
          <w:rStyle w:val="StyleUnderline"/>
        </w:rPr>
        <w:t xml:space="preserve"> </w:t>
      </w:r>
      <w:r w:rsidRPr="00282F78">
        <w:rPr>
          <w:rStyle w:val="StyleUnderline"/>
        </w:rPr>
        <w:t>stagings of “embodied insurgency” and the complex meanings of the</w:t>
      </w:r>
      <w:r>
        <w:rPr>
          <w:rStyle w:val="StyleUnderline"/>
        </w:rPr>
        <w:t xml:space="preserve"> </w:t>
      </w:r>
      <w:r w:rsidRPr="00282F78">
        <w:rPr>
          <w:rStyle w:val="StyleUnderline"/>
        </w:rPr>
        <w:t>performers’ own bodily histories, biographies, and risky theatrical endeavors</w:t>
      </w:r>
      <w:r w:rsidRPr="00B7077B">
        <w:rPr>
          <w:sz w:val="14"/>
        </w:rPr>
        <w:t xml:space="preserve">. Like Joseph Roach in Cities of the Dead (1996), Brooks crafts a critical methodology capable of retrieving lost performance cultures, negotiating their aesthetic complexity and rendering their meaning to both black and white audiences in the U.S. and the U.K. Roach’s work forms a backdrop for some of Brooks’s energetic re- creations of nineteenthcentury African American transatlantic performance, and she takes from him the notion that culture reproduces itself through performance in the mode of “surrogation.” I used Roach’s notion of surrogation as cultural production in chapter 2 on forgetfulness; here I am interested in the way Brooks uses the term to think about how </w:t>
      </w:r>
      <w:r w:rsidRPr="00282F78">
        <w:rPr>
          <w:rStyle w:val="StyleUnderline"/>
        </w:rPr>
        <w:t>subcultural performers</w:t>
      </w:r>
      <w:r>
        <w:rPr>
          <w:rStyle w:val="StyleUnderline"/>
        </w:rPr>
        <w:t xml:space="preserve"> </w:t>
      </w:r>
      <w:r w:rsidRPr="00282F78">
        <w:rPr>
          <w:rStyle w:val="StyleUnderline"/>
        </w:rPr>
        <w:t>and images incorporate traditions of performance and activate new sets</w:t>
      </w:r>
      <w:r>
        <w:rPr>
          <w:rStyle w:val="StyleUnderline"/>
        </w:rPr>
        <w:t xml:space="preserve"> </w:t>
      </w:r>
      <w:r w:rsidRPr="00282F78">
        <w:rPr>
          <w:rStyle w:val="StyleUnderline"/>
        </w:rPr>
        <w:t>of political meanings and references</w:t>
      </w:r>
      <w:r w:rsidRPr="00B7077B">
        <w:rPr>
          <w:sz w:val="14"/>
        </w:rPr>
        <w:t xml:space="preserve">. For Brooks, </w:t>
      </w:r>
      <w:r w:rsidRPr="003E6FDD">
        <w:rPr>
          <w:rStyle w:val="StyleUnderline"/>
        </w:rPr>
        <w:t>the body of the performer</w:t>
      </w:r>
      <w:r>
        <w:rPr>
          <w:rStyle w:val="StyleUnderline"/>
        </w:rPr>
        <w:t xml:space="preserve"> </w:t>
      </w:r>
      <w:r w:rsidRPr="003E6FDD">
        <w:rPr>
          <w:rStyle w:val="StyleUnderline"/>
        </w:rPr>
        <w:t>becomes an archive of improvised cultural responses to conventional</w:t>
      </w:r>
      <w:r>
        <w:rPr>
          <w:rStyle w:val="StyleUnderline"/>
        </w:rPr>
        <w:t xml:space="preserve"> </w:t>
      </w:r>
      <w:r w:rsidRPr="003E6FDD">
        <w:rPr>
          <w:rStyle w:val="StyleUnderline"/>
        </w:rPr>
        <w:t>constructions of gender, race, and sexuality, and the performance</w:t>
      </w:r>
      <w:r>
        <w:rPr>
          <w:rStyle w:val="StyleUnderline"/>
        </w:rPr>
        <w:t xml:space="preserve"> </w:t>
      </w:r>
      <w:r w:rsidRPr="003E6FDD">
        <w:rPr>
          <w:rStyle w:val="StyleUnderline"/>
        </w:rPr>
        <w:t>articulates powerful modes of dissent and resistance</w:t>
      </w:r>
      <w:r w:rsidRPr="00B7077B">
        <w:rPr>
          <w:sz w:val="14"/>
        </w:rPr>
        <w:t>. She reads the theatrical texts in her archive along the axis of propulsive transformation and seeks, through patient historical contextualization and inspired textual analysis, to locate in each text sites of aesthetic and political possibility. For example</w:t>
      </w:r>
      <w:r w:rsidRPr="003E6FDD">
        <w:rPr>
          <w:rStyle w:val="StyleUnderline"/>
        </w:rPr>
        <w:t>, she develops a brilliant reading of the aesthetics of opacity</w:t>
      </w:r>
      <w:r>
        <w:rPr>
          <w:rStyle w:val="StyleUnderline"/>
        </w:rPr>
        <w:t xml:space="preserve"> </w:t>
      </w:r>
      <w:r w:rsidRPr="003E6FDD">
        <w:rPr>
          <w:rStyle w:val="StyleUnderline"/>
        </w:rPr>
        <w:t xml:space="preserve">and locates textual </w:t>
      </w:r>
      <w:r w:rsidRPr="003E6FDD">
        <w:rPr>
          <w:rStyle w:val="Emphasis"/>
        </w:rPr>
        <w:t>darkness as a “trope of narrative insurgency, discursive</w:t>
      </w:r>
      <w:r>
        <w:rPr>
          <w:rStyle w:val="Emphasis"/>
        </w:rPr>
        <w:t xml:space="preserve"> </w:t>
      </w:r>
      <w:r w:rsidRPr="003E6FDD">
        <w:rPr>
          <w:rStyle w:val="Emphasis"/>
        </w:rPr>
        <w:t>survival, and epistemological resistance</w:t>
      </w:r>
      <w:r w:rsidRPr="00B7077B">
        <w:rPr>
          <w:sz w:val="14"/>
        </w:rPr>
        <w:t xml:space="preserve">” (108). </w:t>
      </w:r>
      <w:r w:rsidRPr="003E6FDD">
        <w:rPr>
          <w:rStyle w:val="StyleUnderline"/>
        </w:rPr>
        <w:t>Darkness</w:t>
      </w:r>
      <w:r w:rsidRPr="00B7077B">
        <w:rPr>
          <w:sz w:val="14"/>
        </w:rPr>
        <w:t>, Brooks continues, “</w:t>
      </w:r>
      <w:r w:rsidRPr="003E6FDD">
        <w:rPr>
          <w:rStyle w:val="Emphasis"/>
        </w:rPr>
        <w:t>is an interpretive strategy</w:t>
      </w:r>
      <w:r w:rsidRPr="00B7077B">
        <w:rPr>
          <w:sz w:val="14"/>
        </w:rPr>
        <w:t xml:space="preserve">” </w:t>
      </w:r>
      <w:r w:rsidRPr="003E6FDD">
        <w:rPr>
          <w:rStyle w:val="StyleUnderline"/>
        </w:rPr>
        <w:t>and a mode of reading the world</w:t>
      </w:r>
      <w:r>
        <w:rPr>
          <w:rStyle w:val="StyleUnderline"/>
        </w:rPr>
        <w:t xml:space="preserve"> </w:t>
      </w:r>
      <w:r w:rsidRPr="003E6FDD">
        <w:rPr>
          <w:rStyle w:val="StyleUnderline"/>
        </w:rPr>
        <w:t>from a “particular and dark position”</w:t>
      </w:r>
      <w:r w:rsidRPr="00B7077B">
        <w:rPr>
          <w:sz w:val="14"/>
        </w:rPr>
        <w:t xml:space="preserve"> (109). It is this understanding of “textual darkness,” or the darkness of a particular reading practice from a particular subject position, that I believe resonates with the queer aesthetics I trace here as a catalogue of resistance through failure. Following Brooks’s aesthetics and Crisp’s advice to adjust to less light rather than seek out more, I propose </w:t>
      </w:r>
      <w:r w:rsidRPr="003E6FDD">
        <w:rPr>
          <w:rStyle w:val="StyleUnderline"/>
        </w:rPr>
        <w:t>that one form of queer art has made</w:t>
      </w:r>
      <w:r>
        <w:rPr>
          <w:rStyle w:val="StyleUnderline"/>
        </w:rPr>
        <w:t xml:space="preserve"> </w:t>
      </w:r>
      <w:r w:rsidRPr="003E6FDD">
        <w:rPr>
          <w:rStyle w:val="StyleUnderline"/>
        </w:rPr>
        <w:t>failure its centerpiece and has cast queerness as the dark landscape of</w:t>
      </w:r>
      <w:r>
        <w:rPr>
          <w:rStyle w:val="StyleUnderline"/>
        </w:rPr>
        <w:t xml:space="preserve"> </w:t>
      </w:r>
      <w:r w:rsidRPr="003E6FDD">
        <w:rPr>
          <w:rStyle w:val="StyleUnderline"/>
        </w:rPr>
        <w:t>confusion, loneliness, alienation, impossibility, and awkwardness</w:t>
      </w:r>
      <w:r w:rsidRPr="00B7077B">
        <w:rPr>
          <w:sz w:val="14"/>
        </w:rPr>
        <w:t>. Obviously nothing essentially connects gay and lesbian and trans people to these forms of unbeing and unbecoming, but the social and symbolic systems that tether queerness to loss and failure cannot be wished away; some would say, nor should they be. As Lee Edelman, Heather Love, and others have argued, to simply repudiate the connections between queerness and negativity is to commit to an unbearably positivist and progressive understanding of the queer, one that results in the perky depictions of lesbians in The L Word or the reduction of gay men in film and on TV to impossibly good- looking arbiters of taste. “</w:t>
      </w:r>
      <w:r w:rsidRPr="003E6FDD">
        <w:rPr>
          <w:rStyle w:val="StyleUnderline"/>
        </w:rPr>
        <w:t>Darkness</w:t>
      </w:r>
      <w:r w:rsidRPr="00B7077B">
        <w:rPr>
          <w:sz w:val="14"/>
        </w:rPr>
        <w:t>,” says Brooks, “</w:t>
      </w:r>
      <w:r w:rsidRPr="003E6FDD">
        <w:rPr>
          <w:rStyle w:val="Emphasis"/>
        </w:rPr>
        <w:t>is an interpretive strategy</w:t>
      </w:r>
      <w:r w:rsidRPr="00B7077B">
        <w:rPr>
          <w:sz w:val="14"/>
        </w:rPr>
        <w:t xml:space="preserve">,” (2006: 109) </w:t>
      </w:r>
      <w:r w:rsidRPr="003E6FDD">
        <w:rPr>
          <w:rStyle w:val="StyleUnderline"/>
        </w:rPr>
        <w:t>launched from places of darkness, experiences of hurt or exclusion; darkness</w:t>
      </w:r>
      <w:r>
        <w:rPr>
          <w:rStyle w:val="StyleUnderline"/>
        </w:rPr>
        <w:t xml:space="preserve"> </w:t>
      </w:r>
      <w:r w:rsidRPr="003E6FDD">
        <w:rPr>
          <w:rStyle w:val="StyleUnderline"/>
        </w:rPr>
        <w:t>is the terrain of the failed and the miserable</w:t>
      </w:r>
      <w:r w:rsidRPr="00B7077B">
        <w:rPr>
          <w:sz w:val="14"/>
        </w:rPr>
        <w:t xml:space="preserve">. The idea of a queer darkness, </w:t>
      </w:r>
      <w:r w:rsidRPr="003E6FDD">
        <w:rPr>
          <w:rStyle w:val="StyleUnderline"/>
        </w:rPr>
        <w:t>a strategy of reading as well as a way of being in the world</w:t>
      </w:r>
      <w:r w:rsidRPr="00B7077B">
        <w:rPr>
          <w:sz w:val="14"/>
        </w:rPr>
        <w:t xml:space="preserve">, explains a series of depictions of queer life in photography from the early and mid- twentieth century. Brassai’s photographs of lesbian bars in Paris in the 1930s and Diane Arbus’s odd photographs of female “friends” both partake in very different ways in these dark images of queers. Brassai’s famous and iconic photographs of Paris capture hidden worlds of thieves, pimps, prostitutes, and queers. In the text that introduces his censored collection on their publication in the 1970s, he explains that he had always disliked photography until he was inspired to “translate all the things that enchanted [him] in nocturnal Paris” (1976: n.p.). The photographs collected as The Secret Paris of the 1930’s are intended to look back on the sinful and seamy worlds that Brassai documented but could not show at the time the photographs were taken. When the book was finally published in the 1970s it was accompanied by a moralistic text designed to explain the weird images to an imaginary “straight” reader. </w:t>
      </w:r>
      <w:r w:rsidRPr="00B7077B">
        <w:rPr>
          <w:sz w:val="14"/>
        </w:rPr>
        <w:lastRenderedPageBreak/>
        <w:t xml:space="preserve">Brassai calls Le Monocle a singular “temple of Sapphic love” among all the whorehouses in Montparnasse and describes the habitués as exotic masculine creatures who wore their hair short and reeked of “weird scents, more like amber or incense than roses and violets.” Despite the judgmental text, the photographs of Le Monocle capture what looks to be a fantastic, dynamic lesbian nightlife, far more interesting than most queer bars that exist in Paris today. That said, the photographs also capture what Heather Love calls “impossible love” or “the impossibility at the heart of desire” (2009: 24). With this concept she means to indicate lines of connection between political exclusion in the past and political exclusion in the present. </w:t>
      </w:r>
      <w:r w:rsidRPr="00B7077B">
        <w:rPr>
          <w:rStyle w:val="StyleUnderline"/>
        </w:rPr>
        <w:t>While liberal histories build triumphant political narratives</w:t>
      </w:r>
      <w:r>
        <w:rPr>
          <w:rStyle w:val="StyleUnderline"/>
        </w:rPr>
        <w:t xml:space="preserve"> </w:t>
      </w:r>
      <w:r w:rsidRPr="00B7077B">
        <w:rPr>
          <w:rStyle w:val="StyleUnderline"/>
        </w:rPr>
        <w:t>with progressive stories of improvement and success, radical histories</w:t>
      </w:r>
      <w:r>
        <w:rPr>
          <w:rStyle w:val="StyleUnderline"/>
        </w:rPr>
        <w:t xml:space="preserve"> </w:t>
      </w:r>
      <w:r w:rsidRPr="00B7077B">
        <w:rPr>
          <w:rStyle w:val="StyleUnderline"/>
        </w:rPr>
        <w:t>must contend with a less tidy past, one that passes on legacies of failure</w:t>
      </w:r>
      <w:r>
        <w:rPr>
          <w:rStyle w:val="StyleUnderline"/>
        </w:rPr>
        <w:t xml:space="preserve"> </w:t>
      </w:r>
      <w:r w:rsidRPr="00B7077B">
        <w:rPr>
          <w:rStyle w:val="StyleUnderline"/>
        </w:rPr>
        <w:t>and loneliness</w:t>
      </w:r>
      <w:r w:rsidRPr="00B7077B">
        <w:rPr>
          <w:sz w:val="14"/>
        </w:rPr>
        <w:t xml:space="preserve"> as the consequences of homophobia and racism and xenophobia. As Love puts it, “Backward feelings serve as an index to the ruined state of the social world; they indicate continuities between the bad gay past and the present; and they show up the inadequacies of queer narratives of progress” (27). </w:t>
      </w:r>
      <w:r w:rsidRPr="00B7077B">
        <w:rPr>
          <w:rStyle w:val="StyleUnderline"/>
        </w:rPr>
        <w:t>To feel backward is to be able to recognize something</w:t>
      </w:r>
      <w:r>
        <w:rPr>
          <w:rStyle w:val="StyleUnderline"/>
        </w:rPr>
        <w:t xml:space="preserve"> </w:t>
      </w:r>
      <w:r w:rsidRPr="00B7077B">
        <w:rPr>
          <w:rStyle w:val="StyleUnderline"/>
        </w:rPr>
        <w:t>in these darker depictions of queer life without needing to redeem</w:t>
      </w:r>
      <w:r>
        <w:rPr>
          <w:rStyle w:val="StyleUnderline"/>
        </w:rPr>
        <w:t xml:space="preserve"> </w:t>
      </w:r>
      <w:r w:rsidRPr="00B7077B">
        <w:rPr>
          <w:rStyle w:val="StyleUnderline"/>
        </w:rPr>
        <w:t>them.</w:t>
      </w:r>
    </w:p>
    <w:p w:rsidR="0062164B" w:rsidRPr="00296F64" w:rsidRDefault="0062164B" w:rsidP="0062164B">
      <w:pPr>
        <w:pStyle w:val="Heading3"/>
      </w:pPr>
      <w:bookmarkStart w:id="83" w:name="_Toc489138973"/>
      <w:r w:rsidRPr="00296F64">
        <w:lastRenderedPageBreak/>
        <w:t>Alt</w:t>
      </w:r>
      <w:r w:rsidR="000D3F1C">
        <w:t xml:space="preserve">: </w:t>
      </w:r>
      <w:r>
        <w:t>No Fun</w:t>
      </w:r>
      <w:bookmarkEnd w:id="83"/>
    </w:p>
    <w:p w:rsidR="0062164B" w:rsidRPr="002102B8" w:rsidRDefault="0062164B" w:rsidP="0062164B">
      <w:pPr>
        <w:pStyle w:val="Heading4"/>
      </w:pPr>
      <w:r>
        <w:t>Refuse the neoliberal cooptation of positive affects through an embrace of no-fun—opening the space for affects of frustration, anger, and disappointment enables new forms of queer worldmaking within the space of negation.</w:t>
      </w:r>
    </w:p>
    <w:p w:rsidR="0062164B" w:rsidRPr="004A3C3A" w:rsidRDefault="0062164B" w:rsidP="0062164B">
      <w:pPr>
        <w:rPr>
          <w:rStyle w:val="Style13ptBold"/>
          <w:b w:val="0"/>
        </w:rPr>
      </w:pPr>
      <w:r>
        <w:rPr>
          <w:rStyle w:val="Style13ptBold"/>
        </w:rPr>
        <w:t xml:space="preserve">Ruberg 15 </w:t>
      </w:r>
      <w:r w:rsidRPr="004A3C3A">
        <w:rPr>
          <w:rStyle w:val="Style13ptBold"/>
          <w:b w:val="0"/>
          <w:sz w:val="16"/>
          <w:szCs w:val="16"/>
        </w:rPr>
        <w:t xml:space="preserve">[Bonnie. Bonnie Ruberg is a PhD candidate at the University of California at Berkeley, where her work spans the departments of Comparative Literature, New Media, and Gender and Women’s Studies. “No Fun: The Queer Potential of Video Games that Annoy, Anger, Disappoint, Sadden, and Hurt.” </w:t>
      </w:r>
      <w:r w:rsidRPr="004A3C3A">
        <w:rPr>
          <w:rStyle w:val="Style13ptBold"/>
          <w:b w:val="0"/>
          <w:i/>
          <w:sz w:val="16"/>
          <w:szCs w:val="16"/>
        </w:rPr>
        <w:t>QED: A Journal in GLBTQ Worldmaking</w:t>
      </w:r>
      <w:r w:rsidRPr="004A3C3A">
        <w:rPr>
          <w:rStyle w:val="Style13ptBold"/>
          <w:b w:val="0"/>
          <w:sz w:val="16"/>
          <w:szCs w:val="16"/>
        </w:rPr>
        <w:t xml:space="preserve"> Vol. 2 No. 2 Summer 2015. SH]</w:t>
      </w:r>
    </w:p>
    <w:p w:rsidR="0062164B" w:rsidRDefault="0062164B" w:rsidP="0062164B">
      <w:pPr>
        <w:rPr>
          <w:rStyle w:val="StyleUnderline"/>
        </w:rPr>
      </w:pPr>
      <w:r w:rsidRPr="00B40570">
        <w:rPr>
          <w:rStyle w:val="StyleUnderline"/>
        </w:rPr>
        <w:t xml:space="preserve">The work of Jack Halberstam offers a model for how </w:t>
      </w:r>
      <w:r w:rsidRPr="004A3C3A">
        <w:rPr>
          <w:sz w:val="16"/>
        </w:rPr>
        <w:t>arguments from contemporary queer theory can be applied to video games</w:t>
      </w:r>
      <w:r w:rsidRPr="00B40570">
        <w:rPr>
          <w:rStyle w:val="StyleUnderline"/>
        </w:rPr>
        <w:t>.</w:t>
      </w:r>
      <w:r w:rsidRPr="004A3C3A">
        <w:rPr>
          <w:sz w:val="16"/>
        </w:rPr>
        <w:t xml:space="preserve"> In the mode of theorists like Lee Edelman, who argues that </w:t>
      </w:r>
      <w:r w:rsidRPr="00B40570">
        <w:rPr>
          <w:rStyle w:val="StyleUnderline"/>
        </w:rPr>
        <w:t>negative affect and anti-futurity offer queer subjects the possibility for political resistance,</w:t>
      </w:r>
      <w:r w:rsidRPr="004A3C3A">
        <w:rPr>
          <w:sz w:val="16"/>
        </w:rPr>
        <w:t xml:space="preserve"> Halberstam’s Queer Art of Failure challenges readers to stop thinking about pain and disappointment as mere obstacles on the road to success.11 Rather, Halberstam describes </w:t>
      </w:r>
      <w:r w:rsidRPr="00B40570">
        <w:rPr>
          <w:rStyle w:val="StyleUnderline"/>
        </w:rPr>
        <w:t>the “queer art of failure” as a mode of rejecting neoliberal values—the very values that tells us to be happy, wealthy, and healthy, and to have fun</w:t>
      </w:r>
      <w:r w:rsidRPr="004A3C3A">
        <w:rPr>
          <w:sz w:val="16"/>
        </w:rPr>
        <w:t xml:space="preserve">. Halberstam’s book is particularly relevant to video games because it so clearly stands in dialogue with Jesper Juul’s The Art of Failure. (Halberstam and Juul were not aware of each other’s work when they gave their texts nearly identical names.)12 I have argued elsewhere that reading these two works side by side suggests what I call “a queer art of failing at video games,” a way of reading all games as queer through their intimate relationship to failure.13 What I want to highlight here is how Halberstam’s emphasis on </w:t>
      </w:r>
      <w:r w:rsidRPr="00B40570">
        <w:rPr>
          <w:rStyle w:val="StyleUnderline"/>
        </w:rPr>
        <w:t>negative affect can be used to reclaim the value of no-fun</w:t>
      </w:r>
      <w:r w:rsidRPr="004A3C3A">
        <w:rPr>
          <w:sz w:val="16"/>
        </w:rPr>
        <w:t xml:space="preserve"> video games. In The Queer Art of Failure, </w:t>
      </w:r>
      <w:r w:rsidRPr="00B40570">
        <w:rPr>
          <w:rStyle w:val="StyleUnderline"/>
        </w:rPr>
        <w:t xml:space="preserve">Halberstam </w:t>
      </w:r>
      <w:r w:rsidRPr="00B40570">
        <w:rPr>
          <w:rStyle w:val="Emphasis"/>
        </w:rPr>
        <w:t>emphasizes masochism</w:t>
      </w:r>
      <w:r w:rsidRPr="00B40570">
        <w:rPr>
          <w:rStyle w:val="StyleUnderline"/>
        </w:rPr>
        <w:t>, a term that remains conspicuously absent from</w:t>
      </w:r>
      <w:r w:rsidRPr="004A3C3A">
        <w:rPr>
          <w:sz w:val="16"/>
        </w:rPr>
        <w:t xml:space="preserve"> Juul and McGonigal’s </w:t>
      </w:r>
      <w:r w:rsidRPr="00B40570">
        <w:rPr>
          <w:rStyle w:val="StyleUnderline"/>
        </w:rPr>
        <w:t xml:space="preserve">explanations of ludic failure, </w:t>
      </w:r>
      <w:r w:rsidRPr="00B40570">
        <w:rPr>
          <w:rStyle w:val="Emphasis"/>
        </w:rPr>
        <w:t>as an important mode of resistance</w:t>
      </w:r>
      <w:r w:rsidRPr="004A3C3A">
        <w:rPr>
          <w:sz w:val="16"/>
        </w:rPr>
        <w:t xml:space="preserve">. </w:t>
      </w:r>
      <w:r w:rsidRPr="00B40570">
        <w:rPr>
          <w:rStyle w:val="StyleUnderline"/>
        </w:rPr>
        <w:t xml:space="preserve">Masochism, and kinkiness more broadly, </w:t>
      </w:r>
      <w:r w:rsidRPr="00B40570">
        <w:rPr>
          <w:rStyle w:val="Emphasis"/>
        </w:rPr>
        <w:t>are themselves forms of queerness</w:t>
      </w:r>
      <w:r w:rsidRPr="00B40570">
        <w:rPr>
          <w:rStyle w:val="StyleUnderline"/>
        </w:rPr>
        <w:t xml:space="preserve">, systems of counter-normative desires that, like the no-fun play experience, reject standard understandings of pleasure and create new possibility spaces for queer experience. </w:t>
      </w:r>
      <w:r w:rsidRPr="004A3C3A">
        <w:rPr>
          <w:sz w:val="16"/>
        </w:rPr>
        <w:t xml:space="preserve">Though commonly stigmatized, masochism is imagined by Halberstam as immensely powerful. In his chapter on masochism and feminism, </w:t>
      </w:r>
      <w:r w:rsidRPr="00B40570">
        <w:rPr>
          <w:rStyle w:val="StyleUnderline"/>
        </w:rPr>
        <w:t>Halberstam insists that his readers see willful self-destruction not as a pathological behavior from which the queer subject need rescuing, but as an ecstatic rejection of mainstream power structures:</w:t>
      </w:r>
      <w:r>
        <w:rPr>
          <w:rStyle w:val="StyleUnderline"/>
        </w:rPr>
        <w:t xml:space="preserve"> </w:t>
      </w:r>
      <w:r w:rsidRPr="004A3C3A">
        <w:rPr>
          <w:sz w:val="16"/>
        </w:rPr>
        <w:t xml:space="preserve">I propose a radical form of masochistic passivity that … </w:t>
      </w:r>
      <w:r w:rsidRPr="00B40570">
        <w:rPr>
          <w:rStyle w:val="StyleUnderline"/>
        </w:rPr>
        <w:t>offers up a critique of the organizing logic of agency and subjectivity itself</w:t>
      </w:r>
      <w:r w:rsidRPr="004A3C3A">
        <w:rPr>
          <w:sz w:val="16"/>
        </w:rPr>
        <w:t>. … Reconciling the irreconcilable tension between pleasure and death</w:t>
      </w:r>
      <w:r w:rsidRPr="00B40570">
        <w:rPr>
          <w:rStyle w:val="StyleUnderline"/>
        </w:rPr>
        <w:t>, the masochist tethers her notion of self to a spiral of pain and hurt. She refuses to cohere, refuses to fortify herself against the knowledge of death and dying, and seeks instead to be out of time altogether, a body suspended in time, space, and desire</w:t>
      </w:r>
      <w:r w:rsidRPr="004A3C3A">
        <w:rPr>
          <w:sz w:val="16"/>
        </w:rPr>
        <w:t xml:space="preserve">.14 Here, Halberstam’s masochist steps outside of norms of longing and logic in order to embrace failure as such. By refusing to cohere, she sets aside the dictates of culture and reason and forms the beginning of her own alternate world, a queer [End Page 114] and nontemporal space in which the value of difficult experience is difficult experience itself. Halberstam’s vision of queer failure is disruptive, and </w:t>
      </w:r>
      <w:r w:rsidRPr="00B40570">
        <w:rPr>
          <w:rStyle w:val="StyleUnderline"/>
        </w:rPr>
        <w:t>no-fun as a system of counter-affects</w:t>
      </w:r>
      <w:r w:rsidRPr="004A3C3A">
        <w:rPr>
          <w:sz w:val="16"/>
        </w:rPr>
        <w:t xml:space="preserve"> in video-game play </w:t>
      </w:r>
      <w:r w:rsidRPr="00B40570">
        <w:rPr>
          <w:rStyle w:val="StyleUnderline"/>
        </w:rPr>
        <w:t>also does the work of disruption. Both engender moments of what I would call “kinky disturbance,”</w:t>
      </w:r>
      <w:r w:rsidRPr="004A3C3A">
        <w:rPr>
          <w:sz w:val="16"/>
        </w:rPr>
        <w:t xml:space="preserve"> as adapted from Micha Cárdenas’ “femme disturbance.”15 In these moments, </w:t>
      </w:r>
      <w:r w:rsidRPr="00B40570">
        <w:rPr>
          <w:rStyle w:val="StyleUnderline"/>
        </w:rPr>
        <w:t>implicitly heteronormative paradigms of failure and success are destabilized by the willing, playful embrace of pain and “game over.” This is the counter in counter-affect: a pushback, a transgression.</w:t>
      </w:r>
      <w:r w:rsidRPr="004A3C3A">
        <w:rPr>
          <w:sz w:val="16"/>
        </w:rPr>
        <w:t xml:space="preserve"> In constructing the term “counter-affects,” I’m also drawing from Alexander Galloway’s concept of “countergaming” and Karmen Mackendrik’s concept of “counterpleasures,” as well as Edmond Chang’s “queer-gaming.”16 What unifies all of these terms is that </w:t>
      </w:r>
      <w:r w:rsidRPr="00B40570">
        <w:rPr>
          <w:rStyle w:val="StyleUnderline"/>
        </w:rPr>
        <w:t>they reframe play and desire as types of doing that can be done differently</w:t>
      </w:r>
      <w:r w:rsidRPr="004A3C3A">
        <w:rPr>
          <w:sz w:val="16"/>
        </w:rPr>
        <w:t xml:space="preserve">. They imagine the status quo as an institution whose very foundation can be shaken by queer ways of being and of playing. </w:t>
      </w:r>
      <w:r w:rsidRPr="00B40570">
        <w:rPr>
          <w:rStyle w:val="StyleUnderline"/>
        </w:rPr>
        <w:t>This is what separates no-fun games from empathy games</w:t>
      </w:r>
      <w:r w:rsidRPr="004A3C3A">
        <w:rPr>
          <w:sz w:val="16"/>
        </w:rPr>
        <w:t xml:space="preserve">, for example. </w:t>
      </w:r>
      <w:r w:rsidRPr="00B40570">
        <w:rPr>
          <w:rStyle w:val="StyleUnderline"/>
        </w:rPr>
        <w:t>The goal of no-fun is not simply to step into the skin of someone else’s adversity. It is also personal, felt, embodied, alarming. Whereas empathy is educational, no-fun hurts for its own sake. In this way, no-fun models a type of queer worldmaking built on the liberating logic of masochism: that pleasure and its meaning cannot be bounded by the normative, that new worlds of meaning are created in the moment we embrace new worlds of experience.</w:t>
      </w:r>
    </w:p>
    <w:p w:rsidR="000D3F1C" w:rsidRPr="000D3F1C" w:rsidRDefault="000D3F1C" w:rsidP="0062164B">
      <w:pPr>
        <w:rPr>
          <w:b/>
          <w:u w:val="single"/>
        </w:rPr>
      </w:pPr>
    </w:p>
    <w:p w:rsidR="0062164B" w:rsidRPr="002102B8" w:rsidRDefault="0062164B" w:rsidP="0062164B">
      <w:pPr>
        <w:pStyle w:val="Heading4"/>
      </w:pPr>
      <w:r>
        <w:lastRenderedPageBreak/>
        <w:t>The alternative is necessary to open a space for alternatives beyond the hegemony and reactionary territory of fun</w:t>
      </w:r>
    </w:p>
    <w:p w:rsidR="0062164B" w:rsidRPr="004A3C3A" w:rsidRDefault="0062164B" w:rsidP="0062164B">
      <w:pPr>
        <w:rPr>
          <w:rStyle w:val="Style13ptBold"/>
          <w:b w:val="0"/>
        </w:rPr>
      </w:pPr>
      <w:r>
        <w:rPr>
          <w:rStyle w:val="Style13ptBold"/>
        </w:rPr>
        <w:t xml:space="preserve">Ruberg 15 </w:t>
      </w:r>
      <w:r w:rsidRPr="004A3C3A">
        <w:rPr>
          <w:rStyle w:val="Style13ptBold"/>
          <w:b w:val="0"/>
          <w:sz w:val="16"/>
          <w:szCs w:val="16"/>
        </w:rPr>
        <w:t xml:space="preserve">[Bonnie. Bonnie Ruberg is a PhD candidate at the University of California at Berkeley, where her work spans the departments of Comparative Literature, New Media, and Gender and Women’s Studies. “No Fun: The Queer Potential of Video Games that Annoy, Anger, Disappoint, Sadden, and Hurt.” </w:t>
      </w:r>
      <w:r w:rsidRPr="004A3C3A">
        <w:rPr>
          <w:rStyle w:val="Style13ptBold"/>
          <w:b w:val="0"/>
          <w:i/>
          <w:sz w:val="16"/>
          <w:szCs w:val="16"/>
        </w:rPr>
        <w:t>QED: A Journal in GLBTQ Worldmaking</w:t>
      </w:r>
      <w:r w:rsidRPr="004A3C3A">
        <w:rPr>
          <w:rStyle w:val="Style13ptBold"/>
          <w:b w:val="0"/>
          <w:sz w:val="16"/>
          <w:szCs w:val="16"/>
        </w:rPr>
        <w:t xml:space="preserve"> Vol. 2 No. 2 Summer 2015. SH]</w:t>
      </w:r>
    </w:p>
    <w:p w:rsidR="0062164B" w:rsidRPr="004A3C3A" w:rsidRDefault="0062164B" w:rsidP="0062164B">
      <w:pPr>
        <w:rPr>
          <w:rStyle w:val="StyleUnderline"/>
        </w:rPr>
      </w:pPr>
      <w:r w:rsidRPr="004A3C3A">
        <w:rPr>
          <w:sz w:val="16"/>
        </w:rPr>
        <w:t xml:space="preserve">Why Having No-Fun Matters Why is it so important to change how we imagine the relationship between fun and video games? First, </w:t>
      </w:r>
      <w:r w:rsidRPr="004A3C3A">
        <w:rPr>
          <w:rStyle w:val="StyleUnderline"/>
        </w:rPr>
        <w:t>talking about no-fun is a way to talk about diversity</w:t>
      </w:r>
      <w:r w:rsidRPr="004A3C3A">
        <w:rPr>
          <w:sz w:val="16"/>
        </w:rPr>
        <w:t xml:space="preserve">. </w:t>
      </w:r>
      <w:r w:rsidRPr="004A3C3A">
        <w:rPr>
          <w:rStyle w:val="Emphasis"/>
        </w:rPr>
        <w:t xml:space="preserve">Fun as a monolithic principle silences </w:t>
      </w:r>
      <w:r w:rsidRPr="004A3C3A">
        <w:rPr>
          <w:sz w:val="16"/>
        </w:rPr>
        <w:t xml:space="preserve">the </w:t>
      </w:r>
      <w:r w:rsidRPr="004A3C3A">
        <w:rPr>
          <w:rStyle w:val="Emphasis"/>
        </w:rPr>
        <w:t>voices</w:t>
      </w:r>
      <w:r w:rsidRPr="004A3C3A">
        <w:rPr>
          <w:sz w:val="16"/>
        </w:rPr>
        <w:t xml:space="preserve"> of marginalized gamers </w:t>
      </w:r>
      <w:r w:rsidRPr="004A3C3A">
        <w:rPr>
          <w:rStyle w:val="StyleUnderline"/>
        </w:rPr>
        <w:t>and promotes reactionary, territorial behavior from within privileged spaces</w:t>
      </w:r>
      <w:r w:rsidRPr="004A3C3A">
        <w:rPr>
          <w:sz w:val="16"/>
        </w:rPr>
        <w:t xml:space="preserve"> of the games community. </w:t>
      </w:r>
      <w:r w:rsidRPr="004A3C3A">
        <w:rPr>
          <w:rStyle w:val="StyleUnderline"/>
        </w:rPr>
        <w:t>Moving beyond fun</w:t>
      </w:r>
      <w:r w:rsidRPr="004A3C3A">
        <w:rPr>
          <w:sz w:val="16"/>
        </w:rPr>
        <w:t xml:space="preserve">, by contrast, </w:t>
      </w:r>
      <w:r w:rsidRPr="004A3C3A">
        <w:rPr>
          <w:rStyle w:val="StyleUnderline"/>
        </w:rPr>
        <w:t>opens up whole genres of possibilities, many of them queer. The spirit of no-fun is the spirit of alternatives, of disruptions, of difference</w:t>
      </w:r>
      <w:r w:rsidRPr="004A3C3A">
        <w:rPr>
          <w:sz w:val="16"/>
        </w:rPr>
        <w:t xml:space="preserve">. No-fun is a valuable mode of thinking for game designers, for example, because it directs them to challenge assumptions about what games can and should do. It draws attention to emotional experience as something both personal and political and highlights the broader cultural implications of fun. </w:t>
      </w:r>
      <w:r w:rsidRPr="004A3C3A">
        <w:rPr>
          <w:rStyle w:val="StyleUnderline"/>
        </w:rPr>
        <w:t>Talking about no-fun is also a way to talk about new scholarly and creative horizons. Every experience of annoyance, anger, sadness, and hurt comes with its own value, its own message, and its own transformative potential</w:t>
      </w:r>
      <w:r w:rsidRPr="004A3C3A">
        <w:rPr>
          <w:sz w:val="16"/>
        </w:rPr>
        <w:t xml:space="preserve">. Lingering over [End Page 115] no-fun play experiences offers the opportunity to explore video games themselves more fully. </w:t>
      </w:r>
      <w:r w:rsidRPr="004A3C3A">
        <w:rPr>
          <w:rStyle w:val="StyleUnderline"/>
        </w:rPr>
        <w:t>The relationship between game and player is intimate, tangled, and not always easy</w:t>
      </w:r>
      <w:r w:rsidRPr="004A3C3A">
        <w:rPr>
          <w:sz w:val="16"/>
        </w:rPr>
        <w:t xml:space="preserve">. Although mainstream developers designing their games for commercial success may still rely on fun as the golden standard of successful player engagement, independent developers and the burgeoning numbers of DIY designers have the opportunity to play with what’s no fun. At the same time, </w:t>
      </w:r>
      <w:r w:rsidRPr="004A3C3A">
        <w:rPr>
          <w:rStyle w:val="StyleUnderline"/>
        </w:rPr>
        <w:t>emphasizing no-fun play experiences renders visible</w:t>
      </w:r>
      <w:r w:rsidRPr="004A3C3A">
        <w:rPr>
          <w:sz w:val="16"/>
        </w:rPr>
        <w:t xml:space="preserve"> the </w:t>
      </w:r>
      <w:r w:rsidRPr="004A3C3A">
        <w:rPr>
          <w:rStyle w:val="StyleUnderline"/>
        </w:rPr>
        <w:t>emotional complexity</w:t>
      </w:r>
      <w:r w:rsidRPr="004A3C3A">
        <w:rPr>
          <w:sz w:val="16"/>
        </w:rPr>
        <w:t xml:space="preserve"> that is already inherent to games, the blend of fun and no-fun that has been there all along. </w:t>
      </w:r>
      <w:r w:rsidRPr="004A3C3A">
        <w:rPr>
          <w:rStyle w:val="StyleUnderline"/>
        </w:rPr>
        <w:t>When we, as players and scholars, talk only about fun experiences, we exclude from our discussions all of those moments in otherwise enjoyable games when we in fact had no fun. We also shut out of sight all of those games we’ve picked up and played for only a few hours, even a few minutes, and never played again because we found them boring, frustrating, bad. These too are meaningful experiences</w:t>
      </w:r>
      <w:r w:rsidRPr="004A3C3A">
        <w:rPr>
          <w:sz w:val="16"/>
        </w:rPr>
        <w:t xml:space="preserve">, meaningful games, games worthy of attention, not because they are good but because their badness is itself a rich site of meaning. Attending to no-fun-ness allows us to return to these moments of interaction previously dismissed, discarded, forgotten. Opening up these discussions around fun also offers important opportunities for self-reflection. Are the affective experiences of all players imagined as equally limited, or are some players granted the privilege of more emotional complexity than others? A quick Google image search, for example, suggests that our culture envisions negative emotions like anger and boredom as potentially acceptable responses for male game players. In instances like this one, Google image search, although far from comprehensive, serves as a useful window into our culture’s visual rhetoric for slippery concepts. Searching for “boys playing video games,” or simply “playing video games,” turns up scores of images of white, male children with controllers in their hands, expressing everything from ecstasy to confusion to rage. Searching for girls and people of color playing games turns up all happy smiling faces. Players who fall outside of the stereotypical gamer norm are only acceptable as visible subjects when they’re having fun. Exploring no-fun is also an integral step for those who wish to explore video games’ artistic potential. Although GamerGaters fight back against the notion that games could be more than “just for fun,” mainstream America continues to question whether the medium can rise beyond its juvenile reputation as mere entertainment. As has long been true for literature and film, emotional complexity is seen as a tenant of powerful storytelling. While the goal of game play is rarely storytelling in its traditional form, the same expectations hold true for video games, whose interactive experiences can be [End Page 116] as affectively rich as any narrative. However, I don’t mean to suggest simply that games should evolve, become more serious, or grow-up. Instead, I want to emphasize that the potential for emotional complexity is already present in video games as we know them. Artistic legitimacy, if that is indeed something games wish to strive for, is already attainable if we shift our perspectives on the medium as it already exists today. Perhaps most intriguing though is the subversive potential of no-fun as a queer mode of play. </w:t>
      </w:r>
      <w:r w:rsidRPr="004A3C3A">
        <w:rPr>
          <w:rStyle w:val="StyleUnderline"/>
        </w:rPr>
        <w:t>Rejecting fun means turning normative expectations on their heads and embracing the art of playing the wrong way. Lingering over sadness, annoyance, or pain</w:t>
      </w:r>
      <w:r w:rsidRPr="004A3C3A">
        <w:rPr>
          <w:sz w:val="16"/>
        </w:rPr>
        <w:t xml:space="preserve"> frequently represents a rebellion against not just dominant expectations for video-game play, but also a rejection of the stated structure of a game itself. </w:t>
      </w:r>
      <w:r w:rsidRPr="004A3C3A">
        <w:rPr>
          <w:rStyle w:val="StyleUnderline"/>
        </w:rPr>
        <w:t>These counter-affects destabilize the status quo. They are simultaneously no fun and playful, unpleasant and pleasurable</w:t>
      </w:r>
      <w:r w:rsidRPr="004A3C3A">
        <w:rPr>
          <w:sz w:val="16"/>
        </w:rPr>
        <w:t xml:space="preserve">. By nature video-game interactivity seems to offer players agency, while simultaneously dictating and strictly limiting the extent of player choice. </w:t>
      </w:r>
      <w:r w:rsidRPr="004A3C3A">
        <w:rPr>
          <w:rStyle w:val="StyleUnderline"/>
        </w:rPr>
        <w:t>Embracing the no-fun enacts a different type of agency; it means choosing destruction, frustration, alarm. These are not generic experiences, not default choices. They are felt, in the body, as the struggle of the self wrestling with the messy intimacy of a queer partner: the game.</w:t>
      </w:r>
    </w:p>
    <w:p w:rsidR="00DE5E47" w:rsidRDefault="00DE5E47" w:rsidP="00DE5E47">
      <w:pPr>
        <w:pStyle w:val="Heading3"/>
      </w:pPr>
      <w:bookmarkStart w:id="84" w:name="_Toc489138974"/>
      <w:r>
        <w:lastRenderedPageBreak/>
        <w:t>Alt: Undisciplined Education</w:t>
      </w:r>
      <w:bookmarkEnd w:id="84"/>
    </w:p>
    <w:p w:rsidR="00DE5E47" w:rsidRPr="00951A85" w:rsidRDefault="00DE5E47" w:rsidP="00DE5E47">
      <w:pPr>
        <w:pStyle w:val="Heading4"/>
      </w:pPr>
      <w:r>
        <w:t>The alternative is undisciplined education. Only through eradicating educational standards can we envision new modes of knowledge production and subjectivities</w:t>
      </w:r>
    </w:p>
    <w:p w:rsidR="00DE5E47" w:rsidRPr="005D4C20" w:rsidRDefault="00DE5E47" w:rsidP="00DE5E47">
      <w:pPr>
        <w:rPr>
          <w:rStyle w:val="StyleUnderline"/>
        </w:rPr>
      </w:pPr>
      <w:r w:rsidRPr="00921292">
        <w:rPr>
          <w:rStyle w:val="Style13ptBold"/>
        </w:rPr>
        <w:t>S</w:t>
      </w:r>
      <w:r>
        <w:rPr>
          <w:rStyle w:val="Style13ptBold"/>
        </w:rPr>
        <w:t>c</w:t>
      </w:r>
      <w:r w:rsidRPr="00921292">
        <w:rPr>
          <w:rStyle w:val="Style13ptBold"/>
        </w:rPr>
        <w:t>hmid 14</w:t>
      </w:r>
      <w:r w:rsidRPr="00921292">
        <w:t xml:space="preserve"> (</w:t>
      </w:r>
      <w:r>
        <w:t>Erica Schmid is an English professor at Temple University and now holds a PhD due in part to this dissertation “</w:t>
      </w:r>
      <w:r w:rsidRPr="00921292">
        <w:t>FAIL BETTER: THE AESTHETICS OF CONTEMPORARY CRITICISM</w:t>
      </w:r>
      <w:r>
        <w:t>” May 2014 Temple University Press, Pg. 38-43)</w:t>
      </w:r>
    </w:p>
    <w:p w:rsidR="00DE5E47" w:rsidRDefault="00DE5E47" w:rsidP="00DE5E47">
      <w:pPr>
        <w:rPr>
          <w:sz w:val="16"/>
        </w:rPr>
      </w:pPr>
      <w:r w:rsidRPr="00951A85">
        <w:rPr>
          <w:rStyle w:val="StyleUnderline"/>
        </w:rPr>
        <w:t xml:space="preserve">In line with his/her endorsement of failure as a mode of challenging normative </w:t>
      </w:r>
      <w:r w:rsidRPr="00951A85">
        <w:rPr>
          <w:sz w:val="16"/>
        </w:rPr>
        <w:t xml:space="preserve">notions of </w:t>
      </w:r>
      <w:r w:rsidRPr="00951A85">
        <w:rPr>
          <w:rStyle w:val="StyleUnderline"/>
        </w:rPr>
        <w:t>success</w:t>
      </w:r>
      <w:r w:rsidRPr="00951A85">
        <w:rPr>
          <w:sz w:val="16"/>
        </w:rPr>
        <w:t xml:space="preserve">, </w:t>
      </w:r>
      <w:r w:rsidRPr="00951A85">
        <w:rPr>
          <w:rStyle w:val="StyleUnderline"/>
        </w:rPr>
        <w:t>Halberstam advocates ‘undisciplined education</w:t>
      </w:r>
      <w:r w:rsidRPr="00951A85">
        <w:rPr>
          <w:sz w:val="16"/>
        </w:rPr>
        <w:t xml:space="preserve">.’ S/he explains: The </w:t>
      </w:r>
      <w:r w:rsidRPr="00951A85">
        <w:rPr>
          <w:rStyle w:val="StyleUnderline"/>
        </w:rPr>
        <w:t>desire to be taken seriously</w:t>
      </w:r>
      <w:r w:rsidRPr="00951A85">
        <w:rPr>
          <w:sz w:val="16"/>
        </w:rPr>
        <w:t xml:space="preserve"> is precisely what </w:t>
      </w:r>
      <w:r w:rsidRPr="00951A85">
        <w:rPr>
          <w:rStyle w:val="StyleUnderline"/>
        </w:rPr>
        <w:t>compels people to follow the tried and true paths of knowledge production</w:t>
      </w:r>
      <w:r w:rsidRPr="00951A85">
        <w:rPr>
          <w:sz w:val="16"/>
        </w:rPr>
        <w:t>... Indeed t</w:t>
      </w:r>
      <w:r w:rsidRPr="00951A85">
        <w:rPr>
          <w:rStyle w:val="StyleUnderline"/>
        </w:rPr>
        <w:t>erms like serious and rigorous tend to be</w:t>
      </w:r>
      <w:r w:rsidRPr="00951A85">
        <w:rPr>
          <w:sz w:val="16"/>
        </w:rPr>
        <w:t xml:space="preserve"> the </w:t>
      </w:r>
      <w:r w:rsidRPr="00951A85">
        <w:rPr>
          <w:rStyle w:val="StyleUnderline"/>
        </w:rPr>
        <w:t>code words, in academia as well as other contexts, for disciplinary correctness</w:t>
      </w:r>
      <w:r w:rsidRPr="00951A85">
        <w:rPr>
          <w:sz w:val="16"/>
        </w:rPr>
        <w:t xml:space="preserve">; </w:t>
      </w:r>
      <w:r w:rsidRPr="00951A85">
        <w:rPr>
          <w:rStyle w:val="StyleUnderline"/>
        </w:rPr>
        <w:t>they signal</w:t>
      </w:r>
      <w:r w:rsidRPr="00951A85">
        <w:rPr>
          <w:sz w:val="16"/>
        </w:rPr>
        <w:t xml:space="preserve"> a form of training and </w:t>
      </w:r>
      <w:r w:rsidRPr="00951A85">
        <w:rPr>
          <w:rStyle w:val="StyleUnderline"/>
        </w:rPr>
        <w:t>learning that confirms what is already known according to approved methods of knowing</w:t>
      </w:r>
      <w:r w:rsidRPr="00951A85">
        <w:rPr>
          <w:sz w:val="16"/>
        </w:rPr>
        <w:t>, but they do not allow for visionary insights or flights of fancy</w:t>
      </w:r>
      <w:r w:rsidRPr="00951A85">
        <w:rPr>
          <w:rStyle w:val="StyleUnderline"/>
        </w:rPr>
        <w:t>. Training of any kind, in fact, is a way of refusing a kind of Benjaminian relation to knowing, a stroll down uncharted streets in the “wrong” direction; it is</w:t>
      </w:r>
      <w:r w:rsidRPr="00951A85">
        <w:rPr>
          <w:sz w:val="16"/>
        </w:rPr>
        <w:t xml:space="preserve"> precisely </w:t>
      </w:r>
      <w:r w:rsidRPr="00951A85">
        <w:rPr>
          <w:rStyle w:val="StyleUnderline"/>
        </w:rPr>
        <w:t>about staying in well-lit territories and about knowing exactly which way to go before you set out</w:t>
      </w:r>
      <w:r w:rsidRPr="00951A85">
        <w:rPr>
          <w:sz w:val="16"/>
        </w:rPr>
        <w:t xml:space="preserve"> (Queer Art 6). </w:t>
      </w:r>
      <w:r w:rsidRPr="00951A85">
        <w:rPr>
          <w:rStyle w:val="StyleUnderline"/>
        </w:rPr>
        <w:t>Such an approach to educational success runs counter to that of the dominant discourse</w:t>
      </w:r>
      <w:r w:rsidRPr="00951A85">
        <w:rPr>
          <w:sz w:val="16"/>
        </w:rPr>
        <w:t xml:space="preserve">. </w:t>
      </w:r>
      <w:r w:rsidRPr="00951A85">
        <w:rPr>
          <w:rStyle w:val="StyleUnderline"/>
        </w:rPr>
        <w:t>Standards, whether “high” or “low,” are designed to ensure that students can confirm what is already known,</w:t>
      </w:r>
      <w:r w:rsidRPr="00951A85">
        <w:rPr>
          <w:sz w:val="16"/>
        </w:rPr>
        <w:t xml:space="preserve"> i.e. the ‘</w:t>
      </w:r>
      <w:r w:rsidRPr="00951A85">
        <w:rPr>
          <w:rStyle w:val="StyleUnderline"/>
        </w:rPr>
        <w:t>extensively researched’ determinations of</w:t>
      </w:r>
      <w:r w:rsidRPr="00951A85">
        <w:rPr>
          <w:sz w:val="16"/>
        </w:rPr>
        <w:t xml:space="preserve"> the </w:t>
      </w:r>
      <w:r w:rsidRPr="00951A85">
        <w:rPr>
          <w:rStyle w:val="StyleUnderline"/>
        </w:rPr>
        <w:t>knowledge and skills required for success in college, careers, and life</w:t>
      </w:r>
      <w:r w:rsidRPr="00951A85">
        <w:rPr>
          <w:sz w:val="16"/>
        </w:rPr>
        <w:t xml:space="preserve">. Though the CCSS website emphasizes that the standards do not dictate what or how teachers should teach, the destination is clear. Indeed </w:t>
      </w:r>
      <w:r w:rsidRPr="00951A85">
        <w:rPr>
          <w:rStyle w:val="StyleUnderline"/>
        </w:rPr>
        <w:t>the</w:t>
      </w:r>
      <w:r w:rsidRPr="00951A85">
        <w:rPr>
          <w:sz w:val="16"/>
        </w:rPr>
        <w:t xml:space="preserve"> whole </w:t>
      </w:r>
      <w:r w:rsidRPr="00951A85">
        <w:rPr>
          <w:rStyle w:val="StyleUnderline"/>
        </w:rPr>
        <w:t>point of</w:t>
      </w:r>
      <w:r w:rsidRPr="00951A85">
        <w:rPr>
          <w:sz w:val="16"/>
        </w:rPr>
        <w:t xml:space="preserve"> the </w:t>
      </w:r>
      <w:r w:rsidRPr="00951A85">
        <w:rPr>
          <w:rStyle w:val="StyleUnderline"/>
        </w:rPr>
        <w:t>standards is to establish a ‘clear, consistent’ understanding of where students should end up when they graduate. This does not necessarily preclude ‘visionary insights, flights of fancy, and strolls down uncharted streets in the wrong direction,’ but it undoubtedly limits the possibilities for them</w:t>
      </w:r>
      <w:r w:rsidRPr="00951A85">
        <w:rPr>
          <w:sz w:val="16"/>
        </w:rPr>
        <w:t xml:space="preserve">. At the very least, </w:t>
      </w:r>
      <w:r w:rsidRPr="00951A85">
        <w:rPr>
          <w:rStyle w:val="StyleUnderline"/>
        </w:rPr>
        <w:t>the seemingly unarguable value of knowing where one is going, where one should arrive, discourages Halberstam’s undisciplined education: ‘losing one’s way,’ ‘resisting mastery,’ ‘failing,</w:t>
      </w:r>
      <w:r w:rsidRPr="00951A85">
        <w:rPr>
          <w:sz w:val="16"/>
        </w:rPr>
        <w:t xml:space="preserve">’ etc. in </w:t>
      </w:r>
      <w:r w:rsidRPr="00951A85">
        <w:rPr>
          <w:rStyle w:val="StyleUnderline"/>
        </w:rPr>
        <w:t>order to envision new modes of knowledge production and new ways of being in the world</w:t>
      </w:r>
      <w:r w:rsidRPr="00951A85">
        <w:rPr>
          <w:sz w:val="16"/>
        </w:rPr>
        <w:t>.</w:t>
      </w:r>
    </w:p>
    <w:p w:rsidR="00DE5E47" w:rsidRDefault="00DE5E47" w:rsidP="00DE5E47">
      <w:pPr>
        <w:rPr>
          <w:rStyle w:val="Style13ptBold"/>
        </w:rPr>
      </w:pPr>
      <w:r>
        <w:rPr>
          <w:rStyle w:val="Style13ptBold"/>
        </w:rPr>
        <w:t>Only through undisciplined education and academic literary study can we counter dominant notions of success and embrace failure</w:t>
      </w:r>
    </w:p>
    <w:p w:rsidR="00DE5E47" w:rsidRPr="005D4C20" w:rsidRDefault="00DE5E47" w:rsidP="00DE5E47">
      <w:pPr>
        <w:rPr>
          <w:rStyle w:val="StyleUnderline"/>
        </w:rPr>
      </w:pPr>
      <w:r w:rsidRPr="00921292">
        <w:rPr>
          <w:rStyle w:val="Style13ptBold"/>
        </w:rPr>
        <w:t>S</w:t>
      </w:r>
      <w:r>
        <w:rPr>
          <w:rStyle w:val="Style13ptBold"/>
        </w:rPr>
        <w:t>c</w:t>
      </w:r>
      <w:r w:rsidRPr="00921292">
        <w:rPr>
          <w:rStyle w:val="Style13ptBold"/>
        </w:rPr>
        <w:t>hmid 14</w:t>
      </w:r>
      <w:r w:rsidRPr="00921292">
        <w:t xml:space="preserve"> (</w:t>
      </w:r>
      <w:r>
        <w:t>Erica Schmid is an English professor at Temple University and now holds a PhD due in part to this dissertation “</w:t>
      </w:r>
      <w:r w:rsidRPr="00921292">
        <w:t>FAIL BETTER: THE AESTHETICS OF CONTEMPORARY CRITICISM</w:t>
      </w:r>
      <w:r>
        <w:t>” May 2014 Temple University Press, Pg. 38-43)</w:t>
      </w:r>
    </w:p>
    <w:p w:rsidR="00DE5E47" w:rsidRPr="006338A8" w:rsidRDefault="00DE5E47" w:rsidP="00DE5E47">
      <w:pPr>
        <w:rPr>
          <w:sz w:val="16"/>
        </w:rPr>
      </w:pPr>
      <w:r w:rsidRPr="006338A8">
        <w:rPr>
          <w:sz w:val="16"/>
        </w:rPr>
        <w:t xml:space="preserve">In “The Decline of the English Department,” William Chace, perhaps unintentionally, suggests a similar approach to graduate education. Speaking of the ‘glory days’ of literary study, he recalls: Finding pleasure in such reading, and indeed in </w:t>
      </w:r>
      <w:r w:rsidRPr="006338A8">
        <w:rPr>
          <w:rStyle w:val="StyleUnderline"/>
        </w:rPr>
        <w:t xml:space="preserve">majoring in English, was a declaration at the time that </w:t>
      </w:r>
      <w:r w:rsidRPr="006338A8">
        <w:rPr>
          <w:rStyle w:val="StyleUnderline"/>
          <w:i/>
        </w:rPr>
        <w:t>education was not all about getting a job or securing one’s future</w:t>
      </w:r>
      <w:r w:rsidRPr="006338A8">
        <w:rPr>
          <w:sz w:val="16"/>
        </w:rPr>
        <w:t xml:space="preserve">. In comparison with the </w:t>
      </w:r>
      <w:r w:rsidRPr="006338A8">
        <w:rPr>
          <w:rStyle w:val="StyleUnderline"/>
        </w:rPr>
        <w:t xml:space="preserve">pre-professional ambitions that dominate the lives of American undergraduates today, the psychological condition of students of the time was defined by self- reflection, innocence, and a </w:t>
      </w:r>
      <w:r w:rsidRPr="006338A8">
        <w:rPr>
          <w:rStyle w:val="StyleUnderline"/>
          <w:i/>
        </w:rPr>
        <w:t>casual irresponsibility about what was coming next</w:t>
      </w:r>
      <w:r w:rsidRPr="006338A8">
        <w:rPr>
          <w:sz w:val="16"/>
        </w:rPr>
        <w:t xml:space="preserve"> (emphasis mine) Though I’m not entirely on board with his argument, particularly </w:t>
      </w:r>
      <w:r w:rsidRPr="006338A8">
        <w:rPr>
          <w:rStyle w:val="StyleUnderline"/>
        </w:rPr>
        <w:t>his suggestion to make academic literary study a more coherent discipline—“such reading” refers to ‘understanding the tradition and historical culture that assembled around masterly books</w:t>
      </w:r>
      <w:r w:rsidRPr="006338A8">
        <w:rPr>
          <w:sz w:val="16"/>
        </w:rPr>
        <w:t xml:space="preserve">’—his comments suggest </w:t>
      </w:r>
      <w:r w:rsidRPr="006338A8">
        <w:rPr>
          <w:rStyle w:val="StyleUnderline"/>
        </w:rPr>
        <w:t>positioning the discipline outside of dominant approaches to success, and relocating it</w:t>
      </w:r>
      <w:r w:rsidRPr="006338A8">
        <w:rPr>
          <w:sz w:val="16"/>
        </w:rPr>
        <w:t xml:space="preserve"> where it was during its heyday. </w:t>
      </w:r>
      <w:r w:rsidRPr="006338A8">
        <w:rPr>
          <w:rStyle w:val="StyleUnderline"/>
        </w:rPr>
        <w:t>Rather than a direct route to assured employment, academic literary study might again be understood as ‘a declaration that education is not about getting a job or securing one’s future</w:t>
      </w:r>
      <w:r w:rsidRPr="006338A8">
        <w:rPr>
          <w:sz w:val="16"/>
        </w:rPr>
        <w:t xml:space="preserve">.’ Though Chace places much of the blame for the decline of the English department on scholars themselves, he also examines economic causes, specifically the relationship between financial concerns and students’ educational goals. He explains: Alexander W. Astin’s research tells us that </w:t>
      </w:r>
      <w:r w:rsidRPr="006338A8">
        <w:rPr>
          <w:rStyle w:val="StyleUnderline"/>
        </w:rPr>
        <w:t xml:space="preserve">in the mid- 1960s, more than 80 percent of entering college </w:t>
      </w:r>
      <w:r w:rsidRPr="006338A8">
        <w:rPr>
          <w:rStyle w:val="StyleUnderline"/>
        </w:rPr>
        <w:lastRenderedPageBreak/>
        <w:t>freshman reported that nothing was more important than “developing a meaningful philosophy of life.”</w:t>
      </w:r>
      <w:r w:rsidRPr="006338A8">
        <w:rPr>
          <w:sz w:val="16"/>
        </w:rPr>
        <w:t xml:space="preserve"> Astin... reports that “</w:t>
      </w:r>
      <w:r w:rsidRPr="006338A8">
        <w:rPr>
          <w:rStyle w:val="StyleUnderline"/>
        </w:rPr>
        <w:t>being</w:t>
      </w:r>
      <w:r w:rsidRPr="006338A8">
        <w:rPr>
          <w:sz w:val="16"/>
        </w:rPr>
        <w:t xml:space="preserve"> very </w:t>
      </w:r>
      <w:r w:rsidRPr="006338A8">
        <w:rPr>
          <w:rStyle w:val="StyleUnderline"/>
        </w:rPr>
        <w:t>well off financially” was only an afterthought, one that fewer than 45 percent of those freshman thought to be an essential</w:t>
      </w:r>
      <w:r w:rsidRPr="006338A8">
        <w:rPr>
          <w:sz w:val="16"/>
        </w:rPr>
        <w:t xml:space="preserve"> goal. As the years went on, however, and as tuition shot up, the two traded places; </w:t>
      </w:r>
      <w:r w:rsidRPr="006338A8">
        <w:rPr>
          <w:rStyle w:val="StyleUnderline"/>
        </w:rPr>
        <w:t>by 1977, financial goals had surged</w:t>
      </w:r>
      <w:r w:rsidRPr="006338A8">
        <w:rPr>
          <w:sz w:val="16"/>
        </w:rPr>
        <w:t xml:space="preserve"> past philosophical ones, and </w:t>
      </w:r>
      <w:r w:rsidRPr="006338A8">
        <w:rPr>
          <w:rStyle w:val="StyleUnderline"/>
        </w:rPr>
        <w:t>by</w:t>
      </w:r>
      <w:r w:rsidRPr="006338A8">
        <w:rPr>
          <w:sz w:val="16"/>
        </w:rPr>
        <w:t xml:space="preserve"> the year </w:t>
      </w:r>
      <w:r w:rsidRPr="006338A8">
        <w:rPr>
          <w:rStyle w:val="StyleUnderline"/>
        </w:rPr>
        <w:t>2001 more than 70 percent of undergraduate students had their eyes trained on financial realities, while only 40 percent were still wrestling with meaningful philosophies</w:t>
      </w:r>
      <w:r w:rsidRPr="006338A8">
        <w:rPr>
          <w:sz w:val="16"/>
        </w:rPr>
        <w:t>. Financial considerations are obviously important and rising tuition costs make such concerns more immediate. But the movement away from goals like ‘developing a meaningful philosophy of life’ is an equally important and equally immediate concern. Though hotly debated, the pr</w:t>
      </w:r>
      <w:r w:rsidRPr="006338A8">
        <w:rPr>
          <w:rStyle w:val="StyleUnderline"/>
        </w:rPr>
        <w:t>ojected accountability policy for colleges reinforces the idea that educational endeavors should be assessed according to financial value, rather than the philosophies developed in and through the experience</w:t>
      </w:r>
      <w:r w:rsidRPr="006338A8">
        <w:rPr>
          <w:sz w:val="16"/>
        </w:rPr>
        <w:t>. And t</w:t>
      </w:r>
      <w:r w:rsidRPr="006338A8">
        <w:rPr>
          <w:rStyle w:val="StyleUnderline"/>
        </w:rPr>
        <w:t>his mentality is likely to be internalized by the time students graduate, as the language of CCSS reinforces it throughout the K-12 educational experience.</w:t>
      </w:r>
      <w:r w:rsidRPr="006338A8">
        <w:rPr>
          <w:sz w:val="16"/>
        </w:rPr>
        <w:t xml:space="preserve"> In this case, </w:t>
      </w:r>
      <w:r w:rsidRPr="006338A8">
        <w:rPr>
          <w:rStyle w:val="StyleUnderline"/>
        </w:rPr>
        <w:t>it might not be advantageous to refocus academic literary study’s marketing campaign on possible careers/ employment opportunities</w:t>
      </w:r>
      <w:r w:rsidRPr="006338A8">
        <w:rPr>
          <w:sz w:val="16"/>
        </w:rPr>
        <w:t xml:space="preserve">. Rather than helping students keep their ‘eyes trained on the financial prize,’ the discipline might reaffirm the value of diverting one’s attention long enough to ‘wrestle with meaningful philosophies.’ Insofar as </w:t>
      </w:r>
      <w:r w:rsidRPr="006338A8">
        <w:rPr>
          <w:rStyle w:val="StyleUnderline"/>
        </w:rPr>
        <w:t>academic literary study encourages such diversion and is itself a diversion from the designed and direct path to employment, it runs counter not only to the dominant notion of success, but also the dominant approach to achieving success</w:t>
      </w:r>
      <w:r w:rsidRPr="006338A8">
        <w:rPr>
          <w:sz w:val="16"/>
        </w:rPr>
        <w:t xml:space="preserve">. Though the discipline obviously cannot extricate itself completely from practical/ financial concerns, it need to revise its aims, practices, and discourse to adhere to the dominant model of success and dominant approach to achieving it. Rather, </w:t>
      </w:r>
      <w:r w:rsidRPr="006338A8">
        <w:rPr>
          <w:rStyle w:val="StyleUnderline"/>
        </w:rPr>
        <w:t>it might position itself as indefensible, per the dominant discourse. It might, in other words, embrace (its) failure</w:t>
      </w:r>
      <w:r w:rsidRPr="006338A8">
        <w:rPr>
          <w:sz w:val="16"/>
        </w:rPr>
        <w:t>. This is, I suggest, is what “Last Will” urges us to do.</w:t>
      </w:r>
    </w:p>
    <w:p w:rsidR="00DE5E47" w:rsidRPr="003D5883" w:rsidRDefault="00DE5E47" w:rsidP="00DE5E47"/>
    <w:p w:rsidR="00DE5E47" w:rsidRDefault="00DE5E47" w:rsidP="00DE5E47">
      <w:pPr>
        <w:pStyle w:val="Heading3"/>
      </w:pPr>
      <w:bookmarkStart w:id="85" w:name="_Toc489138975"/>
      <w:r>
        <w:lastRenderedPageBreak/>
        <w:t>Alt: Framework for Failure</w:t>
      </w:r>
      <w:bookmarkEnd w:id="85"/>
    </w:p>
    <w:p w:rsidR="00DE5E47" w:rsidRDefault="00DE5E47" w:rsidP="00DE5E47">
      <w:pPr>
        <w:pStyle w:val="Heading4"/>
      </w:pPr>
      <w:r>
        <w:t>The alternative is to embrace a framework for failure—an embracement of negative emotions which is key to rejecting status quo oppression and creating revolutionary pedagogies</w:t>
      </w:r>
    </w:p>
    <w:p w:rsidR="00DE5E47" w:rsidRPr="006926E3" w:rsidRDefault="00DE5E47" w:rsidP="00DE5E47">
      <w:pPr>
        <w:rPr>
          <w:bCs/>
          <w:sz w:val="18"/>
        </w:rPr>
      </w:pPr>
      <w:r>
        <w:rPr>
          <w:rStyle w:val="Style13ptBold"/>
        </w:rPr>
        <w:t xml:space="preserve">Gross and Alexander 16 </w:t>
      </w:r>
      <w:r>
        <w:rPr>
          <w:rStyle w:val="Style13ptBold"/>
          <w:b w:val="0"/>
          <w:sz w:val="18"/>
        </w:rPr>
        <w:t xml:space="preserve">(Daniel M. Gross is Professor, English </w:t>
      </w:r>
      <w:r w:rsidRPr="006926E3">
        <w:rPr>
          <w:rStyle w:val="Style13ptBold"/>
          <w:b w:val="0"/>
          <w:sz w:val="18"/>
        </w:rPr>
        <w:t>School of Humanities</w:t>
      </w:r>
      <w:r>
        <w:rPr>
          <w:rStyle w:val="Style13ptBold"/>
          <w:b w:val="0"/>
          <w:sz w:val="18"/>
        </w:rPr>
        <w:t xml:space="preserve">, Jonathan Alexander is </w:t>
      </w:r>
      <w:r w:rsidRPr="006926E3">
        <w:rPr>
          <w:rStyle w:val="Style13ptBold"/>
          <w:b w:val="0"/>
          <w:sz w:val="18"/>
        </w:rPr>
        <w:t>Chancellor's Professor of English, Education,</w:t>
      </w:r>
      <w:r>
        <w:rPr>
          <w:rStyle w:val="Style13ptBold"/>
          <w:b w:val="0"/>
          <w:sz w:val="18"/>
        </w:rPr>
        <w:t xml:space="preserve"> and Gender &amp; Sexuality Studies </w:t>
      </w:r>
      <w:r w:rsidRPr="006926E3">
        <w:rPr>
          <w:rStyle w:val="Style13ptBold"/>
          <w:b w:val="0"/>
          <w:sz w:val="18"/>
        </w:rPr>
        <w:t>School of Humanities</w:t>
      </w:r>
      <w:r>
        <w:rPr>
          <w:rStyle w:val="Style13ptBold"/>
          <w:b w:val="0"/>
          <w:sz w:val="18"/>
        </w:rPr>
        <w:t xml:space="preserve"> | “</w:t>
      </w:r>
      <w:r w:rsidRPr="006926E3">
        <w:rPr>
          <w:rStyle w:val="Style13ptBold"/>
          <w:b w:val="0"/>
          <w:sz w:val="18"/>
        </w:rPr>
        <w:t>Frameworks for Failure</w:t>
      </w:r>
      <w:r>
        <w:rPr>
          <w:rStyle w:val="Style13ptBold"/>
          <w:b w:val="0"/>
          <w:sz w:val="18"/>
        </w:rPr>
        <w:t xml:space="preserve">” | </w:t>
      </w:r>
      <w:r w:rsidRPr="006926E3">
        <w:rPr>
          <w:rStyle w:val="Style13ptBold"/>
          <w:b w:val="0"/>
          <w:sz w:val="18"/>
        </w:rPr>
        <w:t>Pedagogy: Critical Approaches to Teaching Literature, Language, Composition, and Culture Volume 16, Number 2</w:t>
      </w:r>
      <w:r>
        <w:rPr>
          <w:rStyle w:val="Style13ptBold"/>
          <w:b w:val="0"/>
          <w:sz w:val="18"/>
        </w:rPr>
        <w:t>.</w:t>
      </w:r>
      <w:r w:rsidRPr="006926E3">
        <w:rPr>
          <w:rStyle w:val="Style13ptBold"/>
          <w:b w:val="0"/>
          <w:sz w:val="18"/>
        </w:rPr>
        <w:t xml:space="preserve"> </w:t>
      </w:r>
      <w:r w:rsidRPr="006926E3">
        <w:rPr>
          <w:sz w:val="18"/>
        </w:rPr>
        <w:t>p.287-92</w:t>
      </w:r>
      <w:r>
        <w:rPr>
          <w:sz w:val="18"/>
        </w:rPr>
        <w:t xml:space="preserve"> //cl)</w:t>
      </w:r>
    </w:p>
    <w:p w:rsidR="00DE5E47" w:rsidRPr="006926E3" w:rsidRDefault="00DE5E47" w:rsidP="00DE5E47">
      <w:pPr>
        <w:rPr>
          <w:rStyle w:val="StyleUnderline"/>
        </w:rPr>
      </w:pPr>
      <w:r w:rsidRPr="006926E3">
        <w:rPr>
          <w:sz w:val="16"/>
        </w:rPr>
        <w:t xml:space="preserve">Precisely along these lines, recent work in queer studies has reexamined and revalued the work of negative affect and emotions typically associated with failure. At the same time, queer affect studies offers a useful model for how </w:t>
      </w:r>
      <w:r w:rsidRPr="0050334D">
        <w:rPr>
          <w:rStyle w:val="Emphasis"/>
        </w:rPr>
        <w:t>happiness</w:t>
      </w:r>
      <w:r w:rsidRPr="0050334D">
        <w:rPr>
          <w:rStyle w:val="StyleUnderline"/>
        </w:rPr>
        <w:t xml:space="preserve"> per se </w:t>
      </w:r>
      <w:r w:rsidRPr="0050334D">
        <w:rPr>
          <w:rStyle w:val="Emphasis"/>
        </w:rPr>
        <w:t>creates behavioral norms, beliefs, and actions</w:t>
      </w:r>
      <w:r w:rsidRPr="0050334D">
        <w:rPr>
          <w:rStyle w:val="StyleUnderline"/>
        </w:rPr>
        <w:t>. Sara Ahmed’s The Promise of Happiness (2010) shows how “feelings are attributed to objects, such that some things and not others become happiness and unhappiness causes” (14), which helps explain how the experience of happiness is not just a personal disposition but is, rather, the product of distinct social circumstances where certain sorts of activities are valued while others are not. As Ahmed puts it, “</w:t>
      </w:r>
      <w:r w:rsidRPr="0050334D">
        <w:rPr>
          <w:rStyle w:val="Emphasis"/>
        </w:rPr>
        <w:t>We are directed by the promise of happiness, as the promise that happiness is what follows if we do this or that”</w:t>
      </w:r>
      <w:r w:rsidRPr="006926E3">
        <w:rPr>
          <w:sz w:val="16"/>
        </w:rPr>
        <w:t xml:space="preserve"> (14). Moreover, relational values are not neutral or equitable but, rather, normalizing. “Attributions of happiness,” Ahmed concludes, “might be how social norms and ideals become affective, as if relative proximity to those norms and ideals creates happiness” (11). So, when in the introduction to the Framework we read about how students taught the habits of mind will be “well positioned” to meet the challenges of academic and career writing, we can consider, with Ahmed, what affective work the habits play with respect to these particular action objects (i.e., academic and career writing). </w:t>
      </w:r>
      <w:r w:rsidRPr="0050334D">
        <w:rPr>
          <w:rStyle w:val="StyleUnderline"/>
        </w:rPr>
        <w:t xml:space="preserve">Being “well- positioned” toward these action objects would in this interpretation feel better, whereas being positioned poorly toward academic and career writing would feel worse. No kidding. The problem lies in naturalizing and normalizing this affective relation where Ahmed’s </w:t>
      </w:r>
      <w:r w:rsidRPr="0050334D">
        <w:rPr>
          <w:rStyle w:val="Emphasis"/>
        </w:rPr>
        <w:t>“happiness causes” do their work structurally to reinforce the status quo</w:t>
      </w:r>
      <w:r w:rsidRPr="006926E3">
        <w:rPr>
          <w:sz w:val="16"/>
        </w:rPr>
        <w:t xml:space="preserve"> and individuals respond by way of calibrating their own feelings — tutored, in this case, by the Framework. In this way the Framework (inadvertently) back- propagates a feeling structure where students and teachers are ultimately held responsible.8 </w:t>
      </w:r>
      <w:r w:rsidRPr="0050334D">
        <w:rPr>
          <w:rStyle w:val="StyleUnderline"/>
        </w:rPr>
        <w:t>Obscured is a feeling structure like dissatisfaction or anger that might help us understand how current norms of success position some people poorly despite, or sometimes indeed because of, their own efforts or that of their teachers.</w:t>
      </w:r>
      <w:r w:rsidRPr="006926E3">
        <w:rPr>
          <w:sz w:val="16"/>
        </w:rPr>
        <w:t xml:space="preserve"> How in the United States can we understand in political and hegemonic terms the broad strokes of positive psychology? Ehrenreich’s critique is helpful up to a point, but her “hard- nosed empiricism” and her endorsement of enlightenment values over superstition (2009: 197) ultimately disappoint as they fold into neoliberal measures of just the sort she initially critiques. Lauren Berlant’s Cruel Optimism (2011) does a better job showing Pedagogy Published by Duke University Press 288 Pedagogy how, in fact, it is precisely the measures of neoliberalism that produced our current crisis where everything is oriented toward success while everyone feels like he or she is failing at everything, all the time. A relation of cruel optimism exists, according to Berlant, when “something you desire is actually an obstacle to your flourishing. It might involve food, or a kind of love; it might be a fantasy of the good life, or a political project. It might rest on something simpler, too, like a new habit that promises to induce in you an improved way of being” (1). </w:t>
      </w:r>
      <w:r w:rsidRPr="0050334D">
        <w:rPr>
          <w:rStyle w:val="StyleUnderline"/>
        </w:rPr>
        <w:t>And wouldn’t a perfect example of the relation Berlant calls cruel optimism exist in our newly urgent habits of mind that promise to induce in our students an improved way of being, namely, a more successful orientation toward college and career success (at the same time that they obfuscate how we all might be usefully disoriented toward these particular lifestyle norms)?</w:t>
      </w:r>
      <w:r w:rsidRPr="006926E3">
        <w:rPr>
          <w:sz w:val="16"/>
        </w:rPr>
        <w:t xml:space="preserve"> Berlant focuses in particular on the end of the postwar good- life fantasy and the rise of neoliberalism in the United States and Europe — a scene that would implicate us and our students, as well as the organizational structures at every level that give our school lives meaning, which includes (or so goes the argument) fantasies of successful personhood that become decreasingly accessible — hence the queer theorists’ (and our) injunction to take negative emotions seriously. </w:t>
      </w:r>
      <w:r w:rsidRPr="0050334D">
        <w:rPr>
          <w:rStyle w:val="StyleUnderline"/>
        </w:rPr>
        <w:t xml:space="preserve">Queer theorists point out how unhappiness, dissatisfaction, and even </w:t>
      </w:r>
      <w:r w:rsidRPr="0050334D">
        <w:rPr>
          <w:rStyle w:val="Emphasis"/>
        </w:rPr>
        <w:t xml:space="preserve">failure might serve as entry points to critique </w:t>
      </w:r>
      <w:r w:rsidRPr="0050334D">
        <w:rPr>
          <w:rStyle w:val="StyleUnderline"/>
        </w:rPr>
        <w:t xml:space="preserve">the </w:t>
      </w:r>
      <w:r w:rsidRPr="0050334D">
        <w:rPr>
          <w:rStyle w:val="Emphasis"/>
        </w:rPr>
        <w:t>power structures</w:t>
      </w:r>
      <w:r w:rsidRPr="0050334D">
        <w:rPr>
          <w:rStyle w:val="StyleUnderline"/>
        </w:rPr>
        <w:t xml:space="preserve"> and normalizing discourses </w:t>
      </w:r>
      <w:r w:rsidRPr="0050334D">
        <w:rPr>
          <w:rStyle w:val="Emphasis"/>
        </w:rPr>
        <w:t>that direct our lives</w:t>
      </w:r>
      <w:r w:rsidRPr="0050334D">
        <w:rPr>
          <w:rStyle w:val="StyleUnderline"/>
        </w:rPr>
        <w:t xml:space="preserve"> and efforts along certain lines. In The Queer Art of Failure (2011),</w:t>
      </w:r>
      <w:r>
        <w:rPr>
          <w:rStyle w:val="StyleUnderline"/>
        </w:rPr>
        <w:t xml:space="preserve"> </w:t>
      </w:r>
      <w:r w:rsidRPr="0050334D">
        <w:rPr>
          <w:rStyle w:val="StyleUnderline"/>
        </w:rPr>
        <w:t xml:space="preserve">Judith Halberstam argues that </w:t>
      </w:r>
      <w:r w:rsidRPr="0050334D">
        <w:rPr>
          <w:rStyle w:val="Emphasis"/>
        </w:rPr>
        <w:t xml:space="preserve">“failing, losing, forgetting, unmaking, undoing, unbecoming, not knowing may in fact offer more creative, more cooperative, </w:t>
      </w:r>
      <w:r w:rsidRPr="0050334D">
        <w:rPr>
          <w:rStyle w:val="Emphasis"/>
        </w:rPr>
        <w:lastRenderedPageBreak/>
        <w:t>more surprising ways of being in the world”</w:t>
      </w:r>
      <w:r w:rsidRPr="0050334D">
        <w:rPr>
          <w:rStyle w:val="StyleUnderline"/>
        </w:rPr>
        <w:t xml:space="preserve"> (2 – 3). As a critique, failure is “a way of refusing to acquiesce to dominant logics of power and discipline.” And as a practice, failure “recognizes that alternatives are embedded already in the dominant and that power is never total or consistent; indeed failure can exploit the unpredictability of ideology and its indeterminate qualities” (88). Next to a “framework for success” </w:t>
      </w:r>
      <w:r w:rsidRPr="0050334D">
        <w:rPr>
          <w:rStyle w:val="Emphasis"/>
        </w:rPr>
        <w:t>we offer a “framework for failure” that can help us better understand how failure and negative emotions are an ineradicable and sometimes crucial component of our educational lives.</w:t>
      </w:r>
      <w:r w:rsidRPr="0050334D">
        <w:rPr>
          <w:rStyle w:val="StyleUnderline"/>
        </w:rPr>
        <w:t xml:space="preserve"> </w:t>
      </w:r>
      <w:r w:rsidRPr="006926E3">
        <w:rPr>
          <w:sz w:val="16"/>
        </w:rPr>
        <w:t xml:space="preserve">We have plenty of company in this effort. Developing a Deweyan – Freirean model of critical pedagogy, for instance, Shor calls for “a holistic, historically situated, politically aware intervention in society to solve a felt need or problem, to get something done in a context of reflective action” (1996: 162). Such reflective “intervention,” based on a “felt need or problem,” is embodied in the experience of systematic failure, in an affective register of our insufficient Pedagogy Published by Duke University Press Gross and Alexander Frameworks for Failure 289 and sometimes botched practice of democracy. Likewise, queer theorists remind us that we can turn such failure, our disappointment and frustration, into critique, into the kind of “politically aware intervention” that is not just a logical operation or career preparation. Fewer than Seven Habits of Relatively Unsuccessful People Our critique of the Framework is sometimes strident, but it is so only because we feel something important is elided as we rush toward student success — namely, a more robust consideration of negative emotions vis- à- vis writing pedagogy and the structures that support it. Certainly composition studies have dealt with negative emotions in the past. Pre- 1970s pedagogies of error correction, shame, and punishment were rightly and soundly critiqued by the likes of Joseph Williams, Mina Shaughnessy, and Peter Elbow, who helped us turn the tide toward positive pedagogies and positive emotions sympathetic with a larger culture where affirmation was newly important. In “More Than a Feeling: Disappointment and WPA Work,” Micciche (2002: 432) “address[es] the climate of disappointment that characterizes English studies generally and composition studies — particularly writing program administration (WPA) — specifically.” For Micciche, such disappointment should not remain a “characteristic,” something that WPAs “have,” but, rather, should become the grounds through which WPAs and composition programs reimagine themselves and the work they do with students on college campuses. This is not new news in composition studies. As noted earlier, others such as Worsham (1998) and Miller (1991) have explored not only the affective dimension of our work but also the possibility of emotions as critical practice. </w:t>
      </w:r>
      <w:r w:rsidRPr="0050334D">
        <w:rPr>
          <w:rStyle w:val="StyleUnderline"/>
        </w:rPr>
        <w:t xml:space="preserve">Along these lines, we might consider again Elbow’s free- writing narrative. He felt “wounded and tired,” a “total failure,” “lonely, hurting, and panicked.” These feelings are the grounds upon which Elbow set out to revolutionize his own — and eventually the field’s — approach to the teaching of writing. And yet, most free writing today seems taught as a pleasant and liberating activity, in which students are invited to enjoy the delights of a creative process. </w:t>
      </w:r>
      <w:r w:rsidRPr="0050334D">
        <w:rPr>
          <w:rStyle w:val="Emphasis"/>
        </w:rPr>
        <w:t>In its inception</w:t>
      </w:r>
      <w:r w:rsidRPr="0050334D">
        <w:rPr>
          <w:rStyle w:val="StyleUnderline"/>
        </w:rPr>
        <w:t>, however,</w:t>
      </w:r>
      <w:r w:rsidRPr="0050334D">
        <w:rPr>
          <w:rStyle w:val="Emphasis"/>
        </w:rPr>
        <w:t xml:space="preserve"> free writing </w:t>
      </w:r>
      <w:r w:rsidRPr="0050334D">
        <w:rPr>
          <w:rStyle w:val="StyleUnderline"/>
        </w:rPr>
        <w:t xml:space="preserve">was not just a personal strategy to generate text, a solution to an individual’s problem; it </w:t>
      </w:r>
      <w:r w:rsidRPr="0050334D">
        <w:rPr>
          <w:rStyle w:val="Emphasis"/>
        </w:rPr>
        <w:t>was an implicit critique of a system of education that induced shame.</w:t>
      </w:r>
      <w:r w:rsidRPr="006926E3">
        <w:rPr>
          <w:sz w:val="16"/>
        </w:rPr>
        <w:t xml:space="preserve"> It was, in the spirit of the times, a revolutionary way to reimagine how an education in writing might be dramatically different. Now, free writing is just another practice of invention among many others, and the original affective energies — fear, frustration, even anger — give way to “invention strategies” and the vague gesture toward best practices that should come along with some sense of sat Pedagogy Published by Duke University Press 290 Pedagogy isfaction. We should note by way of this example that any particular emotion is not inherently and always a good or a bad thing. As Elbow wrote, it was imperative to overcome shame, for instance. But overcoming is not the same as outright denial, and it should not be confused with the active suppression of bad feeling or with the pseudoscientific treatment of negative emotion as maladaptation. And just as we have argued that happiness is not always a positive, we do not endorse negative emotions tout court. Emotions are not the same always and everywhere; emotions are historical, social, and strategic phenomena that must be treated as such. Hence, the new emotion studies cited in this article work outward from a particular challenge. Queer theorists know the emotionally normative dynamic well, the move to forget difficult feelings while promoting success narratives and happiness causes. </w:t>
      </w:r>
      <w:r w:rsidRPr="0050334D">
        <w:rPr>
          <w:rStyle w:val="StyleUnderline"/>
        </w:rPr>
        <w:t>David Halperin and Valerie Traub, in a recent collection, have called for exploration of a new analytic, “gay shame,” or the critical probing of aspects of queer life that, in contrast to the out- loud- and- proud ethos of gay rights activism, have been left behind or purposely elided because they do not quite fit the narratives of happy pride, self- acceptance, and assimilation to larger cultural norms of social and sexual acceptability</w:t>
      </w:r>
      <w:r w:rsidRPr="006926E3">
        <w:rPr>
          <w:sz w:val="16"/>
        </w:rPr>
        <w:t xml:space="preserve">, such as the pursuit of marriage equality (Halperin and Traub 2010). </w:t>
      </w:r>
      <w:r w:rsidRPr="0050334D">
        <w:rPr>
          <w:rStyle w:val="StyleUnderline"/>
        </w:rPr>
        <w:t xml:space="preserve">What Halperin and others, like Berlant and Halberstam, know well is the critical power of negative emotion. </w:t>
      </w:r>
      <w:r w:rsidRPr="0050334D">
        <w:rPr>
          <w:rStyle w:val="Emphasis"/>
        </w:rPr>
        <w:t>The Stonewall riots</w:t>
      </w:r>
      <w:r w:rsidRPr="0050334D">
        <w:rPr>
          <w:rStyle w:val="StyleUnderline"/>
        </w:rPr>
        <w:t xml:space="preserve"> in 1969 that made the gay liberation movement nationally visible </w:t>
      </w:r>
      <w:r w:rsidRPr="0050334D">
        <w:rPr>
          <w:rStyle w:val="Emphasis"/>
        </w:rPr>
        <w:t>erupted from people who,</w:t>
      </w:r>
      <w:r w:rsidRPr="0050334D">
        <w:rPr>
          <w:rStyle w:val="StyleUnderline"/>
        </w:rPr>
        <w:t xml:space="preserve"> to borrow Elbow’s words, </w:t>
      </w:r>
      <w:r w:rsidRPr="0050334D">
        <w:rPr>
          <w:rStyle w:val="Emphasis"/>
        </w:rPr>
        <w:t>felt “wounded and tired,”</w:t>
      </w:r>
      <w:r w:rsidRPr="0050334D">
        <w:rPr>
          <w:rStyle w:val="StyleUnderline"/>
        </w:rPr>
        <w:t xml:space="preserve"> and </w:t>
      </w:r>
      <w:r w:rsidRPr="0050334D">
        <w:rPr>
          <w:rStyle w:val="Emphasis"/>
        </w:rPr>
        <w:t xml:space="preserve">“lonely, hurting, and panicked.” They were also angry and pissed off. </w:t>
      </w:r>
      <w:r w:rsidRPr="006926E3">
        <w:rPr>
          <w:sz w:val="16"/>
        </w:rPr>
        <w:t xml:space="preserve">Like Elbow reflecting on the educational establishment or the Vietnam War draft that he resisted by mobilizing conscientious objectors, queers at the Stonewall Inn wanted not just personal change but structural change. And they turned their affective response to transformative power. </w:t>
      </w:r>
      <w:r w:rsidRPr="0050334D">
        <w:rPr>
          <w:rStyle w:val="StyleUnderline"/>
        </w:rPr>
        <w:t xml:space="preserve">The cost of forgetting negative emotion, even the experience of failure, is high. Success feels good, but it does not reorient </w:t>
      </w:r>
      <w:r w:rsidRPr="0050334D">
        <w:rPr>
          <w:rStyle w:val="StyleUnderline"/>
        </w:rPr>
        <w:lastRenderedPageBreak/>
        <w:t>us against unjust norms.</w:t>
      </w:r>
      <w:r w:rsidRPr="006926E3">
        <w:rPr>
          <w:sz w:val="16"/>
        </w:rPr>
        <w:t xml:space="preserve"> Success, as it trumps personal failure, can also numb us to failures that are structural. </w:t>
      </w:r>
      <w:r w:rsidRPr="006926E3">
        <w:rPr>
          <w:rStyle w:val="StyleUnderline"/>
        </w:rPr>
        <w:t>Imagining what a pedagogy or framework for failure might look like is difficult. But we can begin with the Framework for Success and its proposed habits of mind, and we can “zap” them.</w:t>
      </w:r>
      <w:r w:rsidRPr="006926E3">
        <w:rPr>
          <w:sz w:val="16"/>
        </w:rPr>
        <w:t xml:space="preserve"> Gay activist Arthur Evans wrote a manifesto titled “How to Zap Straights” (1973) in which he advocated for public displays of homoerotic affection designed “to rouse closet gays from their apathy, direct gay anger toward oppressive straight institutions, and create a widespread feeling of gay identity” (593). Key to Evans’s tactic was the Pedagogy Published by Duke University Press Gross and Alexander Frameworks for Failure 291 development of negative feeling among gays, particularly a sense of injustice and even outrage, to create structural change. Following Evans’s lead, we might “zap” the Framework’s habits of mind. For instance, we can take </w:t>
      </w:r>
      <w:r w:rsidRPr="006926E3">
        <w:rPr>
          <w:rStyle w:val="StyleUnderline"/>
        </w:rPr>
        <w:t>our opening habit, “curiosity,”</w:t>
      </w:r>
      <w:r w:rsidRPr="006926E3">
        <w:rPr>
          <w:sz w:val="16"/>
        </w:rPr>
        <w:t xml:space="preserve"> as the desire to know more about the world and revisit its etymology that tells us to worry more about the world; in this case, </w:t>
      </w:r>
      <w:r w:rsidRPr="006926E3">
        <w:rPr>
          <w:rStyle w:val="StyleUnderline"/>
        </w:rPr>
        <w:t>we should remember Michel Foucault and approach the world of assessment with some pointed concern, or worry, as we ask our students to “desire” in certain ways and to open themselves up.9</w:t>
      </w:r>
      <w:r w:rsidRPr="006926E3">
        <w:rPr>
          <w:sz w:val="16"/>
        </w:rPr>
        <w:t xml:space="preserve"> With Foucault we might wax skeptical that such vulnerability is always in the interest of the student, and we might pay more attention to the function of power that is the desire to know (i.e., discipline). </w:t>
      </w:r>
      <w:r w:rsidRPr="006926E3">
        <w:rPr>
          <w:rStyle w:val="StyleUnderline"/>
        </w:rPr>
        <w:t>Or we can zap responsibility, defined as</w:t>
      </w:r>
      <w:r w:rsidRPr="006926E3">
        <w:rPr>
          <w:sz w:val="16"/>
        </w:rPr>
        <w:t xml:space="preserve"> “the ability to take ownership of one’s actions and understand the consequences of those actions for oneself and others.” Fair enough. But note how this definition of responsibility, following the best neoliberal practice, seems to place the burden of action and consequence </w:t>
      </w:r>
      <w:r w:rsidRPr="006926E3">
        <w:rPr>
          <w:rStyle w:val="StyleUnderline"/>
        </w:rPr>
        <w:t>on the individual. What about institutional responsibility? What about public education’s responsibility to the students that it engages?</w:t>
      </w:r>
      <w:r w:rsidRPr="006926E3">
        <w:rPr>
          <w:sz w:val="16"/>
        </w:rPr>
        <w:t xml:space="preserve"> Given our protracted economic malaise, an emphasis on career preparation positions students for work in systems in which success will be increasingly hard to obtain. Is this a responsible pedagogy? To be fair, the Framework is an attempt to be responsive to the needs of both our students and the institutions responsible for educating them. It tries to cut the difference between promoting democratic habits of mind, on one hand, and an educational culture that demands quantifiable results, on the other. Its strategy of accommodation, though, might itself be destined to fail. In her critique of the Framework, Johnson (2013: 529) argues that promoting “habits of mind” might prove untenable as a sufficient response to calls for measurable skills and demonstration of success: “The Framework positions habits of mind as attitudes and intellectual processes, but pressures in the national landscape may motivate writing teachers and program administrators to position habits of mind as outcome — end results from an assignment or program that external audiences may be interested in assessing.” As Johnson summarizes, “The convergence of habits of mind and assessment seems to offer two unsatisfying options for fostering habits of mind: (1) position them as assessable outcomes to assure their significance, or (2) position them as unmeasurable and fundamentally antithetical to large- scale assessment” (534). We argue that a third critique is necessary: how might the habits of mind as articulated in the Framework, whether measurable or not, (1) direct students toward normative success while rendering failure patholog Pedagogy Published by Duke University Press 292 Pedagogy ical and (2) reinforce “happiness causes,” such as career and college success, that become naturalized by rendering in terms of personal feeling certain vexed relations that may sometimes be addressed better by social critique and the negative emotions that serve as markers of a different sort? As a field, as educators, as writers, we have dealt with failure before. </w:t>
      </w:r>
      <w:r w:rsidRPr="006926E3">
        <w:rPr>
          <w:rStyle w:val="StyleUnderline"/>
        </w:rPr>
        <w:t>Think of Elbow and his revolutionary pedagogies.</w:t>
      </w:r>
      <w:r w:rsidRPr="006926E3">
        <w:rPr>
          <w:sz w:val="16"/>
        </w:rPr>
        <w:t xml:space="preserve"> However, we are now thirty- plus years down the line, and we are living in a situation where classroom realities, administrative pressures, and lifestyle exigencies of the sort treated by </w:t>
      </w:r>
      <w:r w:rsidRPr="006926E3">
        <w:rPr>
          <w:rStyle w:val="StyleUnderline"/>
        </w:rPr>
        <w:t>Berlant and Halberstam seek “failure frameworks” that could be helpful in the face of success frameworks that appear all too distant.</w:t>
      </w:r>
      <w:r w:rsidRPr="006926E3">
        <w:rPr>
          <w:sz w:val="16"/>
        </w:rPr>
        <w:t xml:space="preserve"> In fact, examples of discomfort and pain, even failure, characterize portions of the literacy narratives of many in our field, including Shor’s Empowering Education, Keith Gilyard’s Voices of the Self (1991), Victor Villanueva’s Bootstraps (1993), Morris Young’s Minor Re/Visions (2004), and Vershawn A. Young’s Your Average Nigga (2007). These works extend the literacy narrative of someone like Elbow, writing about his own alienation from academic writing and modes of thinking. They also complement Elbow’s relatively (white) bourgeois alienation from the academy by marking the experiences of those whose race and/or class position them even more awkwardly with respect to these norms. Villanueva writes explicitly about how a position feels, and especially about the bad feelings that announce themselves with tiresome regularity and compel a response: “As the perennial outsider, I am always conscious of having to detail the political, of always having to foreground and contextualize, of having to assume that the matters that have given rise to my worldview are foreign to most of the students, maybe even all of the students” (quoted in Gil- Gómez 2012: n.p.). Note how the feeling in this case does not come with punctuated anger or fear, against the background of some stable equilibrium or comfort. Instead, we feel with Villanueva a kind of exhaustion; the words perennial and always mark a cost, in mind and body, of constantly having to explain one’s presence and justify one’s contribution. Such a felt sense of one’s work, of one’s literate practice, involves more than just learning how to deal with troubling emotions; it is an ongoing engagement with an emotional disposition, with a condition of negative affect, that characterizes the experiences of many in an academy and a society that position us along axes of inside and outside, belonging and exclusion. </w:t>
      </w:r>
      <w:r w:rsidRPr="006926E3">
        <w:rPr>
          <w:rStyle w:val="StyleUnderline"/>
        </w:rPr>
        <w:t>In this case and others, negative affect works in the name of literacy education. Indeed, it is hard to imagine the critique existing without the attendant anxiety and fear of marginality — of being marginalized — as its motivation.</w:t>
      </w:r>
    </w:p>
    <w:p w:rsidR="00DE5E47" w:rsidRDefault="00DE5E47" w:rsidP="00DE5E47"/>
    <w:p w:rsidR="00DE5E47" w:rsidRDefault="00DE5E47" w:rsidP="00DE5E47">
      <w:pPr>
        <w:pStyle w:val="Heading4"/>
      </w:pPr>
      <w:r>
        <w:t>[NEEDS TAG – SOMETHING ABOUT FAILURE GOOD]</w:t>
      </w:r>
    </w:p>
    <w:p w:rsidR="00DE5E47" w:rsidRDefault="00DE5E47" w:rsidP="00DE5E47">
      <w:r w:rsidRPr="00FF6DB6">
        <w:rPr>
          <w:rStyle w:val="Style13ptBold"/>
        </w:rPr>
        <w:t>Halberstam 11</w:t>
      </w:r>
      <w:r>
        <w:t xml:space="preserve">  (</w:t>
      </w:r>
      <w:r w:rsidRPr="00FF6DB6">
        <w:t>Judith</w:t>
      </w:r>
      <w:r>
        <w:t xml:space="preserve">/Jack Halberstam is a </w:t>
      </w:r>
      <w:r w:rsidRPr="00FF6DB6">
        <w:t>Professor of American Studies and Ethnicity, Gender Studies, and Comparative L</w:t>
      </w:r>
      <w:r>
        <w:t>iterature, as well as</w:t>
      </w:r>
      <w:r w:rsidRPr="00FF6DB6">
        <w:t xml:space="preserve"> Director of The Center for Feminist Research at Universi</w:t>
      </w:r>
      <w:r>
        <w:t>ty of Southern California (USC)</w:t>
      </w:r>
      <w:r w:rsidRPr="00FF6DB6">
        <w:t xml:space="preserve">. </w:t>
      </w:r>
      <w:r>
        <w:t>“</w:t>
      </w:r>
      <w:r w:rsidRPr="00FF6DB6">
        <w:t>The queer art of failure</w:t>
      </w:r>
      <w:r>
        <w:t>”</w:t>
      </w:r>
      <w:r w:rsidRPr="00FF6DB6">
        <w:t xml:space="preserve"> Du</w:t>
      </w:r>
      <w:r>
        <w:t>ke University Press</w:t>
      </w:r>
    </w:p>
    <w:p w:rsidR="00DE5E47" w:rsidRPr="00FF6DB6" w:rsidRDefault="00DE5E47" w:rsidP="00DE5E47">
      <w:pPr>
        <w:rPr>
          <w:sz w:val="16"/>
        </w:rPr>
      </w:pPr>
      <w:r w:rsidRPr="00FF6DB6">
        <w:rPr>
          <w:sz w:val="16"/>
        </w:rPr>
        <w:lastRenderedPageBreak/>
        <w:t xml:space="preserve">Just </w:t>
      </w:r>
      <w:r w:rsidRPr="00415CEA">
        <w:rPr>
          <w:rStyle w:val="StyleUnderline"/>
        </w:rPr>
        <w:t>when you think you have found the land of milk and honey</w:t>
      </w:r>
      <w:r w:rsidRPr="00FF6DB6">
        <w:rPr>
          <w:sz w:val="16"/>
        </w:rPr>
        <w:t xml:space="preserve">, Mr. Krabs tells poor old SpongeBob SquarePants, </w:t>
      </w:r>
      <w:r w:rsidRPr="00415CEA">
        <w:rPr>
          <w:rStyle w:val="StyleUnderline"/>
        </w:rPr>
        <w:t xml:space="preserve">you find your- self on the menu, or worse, in the gift shop </w:t>
      </w:r>
      <w:r w:rsidRPr="00FF6DB6">
        <w:rPr>
          <w:sz w:val="16"/>
        </w:rPr>
        <w:t xml:space="preserve">as part of the product tie-in for the illusion to which you just waved goodbye. We are all used to having our dreams crushed, our hopes smashed, our illusions shattered, but </w:t>
      </w:r>
      <w:r w:rsidRPr="00415CEA">
        <w:rPr>
          <w:rStyle w:val="StyleUnderline"/>
        </w:rPr>
        <w:t>what comes after hope</w:t>
      </w:r>
      <w:r w:rsidRPr="00FF6DB6">
        <w:rPr>
          <w:sz w:val="16"/>
        </w:rPr>
        <w:t xml:space="preserve">? And what if, like SpongeBob SquarePants, we don’t believe that a trip to the land of milk and honey inevitably ends at the gift shop? </w:t>
      </w:r>
      <w:r w:rsidRPr="00415CEA">
        <w:rPr>
          <w:rStyle w:val="StyleUnderline"/>
        </w:rPr>
        <w:t>What is the alternative</w:t>
      </w:r>
      <w:r w:rsidRPr="00FF6DB6">
        <w:rPr>
          <w:sz w:val="16"/>
        </w:rPr>
        <w:t xml:space="preserve">, in other words, </w:t>
      </w:r>
      <w:r w:rsidRPr="00415CEA">
        <w:rPr>
          <w:rStyle w:val="StyleUnderline"/>
        </w:rPr>
        <w:t>to cynical resignation on the one hand and naïve optimism on the othe</w:t>
      </w:r>
      <w:r w:rsidRPr="00FF6DB6">
        <w:rPr>
          <w:sz w:val="16"/>
        </w:rPr>
        <w:t xml:space="preserve">r? What is the alternative, SpongeBob wants to know, to working all day for Mr. Krabs, or being captured in the net of commodity capitalism while trying to escape? </w:t>
      </w:r>
      <w:r w:rsidRPr="00415CEA">
        <w:rPr>
          <w:rStyle w:val="StyleUnderline"/>
        </w:rPr>
        <w:t>This book</w:t>
      </w:r>
      <w:r w:rsidRPr="00FF6DB6">
        <w:rPr>
          <w:sz w:val="16"/>
        </w:rPr>
        <w:t xml:space="preserve">, a kind of “SpongeBob SquarePants Guide to Life,” </w:t>
      </w:r>
      <w:r w:rsidRPr="00415CEA">
        <w:rPr>
          <w:rStyle w:val="StyleUnderline"/>
        </w:rPr>
        <w:t>loses the idealism of hope in order to gain wisdom and a new, spongy relation to life, culture, knowledge, and pleasure.</w:t>
      </w:r>
      <w:r>
        <w:rPr>
          <w:rStyle w:val="StyleUnderline"/>
        </w:rPr>
        <w:t xml:space="preserve"> </w:t>
      </w:r>
      <w:r w:rsidRPr="00FF6DB6">
        <w:rPr>
          <w:sz w:val="16"/>
        </w:rPr>
        <w:t>So what is the alternative? This simple question announces a political project, begs for a grammar of possibility (here expressed in gerunds and the passive voice, among other grammars of pronouncement), and expresses a basic desire to live life otherwise. Academics, activists, artists, and cartoon characters have long been on a quest to articulate an alternative vision of life, love, and labor and to put such a vision into practice. Through the use of manifestoes, a range of political tactics, and new technologies of representation, radical utopians continue to search for different ways of being in the world and being in relation to one another than those already prescribed for the liberal and consumer subject. This book uses “</w:t>
      </w:r>
      <w:r w:rsidRPr="00415CEA">
        <w:rPr>
          <w:rStyle w:val="StyleUnderline"/>
        </w:rPr>
        <w:t>low theory</w:t>
      </w:r>
      <w:r w:rsidRPr="00FF6DB6">
        <w:rPr>
          <w:sz w:val="16"/>
        </w:rPr>
        <w:t xml:space="preserve">” (a term I am adapting from Stuart Hall’s work) </w:t>
      </w:r>
      <w:r w:rsidRPr="00415CEA">
        <w:rPr>
          <w:rStyle w:val="StyleUnderline"/>
        </w:rPr>
        <w:t>and popular knowledge</w:t>
      </w:r>
      <w:r w:rsidRPr="00FF6DB6">
        <w:rPr>
          <w:sz w:val="16"/>
        </w:rPr>
        <w:t xml:space="preserve"> to </w:t>
      </w:r>
      <w:r w:rsidRPr="00FF6DB6">
        <w:rPr>
          <w:rStyle w:val="StyleUnderline"/>
        </w:rPr>
        <w:t>explore</w:t>
      </w:r>
      <w:r w:rsidRPr="00415CEA">
        <w:rPr>
          <w:rStyle w:val="StyleUnderline"/>
        </w:rPr>
        <w:t xml:space="preserve"> alternatives and to look for a way out of the usual traps and impasses of binary formulations</w:t>
      </w:r>
      <w:r w:rsidRPr="00FF6DB6">
        <w:rPr>
          <w:sz w:val="16"/>
        </w:rPr>
        <w:t xml:space="preserve">. Low theory tries to locate all the in-between spaces that save us from being snared by the hooks of hegemony and speared by the seductions of the gift shop. But </w:t>
      </w:r>
      <w:r w:rsidRPr="00415CEA">
        <w:rPr>
          <w:rStyle w:val="StyleUnderline"/>
        </w:rPr>
        <w:t>it</w:t>
      </w:r>
      <w:r w:rsidRPr="00FF6DB6">
        <w:rPr>
          <w:sz w:val="16"/>
        </w:rPr>
        <w:t xml:space="preserve"> also </w:t>
      </w:r>
      <w:r w:rsidRPr="00415CEA">
        <w:rPr>
          <w:rStyle w:val="StyleUnderline"/>
        </w:rPr>
        <w:t>makes</w:t>
      </w:r>
      <w:r w:rsidRPr="00FF6DB6">
        <w:rPr>
          <w:sz w:val="16"/>
        </w:rPr>
        <w:t xml:space="preserve"> its </w:t>
      </w:r>
      <w:r w:rsidRPr="00415CEA">
        <w:rPr>
          <w:rStyle w:val="StyleUnderline"/>
        </w:rPr>
        <w:t>peace with</w:t>
      </w:r>
      <w:r w:rsidRPr="00FF6DB6">
        <w:rPr>
          <w:sz w:val="16"/>
        </w:rPr>
        <w:t xml:space="preserve"> the possibility that alternatives dwell in the murky waters of a counterintuitive, often </w:t>
      </w:r>
      <w:r w:rsidRPr="00415CEA">
        <w:rPr>
          <w:rStyle w:val="StyleUnderline"/>
        </w:rPr>
        <w:t>impossibly dark and negative realm of critique and refusal</w:t>
      </w:r>
      <w:r w:rsidRPr="00FF6DB6">
        <w:rPr>
          <w:sz w:val="16"/>
        </w:rPr>
        <w:t xml:space="preserve">. And so the book darts back and forth between high and low culture, high and low theory, popular culture and esoteric knowledge, in order to push through the divisions between life and art, practice and theory, thinking and doing, and into a more chaotic realm of knowing and unknowing. In this book I range from children’s animation to avant-garde performance and queer art to think about ways of being and knowing that stand outside of conventional understandings of success. I argue that </w:t>
      </w:r>
      <w:r w:rsidRPr="00415CEA">
        <w:rPr>
          <w:rStyle w:val="StyleUnderline"/>
        </w:rPr>
        <w:t>success in a heteronormative, capitalist society equates too easily to specific forms of reproductive maturity combined with wealth accumulation</w:t>
      </w:r>
      <w:r w:rsidRPr="00FF6DB6">
        <w:rPr>
          <w:sz w:val="16"/>
        </w:rPr>
        <w:t>. But these measures of success have come under serious pressure recently, with the collapse of financial markets on the one hand and the epic rise in divorce rates on the other. If the boom and bust years of the late twentieth century and the early twenty-first have taught us anything</w:t>
      </w:r>
      <w:r w:rsidRPr="00415CEA">
        <w:rPr>
          <w:rStyle w:val="StyleUnderline"/>
        </w:rPr>
        <w:t>, we should at least have a healthy critique of static models of success and failure.</w:t>
      </w:r>
      <w:r>
        <w:rPr>
          <w:rStyle w:val="StyleUnderline"/>
        </w:rPr>
        <w:t xml:space="preserve"> </w:t>
      </w:r>
      <w:r w:rsidRPr="00FF6DB6">
        <w:rPr>
          <w:sz w:val="16"/>
        </w:rPr>
        <w:t xml:space="preserve">Rather than just arguing for a reevaluation of these standards of passing and failing, </w:t>
      </w:r>
      <w:r w:rsidRPr="00415CEA">
        <w:rPr>
          <w:rStyle w:val="StyleUnderline"/>
        </w:rPr>
        <w:t>The Queer Art of Failure dismantles the logics of success and failure with which we currently live. Under certain circumstances failing, losing, forgetting, unmaking, undoing, unbecoming, not knowing may in fact offer more creative, more cooperative, more surprising ways of</w:t>
      </w:r>
      <w:r>
        <w:rPr>
          <w:rStyle w:val="StyleUnderline"/>
        </w:rPr>
        <w:t xml:space="preserve"> </w:t>
      </w:r>
      <w:r w:rsidRPr="00415CEA">
        <w:rPr>
          <w:rStyle w:val="StyleUnderline"/>
        </w:rPr>
        <w:t>being in the world</w:t>
      </w:r>
      <w:r w:rsidRPr="00FF6DB6">
        <w:rPr>
          <w:sz w:val="16"/>
        </w:rPr>
        <w:t xml:space="preserve">. Failing is something queers do and have always done exceptionally well; for queers </w:t>
      </w:r>
      <w:r w:rsidRPr="00415CEA">
        <w:rPr>
          <w:rStyle w:val="StyleUnderline"/>
        </w:rPr>
        <w:t>failure can be a style</w:t>
      </w:r>
      <w:r w:rsidRPr="00FF6DB6">
        <w:rPr>
          <w:sz w:val="16"/>
        </w:rPr>
        <w:t xml:space="preserve">, to cite Quentin Crisp, or a way of life, to cite Foucault, and it can stand </w:t>
      </w:r>
      <w:r w:rsidRPr="00415CEA">
        <w:rPr>
          <w:rStyle w:val="StyleUnderline"/>
        </w:rPr>
        <w:t>in contrast to the grim scenarios of success that depend upon “trying and trying again.” In fa</w:t>
      </w:r>
      <w:r>
        <w:rPr>
          <w:rStyle w:val="StyleUnderline"/>
        </w:rPr>
        <w:t>ct if success requires so much eff</w:t>
      </w:r>
      <w:r w:rsidRPr="00415CEA">
        <w:rPr>
          <w:rStyle w:val="StyleUnderline"/>
        </w:rPr>
        <w:t>ort, then maybe failure is easier in the long run and offers different rewards.</w:t>
      </w:r>
      <w:r w:rsidRPr="00FF6DB6">
        <w:rPr>
          <w:sz w:val="16"/>
        </w:rPr>
        <w:t xml:space="preserve"> What kinds of reward can failure offer us? Perhaps most obviously</w:t>
      </w:r>
      <w:r w:rsidRPr="00FF6DB6">
        <w:rPr>
          <w:rStyle w:val="StyleUnderline"/>
        </w:rPr>
        <w:t>, failure allows us to escape</w:t>
      </w:r>
      <w:r w:rsidRPr="00FF6DB6">
        <w:rPr>
          <w:sz w:val="16"/>
        </w:rPr>
        <w:t xml:space="preserve"> the p</w:t>
      </w:r>
      <w:r w:rsidRPr="00FF6DB6">
        <w:rPr>
          <w:rStyle w:val="StyleUnderline"/>
        </w:rPr>
        <w:t>unishing norms that discipline behavior and manage human development with the goal of delivering us from unruly childhoods to orderly and predictable adulthoods</w:t>
      </w:r>
      <w:r w:rsidRPr="00FF6DB6">
        <w:rPr>
          <w:sz w:val="16"/>
        </w:rPr>
        <w:t xml:space="preserve">. </w:t>
      </w:r>
      <w:r w:rsidRPr="00415CEA">
        <w:rPr>
          <w:rStyle w:val="StyleUnderline"/>
        </w:rPr>
        <w:t xml:space="preserve">Failure preserves </w:t>
      </w:r>
      <w:r w:rsidRPr="00FF6DB6">
        <w:rPr>
          <w:sz w:val="16"/>
        </w:rPr>
        <w:t xml:space="preserve">some of the </w:t>
      </w:r>
      <w:r w:rsidRPr="00415CEA">
        <w:rPr>
          <w:rStyle w:val="StyleUnderline"/>
        </w:rPr>
        <w:t>wondrous anarchy of childhood and disturbs the supposedly clean boundaries between adults and children, winners and losers</w:t>
      </w:r>
      <w:r w:rsidRPr="00FF6DB6">
        <w:rPr>
          <w:sz w:val="16"/>
        </w:rPr>
        <w:t xml:space="preserve">. And </w:t>
      </w:r>
      <w:r w:rsidRPr="00415CEA">
        <w:rPr>
          <w:rStyle w:val="StyleUnderline"/>
        </w:rPr>
        <w:t>while failure certainly comes accompanied by a host of negative affects</w:t>
      </w:r>
      <w:r w:rsidRPr="00FF6DB6">
        <w:rPr>
          <w:sz w:val="16"/>
        </w:rPr>
        <w:t xml:space="preserve">, such as disappointment, disillusionment, and despair, it </w:t>
      </w:r>
      <w:r w:rsidRPr="00FF6DB6">
        <w:rPr>
          <w:rStyle w:val="StyleUnderline"/>
        </w:rPr>
        <w:t>also provides the opportunity to use these negative affects to poke holes in the toxic positivity of contemporary life</w:t>
      </w:r>
      <w:r w:rsidRPr="00FF6DB6">
        <w:rPr>
          <w:sz w:val="16"/>
        </w:rPr>
        <w:t xml:space="preserve">. As Barbara Ehrenreich reminds us in </w:t>
      </w:r>
      <w:r w:rsidRPr="00FF6DB6">
        <w:rPr>
          <w:rStyle w:val="StyleUnderline"/>
        </w:rPr>
        <w:t>Bright- sided, positive thinking is a North American affliction, “a mass delusion” that emerges out of a combination of American exceptionalism and a desire to believe that success happens to good people and failure is just a consequence of a bad attitude rather than structural conditions</w:t>
      </w:r>
      <w:r w:rsidRPr="00FF6DB6">
        <w:rPr>
          <w:sz w:val="16"/>
        </w:rPr>
        <w:t xml:space="preserve"> (2009: 13). Positive thinking is offered up in the U.S. as a cure for cancer, a path to untold riches, and a sure fire way to engineer your own success. Indeed </w:t>
      </w:r>
      <w:r w:rsidRPr="00FF6DB6">
        <w:rPr>
          <w:rStyle w:val="StyleUnderline"/>
        </w:rPr>
        <w:t>believing that success depends upon one’s attitude is far preferable to Americans than recognizing that their success is the outcome of the tilted scales of race, class, and gender.</w:t>
      </w:r>
      <w:r w:rsidRPr="00FF6DB6">
        <w:rPr>
          <w:sz w:val="16"/>
        </w:rPr>
        <w:t xml:space="preserve"> As Ehrenreich puts it, “</w:t>
      </w:r>
      <w:r w:rsidRPr="00FF6DB6">
        <w:rPr>
          <w:rStyle w:val="StyleUnderline"/>
        </w:rPr>
        <w:t>If optimism is the key to material success</w:t>
      </w:r>
      <w:r w:rsidRPr="00FF6DB6">
        <w:rPr>
          <w:sz w:val="16"/>
        </w:rPr>
        <w:t xml:space="preserve">, and if you can achieve an optimistic outlook through the discipline of positive thinking, </w:t>
      </w:r>
      <w:r w:rsidRPr="00FF6DB6">
        <w:rPr>
          <w:rStyle w:val="StyleUnderline"/>
        </w:rPr>
        <w:t>then there is no excuse for failure</w:t>
      </w:r>
      <w:r w:rsidRPr="00FF6DB6">
        <w:rPr>
          <w:sz w:val="16"/>
        </w:rPr>
        <w:t xml:space="preserve">.” But, she continues, “the flip side of positivity is thus a harsh insistence on personal responsibility,” meaning that </w:t>
      </w:r>
      <w:r w:rsidRPr="00FF6DB6">
        <w:rPr>
          <w:rStyle w:val="StyleUnderline"/>
        </w:rPr>
        <w:t xml:space="preserve">while capitalism produces some people’s success through other people’s failures, the ideology of positive thinking insists that success depends only upon working hard and failure is always of your </w:t>
      </w:r>
      <w:r w:rsidRPr="00FF6DB6">
        <w:rPr>
          <w:rStyle w:val="StyleUnderline"/>
        </w:rPr>
        <w:lastRenderedPageBreak/>
        <w:t>own doing</w:t>
      </w:r>
      <w:r w:rsidRPr="00FF6DB6">
        <w:rPr>
          <w:sz w:val="16"/>
        </w:rPr>
        <w:t xml:space="preserve"> (8). We know better of course in an age when the banks that ripped off ordinary people have been deemed “too big to fail” and the people who bought bad mortgages are simply too little to care about.</w:t>
      </w:r>
    </w:p>
    <w:p w:rsidR="00DE5E47" w:rsidRPr="001B274F" w:rsidRDefault="00DE5E47" w:rsidP="00DE5E47"/>
    <w:p w:rsidR="00DE5E47" w:rsidRDefault="00DE5E47" w:rsidP="00DE5E47">
      <w:pPr>
        <w:pStyle w:val="Heading3"/>
      </w:pPr>
      <w:bookmarkStart w:id="86" w:name="_Toc489138976"/>
      <w:r>
        <w:lastRenderedPageBreak/>
        <w:t>Alt: Clowning / Humor Good</w:t>
      </w:r>
      <w:bookmarkEnd w:id="86"/>
    </w:p>
    <w:p w:rsidR="00DE5E47" w:rsidRPr="00AF272A" w:rsidRDefault="00DE5E47" w:rsidP="00DE5E47">
      <w:pPr>
        <w:pStyle w:val="Heading4"/>
        <w:rPr>
          <w:rStyle w:val="Style13ptBold"/>
          <w:b/>
        </w:rPr>
      </w:pPr>
      <w:r w:rsidRPr="00AF272A">
        <w:rPr>
          <w:rStyle w:val="Style13ptBold"/>
          <w:b/>
        </w:rPr>
        <w:t xml:space="preserve">Using failure as a method leads us away the predictable norms of traditional debate, these adventures in failure lead us to new possibilities and to abandon the concept of futurity. </w:t>
      </w:r>
    </w:p>
    <w:p w:rsidR="00DE5E47" w:rsidRPr="00AF272A" w:rsidRDefault="00DE5E47" w:rsidP="00DE5E47">
      <w:pPr>
        <w:rPr>
          <w:rStyle w:val="Style13ptBold"/>
          <w:rFonts w:asciiTheme="majorHAnsi" w:eastAsia="Times New Roman" w:hAnsiTheme="majorHAnsi"/>
          <w:b w:val="0"/>
          <w:sz w:val="20"/>
        </w:rPr>
      </w:pPr>
      <w:r w:rsidRPr="00AF272A">
        <w:rPr>
          <w:rStyle w:val="Style13ptBold"/>
        </w:rPr>
        <w:t xml:space="preserve">Weitz 12 </w:t>
      </w:r>
      <w:r w:rsidRPr="00AF272A">
        <w:rPr>
          <w:rStyle w:val="Style13ptBold"/>
          <w:b w:val="0"/>
          <w:sz w:val="20"/>
        </w:rPr>
        <w:t xml:space="preserve">(Eric Ph.D, </w:t>
      </w:r>
      <w:r w:rsidRPr="00AF272A">
        <w:rPr>
          <w:rFonts w:asciiTheme="majorHAnsi" w:eastAsia="Times New Roman" w:hAnsiTheme="majorHAnsi"/>
          <w:color w:val="4D4D4D"/>
          <w:sz w:val="20"/>
          <w:shd w:val="clear" w:color="auto" w:fill="FFFFFF"/>
        </w:rPr>
        <w:t>is Dean of Humanities and Arts and Distinguished Professor of History at The City College of New York. He was previously on the faculty of the University of Minnesota. “Failure as Success On clowns and laughing bodies” Performance Research Vol. 17 Num. 1 2012, pg. 81-83)</w:t>
      </w:r>
    </w:p>
    <w:p w:rsidR="00DE5E47" w:rsidRPr="00AF272A" w:rsidRDefault="00DE5E47" w:rsidP="00DE5E47">
      <w:pPr>
        <w:rPr>
          <w:rStyle w:val="StyleUnderline"/>
          <w:sz w:val="20"/>
        </w:rPr>
      </w:pPr>
      <w:r w:rsidRPr="00AF272A">
        <w:rPr>
          <w:rStyle w:val="StyleUnderline"/>
          <w:sz w:val="20"/>
        </w:rPr>
        <w:t>The clown engages in a pedagogy not only of socio-cultural comportment but of the attending attitudes and their consequences</w:t>
      </w:r>
      <w:r w:rsidRPr="00AF272A">
        <w:t xml:space="preserve">. Bodied carriage, facial expression and vocal tone (if used) display airs of social behaviour like arrogance, humility, guile and innocence and begin to suggest eventualities they might court. If the bare action involves a pratfall, for example, the sudden conversion of strutting confidence to chastened heap renders a narrative reversal in starkly bodied terms. </w:t>
      </w:r>
      <w:r w:rsidRPr="00AF272A">
        <w:rPr>
          <w:rStyle w:val="StyleUnderline"/>
          <w:sz w:val="20"/>
        </w:rPr>
        <w:t>Delivery of comeuppance to the exceedingly upright</w:t>
      </w:r>
      <w:r w:rsidRPr="00AF272A">
        <w:t xml:space="preserve"> (overly confident? conceited? pompous? pretentious?) </w:t>
      </w:r>
      <w:r w:rsidRPr="00AF272A">
        <w:rPr>
          <w:rStyle w:val="StyleUnderline"/>
          <w:sz w:val="20"/>
        </w:rPr>
        <w:t>body becomes a joy to behold in the present and a warning for the future</w:t>
      </w:r>
      <w:r w:rsidRPr="00AF272A">
        <w:t xml:space="preserve">. </w:t>
      </w:r>
      <w:r w:rsidRPr="00AF272A">
        <w:rPr>
          <w:rStyle w:val="StyleUnderline"/>
          <w:sz w:val="20"/>
        </w:rPr>
        <w:t>Herein lies the basic physics behind the clowning machinery, the dual-charged perception of other and self, with failure as linchpin</w:t>
      </w:r>
      <w:r w:rsidRPr="00AF272A">
        <w:t xml:space="preserve">. This brings us to a closer look at the element of the humour transaction that supplies its coercive traction – what has been called variously its prejudice, bias or judgement but refers to laughing in some sense as laughing at. The Superiority Theory in humour studies is most famously captured by Thomas Hobbes’s sense of ‘sudden glory’ over another person or one’s former self, which spurs the laughter response. While Hobbes’s phrasing may be overly narrow, it calls attention to the fact that all jokes are made at someone’s or something’s expense, even if the butt is so widely accepted as a target for ridicule as to seem invisible – from the inefficiencies of language exposed by simple punning to the mundane challenges of marriage lampooned by many a comic scenario. This becomes the first step on a slippery slope, as we progress to other ‘harmless’ joking targets, beginning with lawyers and in-laws and eventually happening upon buxom women and people from other countries. (One school of thought would claim that a joke cannot be any good unless it stands to offend somebody.) In a popular performance text like the yearly Christmas panto, casting by physical types for joking purposes, uses of bodied styles and dialects to signal comic characters worthy of preemptive ridicule, and glimpses of presumed communal sentiment mined for all manner of gags together provide a telling snapshot of a culture’s implicitly endorsed leanings and attitudes. Clown performance impresses things upon young bodies and, in a way, assists at their induction into a grown-up’s sense of ‘laughing at’ other people or their misfortunes (the reason some people have never really cared for clowns). As characterized by Henri Bergson, ‘laughter always implies a kind of secret freemasonry, or even complicity, with other laughers’ (Bergson 1980: 64). </w:t>
      </w:r>
      <w:r w:rsidRPr="00AF272A">
        <w:rPr>
          <w:rStyle w:val="StyleUnderline"/>
          <w:sz w:val="20"/>
        </w:rPr>
        <w:t>The pleasure of laughter furnishes an undeniable bodily reward for being ‘one of the group’, serving as a most convincing incentive for behaviour modification and remaining inseparable from its lessons.</w:t>
      </w:r>
      <w:r w:rsidRPr="00AF272A">
        <w:t xml:space="preserve"> One can see how this feel-good confirmation of shared in-group thought and feeling both introduces and exploits a potent ideological tool for defining and maintaining parameters of desirable behaviour. Technically, humorous utterance thrives on surprise, attempting to pull the rug from under the listener’s or spectator’s grasp of bodied knowledge. Obliged to surprise us continually and with increasing audacity, clowns tend to redraw the contours of earthly experience, the better to spring upon us the silly image or perfectly improbable result through some reconception of physics, biology, logic or social graces. </w:t>
      </w:r>
      <w:r w:rsidRPr="00AF272A">
        <w:rPr>
          <w:rStyle w:val="StyleUnderline"/>
          <w:sz w:val="20"/>
        </w:rPr>
        <w:t>We know what to anticipate under real- life conditions, but clown worlds are rigged to sidestep expectations</w:t>
      </w:r>
      <w:r w:rsidRPr="00AF272A">
        <w:t xml:space="preserve">. For young spectators (and others) this sense of throwing out the rulebook can be disconcerting and liberating in equal measure. </w:t>
      </w:r>
      <w:r w:rsidRPr="00AF272A">
        <w:rPr>
          <w:rStyle w:val="StyleUnderline"/>
          <w:sz w:val="20"/>
        </w:rPr>
        <w:t>The fanciful distortion of the world as we know it throws open new horizons of possibility for the clown’s adventures in failure even as it leads away from the familiar and comforting – another level at which ambiguity sponsors the clowning project.</w:t>
      </w:r>
      <w:r w:rsidRPr="00AF272A">
        <w:t xml:space="preserve"> Sigmund Freud’s characterization of the ‘uncanny’ (unheimlich) as the </w:t>
      </w:r>
      <w:r w:rsidRPr="00AF272A">
        <w:lastRenderedPageBreak/>
        <w:t xml:space="preserve">familiar made strange or unsettling lends an intriguing lens for inspection of the psycho-emotional texture attending clown performance, especially in the formative chapters of childhood (Freud 2003: 124). In a clown, the perceiving subject meets a human other with face, body and movement modelled along familiar lines, yet blatantly different – and clearly seeking purchase upon its bodied being. (It may, in fact, dispense with customary fourth-wall niceties and pose a palpable threat to private spaces.) This daunting other appears to live in thrall to an other-worldly matrix of cause and effect, whisking a bouquet of flowers from thin air, heaving confetti from a presumed pail of water, knocked flat by a swinging board and then snapping back upright. It engages with objects that aren’t there and makes a spectacle of everything it does, incompetently, wondrously, sadly, sweetly and always with a fullness of feeling. The clown can be seen as Freud’s uncanny ‘other within’, a strange and astute performance guise, simultaneously occupying positions of laughable other </w:t>
      </w:r>
      <w:r w:rsidRPr="00AF272A">
        <w:rPr>
          <w:rFonts w:asciiTheme="majorHAnsi" w:hAnsiTheme="majorHAnsi" w:cs="Times"/>
          <w:i/>
          <w:iCs/>
          <w:sz w:val="20"/>
        </w:rPr>
        <w:t xml:space="preserve">and </w:t>
      </w:r>
      <w:r w:rsidRPr="00AF272A">
        <w:t xml:space="preserve">stand-in for the spectator, and so offering up both warning and empathy. Admittedly, Freud’s ruminations pertain primarily to literary and narrative effects that serve to frighten, but our processing of performance texts has everything to do with framing, and it is interesting to observe how a slight refocus reveals that elements of the uncanny map directly to the comic (an adjacency to which Freud alludes but doesn’t pursue). Freud calls attention to various workings of the uncanny – defamiliarization, doubling and repetition, imagination versus reality, the hidden come to light, a dichotomy between the mechanical and the living (famously postulated in humour theory by Henri Bergson) – all of which also describe common devices of comic worlds. </w:t>
      </w:r>
      <w:r w:rsidRPr="00AF272A">
        <w:rPr>
          <w:rStyle w:val="StyleUnderline"/>
          <w:sz w:val="20"/>
        </w:rPr>
        <w:t xml:space="preserve">Freud’s essay unwittingly reminds us that clown rhythms rely on an orchestration of expectation and surprise enhanced by the fact that we can never be quite sure what the rules or possibilities are. </w:t>
      </w:r>
      <w:r w:rsidRPr="00AF272A">
        <w:t xml:space="preserve">The uncanny and its less-threatening neighbour, the marvellous, course through the veins of clown performance. </w:t>
      </w:r>
      <w:r w:rsidRPr="00AF272A">
        <w:rPr>
          <w:rStyle w:val="StyleUnderline"/>
          <w:sz w:val="20"/>
        </w:rPr>
        <w:t>Their jostling of reality’s confidence in business as usual provides a fertile environment for the quick switches to alternative framings that drive clown worlds; as intimated above, it is the need to keep an audience simultaneously hooked and off-balance through a series of unexpected frame ambushes that contributes to the shape of escalating outrageousness associated with clowning narrative</w:t>
      </w:r>
      <w:r w:rsidRPr="00AF272A">
        <w:t xml:space="preserve">s. It is arguable that there is a further Freudian aspect to clown-related laughter, that in some regard it taps into psychic energy born by surges of relief that any threats have momentarily evaporated into merely humorous reversals </w:t>
      </w:r>
      <w:r w:rsidRPr="00AF272A">
        <w:rPr>
          <w:rStyle w:val="StyleUnderline"/>
          <w:sz w:val="20"/>
        </w:rPr>
        <w:t>Success and failure remain somehow tethered to this tension between laughter and fear in the nature of comic performance itself.</w:t>
      </w:r>
      <w:r w:rsidRPr="00AF272A">
        <w:t xml:space="preserve"> There is always the possibility, even in the presence of accomplished performers, that the frame will disappear or break down, through, for example, forgotten lines, physical mishaps or collapsing sets. This threat is nowhere more pronounced than for a performance contract that comes with a clear joking obligation and the fulfillment of which relies unrelentingly upon virtuosic execution and timing. </w:t>
      </w:r>
      <w:r w:rsidRPr="00AF272A">
        <w:rPr>
          <w:rStyle w:val="StyleUnderline"/>
          <w:sz w:val="20"/>
        </w:rPr>
        <w:t>The performance relationship is by nature fragile, with the spectator asked not simply to watch, process, understand and feel but to take active part through repeated eruptions of a quasi-involuntary response based on the deft manipulation of expectation and surprise. Avowedly comic performance issues a ruthless ultimatum that equates robust laughter with success and anything less with a sliding scale of failure</w:t>
      </w:r>
      <w:r w:rsidRPr="00AF272A">
        <w:t>. While waves of laughter knit to the fabric of performance and supply an affective propulsion of their own, the marked absence of desired response to joking intention can cause each failed gag to fizzle or implode, causing anything from mild embarrassment to palpable hostility. Hired clowns at children’s parties and buskers on the street sign on for unenviable challenges, as spectators of any age are liable to have an equal and opposite reaction to the full force of a desperately solicitous body</w:t>
      </w:r>
      <w:r w:rsidRPr="00AF272A">
        <w:rPr>
          <w:rStyle w:val="StyleUnderline"/>
          <w:sz w:val="20"/>
        </w:rPr>
        <w:t xml:space="preserve">. In light of this uncompromising demand, the clown’s own negotation of success and failure across interlacing planes of performance becomes a multi-level balancing act. </w:t>
      </w:r>
    </w:p>
    <w:p w:rsidR="0062164B" w:rsidRDefault="0062164B" w:rsidP="0062164B">
      <w:pPr>
        <w:rPr>
          <w:rStyle w:val="StyleUnderline"/>
        </w:rPr>
      </w:pPr>
    </w:p>
    <w:p w:rsidR="004143C4" w:rsidRDefault="004143C4" w:rsidP="004143C4">
      <w:pPr>
        <w:pStyle w:val="Heading3"/>
      </w:pPr>
      <w:bookmarkStart w:id="87" w:name="_Toc489138977"/>
      <w:r>
        <w:lastRenderedPageBreak/>
        <w:t>A2: Failure Bad for Activism</w:t>
      </w:r>
      <w:bookmarkEnd w:id="87"/>
    </w:p>
    <w:p w:rsidR="004143C4" w:rsidRPr="00864F89" w:rsidRDefault="004143C4" w:rsidP="004143C4">
      <w:pPr>
        <w:pStyle w:val="Heading4"/>
      </w:pPr>
      <w:r w:rsidRPr="00864F89">
        <w:t>Dwelling in failure is key to activism—it generates new practices and communal relations</w:t>
      </w:r>
    </w:p>
    <w:p w:rsidR="004143C4" w:rsidRPr="001D1C41" w:rsidRDefault="004143C4" w:rsidP="004143C4">
      <w:pPr>
        <w:rPr>
          <w:rStyle w:val="StyleUnderline"/>
        </w:rPr>
      </w:pPr>
      <w:r w:rsidRPr="00864F89">
        <w:rPr>
          <w:rStyle w:val="Author-Date"/>
        </w:rPr>
        <w:t>O’Gorman and Werry 12</w:t>
      </w:r>
      <w:r>
        <w:rPr>
          <w:rStyle w:val="Style13ptBold"/>
        </w:rPr>
        <w:t xml:space="preserve"> </w:t>
      </w:r>
      <w:r>
        <w:rPr>
          <w:rStyle w:val="Style13ptBold"/>
          <w:b w:val="0"/>
          <w:sz w:val="22"/>
        </w:rPr>
        <w:t xml:space="preserve">(Roisin is a lecturer of drama and theatre studies, she specializes in </w:t>
      </w:r>
      <w:r w:rsidRPr="00C73D40">
        <w:rPr>
          <w:rFonts w:eastAsia="Times New Roman"/>
          <w:color w:val="333437"/>
          <w:shd w:val="clear" w:color="auto" w:fill="FFFFFF"/>
        </w:rPr>
        <w:t>embodied practices and theoretical understandings of performance</w:t>
      </w:r>
      <w:r>
        <w:rPr>
          <w:rFonts w:eastAsia="Times New Roman"/>
          <w:color w:val="333437"/>
          <w:shd w:val="clear" w:color="auto" w:fill="FFFFFF"/>
        </w:rPr>
        <w:t xml:space="preserve"> and </w:t>
      </w:r>
      <w:r>
        <w:rPr>
          <w:rStyle w:val="Style13ptBold"/>
          <w:b w:val="0"/>
          <w:sz w:val="22"/>
        </w:rPr>
        <w:t xml:space="preserve">Margaret is a professor at University of Minnesota specializes </w:t>
      </w:r>
      <w:r w:rsidRPr="00C73D40">
        <w:rPr>
          <w:rStyle w:val="Style13ptBold"/>
          <w:rFonts w:asciiTheme="majorHAnsi" w:hAnsiTheme="majorHAnsi"/>
          <w:b w:val="0"/>
          <w:sz w:val="22"/>
        </w:rPr>
        <w:t xml:space="preserve">in </w:t>
      </w:r>
      <w:r w:rsidRPr="00C73D40">
        <w:rPr>
          <w:rFonts w:eastAsia="Times New Roman"/>
          <w:color w:val="222222"/>
        </w:rPr>
        <w:t xml:space="preserve">anthropological approaches to </w:t>
      </w:r>
      <w:r>
        <w:rPr>
          <w:rFonts w:eastAsia="Times New Roman"/>
          <w:color w:val="222222"/>
        </w:rPr>
        <w:t xml:space="preserve">performance as social dramaturgy and critical pedagogy, “On Failure On Pedagogy Editorial Introduction” Performance Research </w:t>
      </w:r>
      <w:r>
        <w:rPr>
          <w:rStyle w:val="Style13ptBold"/>
          <w:b w:val="0"/>
          <w:sz w:val="22"/>
        </w:rPr>
        <w:t>Taylor and Francis 2012, pg. 4-5)</w:t>
      </w:r>
    </w:p>
    <w:p w:rsidR="004143C4" w:rsidRPr="00517244" w:rsidRDefault="004143C4" w:rsidP="004143C4">
      <w:r w:rsidRPr="001D1C41">
        <w:rPr>
          <w:rStyle w:val="StyleUnderline"/>
        </w:rPr>
        <w:t>Dwelling on and in failure</w:t>
      </w:r>
      <w:r w:rsidRPr="00517244">
        <w:t xml:space="preserve">, it follows, </w:t>
      </w:r>
      <w:r w:rsidRPr="001D1C41">
        <w:rPr>
          <w:rStyle w:val="StyleUnderline"/>
        </w:rPr>
        <w:t>offers not only a tool of critique or a diagnostic of neo-liberal enterprise, but also a way to remodel the theoretical premises of activist work in our discipline</w:t>
      </w:r>
      <w:r w:rsidRPr="00517244">
        <w:t xml:space="preserve">, querying the trajectories and temporalities of change enacted in performance. Performance practice teaches us how to live with and as failures, finding possibility in predicament and embracing the vulnerability of moments of failure that may also be moments of profound discovery in which we remain open to what transpires, rather than measure it against our intentions. </w:t>
      </w:r>
      <w:r w:rsidRPr="001D1C41">
        <w:rPr>
          <w:rStyle w:val="StyleUnderline"/>
        </w:rPr>
        <w:t>Failure focuses progressive hopes not on future transcendence but in the interstices of present quotidian struggle and in the alternatives and possibilities for ethical action – for thinking and feeling otherwise – which that struggle makes available to us.</w:t>
      </w:r>
      <w:r w:rsidRPr="00517244">
        <w:t xml:space="preserve"> </w:t>
      </w:r>
      <w:r w:rsidRPr="001D1C41">
        <w:rPr>
          <w:rStyle w:val="StyleUnderline"/>
        </w:rPr>
        <w:t>It stands against the imperialism of hope, generates a reflexive understanding of the inherently agonistic space of learning and change</w:t>
      </w:r>
      <w:r w:rsidRPr="00517244">
        <w:t xml:space="preserve"> – a space in which aspirations, resistances, prejudices and passions constantly clash, feelings run high and stumbling and flailing are a productive inevitability.</w:t>
      </w:r>
      <w:r w:rsidRPr="00517244">
        <w:rPr>
          <w:position w:val="8"/>
        </w:rPr>
        <w:t xml:space="preserve">3 </w:t>
      </w:r>
      <w:r w:rsidRPr="00517244">
        <w:t xml:space="preserve">Performance attunes us to this. Such a recalibration of the political posture of the discipline demands new tools. To look squarely at failure, we need methods designed not to capture the fixities of representation or identity but to help us navigate the slippery, fugitive terrain of process and affect. We might look, for example, to the immanent materialists – such as Bergson and Whitehead, Deleuze or Connolly – ‘philosophers of becoming’ who challenge us to set our analytic sights on moments of openness and uncertainty (where time is not purposive or linear, events not causal). These moments of ‘fecund duration’, in which emergence of the unthought can occur, are often occasions of failure of the known, stable or systemically enduring, requiring a response to which old habits, ideas or rules are not adequate, and for which we as subjects are not adequately prepared. </w:t>
      </w:r>
      <w:r w:rsidRPr="001D1C41">
        <w:rPr>
          <w:rStyle w:val="StyleUnderline"/>
        </w:rPr>
        <w:t>They are acute experiences of the limits of human mastery, exceeding conscious awareness. Failure, we suggest, inaugurates such moments. It is a kind of freedom for which performance is a kind of practice, in which you ‘dwell creatively in uncertain situations’</w:t>
      </w:r>
      <w:r w:rsidRPr="00517244">
        <w:t xml:space="preserve"> (Connolly 2008). Uncertainty, of course, is a painful state to inhabit. Failure hurts. Failure haunts. It comes laced with shame, anger, despair, abjection, guilt, frustration – affects we usually wish away or hide. </w:t>
      </w:r>
      <w:r w:rsidRPr="001D1C41">
        <w:rPr>
          <w:rStyle w:val="StyleUnderline"/>
        </w:rPr>
        <w:t>Thinking with failure means making affect an object of our curiosity rather than knowledge’s irrelevant remainder.</w:t>
      </w:r>
      <w:r w:rsidRPr="00517244">
        <w:t xml:space="preserve"> We need to slow failure’s ‘ugly feelings’ down (Ngai 2005), ask them: ‘What are you doing here?’ Performance-sensitive work by </w:t>
      </w:r>
      <w:r w:rsidRPr="001D1C41">
        <w:rPr>
          <w:rStyle w:val="StyleUnderline"/>
        </w:rPr>
        <w:t>theorists</w:t>
      </w:r>
      <w:r w:rsidRPr="00517244">
        <w:t xml:space="preserve"> such as Berlant (2011, 2008), Tincineto Clough (2007), Ahmed (2004), Sedgwick (2003), Halberstam (2011) or Probyn (2005) has </w:t>
      </w:r>
      <w:r w:rsidRPr="001D1C41">
        <w:rPr>
          <w:rStyle w:val="StyleUnderline"/>
        </w:rPr>
        <w:t>exposed the normative or coercive role that positive affect has often played in socio-political processes and worked to recuperate negative feelings as the site of emergence of alternative communities and alternative political imaginaries</w:t>
      </w:r>
      <w:r w:rsidRPr="00517244">
        <w:t xml:space="preserve">. (The role of shame in the solidarity of queer communities is a significant example.) </w:t>
      </w:r>
      <w:r w:rsidRPr="001D1C41">
        <w:rPr>
          <w:rStyle w:val="StyleUnderline"/>
        </w:rPr>
        <w:t>Turning too swiftly away from the abyssal affect of failure risks capitulating to its isolating, freezing effects; dwelling on it, by contrast, allows us to imagine that failure’s misery can be, perversely, what unites us. It allows us to imagine ourselves as members of response-able communities: individuals in a state of openness to moving and being moved by others</w:t>
      </w:r>
      <w:r w:rsidRPr="00517244">
        <w:t xml:space="preserve">. As Judith Halberstam has succinctly phrased it: ‘Failure loves company’ (2007: 89). </w:t>
      </w:r>
    </w:p>
    <w:p w:rsidR="00F5296B" w:rsidRPr="002A14FF" w:rsidRDefault="004143C4" w:rsidP="004143C4">
      <w:pPr>
        <w:pStyle w:val="Heading3"/>
      </w:pPr>
      <w:bookmarkStart w:id="88" w:name="_Toc489138978"/>
      <w:r>
        <w:lastRenderedPageBreak/>
        <w:t xml:space="preserve">Alt Solves: </w:t>
      </w:r>
      <w:r w:rsidR="00F5296B">
        <w:t>Technology</w:t>
      </w:r>
      <w:bookmarkEnd w:id="88"/>
    </w:p>
    <w:p w:rsidR="00F5296B" w:rsidRPr="00FB2FBF" w:rsidRDefault="00F5296B" w:rsidP="00F5296B">
      <w:pPr>
        <w:pStyle w:val="Heading4"/>
        <w:rPr>
          <w:rStyle w:val="Style13ptBold"/>
          <w:b/>
        </w:rPr>
      </w:pPr>
      <w:r w:rsidRPr="00FB2FBF">
        <w:rPr>
          <w:rStyle w:val="Style13ptBold"/>
          <w:b/>
        </w:rPr>
        <w:t>Our practice</w:t>
      </w:r>
      <w:r>
        <w:rPr>
          <w:rStyle w:val="Style13ptBold"/>
          <w:b/>
        </w:rPr>
        <w:t xml:space="preserve"> queers technology to produce new modes of communication and connection outside the imperatives of neoliberal cybernetics </w:t>
      </w:r>
    </w:p>
    <w:p w:rsidR="00F5296B" w:rsidRPr="00FB2FBF" w:rsidRDefault="00F5296B" w:rsidP="00F5296B">
      <w:pPr>
        <w:rPr>
          <w:rStyle w:val="Style13ptBold"/>
          <w:b w:val="0"/>
          <w:sz w:val="16"/>
          <w:szCs w:val="16"/>
        </w:rPr>
      </w:pPr>
      <w:r>
        <w:rPr>
          <w:rStyle w:val="Style13ptBold"/>
        </w:rPr>
        <w:t>Queer Technologies 2008</w:t>
      </w:r>
      <w:r w:rsidRPr="00895B73">
        <w:rPr>
          <w:rStyle w:val="Style13ptBold"/>
          <w:sz w:val="16"/>
          <w:szCs w:val="16"/>
        </w:rPr>
        <w:t xml:space="preserve"> </w:t>
      </w:r>
      <w:r w:rsidRPr="00895B73">
        <w:rPr>
          <w:rStyle w:val="Style13ptBold"/>
          <w:b w:val="0"/>
          <w:sz w:val="16"/>
          <w:szCs w:val="16"/>
        </w:rPr>
        <w:t xml:space="preserve">[Queer Technologies operates at the intersections of consumerism, activism, and art, existing simultaneously as company, activist group, and art collective. “Gay Bombs User’s Manual: includes instruction on how to use Queer Technologies.” </w:t>
      </w:r>
      <w:r w:rsidRPr="00895B73">
        <w:rPr>
          <w:rStyle w:val="Style13ptBold"/>
          <w:b w:val="0"/>
          <w:i/>
          <w:sz w:val="16"/>
          <w:szCs w:val="16"/>
        </w:rPr>
        <w:t>Queer Technologies, Inc.</w:t>
      </w:r>
      <w:r>
        <w:rPr>
          <w:rStyle w:val="Style13ptBold"/>
          <w:b w:val="0"/>
          <w:i/>
          <w:sz w:val="16"/>
          <w:szCs w:val="16"/>
        </w:rPr>
        <w:t xml:space="preserve"> </w:t>
      </w:r>
      <w:r>
        <w:rPr>
          <w:rStyle w:val="Style13ptBold"/>
          <w:b w:val="0"/>
          <w:sz w:val="16"/>
          <w:szCs w:val="16"/>
        </w:rPr>
        <w:t>Project of Zach Blas, an artist and writer whose practice engages technics and minoritarian politics.</w:t>
      </w:r>
      <w:r w:rsidRPr="00895B73">
        <w:rPr>
          <w:rStyle w:val="Style13ptBold"/>
          <w:b w:val="0"/>
          <w:sz w:val="16"/>
          <w:szCs w:val="16"/>
        </w:rPr>
        <w:t>]</w:t>
      </w:r>
    </w:p>
    <w:p w:rsidR="00F5296B" w:rsidRPr="00FB2FBF" w:rsidRDefault="00F5296B" w:rsidP="00F5296B">
      <w:pPr>
        <w:rPr>
          <w:sz w:val="16"/>
        </w:rPr>
      </w:pPr>
      <w:r w:rsidRPr="00FB2FBF">
        <w:rPr>
          <w:sz w:val="16"/>
        </w:rPr>
        <w:t>The above query will not be answered. Simply, Queer Technologies could be defined as political tools for queer technical agency, but this definition erases the complexities of the disidentifying subject’s relationships to technologies. This question ultimately offers examples—possibilities—with no ontological grounding. Queer Technologies will never be ontologically grounded. Perhaps a statement by Deleuze is what we must keep in mind: “</w:t>
      </w:r>
      <w:r w:rsidRPr="00FB2FBF">
        <w:rPr>
          <w:rStyle w:val="StyleUnderline"/>
        </w:rPr>
        <w:t>Technology is social before it is technical.</w:t>
      </w:r>
      <w:r w:rsidRPr="00FB2FBF">
        <w:rPr>
          <w:sz w:val="16"/>
        </w:rPr>
        <w:t xml:space="preserve">”[6] </w:t>
      </w:r>
      <w:r w:rsidRPr="00FB2FBF">
        <w:rPr>
          <w:rStyle w:val="StyleUnderline"/>
        </w:rPr>
        <w:t>As life becomes further infused with technology at every level of existence, formations of body and identity bear the mark of technological networks, systems, and machines. Specifically, biological / technological intersections have formed not only new representations and expressions of gender and sexuality but have also created them</w:t>
      </w:r>
      <w:r w:rsidRPr="00FB2FBF">
        <w:rPr>
          <w:sz w:val="16"/>
        </w:rPr>
        <w:t>. To borrow a concept from Judith Halberstam, “</w:t>
      </w:r>
      <w:r w:rsidRPr="00FB2FBF">
        <w:rPr>
          <w:rStyle w:val="StyleUnderline"/>
        </w:rPr>
        <w:t>mutual mutation” is the constant process that unites space, flesh, and technology in a “technotopic vision</w:t>
      </w:r>
      <w:r w:rsidRPr="00FB2FBF">
        <w:rPr>
          <w:sz w:val="16"/>
        </w:rPr>
        <w:t xml:space="preserve">.”[7] </w:t>
      </w:r>
      <w:r w:rsidRPr="00FB2FBF">
        <w:rPr>
          <w:rStyle w:val="StyleUnderline"/>
        </w:rPr>
        <w:t>As technology precariously balances between corporate power structures and subcultural activism, how are we being marked / signified / erased? If, historically and traditionally, technological progress has been rooted in heteronormative discourse, are all bodies bound to heterosexual control and ideology? If not, how do marginalized bodies react to / resist these power paradigms and reconfigure them</w:t>
      </w:r>
      <w:r w:rsidRPr="00FB2FBF">
        <w:rPr>
          <w:sz w:val="16"/>
        </w:rPr>
        <w:t xml:space="preserve">? </w:t>
      </w:r>
      <w:r w:rsidRPr="00FB2FBF">
        <w:rPr>
          <w:rStyle w:val="StyleUnderline"/>
        </w:rPr>
        <w:t>These are the questions that Queer Technologies must ask.</w:t>
      </w:r>
      <w:r>
        <w:rPr>
          <w:rStyle w:val="StyleUnderline"/>
        </w:rPr>
        <w:t xml:space="preserve"> </w:t>
      </w:r>
      <w:r w:rsidRPr="00FB2FBF">
        <w:rPr>
          <w:sz w:val="16"/>
        </w:rPr>
        <w:t xml:space="preserve">The discourse of queer theory operates as a rhetoric of freedom for those positioned outside of heteronormative configurations. Queer theory moves beyond discourses of sexuality and gender to approach larger “way[s] of life . . . strange temporalities, imaginative life schedules, and eccentric economic practices.”[8] Nicolas Bourriaud echoes the “aesthetic” of this work through his explanation of the “social interstice”: appropriating the Marxist use of the term in trading communities, the interstice—within Bourriaud’s philosophy of relational aesthetics—“is a space in human relations which fits more or less harmoniously and openly into the overall system, but suggests other trading possibilities than those in effect within this system.”[9] </w:t>
      </w:r>
      <w:r w:rsidRPr="00FB2FBF">
        <w:rPr>
          <w:rStyle w:val="StyleUnderline"/>
        </w:rPr>
        <w:t>Within a queer discourse, the interstice can manifest in various modes: at the site of the body; within the materiality of an object; and in the use and execution of language. Queer Technologies address how queers and queerness mutate technology to create social interstices for connectivity and communication.</w:t>
      </w:r>
      <w:r>
        <w:rPr>
          <w:rStyle w:val="StyleUnderline"/>
        </w:rPr>
        <w:t xml:space="preserve"> </w:t>
      </w:r>
      <w:r w:rsidRPr="00FB2FBF">
        <w:rPr>
          <w:sz w:val="16"/>
        </w:rPr>
        <w:t xml:space="preserve">System Configurations </w:t>
      </w:r>
      <w:r w:rsidRPr="00FB2FBF">
        <w:rPr>
          <w:rStyle w:val="StyleUnderline"/>
        </w:rPr>
        <w:t>As an opening—an interstice—the practices of disidentification mutate new freedoms and lines of flight</w:t>
      </w:r>
      <w:r w:rsidRPr="00FB2FBF">
        <w:rPr>
          <w:sz w:val="16"/>
        </w:rPr>
        <w:t xml:space="preserve">. If Deleuze has defined our time as a control society—a modulation that is a transmutation, “continually changing from one moment to the next [. . .] one point [dot] to another,” </w:t>
      </w:r>
      <w:r w:rsidRPr="00FB2FBF">
        <w:rPr>
          <w:rStyle w:val="StyleUnderline"/>
        </w:rPr>
        <w:t>disidentifications interfere with this “universal transmutation</w:t>
      </w:r>
      <w:r w:rsidRPr="00FB2FBF">
        <w:rPr>
          <w:sz w:val="16"/>
        </w:rPr>
        <w:t xml:space="preserve">.”[10] </w:t>
      </w:r>
      <w:r w:rsidRPr="00FB2FBF">
        <w:rPr>
          <w:rStyle w:val="StyleUnderline"/>
        </w:rPr>
        <w:t>Its exploitative strategy allows codes of control to not compile and execute.</w:t>
      </w:r>
      <w:r>
        <w:rPr>
          <w:rStyle w:val="StyleUnderline"/>
        </w:rPr>
        <w:t xml:space="preserve"> </w:t>
      </w:r>
      <w:r w:rsidRPr="00FB2FBF">
        <w:rPr>
          <w:rStyle w:val="StyleUnderline"/>
        </w:rPr>
        <w:t>As ideas flow like data through cables, it is who intercepts and mutates information that has the possibility to make change. As queer bodies intercept and struggle with control codes, everything becomes automated.</w:t>
      </w:r>
      <w:r w:rsidRPr="00FB2FBF">
        <w:rPr>
          <w:sz w:val="16"/>
        </w:rPr>
        <w:t xml:space="preserve"> Deleuze writes, “in control societies you never finish anything”[11]—everything is processual and automated for mutation. In constant transmutation with technological codes of power, </w:t>
      </w:r>
      <w:r w:rsidRPr="00FB2FBF">
        <w:rPr>
          <w:rStyle w:val="StyleUnderline"/>
        </w:rPr>
        <w:t>gender is revealed as a technology and technology as gendered</w:t>
      </w:r>
      <w:r w:rsidRPr="00FB2FBF">
        <w:rPr>
          <w:sz w:val="16"/>
        </w:rPr>
        <w:t xml:space="preserve">. Queer Technologies can provide both new and hacked passwords to free the most perverse of possibilities that contemporary control societies desperately want secured and encrypted. If “people are lines”[12] and queer technological practice “is a dot on a line,”[13] then, as more dots are generated, mutations and pathways of flight emerge from the structure of the line, producing “an open, flexible array of total possibilities.”[14] Queer Technologies search for a password to the sublime of destruction—to be specific, destroying heteronormative, heterosexist technological control, so that one may find endless possibilities for the question—What is queer technology? Component Theory, or Disidentifying with Theory Galloway and Thacker write, “Today, to write theory means writing code.”[15] </w:t>
      </w:r>
      <w:r w:rsidRPr="00FB2FBF">
        <w:rPr>
          <w:rStyle w:val="StyleUnderline"/>
        </w:rPr>
        <w:t>Any investigation of queerness and technology requires divergent approaches that include an amalgamation of technical and theoretical knowledge</w:t>
      </w:r>
      <w:r w:rsidRPr="00FB2FBF">
        <w:rPr>
          <w:sz w:val="16"/>
        </w:rPr>
        <w:t>: critical theory, political theory, media theory, queer theory, science studies in collaboration with digital logic, computer programming, electronics, design software, operating systems—a potentially never-ending list. As Deleuze said, “</w:t>
      </w:r>
      <w:r w:rsidRPr="00FB2FBF">
        <w:rPr>
          <w:rStyle w:val="StyleUnderline"/>
        </w:rPr>
        <w:t>No theory can develop without eventually encountering a wall, and practice is necessary for piercing this wal</w:t>
      </w:r>
      <w:r w:rsidRPr="00FB2FBF">
        <w:rPr>
          <w:sz w:val="16"/>
        </w:rPr>
        <w:t>l.”[16] A framework for Qu</w:t>
      </w:r>
      <w:r w:rsidRPr="00FB2FBF">
        <w:rPr>
          <w:rStyle w:val="StyleUnderline"/>
        </w:rPr>
        <w:t>eer Technologies must build new circuits, constructions, and mutations—theoretically, artistically, formally</w:t>
      </w:r>
      <w:r w:rsidRPr="00FB2FBF">
        <w:rPr>
          <w:sz w:val="16"/>
        </w:rPr>
        <w:t xml:space="preserve">—always residing within Deleuze’s notion of “a system of relays [. . . containing] a multiplicity of parts that are both theoretical and practical.”[17] </w:t>
      </w:r>
      <w:r w:rsidRPr="00FB2FBF">
        <w:rPr>
          <w:rStyle w:val="StyleUnderline"/>
        </w:rPr>
        <w:t xml:space="preserve">Queer Technologies calls this methodology Component Theory, </w:t>
      </w:r>
      <w:r w:rsidRPr="00FB2FBF">
        <w:rPr>
          <w:rStyle w:val="StyleUnderline"/>
        </w:rPr>
        <w:lastRenderedPageBreak/>
        <w:t>as it takes pieces from a variety of methods and styles to generate something “new.” Component Theory builds a new code to work from, yet a code continuously in flux and redefinement, just as power and control are never fixed but always in flux. Component Theory builds queer bodies: the disidentifying subject becomes a nexus of erratic cultural components that generate an entire cultural existence bound within a body.</w:t>
      </w:r>
      <w:r w:rsidRPr="00FB2FBF">
        <w:rPr>
          <w:sz w:val="16"/>
        </w:rPr>
        <w:t xml:space="preserve"> The cultural networks of Component Theory that run through the queer body instigate the initiation of biological mutation—new components of flesh. </w:t>
      </w:r>
      <w:r w:rsidRPr="00FB2FBF">
        <w:rPr>
          <w:rStyle w:val="StyleUnderline"/>
        </w:rPr>
        <w:t>Component Theory builds a topological strategy for political action.</w:t>
      </w:r>
      <w:r w:rsidRPr="00FB2FBF">
        <w:rPr>
          <w:sz w:val="16"/>
        </w:rPr>
        <w:t xml:space="preserve"> Component Theory builds Gay Bombs. </w:t>
      </w:r>
      <w:r w:rsidRPr="00FB2FBF">
        <w:rPr>
          <w:rStyle w:val="StyleUnderline"/>
        </w:rPr>
        <w:t>Combining various modes of knowledge production</w:t>
      </w:r>
      <w:r w:rsidRPr="00FB2FBF">
        <w:rPr>
          <w:sz w:val="16"/>
        </w:rPr>
        <w:t xml:space="preserve">, Component Theory produces iterations of knowledge, fully embracing interdisciplinary tactics that relay between theory and practice. In response to Deleuze, Foucault says theory is practice. Component Theory is practice as a struggle against forms of power. Optimizing Performance Component Theory disidentifies with normative, classical theoretical approaches, frameworks, and methodologies. </w:t>
      </w:r>
      <w:r w:rsidRPr="00FB2FBF">
        <w:rPr>
          <w:rStyle w:val="StyleUnderline"/>
        </w:rPr>
        <w:t>Component Theory connects to anything that works any way necessary. Component Theory thrives on paradox, oxymoron, the unconnectable, the impossible</w:t>
      </w:r>
      <w:r w:rsidRPr="00FB2FBF">
        <w:rPr>
          <w:sz w:val="16"/>
        </w:rPr>
        <w:t xml:space="preserve">. This manual teaches Component Theory. If, as Foucault says, theory is a struggle against forms of power, then the teaching of theory exemplifies Foucault’s idea of theory as practice. </w:t>
      </w:r>
      <w:r w:rsidRPr="00FB2FBF">
        <w:rPr>
          <w:rStyle w:val="StyleUnderline"/>
        </w:rPr>
        <w:t>Teaching becomes another tool in Deleuze’s toolbox that gives agency to a collective</w:t>
      </w:r>
      <w:r w:rsidRPr="00FB2FBF">
        <w:rPr>
          <w:sz w:val="16"/>
        </w:rPr>
        <w:t xml:space="preserve"> (a network, multitude, swarm), </w:t>
      </w:r>
      <w:r w:rsidRPr="00FB2FBF">
        <w:rPr>
          <w:rStyle w:val="StyleUnderline"/>
        </w:rPr>
        <w:t>performing Foucault’s suggestion that a theory as practice aims at “revealing and undermining power where it is most invisible and insidious.”[</w:t>
      </w:r>
      <w:r w:rsidRPr="00FB2FBF">
        <w:rPr>
          <w:sz w:val="16"/>
        </w:rPr>
        <w:t xml:space="preserve">18] Teaching, therefore, is equipped with the ability to operate as activism, for </w:t>
      </w:r>
      <w:r w:rsidRPr="00FB2FBF">
        <w:rPr>
          <w:rStyle w:val="StyleUnderline"/>
        </w:rPr>
        <w:t>knowledge provides agency and agency can transform mass perceptions of reality. To participate in this struggle is another multiplicity in the relay of knowledge production, flowing between the constructed boundaries of theory and practice.</w:t>
      </w:r>
      <w:r w:rsidRPr="00FB2FBF">
        <w:rPr>
          <w:sz w:val="16"/>
        </w:rPr>
        <w:t xml:space="preserve"> Component Theory instructs as biopolitical strategy. Component Theory and the Disidentifying Machine are interlockable, unlockable assemblages. Each writes the other’s code simultaneously. These codes—intertwined, double helix—build the materiality of Gay Bombs.</w:t>
      </w:r>
    </w:p>
    <w:p w:rsidR="00F5296B" w:rsidRPr="00F5296B" w:rsidRDefault="00F5296B" w:rsidP="00F5296B"/>
    <w:p w:rsidR="0062164B" w:rsidRDefault="004143C4" w:rsidP="0062164B">
      <w:pPr>
        <w:pStyle w:val="Heading3"/>
      </w:pPr>
      <w:bookmarkStart w:id="89" w:name="_Toc489138979"/>
      <w:r>
        <w:lastRenderedPageBreak/>
        <w:t xml:space="preserve">Alt Solves: </w:t>
      </w:r>
      <w:r w:rsidR="0062164B">
        <w:t>Nuclear Family (SP2)</w:t>
      </w:r>
      <w:bookmarkEnd w:id="89"/>
    </w:p>
    <w:p w:rsidR="0062164B" w:rsidRDefault="0062164B" w:rsidP="0062164B">
      <w:pPr>
        <w:pStyle w:val="Heading4"/>
      </w:pPr>
      <w:r>
        <w:t xml:space="preserve">The alt solves the aff—denaturalizes the heteronormative family structure and opens up alternative modes of kinship that operate horizontally and against investments in longevity </w:t>
      </w:r>
    </w:p>
    <w:p w:rsidR="0062164B" w:rsidRDefault="0062164B" w:rsidP="0062164B">
      <w:r w:rsidRPr="00F05AD1">
        <w:rPr>
          <w:rStyle w:val="Style13ptBold"/>
        </w:rPr>
        <w:t>Halberstam 11</w:t>
      </w:r>
      <w:r>
        <w:t xml:space="preserve">. </w:t>
      </w:r>
      <w:r w:rsidRPr="00AE5E87">
        <w:rPr>
          <w:sz w:val="16"/>
          <w:szCs w:val="16"/>
        </w:rPr>
        <w:t xml:space="preserve">[J. Jack Halberstam, professor of English at the University of Southern California, </w:t>
      </w:r>
      <w:r w:rsidRPr="00AE5E87">
        <w:rPr>
          <w:i/>
          <w:sz w:val="16"/>
          <w:szCs w:val="16"/>
        </w:rPr>
        <w:t>The Queer Art of Failure</w:t>
      </w:r>
      <w:r w:rsidRPr="00AE5E87">
        <w:rPr>
          <w:sz w:val="16"/>
          <w:szCs w:val="16"/>
        </w:rPr>
        <w:t xml:space="preserve">. Duke UPress. pg. </w:t>
      </w:r>
      <w:r>
        <w:rPr>
          <w:sz w:val="16"/>
          <w:szCs w:val="16"/>
        </w:rPr>
        <w:t>72-73</w:t>
      </w:r>
      <w:r w:rsidRPr="00AE5E87">
        <w:rPr>
          <w:sz w:val="16"/>
          <w:szCs w:val="16"/>
        </w:rPr>
        <w:t>. SH.]</w:t>
      </w:r>
    </w:p>
    <w:p w:rsidR="0062164B" w:rsidRDefault="0062164B" w:rsidP="0062164B">
      <w:pPr>
        <w:rPr>
          <w:sz w:val="16"/>
        </w:rPr>
      </w:pPr>
      <w:r w:rsidRPr="00C965B6">
        <w:rPr>
          <w:rStyle w:val="StyleUnderline"/>
        </w:rPr>
        <w:t>Alternative kinship has long been a cause célèbre among gay and lesbian groups and queer scholars</w:t>
      </w:r>
      <w:r w:rsidRPr="00C965B6">
        <w:rPr>
          <w:sz w:val="16"/>
        </w:rPr>
        <w:t xml:space="preserve">, and while anthropologists such as Kath Weston, Gayle Rubin, and Esther Newton have applauded the effort and creativity that go into making new kinship bonds in queer communities, other scholars, mostly psychoanalytic theorists such as Judith Butler and David Eng, have examined the family as a disciplinary matrix and have linked its particular forms of social control to colonialism and globalization. 5 Why, many of these scholars have asked, does the nuclear family continue to dominate kinship relations when in reality people are enmeshed in multiple and complex systems of relation? In her work Kath Weston examines how </w:t>
      </w:r>
      <w:r w:rsidRPr="00C965B6">
        <w:rPr>
          <w:rStyle w:val="StyleUnderline"/>
        </w:rPr>
        <w:t>kinship discourses invest in normative temporalities which privilege longevity over temporariness and permanence over contingency. These normative conceptions of time and relation give permanent (even if estranged) connections precedence over random (even if intense) associations. So an authenticating notion of longevity renders all other relations meaningless and superficial</w:t>
      </w:r>
      <w:r w:rsidRPr="00C965B6">
        <w:rPr>
          <w:sz w:val="16"/>
        </w:rPr>
        <w:t>, and family ties, by virtue of being early bonds, seem more important than friendships</w:t>
      </w:r>
      <w:r w:rsidRPr="00C965B6">
        <w:rPr>
          <w:rStyle w:val="StyleUnderline"/>
        </w:rPr>
        <w:t>. In the realm of kinship, terms like casual signify time as well as mood, and terms like enduring signify relevance as an effect of temporality</w:t>
      </w:r>
      <w:r w:rsidRPr="00C965B6">
        <w:rPr>
          <w:sz w:val="16"/>
        </w:rPr>
        <w:t xml:space="preserve">. </w:t>
      </w:r>
      <w:r w:rsidRPr="00C965B6">
        <w:rPr>
          <w:rStyle w:val="StyleUnderline"/>
        </w:rPr>
        <w:t>Queer interventions into kinship studies have taken many forms: some call for new models of family</w:t>
      </w:r>
      <w:r w:rsidRPr="00C965B6">
        <w:rPr>
          <w:sz w:val="16"/>
        </w:rPr>
        <w:t xml:space="preserve"> (Butler’s Antigone as a substitute for Oedipus, Weston’s chosen families as a substitute for blood bonds); </w:t>
      </w:r>
      <w:r w:rsidRPr="00C965B6">
        <w:rPr>
          <w:rStyle w:val="StyleUnderline"/>
        </w:rPr>
        <w:t>others call for the recognition of friendship ties as kinship; and still others ask that we recognize the difference that gay and lesbian parents make to the very meaning of family.</w:t>
      </w:r>
      <w:r w:rsidRPr="00C965B6">
        <w:rPr>
          <w:sz w:val="16"/>
        </w:rPr>
        <w:t xml:space="preserve"> But </w:t>
      </w:r>
      <w:r w:rsidRPr="00C965B6">
        <w:rPr>
          <w:rStyle w:val="Emphasis"/>
        </w:rPr>
        <w:t>few scholars call for a de- emphasis on family or a rejection of the family as the form of social organization par excellence</w:t>
      </w:r>
      <w:r w:rsidRPr="00C965B6">
        <w:rPr>
          <w:sz w:val="16"/>
        </w:rPr>
        <w:t xml:space="preserve">. In what follows I examine what happens in popular narrative </w:t>
      </w:r>
      <w:r w:rsidRPr="00C965B6">
        <w:rPr>
          <w:rStyle w:val="StyleUnderline"/>
        </w:rPr>
        <w:t>when characters like Dory do forget their families and in the process access other modes of relating, belonging, and caring</w:t>
      </w:r>
      <w:r w:rsidRPr="00C965B6">
        <w:rPr>
          <w:sz w:val="16"/>
        </w:rPr>
        <w:t xml:space="preserve">. </w:t>
      </w:r>
      <w:r w:rsidRPr="00C965B6">
        <w:rPr>
          <w:rStyle w:val="StyleUnderline"/>
        </w:rPr>
        <w:t>What family promises and what marriage- chasing gays and lesbiansdesire is</w:t>
      </w:r>
      <w:r w:rsidRPr="00C965B6">
        <w:rPr>
          <w:sz w:val="16"/>
        </w:rPr>
        <w:t xml:space="preserve"> not simply acceptance and belonging but </w:t>
      </w:r>
      <w:r w:rsidRPr="00C965B6">
        <w:rPr>
          <w:rStyle w:val="StyleUnderline"/>
        </w:rPr>
        <w:t>a form of belonging that binds the past to the present and the present to the future by securing what Lee Edelman has called “heterofuturity” through the figure of the child.</w:t>
      </w:r>
      <w:r w:rsidRPr="00C965B6">
        <w:rPr>
          <w:sz w:val="16"/>
        </w:rPr>
        <w:t xml:space="preserve"> As Edelman argues in No Future and as Kathryn Bond Stockton demonstrates in her book on the queer child, Growing Sideways, </w:t>
      </w:r>
      <w:r w:rsidRPr="00C965B6">
        <w:rPr>
          <w:rStyle w:val="StyleUnderline"/>
        </w:rPr>
        <w:t>the child is always already queer and must therefore quickly be converted to a protoheterosexual by being pushed through a series of maturational models of growth that project the child as the future and the future as heterosexual</w:t>
      </w:r>
      <w:r w:rsidRPr="00C965B6">
        <w:rPr>
          <w:sz w:val="16"/>
        </w:rPr>
        <w:t xml:space="preserve">. </w:t>
      </w:r>
      <w:r w:rsidRPr="00C965B6">
        <w:rPr>
          <w:rStyle w:val="StyleUnderline"/>
        </w:rPr>
        <w:t>Queer culture, with its emphasis on</w:t>
      </w:r>
      <w:r w:rsidRPr="00C965B6">
        <w:rPr>
          <w:sz w:val="16"/>
        </w:rPr>
        <w:t xml:space="preserve"> </w:t>
      </w:r>
      <w:r w:rsidRPr="00C965B6">
        <w:rPr>
          <w:rStyle w:val="Emphasis"/>
        </w:rPr>
        <w:t>repetition</w:t>
      </w:r>
      <w:r w:rsidRPr="00C965B6">
        <w:rPr>
          <w:sz w:val="16"/>
        </w:rPr>
        <w:t xml:space="preserve"> (Butler), </w:t>
      </w:r>
      <w:r w:rsidRPr="00C965B6">
        <w:rPr>
          <w:rStyle w:val="Emphasis"/>
        </w:rPr>
        <w:t>horizontality</w:t>
      </w:r>
      <w:r w:rsidRPr="00C965B6">
        <w:rPr>
          <w:sz w:val="16"/>
        </w:rPr>
        <w:t xml:space="preserve"> (Muñoz, Stockton), </w:t>
      </w:r>
      <w:r w:rsidRPr="00C965B6">
        <w:rPr>
          <w:rStyle w:val="Emphasis"/>
        </w:rPr>
        <w:t>immaturity and a refusal of adulthood</w:t>
      </w:r>
      <w:r w:rsidRPr="00C965B6">
        <w:rPr>
          <w:sz w:val="16"/>
        </w:rPr>
        <w:t xml:space="preserve"> (me), where adulthood rhymes with heterosexual parenting, </w:t>
      </w:r>
      <w:r w:rsidRPr="00C965B6">
        <w:rPr>
          <w:rStyle w:val="StyleUnderline"/>
        </w:rPr>
        <w:t>resists a developmental model of substitution and instead invests in</w:t>
      </w:r>
      <w:r w:rsidRPr="00C965B6">
        <w:rPr>
          <w:sz w:val="16"/>
        </w:rPr>
        <w:t xml:space="preserve"> what Stockton calls “</w:t>
      </w:r>
      <w:r w:rsidRPr="00C965B6">
        <w:rPr>
          <w:rStyle w:val="Emphasis"/>
        </w:rPr>
        <w:t>sideways” relations</w:t>
      </w:r>
      <w:r w:rsidRPr="00C965B6">
        <w:rPr>
          <w:sz w:val="16"/>
        </w:rPr>
        <w:t xml:space="preserve">, </w:t>
      </w:r>
      <w:r w:rsidRPr="00C965B6">
        <w:rPr>
          <w:rStyle w:val="StyleUnderline"/>
        </w:rPr>
        <w:t>relations that grow along parallel lines rather than upward and onward. This queer form of antidevelopment requires healthy doses of forgetting and disavowal and proceeds by way of a series of substitutions</w:t>
      </w:r>
      <w:r w:rsidRPr="00C965B6">
        <w:rPr>
          <w:sz w:val="16"/>
        </w:rPr>
        <w:t xml:space="preserve">. Of course </w:t>
      </w:r>
      <w:r w:rsidRPr="00C965B6">
        <w:rPr>
          <w:rStyle w:val="StyleUnderline"/>
        </w:rPr>
        <w:t>all of culture</w:t>
      </w:r>
      <w:r w:rsidRPr="00C965B6">
        <w:rPr>
          <w:sz w:val="16"/>
        </w:rPr>
        <w:t xml:space="preserve">, as Joseph Roach argues, </w:t>
      </w:r>
      <w:r w:rsidRPr="00C965B6">
        <w:rPr>
          <w:rStyle w:val="StyleUnderline"/>
        </w:rPr>
        <w:t>emerges from the kinetic and even frantic process of what he calls “surrogation</w:t>
      </w:r>
      <w:r w:rsidRPr="00C965B6">
        <w:rPr>
          <w:sz w:val="16"/>
        </w:rPr>
        <w:t xml:space="preserve">”: </w:t>
      </w:r>
      <w:r w:rsidRPr="00C965B6">
        <w:rPr>
          <w:rStyle w:val="StyleUnderline"/>
        </w:rPr>
        <w:t>forms constantly supplant each other while holding on to a vestige of the performance they replace in the form of a gesture here, a use of language there.</w:t>
      </w:r>
      <w:r w:rsidRPr="00C965B6">
        <w:rPr>
          <w:sz w:val="16"/>
        </w:rPr>
        <w:t xml:space="preserve"> Roach’s work in Cities of the Dead teaches us to find the evidence of long- gone subterranean cultures by reading the traces they leave behind within canonical cultural forms—the other is always buried in the dominant. </w:t>
      </w:r>
      <w:r w:rsidRPr="00C965B6">
        <w:rPr>
          <w:rStyle w:val="StyleUnderline"/>
        </w:rPr>
        <w:t xml:space="preserve">Queer culture enacts </w:t>
      </w:r>
      <w:r w:rsidRPr="00C965B6">
        <w:rPr>
          <w:rStyle w:val="Emphasis"/>
        </w:rPr>
        <w:t>rupture as substitution</w:t>
      </w:r>
      <w:r w:rsidRPr="00C965B6">
        <w:rPr>
          <w:sz w:val="16"/>
        </w:rPr>
        <w:t xml:space="preserve"> </w:t>
      </w:r>
      <w:r w:rsidRPr="00C965B6">
        <w:rPr>
          <w:rStyle w:val="StyleUnderline"/>
        </w:rPr>
        <w:t>as the queer child steps out of the assembly line of heterosexual production and turns toward a new project</w:t>
      </w:r>
      <w:r w:rsidRPr="00C965B6">
        <w:rPr>
          <w:sz w:val="16"/>
        </w:rPr>
        <w:t xml:space="preserve">. This new project holds on to vestiges of the old but distorts the old beyond recognition; for example, a relation to the father dedicated to social stability in straight culture becomes a daddy- boy relationship in queer contexts dedicated to the sexualization of generational difference. </w:t>
      </w:r>
    </w:p>
    <w:p w:rsidR="0062164B" w:rsidRDefault="0062164B" w:rsidP="0062164B">
      <w:pPr>
        <w:rPr>
          <w:sz w:val="16"/>
        </w:rPr>
      </w:pPr>
    </w:p>
    <w:p w:rsidR="00763BED" w:rsidRDefault="00763BED" w:rsidP="00763BED">
      <w:pPr>
        <w:pStyle w:val="Heading1"/>
      </w:pPr>
      <w:bookmarkStart w:id="90" w:name="_Toc489138980"/>
      <w:r>
        <w:lastRenderedPageBreak/>
        <w:t>Misc. &amp; Butler Module</w:t>
      </w:r>
      <w:bookmarkEnd w:id="90"/>
    </w:p>
    <w:p w:rsidR="00763BED" w:rsidRPr="00CB05A4" w:rsidRDefault="00763BED" w:rsidP="00763BED"/>
    <w:p w:rsidR="00763BED" w:rsidRDefault="00763BED" w:rsidP="00763BED">
      <w:pPr>
        <w:pStyle w:val="Heading3"/>
      </w:pPr>
      <w:bookmarkStart w:id="91" w:name="_Toc489138981"/>
      <w:r>
        <w:lastRenderedPageBreak/>
        <w:t>Link – CSE</w:t>
      </w:r>
      <w:bookmarkEnd w:id="91"/>
    </w:p>
    <w:p w:rsidR="00763BED" w:rsidRDefault="00763BED" w:rsidP="00763BED"/>
    <w:p w:rsidR="00763BED" w:rsidRDefault="00763BED" w:rsidP="00763BED">
      <w:pPr>
        <w:pStyle w:val="Heading4"/>
      </w:pPr>
      <w:r>
        <w:t xml:space="preserve">The 1AC’s theorization of subjectivity perpetuates juridical systems of power that define a biologically-determined cisheteronormative theorization of gender. </w:t>
      </w:r>
    </w:p>
    <w:p w:rsidR="00763BED" w:rsidRDefault="00763BED" w:rsidP="00763BED">
      <w:bookmarkStart w:id="92" w:name="_Hlk488842055"/>
      <w:r w:rsidRPr="004A5363">
        <w:rPr>
          <w:rStyle w:val="Style13ptBold"/>
        </w:rPr>
        <w:t>Butler 90</w:t>
      </w:r>
      <w:r>
        <w:br/>
        <w:t xml:space="preserve">Judith Butler, </w:t>
      </w:r>
      <w:r>
        <w:rPr>
          <w:color w:val="545454"/>
          <w:shd w:val="clear" w:color="auto" w:fill="FFFFFF"/>
        </w:rPr>
        <w:t>Maxine Elliot Professor in the Department of Comparative Literature and the Program of Critical Theory at the University of California, Berkeley. She received her Ph.D. in Philosophy from Yale University in 1984. “Gender Trouble” Routledge 2011</w:t>
      </w:r>
      <w:bookmarkEnd w:id="92"/>
    </w:p>
    <w:tbl>
      <w:tblPr>
        <w:tblW w:w="7768" w:type="dxa"/>
        <w:shd w:val="clear" w:color="auto" w:fill="FFFFFF"/>
        <w:tblCellMar>
          <w:left w:w="0" w:type="dxa"/>
          <w:right w:w="0" w:type="dxa"/>
        </w:tblCellMar>
        <w:tblLook w:val="04A0" w:firstRow="1" w:lastRow="0" w:firstColumn="1" w:lastColumn="0" w:noHBand="0" w:noVBand="1"/>
      </w:tblPr>
      <w:tblGrid>
        <w:gridCol w:w="7768"/>
      </w:tblGrid>
      <w:tr w:rsidR="00763BED" w:rsidRPr="004A5363" w:rsidTr="00503D5F">
        <w:tc>
          <w:tcPr>
            <w:tcW w:w="0" w:type="auto"/>
            <w:shd w:val="clear" w:color="auto" w:fill="FFFFFF"/>
            <w:vAlign w:val="center"/>
            <w:hideMark/>
          </w:tcPr>
          <w:p w:rsidR="00763BED" w:rsidRPr="004A5363" w:rsidRDefault="00763BED" w:rsidP="00503D5F">
            <w:pPr>
              <w:spacing w:after="0" w:line="240" w:lineRule="auto"/>
              <w:rPr>
                <w:rFonts w:eastAsia="Times New Roman"/>
                <w:sz w:val="24"/>
                <w:szCs w:val="24"/>
              </w:rPr>
            </w:pPr>
          </w:p>
        </w:tc>
      </w:tr>
    </w:tbl>
    <w:p w:rsidR="00763BED" w:rsidRPr="0043744C" w:rsidRDefault="00763BED" w:rsidP="00763BED">
      <w:pPr>
        <w:rPr>
          <w:sz w:val="16"/>
        </w:rPr>
      </w:pPr>
      <w:r w:rsidRPr="0043744C">
        <w:rPr>
          <w:sz w:val="16"/>
        </w:rPr>
        <w:t xml:space="preserve">For the most part, </w:t>
      </w:r>
      <w:r w:rsidRPr="00385730">
        <w:rPr>
          <w:rStyle w:val="StyleUnderline"/>
        </w:rPr>
        <w:t>feminist theory has assumed</w:t>
      </w:r>
      <w:r w:rsidRPr="0043744C">
        <w:rPr>
          <w:sz w:val="16"/>
        </w:rPr>
        <w:t xml:space="preserve"> that there is some existing identity, understood through </w:t>
      </w:r>
      <w:r w:rsidRPr="00385730">
        <w:rPr>
          <w:rStyle w:val="StyleUnderline"/>
        </w:rPr>
        <w:t>the category of women</w:t>
      </w:r>
      <w:r w:rsidRPr="0043744C">
        <w:rPr>
          <w:sz w:val="16"/>
        </w:rPr>
        <w:t xml:space="preserve">, </w:t>
      </w:r>
      <w:r w:rsidRPr="00385730">
        <w:rPr>
          <w:rStyle w:val="StyleUnderline"/>
        </w:rPr>
        <w:t>who not only initiates feminist interests and goals within discourse, but constitutes the subject for whom political representation is pursued</w:t>
      </w:r>
      <w:r w:rsidRPr="0043744C">
        <w:rPr>
          <w:sz w:val="16"/>
        </w:rPr>
        <w:t xml:space="preserve">. But politics and representation are controversial terms. On the one hand, </w:t>
      </w:r>
      <w:r w:rsidRPr="00385730">
        <w:rPr>
          <w:rStyle w:val="StyleUnderline"/>
        </w:rPr>
        <w:t xml:space="preserve">representation </w:t>
      </w:r>
      <w:r w:rsidRPr="0043744C">
        <w:rPr>
          <w:sz w:val="16"/>
        </w:rPr>
        <w:t xml:space="preserve">serves as the operative term within a political process that </w:t>
      </w:r>
      <w:r w:rsidRPr="00385730">
        <w:rPr>
          <w:rStyle w:val="StyleUnderline"/>
        </w:rPr>
        <w:t xml:space="preserve">seeks to extend visibility and legitimacy </w:t>
      </w:r>
      <w:r w:rsidRPr="0043744C">
        <w:rPr>
          <w:sz w:val="16"/>
        </w:rPr>
        <w:t xml:space="preserve">to women as political subjects; on the other hand, </w:t>
      </w:r>
      <w:r w:rsidRPr="00385730">
        <w:rPr>
          <w:rStyle w:val="StyleUnderline"/>
        </w:rPr>
        <w:t>representation is the normative function of a language which is said either to reveal or to distort what is assumed to be true about the category of women.</w:t>
      </w:r>
      <w:r w:rsidRPr="0043744C">
        <w:rPr>
          <w:sz w:val="16"/>
        </w:rPr>
        <w:t xml:space="preserve"> For feminist theory, the development of a language that fully or adequately represents women has seemed necessary to foster the political visibility of women. This has seemed obviously important considering the pervasive cultural condition in which women’s lives were either misrepresented or not represented at all. Recently, this prevailing conception of the relation between feminist theory and politics has come under challenge from within feminist discourse. </w:t>
      </w:r>
      <w:r w:rsidRPr="00385730">
        <w:rPr>
          <w:rStyle w:val="Emphasis"/>
        </w:rPr>
        <w:t>The very subject of women is no longer understood in stable or abiding terms</w:t>
      </w:r>
      <w:r w:rsidRPr="0043744C">
        <w:rPr>
          <w:sz w:val="16"/>
        </w:rPr>
        <w:t xml:space="preserve">. There is </w:t>
      </w:r>
      <w:r w:rsidRPr="00385730">
        <w:rPr>
          <w:rStyle w:val="StyleUnderline"/>
        </w:rPr>
        <w:t>a great deal of material</w:t>
      </w:r>
      <w:r w:rsidRPr="0043744C">
        <w:rPr>
          <w:sz w:val="16"/>
        </w:rPr>
        <w:t xml:space="preserve"> that not only </w:t>
      </w:r>
      <w:r w:rsidRPr="00385730">
        <w:rPr>
          <w:rStyle w:val="StyleUnderline"/>
        </w:rPr>
        <w:t>questions the viability of “the subject” as the ultimate candidate for representation or</w:t>
      </w:r>
      <w:r w:rsidRPr="0043744C">
        <w:rPr>
          <w:sz w:val="16"/>
        </w:rPr>
        <w:t xml:space="preserve">, indeed, </w:t>
      </w:r>
      <w:r w:rsidRPr="00385730">
        <w:rPr>
          <w:rStyle w:val="StyleUnderline"/>
        </w:rPr>
        <w:t>liberation</w:t>
      </w:r>
      <w:r w:rsidRPr="0043744C">
        <w:rPr>
          <w:sz w:val="16"/>
        </w:rPr>
        <w:t xml:space="preserve">, but </w:t>
      </w:r>
      <w:r w:rsidRPr="00385730">
        <w:rPr>
          <w:rStyle w:val="Emphasis"/>
        </w:rPr>
        <w:t>there is very little agreement after all on what it is that constitutes, or ought to constitute, the category of women</w:t>
      </w:r>
      <w:r w:rsidRPr="0043744C">
        <w:rPr>
          <w:sz w:val="16"/>
        </w:rPr>
        <w:t xml:space="preserve">. The domains of </w:t>
      </w:r>
      <w:r w:rsidRPr="00385730">
        <w:rPr>
          <w:rStyle w:val="StyleUnderline"/>
        </w:rPr>
        <w:t>political and linguistic “representation” set out in advance the criterion by which subjects themselves are formed, with the result that representation is extended only to what can be acknowledged as a subject.</w:t>
      </w:r>
      <w:r w:rsidRPr="0043744C">
        <w:rPr>
          <w:sz w:val="16"/>
        </w:rPr>
        <w:t xml:space="preserve"> In other words, </w:t>
      </w:r>
      <w:r w:rsidRPr="00385730">
        <w:rPr>
          <w:rStyle w:val="StyleUnderline"/>
        </w:rPr>
        <w:t>the qualifications for being a subject must first be met before representation can be extended</w:t>
      </w:r>
      <w:r w:rsidRPr="0043744C">
        <w:rPr>
          <w:sz w:val="16"/>
        </w:rPr>
        <w:t xml:space="preserve">. </w:t>
      </w:r>
      <w:r w:rsidRPr="00385730">
        <w:rPr>
          <w:rStyle w:val="StyleUnderline"/>
        </w:rPr>
        <w:t>Foucault points out that juridical systems of power produce the subjects they subsequently come to represent</w:t>
      </w:r>
      <w:r w:rsidRPr="0043744C">
        <w:rPr>
          <w:sz w:val="16"/>
        </w:rPr>
        <w:t xml:space="preserve">. 1 </w:t>
      </w:r>
      <w:r w:rsidRPr="00385730">
        <w:rPr>
          <w:rStyle w:val="StyleUnderline"/>
        </w:rPr>
        <w:t>Juridical</w:t>
      </w:r>
      <w:r w:rsidRPr="0043744C">
        <w:rPr>
          <w:sz w:val="16"/>
        </w:rPr>
        <w:t xml:space="preserve"> notions of </w:t>
      </w:r>
      <w:r w:rsidRPr="00385730">
        <w:rPr>
          <w:rStyle w:val="StyleUnderline"/>
        </w:rPr>
        <w:t>power</w:t>
      </w:r>
      <w:r w:rsidRPr="0043744C">
        <w:rPr>
          <w:sz w:val="16"/>
        </w:rPr>
        <w:t xml:space="preserve"> appear to </w:t>
      </w:r>
      <w:r w:rsidRPr="00385730">
        <w:rPr>
          <w:rStyle w:val="StyleUnderline"/>
        </w:rPr>
        <w:t>regulate political life</w:t>
      </w:r>
      <w:r w:rsidRPr="0043744C">
        <w:rPr>
          <w:sz w:val="16"/>
        </w:rPr>
        <w:t xml:space="preserve"> in purely negative terms—that is, </w:t>
      </w:r>
      <w:r w:rsidRPr="00385730">
        <w:rPr>
          <w:rStyle w:val="StyleUnderline"/>
        </w:rPr>
        <w:t>through</w:t>
      </w:r>
      <w:r w:rsidRPr="0043744C">
        <w:rPr>
          <w:sz w:val="16"/>
        </w:rPr>
        <w:t xml:space="preserve"> the </w:t>
      </w:r>
      <w:r w:rsidRPr="00385730">
        <w:rPr>
          <w:rStyle w:val="StyleUnderline"/>
        </w:rPr>
        <w:t>limitation, prohibition, regulation, control, and even “protection” of individuals</w:t>
      </w:r>
      <w:r w:rsidRPr="0043744C">
        <w:rPr>
          <w:sz w:val="16"/>
        </w:rPr>
        <w:t xml:space="preserve"> related to that political structure through the contingent and retractable operation of choice. </w:t>
      </w:r>
      <w:r w:rsidRPr="00385730">
        <w:rPr>
          <w:rStyle w:val="StyleUnderline"/>
        </w:rPr>
        <w:t>But the subjects regulated by such structures are, by virtue of being subjected to them, formed, defined, and reproduced in accordance with the requirements of those structures</w:t>
      </w:r>
      <w:r w:rsidRPr="0043744C">
        <w:rPr>
          <w:sz w:val="16"/>
        </w:rPr>
        <w:t xml:space="preserve">. If this analysis is right, then </w:t>
      </w:r>
      <w:r w:rsidRPr="00385730">
        <w:rPr>
          <w:rStyle w:val="StyleUnderline"/>
        </w:rPr>
        <w:t>the juridical formation of language and politics that represents women as “the subject” of feminism is itself a discursive formation and effect of a given version of representational politics</w:t>
      </w:r>
      <w:r w:rsidRPr="0043744C">
        <w:rPr>
          <w:sz w:val="16"/>
        </w:rPr>
        <w:t xml:space="preserve">. And </w:t>
      </w:r>
      <w:r w:rsidRPr="00385730">
        <w:rPr>
          <w:rStyle w:val="StyleUnderline"/>
        </w:rPr>
        <w:t>the feminist subject turns out to be discursively constituted by the very political system that is supposed to facilitate its emancipation.</w:t>
      </w:r>
      <w:r w:rsidRPr="0043744C">
        <w:rPr>
          <w:sz w:val="16"/>
        </w:rPr>
        <w:t xml:space="preserve"> </w:t>
      </w:r>
      <w:r w:rsidRPr="00385730">
        <w:rPr>
          <w:rStyle w:val="Emphasis"/>
        </w:rPr>
        <w:t>This becomes politically problematic if that system can be shown to produce gendered subjects along a differential axis of domination or to produce subjects who are presumed to be masculine</w:t>
      </w:r>
      <w:r w:rsidRPr="0043744C">
        <w:rPr>
          <w:sz w:val="16"/>
        </w:rPr>
        <w:t>. In such cases, an uncritical appeal to such a system for the emancipation of “women” will be clearly self-defeating.</w:t>
      </w:r>
    </w:p>
    <w:p w:rsidR="00763BED" w:rsidRDefault="00763BED" w:rsidP="00763BED"/>
    <w:p w:rsidR="008A75C1" w:rsidRDefault="008A75C1" w:rsidP="008A75C1">
      <w:pPr>
        <w:pStyle w:val="Heading3"/>
      </w:pPr>
      <w:bookmarkStart w:id="93" w:name="_Toc489138982"/>
      <w:r>
        <w:lastRenderedPageBreak/>
        <w:t>Link – Intelligibility</w:t>
      </w:r>
      <w:bookmarkEnd w:id="93"/>
    </w:p>
    <w:p w:rsidR="008A75C1" w:rsidRDefault="008A75C1" w:rsidP="008A75C1">
      <w:pPr>
        <w:pStyle w:val="Heading4"/>
      </w:pPr>
      <w:r>
        <w:t xml:space="preserve">The theoretical subject of the 1AC gains coherence through the cultural matrix of compulsory heterosexuality. The unintelligibility of queerness exposes the 1AC’s attempt to regulate and assimilate queer students back into compulsory heterosexuality and binary gender. </w:t>
      </w:r>
    </w:p>
    <w:p w:rsidR="008A75C1" w:rsidRDefault="008A75C1" w:rsidP="008A75C1">
      <w:pPr>
        <w:rPr>
          <w:sz w:val="16"/>
        </w:rPr>
      </w:pPr>
      <w:r w:rsidRPr="006C01AB">
        <w:rPr>
          <w:b/>
          <w:bCs/>
          <w:u w:val="single"/>
        </w:rPr>
        <w:t>Butler 90</w:t>
      </w:r>
      <w:r w:rsidRPr="006C01AB">
        <w:br/>
        <w:t>Judith Butler, Maxine Elliot Professor in the Department of Comparative Literature and the Program of Critical Theory at the University of California, Berkeley. She received her Ph.D. in Philosophy from Yale University in 1984. “Gender Trouble” Routledge 2011</w:t>
      </w:r>
      <w:r>
        <w:t xml:space="preserve"> </w:t>
      </w:r>
      <w:r>
        <w:rPr>
          <w:sz w:val="16"/>
        </w:rPr>
        <w:t>P.22-24</w:t>
      </w:r>
    </w:p>
    <w:p w:rsidR="008A75C1" w:rsidRDefault="008A75C1" w:rsidP="008A75C1">
      <w:pPr>
        <w:rPr>
          <w:sz w:val="16"/>
        </w:rPr>
      </w:pPr>
      <w:r>
        <w:rPr>
          <w:sz w:val="16"/>
        </w:rPr>
        <w:t xml:space="preserve">V. IDENTITY, SEX, AND THE METAPHYSICS OF SUBSTANCE What can be meant by “identity,” then, and what grounds the presumption that identities are self-identical, persisting through time as the same, unified and internally coherent? More importantly, how do these assumptions inform the discourses on “gender identity”? </w:t>
      </w:r>
      <w:r w:rsidRPr="005B5BC7">
        <w:rPr>
          <w:rStyle w:val="StyleUnderline"/>
        </w:rPr>
        <w:t>It would be wrong to think that the discussion of “identity” ought to proceed prior to a discussion of gender identity for the simple reason that “persons” only become intelligible through becoming gendered in conformity with recognizable standards of gender intelligibility</w:t>
      </w:r>
      <w:r>
        <w:rPr>
          <w:sz w:val="16"/>
        </w:rPr>
        <w:t xml:space="preserve">. </w:t>
      </w:r>
      <w:r w:rsidRPr="005B5BC7">
        <w:rPr>
          <w:rStyle w:val="StyleUnderline"/>
        </w:rPr>
        <w:t>Sociological discussions have conventionally sought to understand the notion of the person in terms of an agency that claims ontological priority to the various roles and functions through which it assumes social visibility and meaning</w:t>
      </w:r>
      <w:r>
        <w:rPr>
          <w:sz w:val="16"/>
        </w:rPr>
        <w:t xml:space="preserve">. </w:t>
      </w:r>
      <w:r w:rsidRPr="005B5BC7">
        <w:rPr>
          <w:rStyle w:val="StyleUnderline"/>
        </w:rPr>
        <w:t>Within philosophical discourse itself, the notion of “the person” has received analytic elaboration on the assumption that whatever social context the person is “in” remains somehow externally related to the definitional structure of personhood, be that consciousness, the capacity for</w:t>
      </w:r>
      <w:r>
        <w:rPr>
          <w:sz w:val="16"/>
        </w:rPr>
        <w:t xml:space="preserve"> 22 gender trouble </w:t>
      </w:r>
      <w:r w:rsidRPr="005B5BC7">
        <w:rPr>
          <w:rStyle w:val="StyleUnderline"/>
        </w:rPr>
        <w:t>language, or moral deliberation</w:t>
      </w:r>
      <w:r>
        <w:rPr>
          <w:sz w:val="16"/>
        </w:rPr>
        <w:t xml:space="preserve">. Although that literature is not examined here, one premise of such inquiries is the focus of critical exploration and inversion. Whereas the question of what constitutes “personal identity” within philosophical accounts almost always centers on the question of what internal feature of the person establishes the continuity or self-identity of the person through time, the question here will be: </w:t>
      </w:r>
      <w:r w:rsidRPr="00B31C60">
        <w:rPr>
          <w:rStyle w:val="StyleUnderline"/>
        </w:rPr>
        <w:t>To what extent do regulatory practices of gender formation and division constitute identity, the internal coherence of the subject</w:t>
      </w:r>
      <w:r>
        <w:rPr>
          <w:sz w:val="16"/>
        </w:rPr>
        <w:t xml:space="preserve">, indeed, the selfidentical status of the person? </w:t>
      </w:r>
      <w:r w:rsidRPr="00BA155B">
        <w:rPr>
          <w:rStyle w:val="StyleUnderline"/>
        </w:rPr>
        <w:t>To what extent is “identity” a normative ideal rather than a descriptive feature of experience?</w:t>
      </w:r>
      <w:r>
        <w:rPr>
          <w:sz w:val="16"/>
        </w:rPr>
        <w:t xml:space="preserve"> And how do the regulatory practices that govern gender also govern culturally intelligible notions of identity? In other words</w:t>
      </w:r>
      <w:r w:rsidRPr="007503AD">
        <w:rPr>
          <w:rStyle w:val="Emphasis"/>
        </w:rPr>
        <w:t>, the “coherence” and “continuity” of “the person” are not logical or analytic features of personhood, but, rather, socially instituted and maintained norms of intelligibility</w:t>
      </w:r>
      <w:r w:rsidRPr="007503AD">
        <w:rPr>
          <w:rStyle w:val="StyleUnderline"/>
        </w:rPr>
        <w:t>. Inasmuch as “identity” is assured through the stabilizing concepts of sex, gender, and sexuality, the very notion of “the person” is called into question by the cultural emergence of those “incoherent” or “discontinuous” gendered beings who appear to be persons but who fail to conform to the gendered norms of cultural intelligibility by which persons are defined. “Intelligible” genders are those which in some sense institute and maintain relations of coherence and continuity among sex, gender, sexual practice, and desire</w:t>
      </w:r>
      <w:r>
        <w:rPr>
          <w:sz w:val="16"/>
        </w:rPr>
        <w:t xml:space="preserve">. In other words, </w:t>
      </w:r>
      <w:r w:rsidRPr="007503AD">
        <w:rPr>
          <w:rStyle w:val="StyleUnderline"/>
        </w:rPr>
        <w:t>the spectres of discontinuity and incoherence, themselves thinkable only in relation to existing norms of continuity and coherence, are constantly prohibited and produced by the very laws that seek to establish causal or expressive lines of connection among biological sex, culturally constituted genders, and the “expression” or “effect” of both in the manifestation of sexual desire through sexual practice</w:t>
      </w:r>
      <w:r>
        <w:rPr>
          <w:sz w:val="16"/>
        </w:rPr>
        <w:t xml:space="preserve">. The notion that there might be a “truth” of sex, as Foucault ironically terms it, is produced precisely through the regulatory subjects of sex/gender/desire 23 practices that generate coherent identities through the matrix of coherent gender norms. </w:t>
      </w:r>
      <w:r w:rsidRPr="007503AD">
        <w:rPr>
          <w:rStyle w:val="StyleUnderline"/>
        </w:rPr>
        <w:t>The heterosexualization of desire requires and institutes the production of discrete and asymmetrical oppositions between “feminine” and “masculine,” where these are understood as expressive attributes of “male” and “female</w:t>
      </w:r>
      <w:r>
        <w:rPr>
          <w:sz w:val="16"/>
        </w:rPr>
        <w:t xml:space="preserve">.” </w:t>
      </w:r>
      <w:r w:rsidRPr="007503AD">
        <w:rPr>
          <w:rStyle w:val="StyleUnderline"/>
        </w:rPr>
        <w:t>The cultural matrix through which gender identity has become intelligible requires that certain kinds of “identities” cannot “exist”—that is, those in which gender does not follow from sex and those in which the practices of desire do not “follow” from either sex or gender.</w:t>
      </w:r>
      <w:r>
        <w:rPr>
          <w:sz w:val="16"/>
        </w:rPr>
        <w:t xml:space="preserve"> “Follow” in this context is a political relation of entailment instituted by the cultural laws that establish and regulate the shape and meaning of sexuality. Indeed, </w:t>
      </w:r>
      <w:r w:rsidRPr="007503AD">
        <w:rPr>
          <w:rStyle w:val="StyleUnderline"/>
        </w:rPr>
        <w:lastRenderedPageBreak/>
        <w:t>precisely because certain kinds of “gender identities” fail to conform to those norms of cultural intelligibility, they appear only as developmental failures or logical impossibilities from within that domain. Their persistence and proliferation, however, provide critical opportunities to expose the limits and regulatory aims of that domain of intelligibility and, hence, to open up within the very terms of that matrix of intelligibility rival and subversive matrices of gender disorder</w:t>
      </w:r>
      <w:r>
        <w:rPr>
          <w:sz w:val="16"/>
        </w:rPr>
        <w:t>. Before such disordering practices are considered, however, it seems crucial to understand the “matrix of intelligibility.” Is it singular? Of what is it composed? What is the peculiar alliance presumed to exist between a system of compulsory heterosexuality and the discursive categories that establish the identity concepts of sex? If “identity” is an effect of discursive practices, to what extent is gender identity, construed as a relationship among sex, gender, sexual practice, and desire, the effect of a regulatory practice that can be identified as compulsory heterosexuality? Would that explanation return us to yet another totalizing frame in which compulsory heterosexuality merely takes the place of phallogo</w:t>
      </w:r>
    </w:p>
    <w:p w:rsidR="00763BED" w:rsidRDefault="00763BED" w:rsidP="00763BED">
      <w:pPr>
        <w:pStyle w:val="Heading3"/>
      </w:pPr>
      <w:bookmarkStart w:id="94" w:name="_Toc489138983"/>
      <w:r>
        <w:lastRenderedPageBreak/>
        <w:t>Gendered Language Link</w:t>
      </w:r>
      <w:bookmarkEnd w:id="94"/>
    </w:p>
    <w:p w:rsidR="00763BED" w:rsidRDefault="00763BED" w:rsidP="00763BED">
      <w:pPr>
        <w:pStyle w:val="Heading4"/>
      </w:pPr>
      <w:r>
        <w:t xml:space="preserve">The universalization of a masculine subject position is misogynist and perpetuates a disembodied relationship to knowledge production. This turns their offense because absent an avowal of embodied social location political apathy becomes inevitable. </w:t>
      </w:r>
    </w:p>
    <w:p w:rsidR="00763BED" w:rsidRDefault="00763BED" w:rsidP="00763BED">
      <w:pPr>
        <w:rPr>
          <w:sz w:val="16"/>
        </w:rPr>
      </w:pPr>
      <w:r>
        <w:t xml:space="preserve"> </w:t>
      </w:r>
      <w:r w:rsidRPr="006C01AB">
        <w:rPr>
          <w:b/>
          <w:bCs/>
          <w:u w:val="single"/>
        </w:rPr>
        <w:t>Butler 90</w:t>
      </w:r>
      <w:r w:rsidRPr="006C01AB">
        <w:br/>
        <w:t>Judith Butler, Maxine Elliot Professor in the Department of Comparative Literature and the Program of Critical Theory at the University of California, Berkeley. She received her Ph.D. in Philosophy from Yale University in 1984. “Gender Trouble” Routledge 2011</w:t>
      </w:r>
      <w:r>
        <w:t xml:space="preserve"> </w:t>
      </w:r>
      <w:r>
        <w:rPr>
          <w:sz w:val="16"/>
        </w:rPr>
        <w:t>P.14-16</w:t>
      </w:r>
    </w:p>
    <w:p w:rsidR="00763BED" w:rsidRDefault="00763BED" w:rsidP="00763BED">
      <w:pPr>
        <w:pStyle w:val="Heading4"/>
      </w:pPr>
    </w:p>
    <w:p w:rsidR="00763BED" w:rsidRPr="005F565E" w:rsidRDefault="00763BED" w:rsidP="00763BED">
      <w:pPr>
        <w:rPr>
          <w:rStyle w:val="StyleUnderline"/>
        </w:rPr>
      </w:pPr>
      <w:r>
        <w:rPr>
          <w:sz w:val="16"/>
        </w:rPr>
        <w:t xml:space="preserve">The consequence of such sharp disagreements about the meaning of gender (indeed, whether gender is the term to be argued about at all, or whether the discursive construction of sex is, indeed, more fundamental, or perhaps women or woman and/or men and man) establishes the need for a radical rethinking of the categories of identity within the context of relations of radical gender asymmetry. For Beauvoir, </w:t>
      </w:r>
      <w:r w:rsidRPr="005B5BC7">
        <w:rPr>
          <w:rStyle w:val="StyleUnderline"/>
        </w:rPr>
        <w:t>the “subject” within the existential analytic of</w:t>
      </w:r>
      <w:r>
        <w:rPr>
          <w:sz w:val="16"/>
        </w:rPr>
        <w:t xml:space="preserve"> </w:t>
      </w:r>
      <w:r w:rsidRPr="005B5BC7">
        <w:rPr>
          <w:rStyle w:val="StyleUnderline"/>
        </w:rPr>
        <w:t>misogyny is always already masculine, conflated with the universal, differentiating itself from a feminine “Other” outside the universalizing norms of personhood, hopelessly “particular,” embodied, condemned to immanence</w:t>
      </w:r>
      <w:r>
        <w:rPr>
          <w:sz w:val="16"/>
        </w:rPr>
        <w:t xml:space="preserve">. Although Beauvoir is often understood to be calling for the right of women, in effect, to become existential subjects and, hence, for inclusion within the terms of an abstract universality, </w:t>
      </w:r>
      <w:r w:rsidRPr="00436312">
        <w:rPr>
          <w:rStyle w:val="StyleUnderline"/>
        </w:rPr>
        <w:t>her position also implies a fundamental critique of the very disembodiment of the abstract masculine epistemological subject.</w:t>
      </w:r>
      <w:r>
        <w:rPr>
          <w:sz w:val="16"/>
        </w:rPr>
        <w:t xml:space="preserve">19 </w:t>
      </w:r>
      <w:r w:rsidRPr="005B5BC7">
        <w:rPr>
          <w:rStyle w:val="StyleUnderline"/>
        </w:rPr>
        <w:t>That subject is abstract to the extent that it disavows its socially marked embodiment and, further, projects that disavowed and disparaged embodiment on to the feminine sphere, effectively renaming the body as female. This association of the body with the female works along magical relations of reciprocity whereby the female sex becomes restricted to its body, and the male body, fully disavowed, becomes, paradoxically, the incorporeal instrument of an ostensibly radical freedom</w:t>
      </w:r>
      <w:r>
        <w:rPr>
          <w:sz w:val="16"/>
        </w:rPr>
        <w:t xml:space="preserve">. Beauvoir’s analysis implicitly poses the question: </w:t>
      </w:r>
      <w:r w:rsidRPr="005F565E">
        <w:rPr>
          <w:rStyle w:val="StyleUnderline"/>
        </w:rPr>
        <w:t>Through what act of</w:t>
      </w:r>
      <w:r>
        <w:rPr>
          <w:sz w:val="16"/>
        </w:rPr>
        <w:t xml:space="preserve"> negation and </w:t>
      </w:r>
      <w:r w:rsidRPr="005F565E">
        <w:rPr>
          <w:rStyle w:val="StyleUnderline"/>
        </w:rPr>
        <w:t>disavowal does the masculine pose as a disembodied universality and the feminine get constructed as a disavowed corporeality? The dialectic of master-slave, here fully reformulated within the non-reciprocal terms of gender asymmetry</w:t>
      </w:r>
      <w:r>
        <w:rPr>
          <w:sz w:val="16"/>
        </w:rPr>
        <w:t xml:space="preserve">, </w:t>
      </w:r>
      <w:r w:rsidRPr="005F565E">
        <w:rPr>
          <w:rStyle w:val="StyleUnderline"/>
        </w:rPr>
        <w:t>prefigures</w:t>
      </w:r>
      <w:r>
        <w:rPr>
          <w:sz w:val="16"/>
        </w:rPr>
        <w:t xml:space="preserve"> what Irigaray will later describe as </w:t>
      </w:r>
      <w:r w:rsidRPr="005F565E">
        <w:rPr>
          <w:rStyle w:val="StyleUnderline"/>
        </w:rPr>
        <w:t>the masculine signifying economy that includes both the existential subject and its Other</w:t>
      </w:r>
    </w:p>
    <w:p w:rsidR="00763BED" w:rsidRDefault="00763BED" w:rsidP="00763BED">
      <w:pPr>
        <w:rPr>
          <w:sz w:val="16"/>
        </w:rPr>
      </w:pPr>
    </w:p>
    <w:p w:rsidR="00763BED" w:rsidRDefault="00763BED" w:rsidP="00763BED">
      <w:pPr>
        <w:pStyle w:val="Heading3"/>
      </w:pPr>
      <w:bookmarkStart w:id="95" w:name="_Toc489138984"/>
      <w:r>
        <w:lastRenderedPageBreak/>
        <w:t>Alt – Feminist Genealogy</w:t>
      </w:r>
      <w:bookmarkEnd w:id="95"/>
    </w:p>
    <w:p w:rsidR="00763BED" w:rsidRDefault="00763BED" w:rsidP="00763BED">
      <w:pPr>
        <w:pStyle w:val="Heading4"/>
      </w:pPr>
      <w:r>
        <w:t xml:space="preserve">The alternative is to refuse the affirmative in favor of Feminist genealogy. Unmasking the political stakes involved in the naturalization of binary gender identity categories by contemporary juridical structures creates the possibility of a feminist politics that does not reify binary gender identities. </w:t>
      </w:r>
    </w:p>
    <w:p w:rsidR="00763BED" w:rsidRPr="004637C4" w:rsidRDefault="00763BED" w:rsidP="00763BED">
      <w:r w:rsidRPr="006C01AB">
        <w:rPr>
          <w:b/>
          <w:bCs/>
          <w:u w:val="single"/>
        </w:rPr>
        <w:t>Butler 90</w:t>
      </w:r>
      <w:r w:rsidRPr="006C01AB">
        <w:br/>
        <w:t>Judith Butler, Maxine Elliot Professor in the Department of Comparative Literature and the Program of Critical Theory at the University of California, Berkeley. She received her Ph.D. in Philosophy from Yale University in 1984. “Gender Trouble” Routledge 2011</w:t>
      </w:r>
    </w:p>
    <w:p w:rsidR="00763BED" w:rsidRPr="0087237A" w:rsidRDefault="00763BED" w:rsidP="00763BED">
      <w:pPr>
        <w:rPr>
          <w:sz w:val="16"/>
        </w:rPr>
      </w:pPr>
      <w:r w:rsidRPr="0087237A">
        <w:rPr>
          <w:sz w:val="16"/>
        </w:rPr>
        <w:t>Although the claim of universal patriarchy no longer enjoys the kind of credibility it once did, the notion of a generally shared conception of “women,” the corollary to that framework, has been much more difficult to displace. Certainly, there have been plenty of debates: Is there some commonality among “women” that preexists their oppression, or do “women” have a bond by virtue of their oppression alone? Is there a specificity to women’s cultures that is independent of their subordination by hegemonic, masculinist cultures? Are the specificity and integrity of women’s cultural or linguistic practices always specified subjects of sex/gender/desire 5 against and, hence, within the terms of some more dominant cultural formation? If there is a region of the “specifically feminine,” one that is both differentiated from the masculine as such and recognizable in its difference by an unmarked and, hence, presumed universality of “women”?</w:t>
      </w:r>
      <w:r w:rsidRPr="0046389B">
        <w:rPr>
          <w:rStyle w:val="StyleUnderline"/>
        </w:rPr>
        <w:t xml:space="preserve"> The masculine/feminine</w:t>
      </w:r>
      <w:r>
        <w:rPr>
          <w:rStyle w:val="StyleUnderline"/>
        </w:rPr>
        <w:t xml:space="preserve"> </w:t>
      </w:r>
      <w:r w:rsidRPr="0046389B">
        <w:rPr>
          <w:rStyle w:val="StyleUnderline"/>
        </w:rPr>
        <w:t>binary constitutes not only the exclusive framework in which</w:t>
      </w:r>
      <w:r>
        <w:rPr>
          <w:rStyle w:val="StyleUnderline"/>
        </w:rPr>
        <w:t xml:space="preserve"> </w:t>
      </w:r>
      <w:r w:rsidRPr="0046389B">
        <w:rPr>
          <w:rStyle w:val="StyleUnderline"/>
        </w:rPr>
        <w:t>that specificity can be recognized, but in every other way the</w:t>
      </w:r>
      <w:r>
        <w:rPr>
          <w:rStyle w:val="StyleUnderline"/>
        </w:rPr>
        <w:t xml:space="preserve"> </w:t>
      </w:r>
      <w:r w:rsidRPr="0046389B">
        <w:rPr>
          <w:rStyle w:val="StyleUnderline"/>
        </w:rPr>
        <w:t>“specificity” of the feminine is once again fully decontextualized</w:t>
      </w:r>
      <w:r>
        <w:rPr>
          <w:rStyle w:val="StyleUnderline"/>
        </w:rPr>
        <w:t xml:space="preserve"> </w:t>
      </w:r>
      <w:r w:rsidRPr="0046389B">
        <w:rPr>
          <w:rStyle w:val="StyleUnderline"/>
        </w:rPr>
        <w:t>and separated off analytically and politically from the constitution</w:t>
      </w:r>
      <w:r>
        <w:rPr>
          <w:rStyle w:val="StyleUnderline"/>
        </w:rPr>
        <w:t xml:space="preserve"> </w:t>
      </w:r>
      <w:r w:rsidRPr="0046389B">
        <w:rPr>
          <w:rStyle w:val="StyleUnderline"/>
        </w:rPr>
        <w:t>of class, race, ethnicity, and other axes of power relations</w:t>
      </w:r>
      <w:r>
        <w:rPr>
          <w:rStyle w:val="StyleUnderline"/>
        </w:rPr>
        <w:t xml:space="preserve"> </w:t>
      </w:r>
      <w:r w:rsidRPr="0046389B">
        <w:rPr>
          <w:rStyle w:val="StyleUnderline"/>
        </w:rPr>
        <w:t>that both constitute “identity” and make the singular notion of</w:t>
      </w:r>
      <w:r>
        <w:rPr>
          <w:rStyle w:val="StyleUnderline"/>
        </w:rPr>
        <w:t xml:space="preserve"> </w:t>
      </w:r>
      <w:r w:rsidRPr="0046389B">
        <w:rPr>
          <w:rStyle w:val="StyleUnderline"/>
        </w:rPr>
        <w:t>identity a misnomer.</w:t>
      </w:r>
      <w:r w:rsidRPr="0087237A">
        <w:rPr>
          <w:sz w:val="16"/>
        </w:rPr>
        <w:t xml:space="preserve">4 My suggestion is that </w:t>
      </w:r>
      <w:r w:rsidRPr="0087237A">
        <w:rPr>
          <w:rStyle w:val="StyleUnderline"/>
        </w:rPr>
        <w:t>the presumed universality and unity</w:t>
      </w:r>
      <w:r>
        <w:rPr>
          <w:rStyle w:val="StyleUnderline"/>
        </w:rPr>
        <w:t xml:space="preserve"> </w:t>
      </w:r>
      <w:r w:rsidRPr="0087237A">
        <w:rPr>
          <w:rStyle w:val="StyleUnderline"/>
        </w:rPr>
        <w:t>of the subject of feminism is effectively undermined by the</w:t>
      </w:r>
      <w:r>
        <w:rPr>
          <w:rStyle w:val="StyleUnderline"/>
        </w:rPr>
        <w:t xml:space="preserve"> </w:t>
      </w:r>
      <w:r w:rsidRPr="0087237A">
        <w:rPr>
          <w:rStyle w:val="StyleUnderline"/>
        </w:rPr>
        <w:t>constraints of the representational discourse in which it functions.</w:t>
      </w:r>
      <w:r>
        <w:rPr>
          <w:rStyle w:val="StyleUnderline"/>
        </w:rPr>
        <w:t xml:space="preserve"> </w:t>
      </w:r>
      <w:r w:rsidRPr="0087237A">
        <w:rPr>
          <w:rStyle w:val="Emphasis"/>
        </w:rPr>
        <w:t>Indeed, the premature insistence on a stable subject of</w:t>
      </w:r>
      <w:r>
        <w:rPr>
          <w:rStyle w:val="Emphasis"/>
        </w:rPr>
        <w:t xml:space="preserve"> </w:t>
      </w:r>
      <w:r w:rsidRPr="0087237A">
        <w:rPr>
          <w:rStyle w:val="Emphasis"/>
        </w:rPr>
        <w:t>feminism, understood as a seamless category of women, inevitably</w:t>
      </w:r>
      <w:r>
        <w:rPr>
          <w:rStyle w:val="Emphasis"/>
        </w:rPr>
        <w:t xml:space="preserve"> </w:t>
      </w:r>
      <w:r w:rsidRPr="0087237A">
        <w:rPr>
          <w:rStyle w:val="Emphasis"/>
        </w:rPr>
        <w:t>generates multiple refusals to accept the category</w:t>
      </w:r>
      <w:r w:rsidRPr="0087237A">
        <w:rPr>
          <w:sz w:val="16"/>
        </w:rPr>
        <w:t xml:space="preserve">. </w:t>
      </w:r>
      <w:r w:rsidRPr="0087237A">
        <w:rPr>
          <w:rStyle w:val="Emphasis"/>
        </w:rPr>
        <w:t>These</w:t>
      </w:r>
      <w:r>
        <w:rPr>
          <w:rStyle w:val="Emphasis"/>
        </w:rPr>
        <w:t xml:space="preserve"> </w:t>
      </w:r>
      <w:r w:rsidRPr="0087237A">
        <w:rPr>
          <w:rStyle w:val="Emphasis"/>
        </w:rPr>
        <w:t>domains of exclusion reveal the coercive and regulatory consequences</w:t>
      </w:r>
      <w:r>
        <w:rPr>
          <w:rStyle w:val="Emphasis"/>
        </w:rPr>
        <w:t xml:space="preserve"> </w:t>
      </w:r>
      <w:r w:rsidRPr="0087237A">
        <w:rPr>
          <w:rStyle w:val="Emphasis"/>
        </w:rPr>
        <w:t>of that construction, even when the construction</w:t>
      </w:r>
      <w:r>
        <w:rPr>
          <w:rStyle w:val="Emphasis"/>
        </w:rPr>
        <w:t xml:space="preserve"> </w:t>
      </w:r>
      <w:r w:rsidRPr="0087237A">
        <w:rPr>
          <w:rStyle w:val="Emphasis"/>
        </w:rPr>
        <w:t>has been elaborated for emancipatory purposes</w:t>
      </w:r>
      <w:r w:rsidRPr="0087237A">
        <w:rPr>
          <w:sz w:val="16"/>
        </w:rPr>
        <w:t xml:space="preserve">. Indeed, </w:t>
      </w:r>
      <w:r w:rsidRPr="00BB028D">
        <w:rPr>
          <w:rStyle w:val="StyleUnderline"/>
        </w:rPr>
        <w:t>the</w:t>
      </w:r>
      <w:r>
        <w:rPr>
          <w:rStyle w:val="StyleUnderline"/>
        </w:rPr>
        <w:t xml:space="preserve"> </w:t>
      </w:r>
      <w:r w:rsidRPr="00BB028D">
        <w:rPr>
          <w:rStyle w:val="StyleUnderline"/>
        </w:rPr>
        <w:t>fragmentation within feminism and the paradoxical opposition</w:t>
      </w:r>
      <w:r>
        <w:rPr>
          <w:rStyle w:val="StyleUnderline"/>
        </w:rPr>
        <w:t xml:space="preserve"> </w:t>
      </w:r>
      <w:r w:rsidRPr="00BB028D">
        <w:rPr>
          <w:rStyle w:val="StyleUnderline"/>
        </w:rPr>
        <w:t>to feminism from “women” whom feminism claims to</w:t>
      </w:r>
      <w:r>
        <w:rPr>
          <w:rStyle w:val="StyleUnderline"/>
        </w:rPr>
        <w:t xml:space="preserve"> </w:t>
      </w:r>
      <w:r w:rsidRPr="00BB028D">
        <w:rPr>
          <w:rStyle w:val="StyleUnderline"/>
        </w:rPr>
        <w:t>represent suggest the necessary limits of identity politics</w:t>
      </w:r>
      <w:r w:rsidRPr="0087237A">
        <w:rPr>
          <w:sz w:val="16"/>
        </w:rPr>
        <w:t xml:space="preserve">. The suggestion that feminism can seek wider representation for a subject that it itself constructs has the ironic consequence that feminist goals risk failure by refusing to take account of the constitutive powers of their own representational claims. This problem is not ameliorated through an appeal to the category of women for merely “strategic” purposes, for strategies always have meanings that exceed the purposes for which they are intended. In this case, exclusion itself might qualify as such an unintended yet consequential meaning. </w:t>
      </w:r>
      <w:r w:rsidRPr="00BB028D">
        <w:rPr>
          <w:rStyle w:val="StyleUnderline"/>
        </w:rPr>
        <w:t>By conforming to a</w:t>
      </w:r>
      <w:r>
        <w:rPr>
          <w:rStyle w:val="StyleUnderline"/>
        </w:rPr>
        <w:t xml:space="preserve"> </w:t>
      </w:r>
      <w:r w:rsidRPr="00BB028D">
        <w:rPr>
          <w:rStyle w:val="StyleUnderline"/>
        </w:rPr>
        <w:t>requirement of representational politics that feminism articulate</w:t>
      </w:r>
      <w:r w:rsidRPr="0087237A">
        <w:rPr>
          <w:sz w:val="16"/>
        </w:rPr>
        <w:t xml:space="preserve"> 6 gender trouble </w:t>
      </w:r>
      <w:r w:rsidRPr="00BB028D">
        <w:rPr>
          <w:rStyle w:val="StyleUnderline"/>
        </w:rPr>
        <w:t>a stable subject, feminism thus opens itself to charges of gross</w:t>
      </w:r>
      <w:r>
        <w:rPr>
          <w:rStyle w:val="StyleUnderline"/>
        </w:rPr>
        <w:t xml:space="preserve"> </w:t>
      </w:r>
      <w:r w:rsidRPr="00BB028D">
        <w:rPr>
          <w:rStyle w:val="StyleUnderline"/>
        </w:rPr>
        <w:t>misrepresentation</w:t>
      </w:r>
      <w:r w:rsidRPr="0087237A">
        <w:rPr>
          <w:sz w:val="16"/>
        </w:rPr>
        <w:t xml:space="preserve">. </w:t>
      </w:r>
      <w:r w:rsidRPr="00BB028D">
        <w:rPr>
          <w:rStyle w:val="StyleUnderline"/>
        </w:rPr>
        <w:t>Obviously, the political task is not to refuse representational</w:t>
      </w:r>
      <w:r>
        <w:rPr>
          <w:rStyle w:val="StyleUnderline"/>
        </w:rPr>
        <w:t xml:space="preserve"> </w:t>
      </w:r>
      <w:r w:rsidRPr="00BB028D">
        <w:rPr>
          <w:rStyle w:val="StyleUnderline"/>
        </w:rPr>
        <w:t>politics—as if we could. The juridical structures of language and</w:t>
      </w:r>
      <w:r>
        <w:rPr>
          <w:rStyle w:val="StyleUnderline"/>
        </w:rPr>
        <w:t xml:space="preserve"> </w:t>
      </w:r>
      <w:r w:rsidRPr="00BB028D">
        <w:rPr>
          <w:rStyle w:val="StyleUnderline"/>
        </w:rPr>
        <w:t>politics constitute the contemporary field of power; hence, there</w:t>
      </w:r>
      <w:r>
        <w:rPr>
          <w:rStyle w:val="StyleUnderline"/>
        </w:rPr>
        <w:t xml:space="preserve"> </w:t>
      </w:r>
      <w:r w:rsidRPr="00BB028D">
        <w:rPr>
          <w:rStyle w:val="StyleUnderline"/>
        </w:rPr>
        <w:t>is no position outside this field, but only a critical genealogy of</w:t>
      </w:r>
      <w:r>
        <w:rPr>
          <w:rStyle w:val="StyleUnderline"/>
        </w:rPr>
        <w:t xml:space="preserve"> </w:t>
      </w:r>
      <w:r w:rsidRPr="00BB028D">
        <w:rPr>
          <w:rStyle w:val="StyleUnderline"/>
        </w:rPr>
        <w:t>its own legitimating practices.</w:t>
      </w:r>
      <w:r w:rsidRPr="0087237A">
        <w:rPr>
          <w:sz w:val="16"/>
        </w:rPr>
        <w:t xml:space="preserve"> As such, the critical point of departure is the historical present, as Marx put it. And </w:t>
      </w:r>
      <w:r w:rsidRPr="00BB028D">
        <w:rPr>
          <w:rStyle w:val="Emphasis"/>
        </w:rPr>
        <w:t>the task is to</w:t>
      </w:r>
      <w:r>
        <w:rPr>
          <w:rStyle w:val="Emphasis"/>
        </w:rPr>
        <w:t xml:space="preserve"> </w:t>
      </w:r>
      <w:r w:rsidRPr="00BB028D">
        <w:rPr>
          <w:rStyle w:val="Emphasis"/>
        </w:rPr>
        <w:t>formulate within this constituted frame a critique of the categories</w:t>
      </w:r>
      <w:r>
        <w:rPr>
          <w:rStyle w:val="Emphasis"/>
        </w:rPr>
        <w:t xml:space="preserve"> </w:t>
      </w:r>
      <w:r w:rsidRPr="00BB028D">
        <w:rPr>
          <w:rStyle w:val="Emphasis"/>
        </w:rPr>
        <w:t>of identity that contemporary juridical structures engender,</w:t>
      </w:r>
      <w:r>
        <w:rPr>
          <w:rStyle w:val="Emphasis"/>
        </w:rPr>
        <w:t xml:space="preserve"> </w:t>
      </w:r>
      <w:r w:rsidRPr="00BB028D">
        <w:rPr>
          <w:rStyle w:val="Emphasis"/>
        </w:rPr>
        <w:t>naturalize, and immobilize</w:t>
      </w:r>
      <w:r w:rsidRPr="0087237A">
        <w:rPr>
          <w:sz w:val="16"/>
        </w:rPr>
        <w:t xml:space="preserve">. Perhaps there is an opportunity at this juncture of cultural politics, a period that some would call “postfeminist,” to reflect from within a feminist perspective on the injunction to construct a subject of feminism. </w:t>
      </w:r>
      <w:r w:rsidRPr="00BB028D">
        <w:rPr>
          <w:rStyle w:val="StyleUnderline"/>
        </w:rPr>
        <w:t>Within feminist political practice, a radical</w:t>
      </w:r>
      <w:r>
        <w:rPr>
          <w:rStyle w:val="StyleUnderline"/>
        </w:rPr>
        <w:t xml:space="preserve"> </w:t>
      </w:r>
      <w:r w:rsidRPr="00BB028D">
        <w:rPr>
          <w:rStyle w:val="StyleUnderline"/>
        </w:rPr>
        <w:t>rethinking of the ontological constructions of identity appears to</w:t>
      </w:r>
      <w:r>
        <w:rPr>
          <w:rStyle w:val="StyleUnderline"/>
        </w:rPr>
        <w:t xml:space="preserve"> </w:t>
      </w:r>
      <w:r w:rsidRPr="00BB028D">
        <w:rPr>
          <w:rStyle w:val="StyleUnderline"/>
        </w:rPr>
        <w:t>be necessary in order to formulate a representational politics that</w:t>
      </w:r>
      <w:r>
        <w:rPr>
          <w:rStyle w:val="StyleUnderline"/>
        </w:rPr>
        <w:t xml:space="preserve"> </w:t>
      </w:r>
      <w:r w:rsidRPr="00BB028D">
        <w:rPr>
          <w:rStyle w:val="StyleUnderline"/>
        </w:rPr>
        <w:t>might revive feminism on other grounds</w:t>
      </w:r>
      <w:r w:rsidRPr="0087237A">
        <w:rPr>
          <w:sz w:val="16"/>
        </w:rPr>
        <w:t xml:space="preserve">. On the other hand, </w:t>
      </w:r>
      <w:r w:rsidRPr="00BB028D">
        <w:rPr>
          <w:rStyle w:val="StyleUnderline"/>
        </w:rPr>
        <w:t>it</w:t>
      </w:r>
      <w:r>
        <w:rPr>
          <w:rStyle w:val="StyleUnderline"/>
        </w:rPr>
        <w:t xml:space="preserve"> </w:t>
      </w:r>
      <w:r w:rsidRPr="00BB028D">
        <w:rPr>
          <w:rStyle w:val="StyleUnderline"/>
        </w:rPr>
        <w:t>may be time to entertain a radical critique that seeks to free</w:t>
      </w:r>
      <w:r>
        <w:rPr>
          <w:rStyle w:val="StyleUnderline"/>
        </w:rPr>
        <w:t xml:space="preserve"> </w:t>
      </w:r>
      <w:r w:rsidRPr="00BB028D">
        <w:rPr>
          <w:rStyle w:val="StyleUnderline"/>
        </w:rPr>
        <w:t>feminist theory from the necessity of having to construct a</w:t>
      </w:r>
      <w:r>
        <w:rPr>
          <w:rStyle w:val="StyleUnderline"/>
        </w:rPr>
        <w:t xml:space="preserve"> </w:t>
      </w:r>
      <w:r w:rsidRPr="00BB028D">
        <w:rPr>
          <w:rStyle w:val="StyleUnderline"/>
        </w:rPr>
        <w:t>single or abiding ground which is invariably contested by those</w:t>
      </w:r>
      <w:r>
        <w:rPr>
          <w:rStyle w:val="StyleUnderline"/>
        </w:rPr>
        <w:t xml:space="preserve"> </w:t>
      </w:r>
      <w:r w:rsidRPr="00BB028D">
        <w:rPr>
          <w:rStyle w:val="StyleUnderline"/>
        </w:rPr>
        <w:t>identity positions or anti-identity positions that it invariably</w:t>
      </w:r>
      <w:r>
        <w:rPr>
          <w:rStyle w:val="StyleUnderline"/>
        </w:rPr>
        <w:t xml:space="preserve"> </w:t>
      </w:r>
      <w:r w:rsidRPr="00BB028D">
        <w:rPr>
          <w:rStyle w:val="StyleUnderline"/>
        </w:rPr>
        <w:t>excludes</w:t>
      </w:r>
      <w:r w:rsidRPr="0087237A">
        <w:rPr>
          <w:sz w:val="16"/>
        </w:rPr>
        <w:t>.</w:t>
      </w:r>
      <w:r w:rsidRPr="00BB028D">
        <w:rPr>
          <w:rStyle w:val="StyleUnderline"/>
        </w:rPr>
        <w:t xml:space="preserve"> Do the exclusionary practices that ground </w:t>
      </w:r>
      <w:r w:rsidRPr="00BB028D">
        <w:rPr>
          <w:rStyle w:val="StyleUnderline"/>
        </w:rPr>
        <w:lastRenderedPageBreak/>
        <w:t>feminist</w:t>
      </w:r>
      <w:r>
        <w:rPr>
          <w:rStyle w:val="StyleUnderline"/>
        </w:rPr>
        <w:t xml:space="preserve"> </w:t>
      </w:r>
      <w:r w:rsidRPr="00BB028D">
        <w:rPr>
          <w:rStyle w:val="StyleUnderline"/>
        </w:rPr>
        <w:t>theory in a notion of “women” as subject paradoxically undercut</w:t>
      </w:r>
      <w:r>
        <w:rPr>
          <w:rStyle w:val="StyleUnderline"/>
        </w:rPr>
        <w:t xml:space="preserve"> </w:t>
      </w:r>
      <w:r w:rsidRPr="00BB028D">
        <w:rPr>
          <w:rStyle w:val="StyleUnderline"/>
        </w:rPr>
        <w:t>feminist goals to extend its claims to “representation”?</w:t>
      </w:r>
      <w:r w:rsidRPr="0087237A">
        <w:rPr>
          <w:sz w:val="16"/>
        </w:rPr>
        <w:t>5 Perhaps the problem is even more serious</w:t>
      </w:r>
      <w:r w:rsidRPr="00BB028D">
        <w:rPr>
          <w:rStyle w:val="StyleUnderline"/>
        </w:rPr>
        <w:t>. Is the construction</w:t>
      </w:r>
      <w:r>
        <w:rPr>
          <w:rStyle w:val="StyleUnderline"/>
        </w:rPr>
        <w:t xml:space="preserve"> </w:t>
      </w:r>
      <w:r w:rsidRPr="00BB028D">
        <w:rPr>
          <w:rStyle w:val="StyleUnderline"/>
        </w:rPr>
        <w:t>of the category of women as a coherent and stable subject an</w:t>
      </w:r>
      <w:r>
        <w:rPr>
          <w:rStyle w:val="StyleUnderline"/>
        </w:rPr>
        <w:t xml:space="preserve"> </w:t>
      </w:r>
      <w:r w:rsidRPr="00BB028D">
        <w:rPr>
          <w:rStyle w:val="StyleUnderline"/>
        </w:rPr>
        <w:t>unwitting regulation and reification of gender relations?</w:t>
      </w:r>
      <w:r w:rsidRPr="0087237A">
        <w:rPr>
          <w:sz w:val="16"/>
        </w:rPr>
        <w:t xml:space="preserve"> </w:t>
      </w:r>
      <w:r w:rsidRPr="00BB028D">
        <w:rPr>
          <w:rStyle w:val="StyleUnderline"/>
        </w:rPr>
        <w:t>And is</w:t>
      </w:r>
      <w:r>
        <w:rPr>
          <w:rStyle w:val="StyleUnderline"/>
        </w:rPr>
        <w:t xml:space="preserve"> </w:t>
      </w:r>
      <w:r w:rsidRPr="00BB028D">
        <w:rPr>
          <w:rStyle w:val="StyleUnderline"/>
        </w:rPr>
        <w:t>not such a reification precisely contrary to feminist aims? To</w:t>
      </w:r>
      <w:r>
        <w:rPr>
          <w:rStyle w:val="StyleUnderline"/>
        </w:rPr>
        <w:t xml:space="preserve"> </w:t>
      </w:r>
      <w:r w:rsidRPr="00BB028D">
        <w:rPr>
          <w:rStyle w:val="StyleUnderline"/>
        </w:rPr>
        <w:t>what extent does the category of women achieve stability and</w:t>
      </w:r>
      <w:r>
        <w:rPr>
          <w:rStyle w:val="StyleUnderline"/>
        </w:rPr>
        <w:t xml:space="preserve"> </w:t>
      </w:r>
      <w:r w:rsidRPr="00BB028D">
        <w:rPr>
          <w:rStyle w:val="StyleUnderline"/>
        </w:rPr>
        <w:t>coherence only in the context of the heterosexual matrix?</w:t>
      </w:r>
      <w:r w:rsidRPr="0087237A">
        <w:rPr>
          <w:sz w:val="16"/>
        </w:rPr>
        <w:t xml:space="preserve">6 If a stable notion of gender no longer proves to be the foundational premise of feminist politics, </w:t>
      </w:r>
      <w:r w:rsidRPr="00BB028D">
        <w:rPr>
          <w:rStyle w:val="StyleUnderline"/>
        </w:rPr>
        <w:t>perhaps a new sort of feminist politics</w:t>
      </w:r>
      <w:r>
        <w:rPr>
          <w:rStyle w:val="StyleUnderline"/>
        </w:rPr>
        <w:t xml:space="preserve"> </w:t>
      </w:r>
      <w:r w:rsidRPr="00BB028D">
        <w:rPr>
          <w:rStyle w:val="StyleUnderline"/>
        </w:rPr>
        <w:t>is now desirable to contest the very reifications of gender and</w:t>
      </w:r>
      <w:r>
        <w:rPr>
          <w:rStyle w:val="StyleUnderline"/>
        </w:rPr>
        <w:t xml:space="preserve"> </w:t>
      </w:r>
      <w:r w:rsidRPr="00BB028D">
        <w:rPr>
          <w:rStyle w:val="StyleUnderline"/>
        </w:rPr>
        <w:t>subjects of sex/gender/desire</w:t>
      </w:r>
      <w:r w:rsidRPr="0087237A">
        <w:rPr>
          <w:sz w:val="16"/>
        </w:rPr>
        <w:t xml:space="preserve"> 7 identity, one </w:t>
      </w:r>
      <w:r w:rsidRPr="00BB028D">
        <w:rPr>
          <w:rStyle w:val="StyleUnderline"/>
        </w:rPr>
        <w:t>that will take the variable construction of identity</w:t>
      </w:r>
      <w:r>
        <w:rPr>
          <w:rStyle w:val="StyleUnderline"/>
        </w:rPr>
        <w:t xml:space="preserve"> </w:t>
      </w:r>
      <w:r w:rsidRPr="00BB028D">
        <w:rPr>
          <w:rStyle w:val="StyleUnderline"/>
        </w:rPr>
        <w:t>as both a methodological and normative prerequisite, if not a</w:t>
      </w:r>
      <w:r>
        <w:rPr>
          <w:rStyle w:val="StyleUnderline"/>
        </w:rPr>
        <w:t xml:space="preserve"> </w:t>
      </w:r>
      <w:r w:rsidRPr="00BB028D">
        <w:rPr>
          <w:rStyle w:val="StyleUnderline"/>
        </w:rPr>
        <w:t>political goal.</w:t>
      </w:r>
      <w:r>
        <w:rPr>
          <w:rStyle w:val="StyleUnderline"/>
        </w:rPr>
        <w:t xml:space="preserve"> </w:t>
      </w:r>
      <w:r w:rsidRPr="00BB028D">
        <w:rPr>
          <w:rStyle w:val="StyleUnderline"/>
        </w:rPr>
        <w:t>To trace the political operations that produce and conceal</w:t>
      </w:r>
      <w:r>
        <w:rPr>
          <w:rStyle w:val="StyleUnderline"/>
        </w:rPr>
        <w:t xml:space="preserve"> </w:t>
      </w:r>
      <w:r w:rsidRPr="00BB028D">
        <w:rPr>
          <w:rStyle w:val="StyleUnderline"/>
        </w:rPr>
        <w:t>what qualifies as the juridical subject of feminism is precisely the</w:t>
      </w:r>
      <w:r>
        <w:rPr>
          <w:rStyle w:val="StyleUnderline"/>
        </w:rPr>
        <w:t xml:space="preserve"> </w:t>
      </w:r>
      <w:r w:rsidRPr="00BB028D">
        <w:rPr>
          <w:rStyle w:val="StyleUnderline"/>
        </w:rPr>
        <w:t>task of a feminist genealogy of the category of women. In the course</w:t>
      </w:r>
      <w:r>
        <w:rPr>
          <w:rStyle w:val="StyleUnderline"/>
        </w:rPr>
        <w:t xml:space="preserve"> </w:t>
      </w:r>
      <w:r w:rsidRPr="00BB028D">
        <w:rPr>
          <w:rStyle w:val="StyleUnderline"/>
        </w:rPr>
        <w:t>of this effort to question “women” as the subject of feminism,</w:t>
      </w:r>
      <w:r>
        <w:rPr>
          <w:rStyle w:val="StyleUnderline"/>
        </w:rPr>
        <w:t xml:space="preserve"> </w:t>
      </w:r>
      <w:r w:rsidRPr="00BB028D">
        <w:rPr>
          <w:rStyle w:val="StyleUnderline"/>
        </w:rPr>
        <w:t>the unproblematic invocation of that category may prove to</w:t>
      </w:r>
      <w:r>
        <w:rPr>
          <w:rStyle w:val="StyleUnderline"/>
        </w:rPr>
        <w:t xml:space="preserve"> </w:t>
      </w:r>
      <w:r w:rsidRPr="00BB028D">
        <w:rPr>
          <w:rStyle w:val="StyleUnderline"/>
        </w:rPr>
        <w:t>preclude the possibility of feminism as a representational politics</w:t>
      </w:r>
      <w:r w:rsidRPr="0087237A">
        <w:rPr>
          <w:sz w:val="16"/>
        </w:rPr>
        <w:t xml:space="preserve">. </w:t>
      </w:r>
      <w:r w:rsidRPr="00BB028D">
        <w:rPr>
          <w:rStyle w:val="StyleUnderline"/>
        </w:rPr>
        <w:t>What sense does it make to extend representation to subjects</w:t>
      </w:r>
      <w:r>
        <w:rPr>
          <w:rStyle w:val="StyleUnderline"/>
        </w:rPr>
        <w:t xml:space="preserve"> </w:t>
      </w:r>
      <w:r w:rsidRPr="00BB028D">
        <w:rPr>
          <w:rStyle w:val="StyleUnderline"/>
        </w:rPr>
        <w:t>who are constructed through the exclusion of those who fail to</w:t>
      </w:r>
      <w:r>
        <w:rPr>
          <w:rStyle w:val="StyleUnderline"/>
        </w:rPr>
        <w:t xml:space="preserve"> </w:t>
      </w:r>
      <w:r w:rsidRPr="00BB028D">
        <w:rPr>
          <w:rStyle w:val="StyleUnderline"/>
        </w:rPr>
        <w:t>conform to unspoken normative requirements of the subject?</w:t>
      </w:r>
      <w:r>
        <w:rPr>
          <w:rStyle w:val="StyleUnderline"/>
        </w:rPr>
        <w:t xml:space="preserve"> </w:t>
      </w:r>
      <w:r w:rsidRPr="0087237A">
        <w:rPr>
          <w:sz w:val="16"/>
        </w:rPr>
        <w:t>What relations of domination and exclusion are inadvertently sustained when representation becomes the sole focus of politics? The identity of the feminist subject ought not to be the foundation of feminist politics, if the formation of the subject takes place within a field of power regularly buried through the assertion of that foundation. Perhaps, paradoxically, “representation” will be shown to make sense for feminism only when the subject of “women” is nowhere presumed</w:t>
      </w:r>
    </w:p>
    <w:p w:rsidR="00763BED" w:rsidRPr="00623601" w:rsidRDefault="00763BED" w:rsidP="00763BED"/>
    <w:p w:rsidR="008A75C1" w:rsidRDefault="008A75C1" w:rsidP="008A75C1">
      <w:pPr>
        <w:pStyle w:val="Heading4"/>
      </w:pPr>
      <w:r>
        <w:t xml:space="preserve">The alternative is a prerequisite to critical pedagogy, absent critical analysis of how gender and sex are culturally constructed, medical and scientific discourses will maintain that sex as a prediscursive fact of nature perpetuating cisnormativity in the classroom. </w:t>
      </w:r>
    </w:p>
    <w:p w:rsidR="008A75C1" w:rsidRDefault="008A75C1" w:rsidP="008A75C1">
      <w:r w:rsidRPr="006C01AB">
        <w:rPr>
          <w:b/>
          <w:bCs/>
          <w:u w:val="single"/>
        </w:rPr>
        <w:t>Butler 90</w:t>
      </w:r>
      <w:r w:rsidRPr="006C01AB">
        <w:br/>
        <w:t>Judith Butler, Maxine Elliot Professor in the Department of Comparative Literature and the Program of Critical Theory at the University of California, Berkeley. She received her Ph.D. in Philosophy from Yale University in 1984. “Gender Trouble” Routledge 2011</w:t>
      </w:r>
      <w:r>
        <w:t xml:space="preserve"> P.8-10</w:t>
      </w:r>
    </w:p>
    <w:p w:rsidR="008A75C1" w:rsidRDefault="008A75C1" w:rsidP="008A75C1">
      <w:pPr>
        <w:rPr>
          <w:sz w:val="16"/>
        </w:rPr>
      </w:pPr>
      <w:r w:rsidRPr="0043744C">
        <w:rPr>
          <w:sz w:val="16"/>
        </w:rPr>
        <w:t xml:space="preserve">Although the unproblematic unity of “women” is often invoked to construct a solidarity of identity, a split is introduced in the feminist subject by the distinction between sex and gender. Originally intended to dispute the biology-is-destiny formulation, </w:t>
      </w:r>
      <w:r w:rsidRPr="00AA6453">
        <w:rPr>
          <w:rStyle w:val="StyleUnderline"/>
        </w:rPr>
        <w:t>the distinction between sex and gender serves the argument that whatever biological intractability sex appears to have, gender is culturally constructed: hence, gender is neither the causal result of sex nor as seemingly fixed as sex</w:t>
      </w:r>
      <w:r w:rsidRPr="0043744C">
        <w:rPr>
          <w:sz w:val="16"/>
        </w:rPr>
        <w:t xml:space="preserve">. The unity of the subject is thus already potentially contested by the distinction that permits of gender as a multiple interpretation of sex.7 8 gender trouble If gender is the cultural meanings that the sexed body assumes, then a gender cannot be said to follow from a sex in any one way. Taken to its logical limit, </w:t>
      </w:r>
      <w:r w:rsidRPr="00AA6453">
        <w:rPr>
          <w:rStyle w:val="StyleUnderline"/>
        </w:rPr>
        <w:t>the sex/gender distinction suggests a radical discontinuity between sexed bodies and culturally constructed genders.</w:t>
      </w:r>
      <w:r w:rsidRPr="0043744C">
        <w:rPr>
          <w:sz w:val="16"/>
        </w:rPr>
        <w:t xml:space="preserve"> Assuming for the moment the stability of binary sex, </w:t>
      </w:r>
      <w:r w:rsidRPr="00AA6453">
        <w:rPr>
          <w:rStyle w:val="StyleUnderline"/>
        </w:rPr>
        <w:t>it does not follow that the construction of “men” will accrue exclusively to the bodies of males or that “women” will interpret only female bodies.</w:t>
      </w:r>
      <w:r w:rsidRPr="0043744C">
        <w:rPr>
          <w:sz w:val="16"/>
        </w:rPr>
        <w:t xml:space="preserve"> Further, even if the sexes appear to be unproblematically binary in their morphology and constitution (which will become a question), there is no reason to assume that genders ought also to remain as two. 8 </w:t>
      </w:r>
      <w:r w:rsidRPr="00AA6453">
        <w:rPr>
          <w:rStyle w:val="Emphasis"/>
        </w:rPr>
        <w:t>The presumption of a binary gender system implicitly retains the belief in a mimetic relation of gender to sex whereby gender mirrors sex or is otherwise restricted by it.</w:t>
      </w:r>
      <w:r w:rsidRPr="0043744C">
        <w:rPr>
          <w:sz w:val="16"/>
        </w:rPr>
        <w:t xml:space="preserve"> </w:t>
      </w:r>
      <w:r w:rsidRPr="00AA6453">
        <w:rPr>
          <w:rStyle w:val="StyleUnderline"/>
        </w:rPr>
        <w:t>When the constructed status of gender is theorized as radically independent of sex, gender itself becomes a free-floating artifice, with the consequence that man and masculine might just as easily signify a female body as a male one, and woman and feminine a male body as easily as a female one.</w:t>
      </w:r>
      <w:r w:rsidRPr="0043744C">
        <w:rPr>
          <w:sz w:val="16"/>
        </w:rPr>
        <w:t xml:space="preserve"> This radical splitting of the gendered subject poses yet another set of problems. Can we refer to a “given” sex or a “given” gender without first inquiring into how sex and/or gender is given, through what means? And </w:t>
      </w:r>
      <w:r w:rsidRPr="00AA6453">
        <w:rPr>
          <w:rStyle w:val="StyleUnderline"/>
        </w:rPr>
        <w:t xml:space="preserve">what is “sex” anyway? Is it natural, anatomical, chromosomal, or hormonal, and how </w:t>
      </w:r>
      <w:r w:rsidRPr="00AA6453">
        <w:rPr>
          <w:rStyle w:val="StyleUnderline"/>
        </w:rPr>
        <w:lastRenderedPageBreak/>
        <w:t>is a feminist critic to assess the scientific discourses which purport to establish such “facts” for us?</w:t>
      </w:r>
      <w:r w:rsidRPr="0043744C">
        <w:rPr>
          <w:sz w:val="16"/>
        </w:rPr>
        <w:t xml:space="preserve">9 Does sex have a history?10 Does each sex have a different history, or histories? Is there a history of how the duality of sex was established, a genealogy that might expose the binary options as a variable construction? </w:t>
      </w:r>
      <w:r w:rsidRPr="00AA6453">
        <w:rPr>
          <w:rStyle w:val="StyleUnderline"/>
        </w:rPr>
        <w:t>Are the ostensibly natural facts of sex discursively produced by various scientific discourses in the service of other political and social interests?</w:t>
      </w:r>
      <w:r w:rsidRPr="0043744C">
        <w:rPr>
          <w:sz w:val="16"/>
        </w:rPr>
        <w:t xml:space="preserve"> If the immutable character of sex is contested, perhaps this construct called “sex” is as culturally constructed as gender; indeed, perhaps it was always already gender, with the consequence that the distinction between sex and gender turns out to be no distinction at all.11 It would make no sense, then, to define gender as the cultural interpretation of sex, if sex itself is a gendered category. Gender ought not to be conceived merely as the cultural inscription of meaning on a pregiven sex (a juridical conception); </w:t>
      </w:r>
      <w:r w:rsidRPr="0043744C">
        <w:rPr>
          <w:rStyle w:val="StyleUnderline"/>
        </w:rPr>
        <w:t>gender must also designate the very apparatus of production whereby the sexes themselves are established</w:t>
      </w:r>
      <w:r w:rsidRPr="0043744C">
        <w:rPr>
          <w:sz w:val="16"/>
        </w:rPr>
        <w:t xml:space="preserve">. As a result, gender is not to culture as sex is to nature; </w:t>
      </w:r>
      <w:r w:rsidRPr="0043744C">
        <w:rPr>
          <w:rStyle w:val="StyleUnderline"/>
        </w:rPr>
        <w:t>gender is also the discursive/cultural means by which “sexed nature” or “a natural sex” is produced and established as “prediscursive,” prior to culture, a politically neutral surface on which culture acts.</w:t>
      </w:r>
      <w:r w:rsidRPr="0043744C">
        <w:rPr>
          <w:sz w:val="16"/>
        </w:rPr>
        <w:t xml:space="preserve"> This construction of “sex” as the radically unconstructed will concern us again in the discussion of Lévi-Strauss and structuralism in chapter 2. At this juncture it is already clear that </w:t>
      </w:r>
      <w:r w:rsidRPr="0043744C">
        <w:rPr>
          <w:rStyle w:val="StyleUnderline"/>
        </w:rPr>
        <w:t>one way the internal stability and binary frame for sex is effectively secured is by casting the duality of sex in a prediscursive domain.</w:t>
      </w:r>
      <w:r w:rsidRPr="0043744C">
        <w:rPr>
          <w:sz w:val="16"/>
        </w:rPr>
        <w:t xml:space="preserve"> This production of sex as the prediscursive ought to be understood as the effect of the apparatus of cultural construction designated by gender. How, then, does </w:t>
      </w:r>
      <w:r w:rsidRPr="0043744C">
        <w:rPr>
          <w:rStyle w:val="StyleUnderline"/>
        </w:rPr>
        <w:t>gender need to be reformulated to encompass the power relations that produce the effect of a prediscursive sex and so conceal that very operation of discursive production</w:t>
      </w:r>
      <w:r w:rsidRPr="0043744C">
        <w:rPr>
          <w:sz w:val="16"/>
        </w:rPr>
        <w:t>?</w:t>
      </w:r>
    </w:p>
    <w:p w:rsidR="008A75C1" w:rsidRDefault="008A75C1" w:rsidP="008A75C1">
      <w:pPr>
        <w:rPr>
          <w:sz w:val="16"/>
        </w:rPr>
      </w:pPr>
    </w:p>
    <w:p w:rsidR="00763BED" w:rsidRDefault="00763BED" w:rsidP="00763BED">
      <w:pPr>
        <w:pStyle w:val="Heading3"/>
      </w:pPr>
      <w:bookmarkStart w:id="96" w:name="_Toc489138985"/>
      <w:r>
        <w:lastRenderedPageBreak/>
        <w:t>Thesis Card: Affect/Assemblage Theory</w:t>
      </w:r>
      <w:bookmarkEnd w:id="96"/>
    </w:p>
    <w:p w:rsidR="00814C9D" w:rsidRDefault="00814C9D" w:rsidP="00763BED">
      <w:pPr>
        <w:pStyle w:val="Heading4"/>
      </w:pPr>
      <w:r>
        <w:t xml:space="preserve">Heteronormativity is structured by and through affective assmeblages that regulate desire and subjectivity. </w:t>
      </w:r>
    </w:p>
    <w:p w:rsidR="00763BED" w:rsidRPr="008C5F0F" w:rsidRDefault="00763BED" w:rsidP="00763BED">
      <w:pPr>
        <w:pStyle w:val="Heading4"/>
      </w:pPr>
      <w:r>
        <w:t xml:space="preserve">Rasmussen &amp; Allen, 14 </w:t>
      </w:r>
      <w:r w:rsidRPr="0071355A">
        <w:rPr>
          <w:b w:val="0"/>
          <w:sz w:val="16"/>
          <w:szCs w:val="16"/>
        </w:rPr>
        <w:t>[ Mary Lou Rasmussen is BA Hons (Uni Melb.) Grad Dip Ed. (UCAN) and a PhD (UniSA) at ANU College of Arts and Social Sciences, and Louisa Allen is a Professor of Gender Studies at the University of Auckland and is PhD, MA, BA from Cambridge University | “What can a concept do? Rethinking education’s queer assemblages” Discourse: Studies in the Cultural Politics of Education, 2014</w:t>
      </w:r>
      <w:r w:rsidRPr="0071355A">
        <w:rPr>
          <w:rFonts w:ascii="MS Mincho" w:eastAsia="MS Mincho" w:hAnsi="MS Mincho" w:cs="MS Mincho"/>
          <w:b w:val="0"/>
          <w:sz w:val="16"/>
          <w:szCs w:val="16"/>
        </w:rPr>
        <w:t> </w:t>
      </w:r>
      <w:r w:rsidRPr="0071355A">
        <w:rPr>
          <w:b w:val="0"/>
          <w:sz w:val="16"/>
          <w:szCs w:val="16"/>
        </w:rPr>
        <w:t>Vol. 35, No. 3 pg. 438-441]</w:t>
      </w:r>
    </w:p>
    <w:p w:rsidR="00763BED" w:rsidRPr="008C5F0F" w:rsidRDefault="00763BED" w:rsidP="00763BED">
      <w:pPr>
        <w:pStyle w:val="Heading4"/>
      </w:pPr>
    </w:p>
    <w:p w:rsidR="00763BED" w:rsidRPr="009823D2" w:rsidRDefault="00763BED" w:rsidP="00763BED">
      <w:pPr>
        <w:rPr>
          <w:sz w:val="14"/>
        </w:rPr>
      </w:pPr>
      <w:r w:rsidRPr="009823D2">
        <w:rPr>
          <w:sz w:val="14"/>
        </w:rPr>
        <w:t xml:space="preserve">We now turn to a consideration of Judith Halberstam’s The Queer Art of Failure (2011) and Lauren Berlant’s Cruel Optimism (2011). Halberstam takes failure as an art, while Berlant considers attachments that bind us to particular fantasies of the good life. </w:t>
      </w:r>
      <w:r w:rsidRPr="007776B8">
        <w:rPr>
          <w:rStyle w:val="StyleUnderline"/>
        </w:rPr>
        <w:t>In</w:t>
      </w:r>
      <w:r w:rsidRPr="009823D2">
        <w:rPr>
          <w:sz w:val="14"/>
        </w:rPr>
        <w:t xml:space="preserve"> their analysis </w:t>
      </w:r>
      <w:r w:rsidRPr="007776B8">
        <w:rPr>
          <w:rStyle w:val="StyleUnderline"/>
        </w:rPr>
        <w:t>of failure and the good life, the object</w:t>
      </w:r>
      <w:r w:rsidRPr="009823D2">
        <w:rPr>
          <w:sz w:val="14"/>
        </w:rPr>
        <w:t xml:space="preserve"> of their critique </w:t>
      </w:r>
      <w:r w:rsidRPr="007776B8">
        <w:rPr>
          <w:rStyle w:val="StyleUnderline"/>
        </w:rPr>
        <w:t xml:space="preserve">is not constrained to sexuality or identity politics; the terrain </w:t>
      </w:r>
      <w:r w:rsidRPr="009823D2">
        <w:rPr>
          <w:sz w:val="14"/>
        </w:rPr>
        <w:t xml:space="preserve">they engage </w:t>
      </w:r>
      <w:r w:rsidRPr="007776B8">
        <w:rPr>
          <w:rStyle w:val="StyleUnderline"/>
        </w:rPr>
        <w:t xml:space="preserve">is far more fertile. </w:t>
      </w:r>
      <w:r w:rsidRPr="009823D2">
        <w:rPr>
          <w:sz w:val="14"/>
        </w:rPr>
        <w:t xml:space="preserve">Together, these texts afford us opportunities to interrogate the productivity of thinking about education and the educational experience as fraught. Inspired by Halberstam and Berlant, rather, than </w:t>
      </w:r>
      <w:r w:rsidRPr="007776B8">
        <w:rPr>
          <w:rStyle w:val="StyleUnderline"/>
        </w:rPr>
        <w:t>endeavoring to turn “the bad” into “the good,” or to turn away from “the bad” – our aim is to trace some of failure’s assemblages in education, in order to come to know more about failure’s associated affects, particularly through the frame of “cruel optimism,”</w:t>
      </w:r>
      <w:r w:rsidRPr="009823D2">
        <w:rPr>
          <w:sz w:val="14"/>
        </w:rPr>
        <w:t xml:space="preserve"> and what Lisa Duggan (2013) has more recently termed “optimistic cruelty.” For Halberstam, “</w:t>
      </w:r>
      <w:r w:rsidRPr="007776B8">
        <w:rPr>
          <w:rStyle w:val="Emphasis"/>
        </w:rPr>
        <w:t>Queer studies offer us one method for imagining, not some fantasy of an elsewhere, but existing alternatives to hegemonic systems</w:t>
      </w:r>
      <w:r w:rsidRPr="009823D2">
        <w:rPr>
          <w:sz w:val="14"/>
        </w:rPr>
        <w:t>” (2011, p. 89). So when “</w:t>
      </w:r>
      <w:r w:rsidRPr="007776B8">
        <w:rPr>
          <w:rStyle w:val="Emphasis"/>
        </w:rPr>
        <w:t xml:space="preserve">heteronormative common sense leads to the equation of success with advancement, capital accumulation, family, ethical conduct, and hope” a queer analysis is critical of this common sense and its association of failure with “non-conformity, anticapitalist practices, nonreproductive life styles, negativity and critique” </w:t>
      </w:r>
      <w:r w:rsidRPr="009823D2">
        <w:rPr>
          <w:sz w:val="14"/>
        </w:rPr>
        <w:t xml:space="preserve">(p. 89). Inspired by Halberstam, we aim to take discourses of failure in education in a different direction by way of thinking through some of our national attachments to particular ideas about what is “good” in education, and to think about how these fantasies of the good can come undone or go awry. While Halberstam’s focus is on failure, we also see Berlant’s focus on “cruel optimism” as a useful analytic frame for queering failure. Berlant distinguishes between optimism as an emotion one might feel, and optimism as an “affective structure,” her interest is in the latter. Her emphasis is on thinking through how particular neoliberal structures shape our fantasies and bind us to particular modes of existence. </w:t>
      </w:r>
      <w:r w:rsidRPr="007776B8">
        <w:rPr>
          <w:rStyle w:val="StyleUnderline"/>
        </w:rPr>
        <w:t xml:space="preserve">Two especially powerful affective structures that are pertinent to education relate to the notion that families will care for us, and that schools and institutions promote democracy and meritocracy. </w:t>
      </w:r>
      <w:r w:rsidRPr="009823D2">
        <w:rPr>
          <w:sz w:val="14"/>
        </w:rPr>
        <w:t>Berlant evokes “</w:t>
      </w:r>
      <w:r w:rsidRPr="007776B8">
        <w:rPr>
          <w:rStyle w:val="StyleUnderline"/>
        </w:rPr>
        <w:t>the promise of familial love</w:t>
      </w:r>
      <w:r w:rsidRPr="009823D2">
        <w:rPr>
          <w:sz w:val="14"/>
        </w:rPr>
        <w:t xml:space="preserve">” as </w:t>
      </w:r>
      <w:r w:rsidRPr="007776B8">
        <w:rPr>
          <w:rStyle w:val="StyleUnderline"/>
        </w:rPr>
        <w:t>an “incitement to misrecognize the bad life as the good one”</w:t>
      </w:r>
      <w:r w:rsidRPr="009823D2">
        <w:rPr>
          <w:sz w:val="14"/>
        </w:rPr>
        <w:t xml:space="preserve"> (2011, p. 174). In both Australian and New Zealand contexts, one might evoke fantasies about the power of the promise of the “good school” in order to see Berlant’s cruel optimism being powerfully evoked. Australians are told that </w:t>
      </w:r>
      <w:r w:rsidRPr="007776B8">
        <w:rPr>
          <w:rStyle w:val="Emphasis"/>
        </w:rPr>
        <w:t>good schools will smooth entry into the higher echelons of university and corporate life. An investment in elite schooling thus becomes an incitement to misrecognize corporate and academic success as key to the “good life.”</w:t>
      </w:r>
      <w:r w:rsidRPr="009823D2">
        <w:rPr>
          <w:sz w:val="14"/>
        </w:rPr>
        <w:t xml:space="preserve"> </w:t>
      </w:r>
      <w:r w:rsidRPr="007776B8">
        <w:rPr>
          <w:rStyle w:val="StyleUnderline"/>
        </w:rPr>
        <w:t>Expectations are built and investments are made (moral, financial, political, temporal) in these affective structures</w:t>
      </w:r>
      <w:r w:rsidRPr="009823D2">
        <w:rPr>
          <w:sz w:val="14"/>
        </w:rPr>
        <w:t xml:space="preserve">. </w:t>
      </w:r>
      <w:r w:rsidRPr="007776B8">
        <w:rPr>
          <w:rStyle w:val="StyleUnderline"/>
        </w:rPr>
        <w:t>However</w:t>
      </w:r>
      <w:r w:rsidRPr="009823D2">
        <w:rPr>
          <w:sz w:val="14"/>
        </w:rPr>
        <w:t xml:space="preserve">, for Berlant the emphasis on </w:t>
      </w:r>
      <w:r w:rsidRPr="007776B8">
        <w:rPr>
          <w:rStyle w:val="StyleUnderline"/>
        </w:rPr>
        <w:t>misrecognition</w:t>
      </w:r>
      <w:r w:rsidRPr="009823D2">
        <w:rPr>
          <w:sz w:val="14"/>
        </w:rPr>
        <w:t xml:space="preserve"> </w:t>
      </w:r>
      <w:r w:rsidRPr="007776B8">
        <w:rPr>
          <w:rStyle w:val="StyleUnderline"/>
        </w:rPr>
        <w:t>prompts a focus on the disorganization and destruction of capitalism. Good schools might be seen as places where dreams are nurtured, only to be unrealised if you are not the right type of girl; where aspirations continue to be cultivated – even when it is apparent that they may be unobtainable, empty, and/or unfulfilling</w:t>
      </w:r>
      <w:r w:rsidRPr="009823D2">
        <w:rPr>
          <w:sz w:val="14"/>
        </w:rPr>
        <w:t xml:space="preserve"> – even if you are the right type of girl. It is also possible to see the power of “cruel optimism” at play in Australia and New Zealand’s regimes of numeracy and literacy testing. In writing a report about the National Standards in the NZ context (a national system of assessment in literacy and numeracy), Martin Thrupp and Ann Easter (2012) note that: </w:t>
      </w:r>
      <w:r w:rsidRPr="007776B8">
        <w:rPr>
          <w:rStyle w:val="StyleUnderline"/>
        </w:rPr>
        <w:t>parental decision-making around schooling is not just about school and teacher quality</w:t>
      </w:r>
      <w:r w:rsidRPr="009823D2">
        <w:rPr>
          <w:sz w:val="14"/>
        </w:rPr>
        <w:t xml:space="preserve"> </w:t>
      </w:r>
      <w:r w:rsidRPr="007776B8">
        <w:rPr>
          <w:rStyle w:val="StyleUnderline"/>
        </w:rPr>
        <w:t>but</w:t>
      </w:r>
      <w:r w:rsidRPr="009823D2">
        <w:rPr>
          <w:sz w:val="14"/>
        </w:rPr>
        <w:t xml:space="preserve"> reflects SES and other contextual factors. This is because it </w:t>
      </w:r>
      <w:r w:rsidRPr="007776B8">
        <w:rPr>
          <w:rStyle w:val="StyleUnderline"/>
        </w:rPr>
        <w:t>is often dominated by concern about social mobility and the advantages that come with getting one’s child into a socially elite school setting</w:t>
      </w:r>
      <w:r w:rsidRPr="009823D2">
        <w:rPr>
          <w:sz w:val="14"/>
        </w:rPr>
        <w:t xml:space="preserve"> (Ball, 2003a, 2006; Lauder et al., 1999). Because high SES schooling is a positional good (Marginson, 1997), such schools are nearly always more popular than low SES schools, almost </w:t>
      </w:r>
      <w:r w:rsidRPr="007776B8">
        <w:rPr>
          <w:rStyle w:val="StyleUnderline"/>
        </w:rPr>
        <w:t>regardless of how well schools actually go about the task of helping students to learn</w:t>
      </w:r>
      <w:r w:rsidRPr="009823D2">
        <w:rPr>
          <w:sz w:val="14"/>
        </w:rPr>
        <w:t xml:space="preserve">. (Emphasis in original) (2012, p. 15) In the passage above Thrupp and Easter want to make clear that their report is informed by an understanding that parental attachments to schooling are not based principally on school performance data but on SES and other contextual factors. In </w:t>
      </w:r>
      <w:r w:rsidRPr="009823D2">
        <w:rPr>
          <w:sz w:val="14"/>
        </w:rPr>
        <w:lastRenderedPageBreak/>
        <w:t xml:space="preserve">endeavoring to understand the power of “SES and other contextual factors” in shaping desires for and investments in the “good school” </w:t>
      </w:r>
      <w:r w:rsidRPr="007776B8">
        <w:rPr>
          <w:rStyle w:val="Emphasis"/>
        </w:rPr>
        <w:t>the notion of “cruel optimism” is apposite</w:t>
      </w:r>
      <w:r w:rsidRPr="009823D2">
        <w:rPr>
          <w:sz w:val="14"/>
        </w:rPr>
        <w:t xml:space="preserve">. Sam Sellar (2013) also takes inspiration from </w:t>
      </w:r>
      <w:r w:rsidRPr="007776B8">
        <w:rPr>
          <w:rStyle w:val="StyleUnderline"/>
        </w:rPr>
        <w:t>Berlant’s “cruel optimism”</w:t>
      </w:r>
      <w:r w:rsidRPr="009823D2">
        <w:rPr>
          <w:sz w:val="14"/>
        </w:rPr>
        <w:t xml:space="preserve"> to </w:t>
      </w:r>
      <w:r w:rsidRPr="007776B8">
        <w:rPr>
          <w:rStyle w:val="StyleUnderline"/>
        </w:rPr>
        <w:t xml:space="preserve">critique the politics of aspiration and mobility </w:t>
      </w:r>
      <w:r w:rsidRPr="009823D2">
        <w:rPr>
          <w:sz w:val="14"/>
        </w:rPr>
        <w:t xml:space="preserve">in Australia.2 </w:t>
      </w:r>
      <w:r w:rsidRPr="007776B8">
        <w:rPr>
          <w:rStyle w:val="StyleUnderline"/>
        </w:rPr>
        <w:t>The “cruel optimism” of school choice denotes a powerful affective assemblage.</w:t>
      </w:r>
      <w:r w:rsidRPr="009823D2">
        <w:rPr>
          <w:sz w:val="14"/>
        </w:rPr>
        <w:t xml:space="preserve"> In utilizing the notion of affective assemblage we draw on the work of Davi Johnson Thornton. For Johnson Thornton (2011</w:t>
      </w:r>
      <w:r w:rsidRPr="007776B8">
        <w:rPr>
          <w:rStyle w:val="StyleUnderline"/>
        </w:rPr>
        <w:t>), affect is distinguished from emotion: an affective assemblage is a historically and culturally distinctive topography of investments, attentions, and felt obligations. Affective assemblages do not strictly determine under- standings and experiences of emotional life, but they do energize and permeate life.</w:t>
      </w:r>
      <w:r w:rsidRPr="009823D2">
        <w:rPr>
          <w:sz w:val="14"/>
        </w:rPr>
        <w:t xml:space="preserve"> (2011, p. 404)3 </w:t>
      </w:r>
      <w:r w:rsidRPr="007776B8">
        <w:rPr>
          <w:rStyle w:val="StyleUnderline"/>
        </w:rPr>
        <w:t>Affective assemblages that persistently reproduce understandings of and desires for particular types of “good schools” have come to permeate private and public discourses, emotions, notions of “what matters.” These affective assemblages animate feelings of guilt and pride, failure, achievement, and empowerment.</w:t>
      </w:r>
      <w:r w:rsidRPr="009823D2">
        <w:rPr>
          <w:sz w:val="14"/>
        </w:rPr>
        <w:t xml:space="preserve"> </w:t>
      </w:r>
      <w:r w:rsidRPr="007776B8">
        <w:rPr>
          <w:rStyle w:val="StyleUnderline"/>
        </w:rPr>
        <w:t>Parents, teachers, students, politicians, and researchers all play a part in the ongoing production of the “good schools” – together these assemblages continuously designate “what matters” and “who matters.”</w:t>
      </w:r>
      <w:r w:rsidRPr="009823D2">
        <w:rPr>
          <w:sz w:val="14"/>
        </w:rPr>
        <w:t xml:space="preserve"> In the Australian context, Raewyn Connell (2013) takes aim at the MySchool Website4 and at Australia’s National Assessment Program: Literacy and Numeracy (NAPLAN)5 because these technologies not only produce particular types of aspirations, but they also inform our understanding of failure in education.6 She writes that these technologies: persistently draw attention to the underachievers, the “at risk”, the nonperformers, the pockets of poverty, the bad schools, the bad families, the undermotivated, the excluded, the failures ... The genius of MySchool is to make a vast public display of the losers, school by failing school, into a centrepiece of national education policy – erecting an electronic pillory right in the middle of the mall. (Connell, 2013, p. 282) </w:t>
      </w:r>
      <w:r w:rsidRPr="007776B8">
        <w:rPr>
          <w:rStyle w:val="StyleUnderline"/>
        </w:rPr>
        <w:t>Our education systems entrench and celebrate failure, while those who are active and privileged consumers of education simultaneously turn away from league tables, preferring to rely on social networks to gain intelligence about the best schools in their neighborhood</w:t>
      </w:r>
      <w:r w:rsidRPr="009823D2">
        <w:rPr>
          <w:sz w:val="14"/>
        </w:rPr>
        <w:t xml:space="preserve">, city or state, or region (Rowe &amp; Windle, 2012; Thrupp &amp; Easter, 2012). In their essay Spinning in the NAPLAN ether, Greg Thompson and Ian Cook (2012) argue that NAPLAN and the MySchool website: are modulatory machines [engineering a] performative “terror” within the visible spaces of the school that causes the worrying participants in the education game to burrow deeper into the disciplinary space of the classroom. (p. 566) Here it is possible to see how the affective assemblage of cruel optimism not only holds out the promise of performance </w:t>
      </w:r>
      <w:r w:rsidRPr="007776B8">
        <w:rPr>
          <w:rStyle w:val="StyleUnderline"/>
        </w:rPr>
        <w:t>but also creates a concomitant terror of failing to perform</w:t>
      </w:r>
      <w:r w:rsidRPr="009823D2">
        <w:rPr>
          <w:sz w:val="14"/>
        </w:rPr>
        <w:t xml:space="preserve">. From this perspective, </w:t>
      </w:r>
      <w:r w:rsidRPr="007776B8">
        <w:rPr>
          <w:rStyle w:val="StyleUnderline"/>
        </w:rPr>
        <w:t>whether you succeed or fail is really beside the point; the affective assemblage of “cruel optimism” has modulated your performance, your worry, your success, and your failure.</w:t>
      </w:r>
      <w:r w:rsidRPr="009823D2">
        <w:rPr>
          <w:sz w:val="14"/>
        </w:rPr>
        <w:t xml:space="preserve"> Following on from this, we think it is productive to think about “</w:t>
      </w:r>
      <w:r w:rsidRPr="007776B8">
        <w:rPr>
          <w:rStyle w:val="StyleUnderline"/>
        </w:rPr>
        <w:t>cruel optimism in education through the prism of failure. We have also deliberately turned our attention to elite schooling because discourses about equity and marketization in education often focus on failing schools and students. Our desire is to think about how cruel optimism might also be instructive in analyzing schools that may be seem best placed to benefit from fantasies about the good life; schools that entrench inequity and successfully capitalize on marketization. High-fee and high-status schools produce graduates who will exercise power</w:t>
      </w:r>
      <w:r w:rsidRPr="009823D2">
        <w:rPr>
          <w:sz w:val="14"/>
        </w:rPr>
        <w:t xml:space="preserve">: in business, industry, politics and the professions, </w:t>
      </w:r>
      <w:r w:rsidRPr="007776B8">
        <w:rPr>
          <w:rStyle w:val="StyleUnderline"/>
        </w:rPr>
        <w:t>which results partly because of the social networks that they carry from school into their later lives. The educational and social segregation involved in their school-based social cocooning mean that such students have little lived sense of life</w:t>
      </w:r>
      <w:r w:rsidRPr="009823D2">
        <w:rPr>
          <w:sz w:val="14"/>
        </w:rPr>
        <w:t xml:space="preserve"> in wider Australia, let alone life on the bottom rungs. (Kenway, 2013, p. 305) These affective attachments to power might be characterized as an “Optimism of the Cruel” (Duggan, 2013). Such fantasies require further interrogation both when the promise of such schooling is realized and when it is not (Kenway, 2013, p. 305). A recent commentary by Lisa Duggan on Cruel Optimism is instructive here. Drawing on Berlant’s work, Duggan (2013) thinks about the production of elites via an analysis of the influence of Ayn Rand’s writings.7 She observes that: The glee that these novels elicit in so many readers who go on </w:t>
      </w:r>
      <w:r w:rsidRPr="009823D2">
        <w:rPr>
          <w:rStyle w:val="StyleUnderline"/>
        </w:rPr>
        <w:t>to promote greed as a social good might illuminate</w:t>
      </w:r>
      <w:r w:rsidRPr="009823D2">
        <w:rPr>
          <w:sz w:val="14"/>
        </w:rPr>
        <w:t xml:space="preserve"> the forms of feeling that recruit, not simply consent, but </w:t>
      </w:r>
      <w:r w:rsidRPr="009823D2">
        <w:rPr>
          <w:rStyle w:val="Emphasis"/>
        </w:rPr>
        <w:t>active participation in expanding inequalities and escalations of violence integrated with an optimistic belief that such policies produce the best outcomes.</w:t>
      </w:r>
      <w:r w:rsidRPr="009823D2">
        <w:rPr>
          <w:sz w:val="14"/>
        </w:rPr>
        <w:t xml:space="preserve"> (Duggan, 2013, no page no.) </w:t>
      </w:r>
      <w:r w:rsidRPr="009823D2">
        <w:rPr>
          <w:rStyle w:val="StyleUnderline"/>
        </w:rPr>
        <w:t>This faith in greed, competition and in expanding inequality requires an “optimism of cruelty”</w:t>
      </w:r>
      <w:r w:rsidRPr="009823D2">
        <w:rPr>
          <w:sz w:val="14"/>
        </w:rPr>
        <w:t xml:space="preserve"> – one might say that such a term would well characterize Ja’mie King – a fictional private school girl designed and played by Chris Lilley. Debi Enker (2013), an Australian television critic, describes Ja’mie as a “nasty, relentlessly self-absorbed and breathtakingly superficial piece of work.” She is the school captain of an elite Australian girls’ school. Her character takes pleasure in the dysfunction of heteronormative common sense and in the persecution of outsiders within the school. She often exercises unfettered power over peers, teachers, and her parents. But they are also complicit in her exercise of power – willing accomplices who are keen to join her circle of influence or to celebrate her industry and influence. </w:t>
      </w:r>
      <w:r w:rsidRPr="009823D2">
        <w:rPr>
          <w:rStyle w:val="StyleUnderline"/>
        </w:rPr>
        <w:t>The tendency of elite schools to promote greed and competition as social goods are also</w:t>
      </w:r>
      <w:r w:rsidRPr="009823D2">
        <w:rPr>
          <w:sz w:val="14"/>
        </w:rPr>
        <w:t xml:space="preserve"> explored in a recent Australian film, “Wasted on the Young” (2010), directed by Ben Lucas. In the film, the dream of private education goes bad (Scott, 2013) when high levels of entitlement and aspiration mingle with bullying and sibling rivalry to end in tragedy. In an interview about the making of the film, Lucas notes that: Plenty of people on the crew who had teenage kids were making rumblings about, “Oh, my son or daughter would never do this ... This is someone else’s kids.” [But] you can see the fear in their eyes. (Fulton, 2010, no page no.) This brief aside about the making of the film is telling in terms of thinking </w:t>
      </w:r>
      <w:r w:rsidRPr="009823D2">
        <w:rPr>
          <w:sz w:val="14"/>
        </w:rPr>
        <w:lastRenderedPageBreak/>
        <w:t xml:space="preserve">about failure in education. Parent’s worry about their children, but they are also prone to have faith in the institutions of schooling and family. The private schooling depicted in “Wasted on the Young” occurs in a zone where parents and teachers have no influence, for good or ill (Kroenert, 2011). The young people themselves must take responsibility for the dysfunction that is unleashed when entitlement and competition are unfettered. There are pleasures and anxieties to be had in investing in the right school; in embracing the opportunities it can afford. Even when it is known such schools can be sites of bullying and retribution – as a community, Australians (and New Zealanders) continue to heavily demonstrate our faith in them, and their capacity to deliver a future for our children that will involve upward mobility and job security. Stories, fiction and nonfiction, about how such schools foster a sense that greed is good, </w:t>
      </w:r>
      <w:r w:rsidRPr="009823D2">
        <w:rPr>
          <w:rStyle w:val="StyleUnderline"/>
        </w:rPr>
        <w:t>where inequality is intrinsic to meritocracy and a strong democracy, and, where “social hierarchy stands in for moral order”</w:t>
      </w:r>
      <w:r w:rsidRPr="009823D2">
        <w:rPr>
          <w:sz w:val="14"/>
        </w:rPr>
        <w:t xml:space="preserve"> (Kroenert, 2011, no page no.) seem to have little influence in shaking this faith. The optimism of cruelty continues to thrive. </w:t>
      </w:r>
    </w:p>
    <w:p w:rsidR="00763BED" w:rsidRPr="008C28BC" w:rsidRDefault="00763BED" w:rsidP="00763BED"/>
    <w:p w:rsidR="00763BED" w:rsidRDefault="00763BED" w:rsidP="00763BED">
      <w:pPr>
        <w:pStyle w:val="Heading3"/>
      </w:pPr>
      <w:bookmarkStart w:id="97" w:name="_Toc489138986"/>
      <w:r>
        <w:lastRenderedPageBreak/>
        <w:t>Thesis Card: Educational Futurism</w:t>
      </w:r>
      <w:bookmarkEnd w:id="97"/>
    </w:p>
    <w:p w:rsidR="00763BED" w:rsidRDefault="00763BED" w:rsidP="00763BED">
      <w:pPr>
        <w:pStyle w:val="Heading4"/>
      </w:pPr>
      <w:r>
        <w:t xml:space="preserve">The aff is indebted to an educational futurism where the figural Child tames the queer excess of childhood in favor of projecting a coherent subject that sustains the nation </w:t>
      </w:r>
    </w:p>
    <w:p w:rsidR="00763BED" w:rsidRDefault="00763BED" w:rsidP="00763BED">
      <w:r w:rsidRPr="00A71B72">
        <w:rPr>
          <w:rStyle w:val="Author-Date"/>
        </w:rPr>
        <w:t>Greteman &amp; Wojcikiewicz 2014</w:t>
      </w:r>
      <w:r>
        <w:t xml:space="preserve"> [ Adam J., Adjunct Assistant Professor of Art Education at the School of the Art Institute of Chicago; Steven K., Assistant Professor in the College of Education at Western Oregon University | “The Problems with the Future: Educational Futurism and the Figural Child” Journal of Philosophy of Education, Vol. 48, No. 4, 2014]</w:t>
      </w:r>
    </w:p>
    <w:p w:rsidR="00763BED" w:rsidRPr="00A71B72" w:rsidRDefault="00763BED" w:rsidP="00763BED">
      <w:pPr>
        <w:rPr>
          <w:sz w:val="16"/>
        </w:rPr>
      </w:pPr>
      <w:r w:rsidRPr="00A71B72">
        <w:rPr>
          <w:sz w:val="16"/>
        </w:rPr>
        <w:t xml:space="preserve"> ‘I touch the future’, Christa McAuliffe said, ‘I teach’. This resonates with </w:t>
      </w:r>
      <w:r w:rsidRPr="007577E4">
        <w:rPr>
          <w:rStyle w:val="StyleUnderline"/>
        </w:rPr>
        <w:t>educators. By passing on skills, knowledge, and ideas</w:t>
      </w:r>
      <w:r w:rsidRPr="00A71B72">
        <w:rPr>
          <w:sz w:val="16"/>
        </w:rPr>
        <w:t xml:space="preserve"> that will be </w:t>
      </w:r>
      <w:r w:rsidRPr="007577E4">
        <w:rPr>
          <w:rStyle w:val="StyleUnderline"/>
        </w:rPr>
        <w:t>used at later times</w:t>
      </w:r>
      <w:r w:rsidRPr="00A71B72">
        <w:rPr>
          <w:sz w:val="16"/>
        </w:rPr>
        <w:t xml:space="preserve">, they </w:t>
      </w:r>
      <w:r w:rsidRPr="007577E4">
        <w:rPr>
          <w:rStyle w:val="StyleUnderline"/>
        </w:rPr>
        <w:t>reach out to an unseen future and touch it.</w:t>
      </w:r>
      <w:r w:rsidRPr="00A71B72">
        <w:rPr>
          <w:sz w:val="16"/>
        </w:rPr>
        <w:t xml:space="preserve"> Teachers tell their students to study and work hard, for the things they are learning will be needed in the future. The lesson of the day may be applied to a test at the end of the week, or it may be the basis for work that will be carried out at the next grade level. It may even help prepare a student for college, or for a job, or for a fulfilling life. Whatever the specifics, the commonality here is that </w:t>
      </w:r>
      <w:r w:rsidRPr="007577E4">
        <w:rPr>
          <w:rStyle w:val="StyleUnderline"/>
        </w:rPr>
        <w:t>learning now prepares students for a yet unknown then. Teaching and schooling are suffused with concern about</w:t>
      </w:r>
      <w:r w:rsidRPr="00A71B72">
        <w:rPr>
          <w:sz w:val="16"/>
        </w:rPr>
        <w:t xml:space="preserve">, discussion of, and focus on </w:t>
      </w:r>
      <w:r w:rsidRPr="007577E4">
        <w:rPr>
          <w:rStyle w:val="StyleUnderline"/>
        </w:rPr>
        <w:t>the future.</w:t>
      </w:r>
      <w:r w:rsidRPr="00A71B72">
        <w:rPr>
          <w:sz w:val="16"/>
        </w:rPr>
        <w:t xml:space="preserve"> </w:t>
      </w:r>
      <w:r w:rsidRPr="007577E4">
        <w:rPr>
          <w:rStyle w:val="Emphasis"/>
        </w:rPr>
        <w:t>This theme of futurity carries on beyond school walls and enters political discourse on education.</w:t>
      </w:r>
      <w:r w:rsidRPr="00A71B72">
        <w:rPr>
          <w:sz w:val="16"/>
        </w:rPr>
        <w:t xml:space="preserve"> President John F. Kennedy noted, ‘Children are the world’s most valuable resource and its best hope for the future’, while Malcolm X claimed ‘education is the passport to the future, for tomorrow belongs to those who prepare for it today’. </w:t>
      </w:r>
      <w:r w:rsidRPr="006C2C1D">
        <w:rPr>
          <w:rStyle w:val="StyleUnderline"/>
        </w:rPr>
        <w:t>But,</w:t>
      </w:r>
      <w:r w:rsidRPr="00A71B72">
        <w:rPr>
          <w:sz w:val="16"/>
        </w:rPr>
        <w:t xml:space="preserve"> </w:t>
      </w:r>
      <w:r w:rsidRPr="007577E4">
        <w:rPr>
          <w:rStyle w:val="StyleUnderline"/>
        </w:rPr>
        <w:t xml:space="preserve">education is </w:t>
      </w:r>
      <w:r w:rsidRPr="006C2C1D">
        <w:rPr>
          <w:rStyle w:val="StyleUnderline"/>
        </w:rPr>
        <w:t>not merely directed</w:t>
      </w:r>
      <w:r w:rsidRPr="007577E4">
        <w:rPr>
          <w:rStyle w:val="StyleUnderline"/>
        </w:rPr>
        <w:t xml:space="preserve"> toward the future of the individual, but also toward the future of the nation.</w:t>
      </w:r>
      <w:r w:rsidRPr="00A71B72">
        <w:rPr>
          <w:sz w:val="16"/>
        </w:rPr>
        <w:t xml:space="preserve"> A Nation at Risk, the oft-quoted 1983 US Department of Education report on the state of American education, tells us that, People are steadfast in their belief that education is the major foundation for the future strength of this country. They even considered education more important than developing the best industrial system or the strongest military force, perhaps because they understood education as the cornerstone of both . . . Very clearly, the public understands the primary importance of education as the foundation for a satisfying life, an enlightened and civil society, a strong economy, and a secure Nation (National Commission on Excellence in Education, The Public’s Commitment section, 1983, para. 2). Close to 20 years after the publication of A Nation at Risk, the most sweeping educational reform effort of our time, </w:t>
      </w:r>
      <w:r w:rsidRPr="007577E4">
        <w:rPr>
          <w:rStyle w:val="StyleUnderline"/>
        </w:rPr>
        <w:t>No Child Left Behind, returned the focus back to the Child, continuing the focus on the future in education and the necessity of the Child to maintain the competitiveness of the nation</w:t>
      </w:r>
      <w:r w:rsidRPr="00A71B72">
        <w:rPr>
          <w:sz w:val="16"/>
        </w:rPr>
        <w:t xml:space="preserve">. As former president George W. Bush asserted in one of his last speeches in office, NCLB, . . . starts with this concept: Every child can learn. We believe that it is important to have a high quality education if one is going to succeed in the 21st century. It’s no longer acceptable to be cranking people out of the school system and saying, okay, just go—you know, you can make a living just through manual labor alone. That’s going to happen for some, but it’s not the future of America, if we want to be a competitive nation as we head into the 21st century (Bush, 2009, para. 22). And more recently, President Obama, in a speech when he was running for the office, asserted, ‘We are the nation that has always understood that our future is inextricably linked to the education of our children’ (Obama, 2008, para. 10). Along the same lines, the current Secretary of Education, Arne Duncan, has stated that, ‘Today, more than ever, better schooling provides a down payment on the nation’s future’ (Duncan, 2009, para. 15). </w:t>
      </w:r>
      <w:r w:rsidRPr="007577E4">
        <w:rPr>
          <w:rStyle w:val="StyleUnderline"/>
        </w:rPr>
        <w:t>Within these statements, the future cannot be separated from those it relies on—predominately ‘children’. These assumptions made in regards to children, their role in the future, and schools’ roles in creating that future are seemingly ingrained in our society and our politics.</w:t>
      </w:r>
      <w:r w:rsidRPr="00A71B72">
        <w:rPr>
          <w:sz w:val="16"/>
        </w:rPr>
        <w:t xml:space="preserve"> The presence of this future focus may seem uncontroversial, its influence benign. Such assumptions may appear to be natural and beyond question, particularly since this futurist-focus originated, in part, with the spread of education during the Enlightenment, with its progress-oriented philosophical perspectives. Yet, we wish to question these assumptions, to explore how they can set narrow boundaries around children in schools. In carrying out this task, we employ the work of Lee Edelman and John Dewey to examine the educational ramifications of the focus on the future, which we call ‘educational futurism’ after Edelman’s (2004) ‘reproductive futurism’. Our argument seeks specifically to explore how </w:t>
      </w:r>
      <w:r w:rsidRPr="007577E4">
        <w:rPr>
          <w:rStyle w:val="Emphasis"/>
        </w:rPr>
        <w:t>educational futurism imposes limits on educational discourse and privileges a certain future, thus making it unthinkable to imagine ways outside of such a privileged future.</w:t>
      </w:r>
      <w:r>
        <w:rPr>
          <w:rStyle w:val="Emphasis"/>
        </w:rPr>
        <w:t xml:space="preserve"> </w:t>
      </w:r>
      <w:r w:rsidRPr="00A71B72">
        <w:rPr>
          <w:sz w:val="16"/>
        </w:rPr>
        <w:t xml:space="preserve">We turn to Edelman for his ‘reproductive futurism’, which is embodied in the regulatory figure of ‘the Child’, because it is seems particularly apt to the educational settings, practices and discourses which are our concern. </w:t>
      </w:r>
      <w:r w:rsidRPr="007577E4">
        <w:rPr>
          <w:rStyle w:val="StyleUnderline"/>
        </w:rPr>
        <w:t>This ‘figural Child’</w:t>
      </w:r>
      <w:r w:rsidRPr="00A71B72">
        <w:rPr>
          <w:sz w:val="16"/>
        </w:rPr>
        <w:t xml:space="preserve"> for Edelman </w:t>
      </w:r>
      <w:r w:rsidRPr="007577E4">
        <w:rPr>
          <w:rStyle w:val="StyleUnderline"/>
        </w:rPr>
        <w:t>‘alone embodies the citizen as an ideal, entitled to claim full rights to its future share in the nation’s good, though always at the cost of limiting the rights “real” citizens are allowed’</w:t>
      </w:r>
      <w:r w:rsidRPr="00A71B72">
        <w:rPr>
          <w:sz w:val="16"/>
        </w:rPr>
        <w:t xml:space="preserve"> (2004, p. 11). The Child exists in discourse and it limits discourse from engaging the unruly lives of children</w:t>
      </w:r>
      <w:r w:rsidRPr="007577E4">
        <w:rPr>
          <w:rStyle w:val="StyleUnderline"/>
        </w:rPr>
        <w:t>. The Child,</w:t>
      </w:r>
      <w:r w:rsidRPr="00A71B72">
        <w:rPr>
          <w:sz w:val="16"/>
        </w:rPr>
        <w:t xml:space="preserve"> for Edelman, </w:t>
      </w:r>
      <w:r w:rsidRPr="007577E4">
        <w:rPr>
          <w:rStyle w:val="StyleUnderline"/>
        </w:rPr>
        <w:t>is not representative of children. It is all there is.</w:t>
      </w:r>
      <w:r w:rsidRPr="00A71B72">
        <w:rPr>
          <w:sz w:val="16"/>
        </w:rPr>
        <w:t xml:space="preserve"> And </w:t>
      </w:r>
      <w:r w:rsidRPr="007577E4">
        <w:rPr>
          <w:rStyle w:val="StyleUnderline"/>
        </w:rPr>
        <w:t>actions taken in the name of the Child</w:t>
      </w:r>
      <w:r w:rsidRPr="00A71B72">
        <w:rPr>
          <w:sz w:val="16"/>
        </w:rPr>
        <w:t xml:space="preserve"> ignore, even </w:t>
      </w:r>
      <w:r w:rsidRPr="007577E4">
        <w:rPr>
          <w:rStyle w:val="StyleUnderline"/>
        </w:rPr>
        <w:t>exclude, the particularities and contexts that make children who they are</w:t>
      </w:r>
      <w:r w:rsidRPr="00A71B72">
        <w:rPr>
          <w:sz w:val="16"/>
        </w:rPr>
        <w:t xml:space="preserve">—alive </w:t>
      </w:r>
      <w:r w:rsidRPr="00A71B72">
        <w:rPr>
          <w:sz w:val="16"/>
        </w:rPr>
        <w:lastRenderedPageBreak/>
        <w:t xml:space="preserve">and unique. </w:t>
      </w:r>
      <w:r w:rsidRPr="007577E4">
        <w:rPr>
          <w:rStyle w:val="StyleUnderline"/>
        </w:rPr>
        <w:t>Edelman’s</w:t>
      </w:r>
      <w:r w:rsidRPr="00A71B72">
        <w:rPr>
          <w:sz w:val="16"/>
        </w:rPr>
        <w:t xml:space="preserve"> challenge then offers up a threat to education’s identification with the Child, a challenge that is not simply nihilistic, but which rather aims to see what is denied consideration and action. His </w:t>
      </w:r>
      <w:r w:rsidRPr="007577E4">
        <w:rPr>
          <w:rStyle w:val="StyleUnderline"/>
        </w:rPr>
        <w:t>project</w:t>
      </w:r>
      <w:r w:rsidRPr="00A71B72">
        <w:rPr>
          <w:sz w:val="16"/>
        </w:rPr>
        <w:t xml:space="preserve">, heavily reliant on Lacan’s death drive, </w:t>
      </w:r>
      <w:r w:rsidRPr="007577E4">
        <w:rPr>
          <w:rStyle w:val="StyleUnderline"/>
        </w:rPr>
        <w:t>offers a challenge to ‘a future whose beat goes on’ to expose the way ‘the political regime of futurism, unable to escape what it abjects, negates it as the negation of meaning, of the Child, and of the future the Child portends’</w:t>
      </w:r>
      <w:r w:rsidRPr="00A71B72">
        <w:rPr>
          <w:sz w:val="16"/>
        </w:rPr>
        <w:t xml:space="preserve"> (pp. 153–154). He insists, as such, on a politics that does not seek accommodation within such logic but an embrace of the negation, the unintelligible place of queerness, for it is in such an embrace that queer ethics can engage the violence against non-normative bodies. Dewey makes an appearance here because, though he has been narrowly and inaccurately portrayed as the benign father of student-centred, activity-oriented, open, and laissez-faire classroom methods, his positions are far more nuanced, and far more radical, in relation to children and the future (Dewey, 1938; Petrovic, 1998; Popkewitz, 2005; Prawat, 1995; Schleffler, 1974; Wong and Pugh, 2001). He presents a critique of a future focus in education that shows how such a focus means a loss, not only of present opportunities, but also of the promised future for children. Dewey, read in relation to Edelman’s engagement with futurism, offers a place within educational discourse to explore the possibility to engage educational futurism in ways that challenge the discourse of the Child illustrated in our opening statements. To focus on Dewey’s radical insights then is to challenge the innocent position to which he is often relegated. After all, it is the innocent Dewey, like the innocent Child, that supports and carries forward the status quo. Our focus on the radical insights of Dewey position him against the status quo, and against the Child, bringing a different, though complementary, perspective to our engagement with Edelman. Before moving forward, we would like to note that our approach in this analysis is not entirely new. As a critique of futurism, it questions a general characteristic of modernism, namely, a foundational belief that we will get ‘there’ someday (Lagemann, 2000). This belief asserts that wherever there might be, and in whatever endeavour we are engaged in, the point is that progress is possible and that our actions can be justified in the name of the inevitable and promising, though distant, end. This belief, the heart of futurism, has, in this postmodern time, been challenged on many occasions. Our argument, however, seeks specifically to explore how futurism, expressed through the iterative construction of the Child, shapes the ways that we can think about children and education. We will begin our analysis by describing Edelman’s reproductive futurism and its relation to education specifically. In this we will address Edelman’s the notion of the Child, the Child’s relation to children, and the impact of these concepts on education. Following this we will introduce John Dewey’s views of growth, life, and education, and show how these views can be read to engage a similar critique of the role of the future and the workings of normative or regulatory subjects.With our two theorists in place, we will seek to draw out connections and disconnections between them, illustrating the ways in which educational futurism ignores or overlooks the lived experiences of children. We conclude by briefly noting the queerness of children and the impact of such queerness on broadening discussions of the future of children. EDELMAN’S REPRODUCTIVE FUTURISM AND THE CHILD Edelman, in his book </w:t>
      </w:r>
      <w:r w:rsidRPr="00E375FB">
        <w:rPr>
          <w:rStyle w:val="StyleUnderline"/>
        </w:rPr>
        <w:t>No Future</w:t>
      </w:r>
      <w:r w:rsidRPr="00A71B72">
        <w:rPr>
          <w:sz w:val="16"/>
        </w:rPr>
        <w:t xml:space="preserve"> (2004) </w:t>
      </w:r>
      <w:r w:rsidRPr="00E375FB">
        <w:rPr>
          <w:rStyle w:val="StyleUnderline"/>
        </w:rPr>
        <w:t>uses queerness as a stance to critique, and resist,</w:t>
      </w:r>
      <w:r w:rsidRPr="00A71B72">
        <w:rPr>
          <w:sz w:val="16"/>
        </w:rPr>
        <w:t xml:space="preserve"> what he calls </w:t>
      </w:r>
      <w:r w:rsidRPr="00E375FB">
        <w:rPr>
          <w:rStyle w:val="StyleUnderline"/>
        </w:rPr>
        <w:t>‘reproductive futurism’.</w:t>
      </w:r>
      <w:r w:rsidRPr="00A71B72">
        <w:rPr>
          <w:sz w:val="16"/>
        </w:rPr>
        <w:t xml:space="preserve"> He lays out the boundaries of reproductive futurism as, . . . </w:t>
      </w:r>
      <w:r w:rsidRPr="00E375FB">
        <w:rPr>
          <w:rStyle w:val="StyleUnderline"/>
        </w:rPr>
        <w:t xml:space="preserve">terms that impose an ideological limit on political discourse as </w:t>
      </w:r>
      <w:r w:rsidRPr="005C0687">
        <w:rPr>
          <w:rStyle w:val="StyleUnderline"/>
        </w:rPr>
        <w:t>such, preserving</w:t>
      </w:r>
      <w:r w:rsidRPr="00A71B72">
        <w:rPr>
          <w:sz w:val="16"/>
        </w:rPr>
        <w:t xml:space="preserve"> in the process </w:t>
      </w:r>
      <w:r w:rsidRPr="005C0687">
        <w:rPr>
          <w:rStyle w:val="StyleUnderline"/>
        </w:rPr>
        <w:t>the absolute privilege of heteronormativity by rendering unthinkable</w:t>
      </w:r>
      <w:r w:rsidRPr="00A71B72">
        <w:rPr>
          <w:sz w:val="16"/>
        </w:rPr>
        <w:t xml:space="preserve">, by casting outside the political domain, </w:t>
      </w:r>
      <w:r w:rsidRPr="005C0687">
        <w:rPr>
          <w:rStyle w:val="StyleUnderline"/>
        </w:rPr>
        <w:t>the possibility of a queer resistance to this organizing principle of communal relations</w:t>
      </w:r>
      <w:r w:rsidRPr="00A71B72">
        <w:rPr>
          <w:sz w:val="16"/>
        </w:rPr>
        <w:t xml:space="preserve"> (2004, p. 2). Edelman claims that </w:t>
      </w:r>
      <w:r w:rsidRPr="005C0687">
        <w:rPr>
          <w:rStyle w:val="StyleUnderline"/>
        </w:rPr>
        <w:t>reproductive futurism sets the notion of reproduction, along with</w:t>
      </w:r>
      <w:r w:rsidRPr="00A71B72">
        <w:rPr>
          <w:sz w:val="16"/>
        </w:rPr>
        <w:t xml:space="preserve"> its complementary and concurrent idea of looking to </w:t>
      </w:r>
      <w:r w:rsidRPr="005C0687">
        <w:rPr>
          <w:rStyle w:val="StyleUnderline"/>
        </w:rPr>
        <w:t>the future, as dominant</w:t>
      </w:r>
      <w:r w:rsidRPr="00A71B72">
        <w:rPr>
          <w:sz w:val="16"/>
        </w:rPr>
        <w:t xml:space="preserve">, even natural, </w:t>
      </w:r>
      <w:r w:rsidRPr="005C0687">
        <w:rPr>
          <w:rStyle w:val="StyleUnderline"/>
        </w:rPr>
        <w:t>guides for being and acting in the political realm</w:t>
      </w:r>
      <w:r w:rsidRPr="00A71B72">
        <w:rPr>
          <w:sz w:val="16"/>
        </w:rPr>
        <w:t xml:space="preserve">. Because of this dominance, </w:t>
      </w:r>
      <w:r w:rsidRPr="005C0687">
        <w:rPr>
          <w:rStyle w:val="StyleUnderline"/>
        </w:rPr>
        <w:t>anything which lies outside of this brand of futurism lies outside</w:t>
      </w:r>
      <w:r w:rsidRPr="00A71B72">
        <w:rPr>
          <w:sz w:val="16"/>
        </w:rPr>
        <w:t xml:space="preserve"> of the pale of </w:t>
      </w:r>
      <w:r w:rsidRPr="005C0687">
        <w:rPr>
          <w:rStyle w:val="StyleUnderline"/>
        </w:rPr>
        <w:t>political thought and action</w:t>
      </w:r>
      <w:r w:rsidRPr="00A71B72">
        <w:rPr>
          <w:sz w:val="16"/>
        </w:rPr>
        <w:t xml:space="preserve">. It is, in short, unintelligible. </w:t>
      </w:r>
      <w:r w:rsidRPr="005C0687">
        <w:rPr>
          <w:rStyle w:val="StyleUnderline"/>
        </w:rPr>
        <w:t>Reproductive futurism acts</w:t>
      </w:r>
      <w:r w:rsidRPr="00A71B72">
        <w:rPr>
          <w:sz w:val="16"/>
        </w:rPr>
        <w:t xml:space="preserve">, in Edelman, </w:t>
      </w:r>
      <w:r w:rsidRPr="005C0687">
        <w:rPr>
          <w:rStyle w:val="StyleUnderline"/>
        </w:rPr>
        <w:t>through ‘the Child’, an image</w:t>
      </w:r>
      <w:r w:rsidRPr="00A71B72">
        <w:rPr>
          <w:sz w:val="16"/>
        </w:rPr>
        <w:t xml:space="preserve">, an identity, </w:t>
      </w:r>
      <w:r w:rsidRPr="005C0687">
        <w:rPr>
          <w:rStyle w:val="StyleUnderline"/>
        </w:rPr>
        <w:t xml:space="preserve">and a political tool </w:t>
      </w:r>
      <w:r w:rsidRPr="00A71B72">
        <w:rPr>
          <w:sz w:val="16"/>
        </w:rPr>
        <w:t xml:space="preserve">that he refers to as the ‘privileged embodiment’ of the future (Edelman, 2007, p. 471). </w:t>
      </w:r>
      <w:r w:rsidRPr="00B51387">
        <w:rPr>
          <w:rStyle w:val="Emphasis"/>
        </w:rPr>
        <w:t>‘We are no more able to conceive of politics without a fantasy of the future than we are able to conceive of a future without the figure of the Child</w:t>
      </w:r>
      <w:r w:rsidRPr="00A71B72">
        <w:rPr>
          <w:sz w:val="16"/>
        </w:rPr>
        <w:t xml:space="preserve"> (2004, p. 11). The Child creates a logic by which the political, within contemporary American politics, ‘must be thought’ (p. 2), since: . . . however radical the means by which specific constituencies attempt to produce a more desirable social order, remains, at its core, conservative insofar as it works to affirm a structure, to authenticate social order, which it then intends to transmit to the future in the form of it inner Child (pp. 2–3, italics in original). </w:t>
      </w:r>
      <w:r w:rsidRPr="00B51387">
        <w:rPr>
          <w:rStyle w:val="StyleUnderline"/>
        </w:rPr>
        <w:t>It is the Child that shapes and inspires social and political action</w:t>
      </w:r>
      <w:r w:rsidRPr="00A71B72">
        <w:rPr>
          <w:sz w:val="16"/>
        </w:rPr>
        <w:t xml:space="preserve">, action which is aimed at a future for the Child, </w:t>
      </w:r>
      <w:r w:rsidRPr="00B51387">
        <w:rPr>
          <w:rStyle w:val="StyleUnderline"/>
        </w:rPr>
        <w:t>and this underpins any ideology in contemporary politics.</w:t>
      </w:r>
      <w:r w:rsidRPr="00A71B72">
        <w:rPr>
          <w:sz w:val="16"/>
        </w:rPr>
        <w:t xml:space="preserve"> Edelman’s critique seeks to challenge this to embrace the negativity of that which is negated by the Child to disrupt the narrative trajectory the Child maintains and engage the unruly. Edelman’s critique and exposure of the Child and the Child’s structuring logic illustrates that the Child is exclusionary, de-legitimising all that which is not future-focused, or which does not benefit the Child in all its innocent, sentimentalised, and decontextualised (non)identity. </w:t>
      </w:r>
      <w:r w:rsidRPr="00B51387">
        <w:rPr>
          <w:rStyle w:val="StyleUnderline"/>
        </w:rPr>
        <w:t>The Child takes up the whole frame, permitting nothing else to be seen, recognised, or thinkable.</w:t>
      </w:r>
      <w:r w:rsidRPr="00A71B72">
        <w:rPr>
          <w:sz w:val="16"/>
        </w:rPr>
        <w:t xml:space="preserve"> However, Edelman makes it clear that the Child he writes of is figural and therefore ‘not to be confused with the lived experiences of any historical children’ (p. 11). </w:t>
      </w:r>
      <w:r w:rsidRPr="00B51387">
        <w:rPr>
          <w:rStyle w:val="StyleUnderline"/>
        </w:rPr>
        <w:t>Rather the figural Child ‘serves to regulate political discourse</w:t>
      </w:r>
      <w:r w:rsidRPr="00A71B72">
        <w:rPr>
          <w:sz w:val="16"/>
        </w:rPr>
        <w:t xml:space="preserve">—to prescribe what we count as political discourse—by compelling such discourse to accede in advance to the reality of a collective future whose figurative status we are never permitted to acknowledge or address’ (p. 11). In order to reveal the Child, and the full range of the meanings of the Child for discourse and action, Edelman (2004) proposes the ‘unthinkable’: he threatens the Child by queering it, since ‘queerness names the side of those not “fighting for the children”, the side outside the consensus by which all politics confirms the absolute value of reproductive futurism’ (p. 3). In queering the Child, these hidden discourses and contexts are exposed, and the Child is portrayed, not as the widely and easily accepted stand-in for children, but as an oppressive figure that closes down possibility and denies particularity, all in the name of a future that ‘is mere repetition and just as lethal as the past’, a future that is normatively, narrowly defined but never to be reached. (p. 31). It is important to understand, in this analysis, that to queer </w:t>
      </w:r>
      <w:r w:rsidRPr="00A71B72">
        <w:rPr>
          <w:sz w:val="16"/>
        </w:rPr>
        <w:lastRenderedPageBreak/>
        <w:t xml:space="preserve">the Child in the name of children is, by extension, to put children in the position of the queer. This, in turn, opens up many possibilities. Yet, making the claim that children are queer may provoke anxiety, or outrage because of the reach of the figural Child. Such a statement on the queerness of children, especially in the realm of education, disrupts the innocence of the Child as imagined and portrayed. It challenges the frame that sets the Child up as in need of a proper curriculum, in need of protection. Edelman acknowledges as much noting that, ‘for the cult of the Child permits no shrines to the queerness of boys and girls, since queerness, for contemporary culture at large . . . is understood as bringing children and childhood to an end’ (p. 19). Such anxiety, or even outrage, is useful for our purposes, for it helps reveal the contextualised, complex, and perhaps troubling realities that lie beneath the bland image of the Child. </w:t>
      </w:r>
      <w:r w:rsidRPr="00B51387">
        <w:rPr>
          <w:rStyle w:val="StyleUnderline"/>
        </w:rPr>
        <w:t xml:space="preserve">The Child is not an innocent position. The Child is </w:t>
      </w:r>
      <w:r w:rsidRPr="00A71B72">
        <w:rPr>
          <w:sz w:val="16"/>
        </w:rPr>
        <w:t xml:space="preserve">indeed </w:t>
      </w:r>
      <w:r w:rsidRPr="00B51387">
        <w:rPr>
          <w:rStyle w:val="StyleUnderline"/>
        </w:rPr>
        <w:t>the representative of positions that have been utilised politically to assault and reject those who do not support the Child</w:t>
      </w:r>
      <w:r w:rsidRPr="00A71B72">
        <w:rPr>
          <w:sz w:val="16"/>
        </w:rPr>
        <w:t xml:space="preserve">. The stories that have been told about the Child have followed a narrow narrative trajectory and to take a stand against the Child is to offer different stories, different narrative trajectories, and challenges to the future. In offering a challenge to this dominant story line on the Child asks that we stand against the maintenance of innocence, for it is its maintenance that inhibits experience and learning (Archard, 2004; Bruhm and Hurley, 2004; Buckingham, 2000). </w:t>
      </w:r>
      <w:r w:rsidRPr="002534A8">
        <w:rPr>
          <w:rStyle w:val="StyleUnderline"/>
        </w:rPr>
        <w:t>This maintenance of innocence on the part of the Child is an important piece of what separates the Child from children, and what makes the political Child such a totalising force for the suppression of children.</w:t>
      </w:r>
      <w:r w:rsidRPr="00A71B72">
        <w:rPr>
          <w:sz w:val="16"/>
        </w:rPr>
        <w:t xml:space="preserve"> This Child is one who is always innocent, always protected, and, as the potential for anxiety and outrage already mentioned alludes to, always inexperienced. </w:t>
      </w:r>
      <w:r w:rsidRPr="002534A8">
        <w:rPr>
          <w:rStyle w:val="StyleUnderline"/>
        </w:rPr>
        <w:t>Experience taints, disrupts, and ends innocence. And yet, experience itself is a vital characteristic of learning. Thus children in schools,</w:t>
      </w:r>
      <w:r w:rsidRPr="00A71B72">
        <w:rPr>
          <w:sz w:val="16"/>
        </w:rPr>
        <w:t xml:space="preserve"> those who are learning, </w:t>
      </w:r>
      <w:r w:rsidRPr="002534A8">
        <w:rPr>
          <w:rStyle w:val="StyleUnderline"/>
        </w:rPr>
        <w:t>are always already in a queer position.</w:t>
      </w:r>
      <w:r w:rsidRPr="00A71B72">
        <w:rPr>
          <w:sz w:val="16"/>
        </w:rPr>
        <w:t xml:space="preserve"> The Child’s image of innocence is merely an exclusionary political position, ‘a central reference point in a wider mythology of childhood that helps uphold an unjust moral order in which both adults and children are subject to the oppressive politics of purity’ (Davis, 2011, p. 381). To argue against the Child and its innocence is to open up that which the Child closes off, the real experiences and desires of children. DEWEY’S FOCUS ON GROWTH AND THE PRESENT IN EDUCATION John Dewey did not write about Queer Theory, or about the Child, but he did write about experience, and about how the political and educational discourses and actions of his day acted to deny the realities and experiences of children in the name of a future that would never be realised. Dewey’s ideas on education are rooted in his overall concern with growth. He equated education with growth, and growth with life (Dewey, 1916, 1934/ 1980, 1938; Granger, 2000; Hansen, 2000). This would, at first glance, seem itself to be a future-focused position, but Dewey adds that both education and growth must proceed for their own sakes. ‘Since growth is the characteristic of life’, he claims, ‘education is all one with growing; it has no end beyond itself’ (Dewey, 1916, p. 53). However, </w:t>
      </w:r>
      <w:r w:rsidRPr="00651266">
        <w:rPr>
          <w:rStyle w:val="StyleUnderline"/>
        </w:rPr>
        <w:t>if growth is ‘regarded as having an end, instead of being an end’</w:t>
      </w:r>
      <w:r w:rsidRPr="00A71B72">
        <w:rPr>
          <w:sz w:val="16"/>
        </w:rPr>
        <w:t xml:space="preserve"> (1916, p. 50, italics in original), </w:t>
      </w:r>
      <w:r w:rsidRPr="00651266">
        <w:rPr>
          <w:rStyle w:val="StyleUnderline"/>
        </w:rPr>
        <w:t>problems arise</w:t>
      </w:r>
      <w:r w:rsidRPr="001B0DA5">
        <w:rPr>
          <w:rStyle w:val="StyleUnderline"/>
        </w:rPr>
        <w:t>. This conception of growth arises when childhood is treated as an imperfect state during which children are moving toward adulthood</w:t>
      </w:r>
      <w:r w:rsidRPr="00A71B72">
        <w:rPr>
          <w:sz w:val="16"/>
        </w:rPr>
        <w:t xml:space="preserve">, the end of growth in the future. </w:t>
      </w:r>
      <w:r w:rsidRPr="001B0DA5">
        <w:rPr>
          <w:rStyle w:val="StyleUnderline"/>
        </w:rPr>
        <w:t>Dewey pushed against the notion</w:t>
      </w:r>
      <w:r w:rsidRPr="00A71B72">
        <w:rPr>
          <w:sz w:val="16"/>
        </w:rPr>
        <w:t xml:space="preserve"> that children were incomplete adults, and that </w:t>
      </w:r>
      <w:r w:rsidRPr="001B0DA5">
        <w:rPr>
          <w:rStyle w:val="StyleUnderline"/>
        </w:rPr>
        <w:t>education was</w:t>
      </w:r>
      <w:r w:rsidRPr="00A71B72">
        <w:rPr>
          <w:sz w:val="16"/>
        </w:rPr>
        <w:t xml:space="preserve"> merely a matter of </w:t>
      </w:r>
      <w:r w:rsidRPr="001B0DA5">
        <w:rPr>
          <w:rStyle w:val="StyleUnderline"/>
        </w:rPr>
        <w:t>preparation for the future</w:t>
      </w:r>
      <w:r w:rsidRPr="00A71B72">
        <w:rPr>
          <w:sz w:val="16"/>
        </w:rPr>
        <w:t xml:space="preserve">. The idea that growth has an end violates Dewey’s ideas about growth, life, and education. Furthermore, it leads to a whole host of problems in schooling, all of which come down to the fallacious idea of viewing schooling as preparation for the fixed future of adulthood rather than as an end in itself. </w:t>
      </w:r>
      <w:r w:rsidRPr="001B0DA5">
        <w:rPr>
          <w:rStyle w:val="StyleUnderline"/>
        </w:rPr>
        <w:t>With a fixed end in mind</w:t>
      </w:r>
      <w:r w:rsidRPr="00A71B72">
        <w:rPr>
          <w:sz w:val="16"/>
        </w:rPr>
        <w:t xml:space="preserve"> as to the results of education, </w:t>
      </w:r>
      <w:r w:rsidRPr="001B0DA5">
        <w:rPr>
          <w:rStyle w:val="StyleUnderline"/>
        </w:rPr>
        <w:t>the goal of education becomes</w:t>
      </w:r>
      <w:r w:rsidRPr="00A71B72">
        <w:rPr>
          <w:sz w:val="16"/>
        </w:rPr>
        <w:t xml:space="preserve"> not openness and growth, but </w:t>
      </w:r>
      <w:r w:rsidRPr="001B0DA5">
        <w:rPr>
          <w:rStyle w:val="StyleUnderline"/>
        </w:rPr>
        <w:t>conformity</w:t>
      </w:r>
      <w:r w:rsidRPr="00A71B72">
        <w:rPr>
          <w:sz w:val="16"/>
        </w:rPr>
        <w:t xml:space="preserve">: Since conformity is the aim, what is distinctively individual in a young person is brushed aside, or regarded as a source of mischief or anarchy. Conformity is made equivalent to uniformity. Consequently, there are induced lack of interest in the novel, aversion to progress, and dread of the uncertain and the unknown. Since the end of growth is outside of and beyond the process of growing, external agents have to be resorted to, to induce movement toward it (Dewey, 1916, pp. 50–51). </w:t>
      </w:r>
      <w:r w:rsidRPr="001B0DA5">
        <w:rPr>
          <w:rStyle w:val="StyleUnderline"/>
        </w:rPr>
        <w:t>This conformity reins in the excess, the aspects of the individual that do not speak to a future already structured by the logic of conformity.</w:t>
      </w:r>
      <w:r w:rsidRPr="00A71B72">
        <w:rPr>
          <w:sz w:val="16"/>
        </w:rPr>
        <w:t xml:space="preserve"> In doing so, there occurs a refusal to engage that which is unknown or uncertain. </w:t>
      </w:r>
      <w:r w:rsidRPr="001B0DA5">
        <w:rPr>
          <w:rStyle w:val="StyleUnderline"/>
        </w:rPr>
        <w:t>Dewey’s engagement here asked to open the bounded-ness of the Child to the excesses, the unruliness of children’s experience. This, as Dewey noted, might be regarded as ‘mischief’ or ‘anarchy’ because such states challenge the futurism of an education that imagines a fixed end or telos.</w:t>
      </w:r>
      <w:r>
        <w:rPr>
          <w:rStyle w:val="StyleUnderline"/>
        </w:rPr>
        <w:t xml:space="preserve"> </w:t>
      </w:r>
      <w:r w:rsidRPr="00A71B72">
        <w:rPr>
          <w:sz w:val="16"/>
        </w:rPr>
        <w:t xml:space="preserve">As such, education for the future neglects the present, including the powers of present learning in terms of interest and motivation. </w:t>
      </w:r>
      <w:r w:rsidRPr="001B0DA5">
        <w:rPr>
          <w:rStyle w:val="StyleUnderline"/>
        </w:rPr>
        <w:t>Such external motivators to learn become ingrained in school systems, which then swing between harsh and open methods, without changing their essential nature as future-focused and structured by the logic of the Child.</w:t>
      </w:r>
      <w:r w:rsidRPr="00A71B72">
        <w:rPr>
          <w:sz w:val="16"/>
        </w:rPr>
        <w:t xml:space="preserve"> This swinging pendulum, rather than creating a challenge to the structures of education, leads to deadening systems of learning reiterating the centrality of the figural Child. Dewey notes this in regards to systems in punishment where, Everybody knows how largely systems of punishment have had to be resorted to by educational systems which neglect present possibilities in behalf of preparation for a future. Then, in disgust with the harshness and impotency of this method, the pendulum swings to the opposite extreme, and the dose of information required against some later day is sugar-coated, so that pupils may be fooled into taking something which they do not care for (Dewey, 1916, p. 55). For Dewey, then, the future is driven by the present. Educational experiences which lead to growth, valued for their own sakes and on their own terms, prepare students for a future which is undefined, but which will certainly consist of further experiences. To set a definite future is to eliminate the idea of growth for its own sake, and to set a course for conformity. And with a definite future acting as a static goal, with only conformity to look forward to, present experience becomes so devoid of creativity, liveliness and appeal that behaviour management techniques are the only recourse of the educator who hopes to keep students involved in their schoolwork. Dewey thus provides a telling challenge to the schools of his time and to the schools of today, and gives us a critique of educational futurism that </w:t>
      </w:r>
      <w:r w:rsidRPr="00A71B72">
        <w:rPr>
          <w:sz w:val="16"/>
        </w:rPr>
        <w:lastRenderedPageBreak/>
        <w:t xml:space="preserve">describes its classroom outcomes. Far from being a mere supporter of student-centred pedagogical activities, Dewey emerges as a radical critic of any educational practice that relies on bribery or compulsion to make up for a lack of the sort of compelling experiences that engage students in the immediate and, by promoting growth, prepare them for future experiences. For Dewey, the cost of educational futurism was a deadened classroom where carrots and sticks are the dominant features, and where the end is a static and ever-unreachable goal of ‘adulthood’, a modernist dream of perfect knowledge where all the pain and preparation of schooling experiences finally pays off, and a goal to which the present is blithely sacrificed. DEWEY AND EDELMAN IN CONVERSATION </w:t>
      </w:r>
      <w:r w:rsidRPr="00C36182">
        <w:rPr>
          <w:rStyle w:val="StyleUnderline"/>
        </w:rPr>
        <w:t>For both Dewey and Edelman, the drive toward the future begins with the positioning of children relative to some regulatory figural ideal.</w:t>
      </w:r>
      <w:r w:rsidRPr="00A71B72">
        <w:rPr>
          <w:sz w:val="16"/>
        </w:rPr>
        <w:t xml:space="preserve"> Edelman identifies this ideal as the figural Child, while Dewey identifies it as the state of adulthood, which may also be characterised as the figural Adult. This positioning creates notions of children that are merely incomplete, either because they are waiting to grow up, or because they are not supposed to grow up at all. Dewey’s idealised Adult never changes because adulthood is never reached. Edelman’s idealised Child, actually an idealised present projected forward into an ever-receding future, is unchanging, as it always stands for what is to come in the name of those who will, in later days, no longer be children. The Child must always remain a Child in order to retain its power as a driving symbol. Yet, as such it is frozen, an identity every bit as static as Dewey’s Adult. Because of the ways that these theories intersect, we can bring Dewey and Edelman together to focus on the figure of the Child in educational discourse and practice, taking reproductive futurism, the Child, Dewey’s Adult, and his call for an education valuable in the present to offer a different story for education and children. In many ways, these theories fit well together. Children, after all, go to school, and so it is to be expected that the figure of the Child might loom large in education. And, as we have already established, education can be seen as a largely future directed activity driven by the Child, whether that future is the future application of a lesson, the future life of a student, or the future success or failure of the nation. It is, we maintain, even as naturally future-directed as reproduction. And </w:t>
      </w:r>
      <w:r w:rsidRPr="009A6725">
        <w:rPr>
          <w:rStyle w:val="StyleUnderline"/>
        </w:rPr>
        <w:t>the Child, the representative of reproductive futurism, is as directly associated with schooling as with reproduction; both reproduce the next generation, one through birth, the other through instruction but both reproductions are reigned in, fearful of the excessive, the unique, the individual.</w:t>
      </w:r>
      <w:r>
        <w:rPr>
          <w:rStyle w:val="StyleUnderline"/>
        </w:rPr>
        <w:t xml:space="preserve"> </w:t>
      </w:r>
      <w:r w:rsidRPr="00A71B72">
        <w:rPr>
          <w:sz w:val="16"/>
        </w:rPr>
        <w:t xml:space="preserve">For all that, we do not wish to imply that Edelman and Dewey occupy interchangeable positions. The differences between the Child and the Adult may reflect cultural and temporal differences, a movement from a society which viewed childhood as incomplete adulthood to one which views adulthood as, at best, childhood carried forward. These differences may also come from the sources of these theories, their very different views and approaches to politics, or even from Edelman’s queer stance and focus on opposition to reproduction versus Dewey’s straight stance with its faith in progress, though a progress that lacks a set and static end. For all their differences, however, Edelman and Dewey still share much of an outlook. </w:t>
      </w:r>
      <w:r w:rsidRPr="009A6725">
        <w:rPr>
          <w:rStyle w:val="StyleUnderline"/>
        </w:rPr>
        <w:t>Both show the experience of the now, with all of its uncontrolled, excessive possibilities, unregulated desires and unknown ends, brought under control, and thus deadened, by references to a totalising image that controls political and educational discourse and action.</w:t>
      </w:r>
      <w:r w:rsidRPr="00A71B72">
        <w:rPr>
          <w:sz w:val="16"/>
        </w:rPr>
        <w:t xml:space="preserve"> Dewey puts forth the idea that the immediate experiences of childhood are being sacrificed to a fixed and unreachable Adult. For Dewey, children being educated were never meant to completely know themselves, and as such continually experience, struggle with and against the world. Edelman’s critique raises the possibility that the immediate experiences of childhood are structured by the logic of the Child while also present a possible threat to the perfect and innocent image of the Child. For Edelman, the Child regulates experiences for children and adults to maintain its logic, a logic that structures responses, as shown earlier, from ideological perspectives whether liberal or conservative.</w:t>
      </w:r>
    </w:p>
    <w:p w:rsidR="00763BED" w:rsidRPr="00CB05A4" w:rsidRDefault="00763BED" w:rsidP="00763BED"/>
    <w:p w:rsidR="00A71B72" w:rsidRPr="00A71B72" w:rsidRDefault="00A97807" w:rsidP="00A97807">
      <w:pPr>
        <w:pStyle w:val="Heading1"/>
      </w:pPr>
      <w:bookmarkStart w:id="98" w:name="_Toc489138987"/>
      <w:r>
        <w:lastRenderedPageBreak/>
        <w:t>Aff Answers</w:t>
      </w:r>
      <w:bookmarkEnd w:id="98"/>
    </w:p>
    <w:p w:rsidR="006506E5" w:rsidRDefault="006506E5" w:rsidP="006506E5">
      <w:pPr>
        <w:pStyle w:val="Heading2"/>
      </w:pPr>
      <w:bookmarkStart w:id="99" w:name="_Toc489138988"/>
      <w:r>
        <w:lastRenderedPageBreak/>
        <w:t>General</w:t>
      </w:r>
      <w:bookmarkEnd w:id="99"/>
    </w:p>
    <w:p w:rsidR="006506E5" w:rsidRDefault="006506E5" w:rsidP="006506E5">
      <w:pPr>
        <w:pStyle w:val="Heading3"/>
      </w:pPr>
      <w:bookmarkStart w:id="100" w:name="_Toc489138989"/>
      <w:r>
        <w:lastRenderedPageBreak/>
        <w:t>Perm</w:t>
      </w:r>
      <w:r w:rsidR="0012172B">
        <w:t>: Research Practices</w:t>
      </w:r>
      <w:r>
        <w:t xml:space="preserve"> </w:t>
      </w:r>
      <w:r w:rsidR="0005372F">
        <w:t>/ Reflexive Pragmatism</w:t>
      </w:r>
      <w:bookmarkEnd w:id="100"/>
    </w:p>
    <w:p w:rsidR="006506E5" w:rsidRDefault="006506E5" w:rsidP="006506E5">
      <w:pPr>
        <w:pStyle w:val="Heading4"/>
      </w:pPr>
      <w:r>
        <w:t xml:space="preserve">Researching the relationship of queer bodies to the capitalist system exposes the rise of gender-normativity and how the creates the gendered division of labor within capitalism  </w:t>
      </w:r>
    </w:p>
    <w:p w:rsidR="006506E5" w:rsidRPr="00120D9A" w:rsidRDefault="006506E5" w:rsidP="006506E5">
      <w:pPr>
        <w:rPr>
          <w:sz w:val="16"/>
          <w:szCs w:val="16"/>
        </w:rPr>
      </w:pPr>
      <w:r w:rsidRPr="00BA5AF1">
        <w:rPr>
          <w:b/>
          <w:sz w:val="26"/>
          <w:szCs w:val="26"/>
        </w:rPr>
        <w:t>Sears 05</w:t>
      </w:r>
      <w:r>
        <w:t xml:space="preserve"> </w:t>
      </w:r>
      <w:r w:rsidRPr="00BA5AF1">
        <w:rPr>
          <w:sz w:val="16"/>
          <w:szCs w:val="16"/>
        </w:rPr>
        <w:t>[ALAN SEARS, a queer activist, author, and professor of sociology at Ryerson University in Toronto. Sears is the author of, among other works, "Queer in a Lean World" and “Queer Anti-Capitalism: What's Left of Lesbian and Gay Liberation?” and co-author with James Cairns of The Democratic Imagination. Science &amp; Society, Vol. 69, No. 1, January 2005, 92–112, Queer Anti-Capitalism:</w:t>
      </w:r>
      <w:r>
        <w:rPr>
          <w:sz w:val="16"/>
          <w:szCs w:val="16"/>
        </w:rPr>
        <w:t xml:space="preserve"> </w:t>
      </w:r>
      <w:r w:rsidRPr="00BA5AF1">
        <w:rPr>
          <w:sz w:val="16"/>
          <w:szCs w:val="16"/>
        </w:rPr>
        <w:t xml:space="preserve">What’s Left of Lesbian and Gay Liberation?, </w:t>
      </w:r>
      <w:hyperlink r:id="rId23" w:history="1">
        <w:r w:rsidRPr="00C76AE3">
          <w:rPr>
            <w:rStyle w:val="Hyperlink"/>
            <w:sz w:val="16"/>
            <w:szCs w:val="16"/>
          </w:rPr>
          <w:t>http://www.decolonize.org/wp-content/uploads/2015/06/queeranticap.pdf</w:t>
        </w:r>
      </w:hyperlink>
      <w:r>
        <w:rPr>
          <w:sz w:val="16"/>
          <w:szCs w:val="16"/>
        </w:rPr>
        <w:t>] [JS]</w:t>
      </w:r>
    </w:p>
    <w:p w:rsidR="006506E5" w:rsidRDefault="006506E5" w:rsidP="006506E5">
      <w:pPr>
        <w:rPr>
          <w:sz w:val="16"/>
        </w:rPr>
      </w:pPr>
      <w:r w:rsidRPr="001E052D">
        <w:rPr>
          <w:sz w:val="16"/>
        </w:rPr>
        <w:t xml:space="preserve">Of course, to do justice to the issues of queers and class we should also push further in directions I cannot explore here. </w:t>
      </w:r>
      <w:r w:rsidRPr="005F721C">
        <w:rPr>
          <w:rStyle w:val="StyleUnderline"/>
        </w:rPr>
        <w:t xml:space="preserve">It would be useful to </w:t>
      </w:r>
      <w:r w:rsidRPr="005F721C">
        <w:rPr>
          <w:rStyle w:val="Emphasis"/>
        </w:rPr>
        <w:t>examine</w:t>
      </w:r>
      <w:r w:rsidRPr="005F721C">
        <w:rPr>
          <w:rStyle w:val="StyleUnderline"/>
        </w:rPr>
        <w:t xml:space="preserve"> the relationship </w:t>
      </w:r>
      <w:r w:rsidRPr="001E052D">
        <w:rPr>
          <w:rStyle w:val="Emphasis"/>
        </w:rPr>
        <w:t>between the rise of gender-normativity in the post-Stonewall lesbian and gay movements</w:t>
      </w:r>
      <w:r w:rsidRPr="005F721C">
        <w:rPr>
          <w:rStyle w:val="StyleUnderline"/>
        </w:rPr>
        <w:t xml:space="preserve"> and </w:t>
      </w:r>
      <w:r w:rsidRPr="001E052D">
        <w:rPr>
          <w:rStyle w:val="Emphasis"/>
        </w:rPr>
        <w:t>the gendered division of labor within capitalism</w:t>
      </w:r>
      <w:r w:rsidRPr="005F721C">
        <w:rPr>
          <w:rStyle w:val="StyleUnderline"/>
        </w:rPr>
        <w:t>.</w:t>
      </w:r>
      <w:r w:rsidRPr="001E052D">
        <w:rPr>
          <w:sz w:val="16"/>
        </w:rPr>
        <w:t xml:space="preserve">18 </w:t>
      </w:r>
      <w:r w:rsidRPr="001E052D">
        <w:rPr>
          <w:rStyle w:val="StyleUnderline"/>
        </w:rPr>
        <w:t xml:space="preserve">This is particularly important as the marginal status of transgendered people within contemporary lesbian and gay communities mirrors their position in </w:t>
      </w:r>
      <w:r w:rsidRPr="001E052D">
        <w:rPr>
          <w:rStyle w:val="Emphasis"/>
        </w:rPr>
        <w:t>a labor market that is highly gendered and gender-normative</w:t>
      </w:r>
      <w:r w:rsidRPr="001E052D">
        <w:rPr>
          <w:sz w:val="16"/>
        </w:rPr>
        <w:t xml:space="preserve"> (see Hirschman, 2000). It is possible that our more secure place in the gender-organized workplaces has been won at the cost of isolating transgendered people and other gender insurgents who cannot or will not conform to gender norms. </w:t>
      </w:r>
      <w:r w:rsidRPr="001E052D">
        <w:rPr>
          <w:rStyle w:val="StyleUnderline"/>
        </w:rPr>
        <w:t>A theoretical analysis of the commodification of lesbian and gay spaces</w:t>
      </w:r>
      <w:r w:rsidRPr="001E052D">
        <w:rPr>
          <w:sz w:val="16"/>
        </w:rPr>
        <w:t xml:space="preserve">, then, </w:t>
      </w:r>
      <w:r w:rsidRPr="001E052D">
        <w:rPr>
          <w:rStyle w:val="StyleUnderline"/>
        </w:rPr>
        <w:t>must pay attention to the ways that class relations shape and are shaped by queer existence</w:t>
      </w:r>
      <w:r w:rsidRPr="001E052D">
        <w:rPr>
          <w:sz w:val="16"/>
        </w:rPr>
        <w:t xml:space="preserve">. </w:t>
      </w:r>
      <w:r w:rsidRPr="001E052D">
        <w:rPr>
          <w:rStyle w:val="StyleUnderline"/>
        </w:rPr>
        <w:t>Commodification also has a huge impact on the way desire is lived in contemporary capitalist society.</w:t>
      </w:r>
      <w:r w:rsidRPr="001E052D">
        <w:rPr>
          <w:sz w:val="16"/>
        </w:rPr>
        <w:t xml:space="preserve"> Our whole experience of our bodies, eroticism and intimacy is framed by the deeper penetration of market relations into every corner of social life. Marx argued in his analysis of commodity fetishism that products take on apparently magical properties in the market because their origins in active human labor are obscured. </w:t>
      </w:r>
      <w:r w:rsidRPr="001E052D">
        <w:rPr>
          <w:rStyle w:val="StyleUnderline"/>
        </w:rPr>
        <w:t>Capitalist social relations mean that workers’ accomplishments are separated from them and seem to become the property of their products. This is a process of abstraction, where the concrete labors of workers’ own living bodies are turned into quantities of value congealed in commodities.</w:t>
      </w:r>
      <w:r w:rsidRPr="001E052D">
        <w:rPr>
          <w:sz w:val="16"/>
        </w:rPr>
        <w:t xml:space="preserve"> This process of abstraction has a profound impact on the way we live in our own bodies. David McNally (2001, 224) wrote that in capitalist production, “</w:t>
      </w:r>
      <w:r w:rsidRPr="001E052D">
        <w:rPr>
          <w:rStyle w:val="StyleUnderline"/>
        </w:rPr>
        <w:t xml:space="preserve">commodities are detached from their origin in the concrete labor of human individuals. And this becomes the model for all the forms of abstraction that characterize bourgeois thought and culture: all </w:t>
      </w:r>
      <w:r w:rsidRPr="001E052D">
        <w:rPr>
          <w:rStyle w:val="Emphasis"/>
        </w:rPr>
        <w:t>along the line the body is forgotten</w:t>
      </w:r>
      <w:r w:rsidRPr="001E052D">
        <w:rPr>
          <w:rStyle w:val="StyleUnderline"/>
        </w:rPr>
        <w:t>.</w:t>
      </w:r>
      <w:r w:rsidRPr="001E052D">
        <w:rPr>
          <w:sz w:val="16"/>
        </w:rPr>
        <w:t xml:space="preserve">” </w:t>
      </w:r>
      <w:r w:rsidRPr="001E052D">
        <w:rPr>
          <w:rStyle w:val="StyleUnderline"/>
        </w:rPr>
        <w:t>This process of forgetting the body is crucial to our understanding of contemporary sexualities</w:t>
      </w:r>
      <w:r w:rsidRPr="001E052D">
        <w:rPr>
          <w:sz w:val="16"/>
        </w:rPr>
        <w:t xml:space="preserve">. </w:t>
      </w:r>
      <w:r w:rsidRPr="001E052D">
        <w:rPr>
          <w:rStyle w:val="StyleUnderline"/>
        </w:rPr>
        <w:t xml:space="preserve">Desire is displaced from our bodies onto commodities that seem to contain all the best of humanity. </w:t>
      </w:r>
      <w:r w:rsidRPr="001E052D">
        <w:rPr>
          <w:sz w:val="16"/>
        </w:rPr>
        <w:t xml:space="preserve">The advertising industry seeks to mobilize this displacement, reminding us etc.) except condoms, which are marketed in terms of cold, rational safety. Bodies become sexy only insofar as they can take on the allure of commodities, through fashion (clothes, haircuts, piercings, tattoos), through photography and filming (so that images of bodies are hotter than the real thing), or through the fitness industry by which we seek to remodel our bodies along the lines of these images. Commodified queer space appears, in part, as a set of market niches, in which people live their sexuality through the purchase of specific goods and services. These niche markets operate largely in specific spaces where styles are given particular meanings (see Mort, 1996, 175–182). It is much less common to find such market niches oriented toward lesbians than gay men. Danae Clark (1991, 182) argues that lesbians have not really been targeted as a consumer group as they tend to be neither economically powerful nor identifiable as such. Yet even without such a spatially identified niche market, new forms of lesbian style have developed in the 1990s, often understood in counter-position to the lesbian-feminist hostility to commodified style that preceded it (see Clark, 1991, 184–85). </w:t>
      </w:r>
      <w:r w:rsidRPr="001E052D">
        <w:rPr>
          <w:rStyle w:val="StyleUnderline"/>
        </w:rPr>
        <w:t>In this context of commodification, a person becomes visible as “queer” only through the deployment of particular market goods and services.</w:t>
      </w:r>
      <w:r w:rsidRPr="001E052D">
        <w:rPr>
          <w:sz w:val="16"/>
        </w:rPr>
        <w:t xml:space="preserve"> Others are invisible, either because they are literally left outside the door (for example, because they cannot afford the cover charge) or because they cannot look “gay” or “lesbian” if they are old, fat, skinny, transgendered, racialized, stigmatized as disabled or ill, or obviously poor. </w:t>
      </w:r>
      <w:r w:rsidRPr="001E052D">
        <w:rPr>
          <w:rStyle w:val="StyleUnderline"/>
        </w:rPr>
        <w:t>These people become visible only as the object of some fetishized exoticism.</w:t>
      </w:r>
      <w:r w:rsidRPr="001E052D">
        <w:rPr>
          <w:sz w:val="16"/>
        </w:rPr>
        <w:t xml:space="preserve"> Rosemary Hennessey (2000, 112) wrote: “The increasing circulation of gay and lesbian images in consumer culture has the effect of consolidating an imaginary, class-specific gay subjectivity for both straight and gay audiences.”</w:t>
      </w:r>
    </w:p>
    <w:p w:rsidR="00615E70" w:rsidRPr="005F5B5B" w:rsidRDefault="00615E70" w:rsidP="00615E70">
      <w:pPr>
        <w:pStyle w:val="Heading4"/>
      </w:pPr>
      <w:r w:rsidRPr="005F5B5B">
        <w:lastRenderedPageBreak/>
        <w:t>Pragmatism in the form of cooperative projects is better able to address suffering and marginalization – Singapore proves – The alternative is fatalistic and can’t solve for mainstream values</w:t>
      </w:r>
    </w:p>
    <w:p w:rsidR="00615E70" w:rsidRPr="007E7819" w:rsidRDefault="00615E70" w:rsidP="00615E70">
      <w:r w:rsidRPr="002A7240">
        <w:rPr>
          <w:rStyle w:val="Style13ptBold"/>
        </w:rPr>
        <w:t>Lazar</w:t>
      </w:r>
      <w:r w:rsidRPr="00652763">
        <w:t xml:space="preserve"> 20</w:t>
      </w:r>
      <w:r w:rsidRPr="002A7240">
        <w:rPr>
          <w:rStyle w:val="Style13ptBold"/>
        </w:rPr>
        <w:t>17</w:t>
      </w:r>
      <w:r>
        <w:rPr>
          <w:rFonts w:ascii="Arial" w:hAnsi="Arial" w:cs="Arial"/>
          <w:color w:val="333333"/>
          <w:sz w:val="23"/>
          <w:szCs w:val="23"/>
          <w:shd w:val="clear" w:color="auto" w:fill="FFFFFF"/>
        </w:rPr>
        <w:t xml:space="preserve"> (</w:t>
      </w:r>
      <w:r>
        <w:t>Michelle M. is a linguist with specialisations in critical discourse analysis, feminist discourse studies, and multimodal discourse analysis.</w:t>
      </w:r>
      <w:r w:rsidRPr="00652763">
        <w:t xml:space="preserve"> June 2017, “Homonationalist discourse as a politics of pragmatic resistance in Singapore's Pink Dot movement: Towards a southern praxis.” Sociolinguistics, Vol. 21, pg. 420–441. </w:t>
      </w:r>
      <w:r w:rsidRPr="00CE6F2B">
        <w:t>http://onlinelibrary.wiley.com/doi/10.1111/josl.12239/full</w:t>
      </w:r>
      <w:r>
        <w:t xml:space="preserve"> -CR)</w:t>
      </w:r>
    </w:p>
    <w:p w:rsidR="00615E70" w:rsidRPr="00652763" w:rsidRDefault="00615E70" w:rsidP="00615E70">
      <w:pPr>
        <w:rPr>
          <w:sz w:val="16"/>
        </w:rPr>
      </w:pPr>
      <w:r w:rsidRPr="00652763">
        <w:rPr>
          <w:sz w:val="16"/>
        </w:rPr>
        <w:t xml:space="preserve"> ‘Southern theory’ (e.g. Comaroff and Comaroff 2012; Connell 2007) or ‘</w:t>
      </w:r>
      <w:r w:rsidRPr="002A7240">
        <w:rPr>
          <w:rStyle w:val="StyleUnderline"/>
        </w:rPr>
        <w:t>southern praxis’</w:t>
      </w:r>
      <w:r w:rsidRPr="00652763">
        <w:rPr>
          <w:sz w:val="16"/>
        </w:rPr>
        <w:t>, as I call it</w:t>
      </w:r>
      <w:r w:rsidRPr="002A7240">
        <w:rPr>
          <w:rStyle w:val="StyleUnderline"/>
        </w:rPr>
        <w:t xml:space="preserve">, refers to a mode of intervention that seeks to unsettle </w:t>
      </w:r>
      <w:r w:rsidRPr="00652763">
        <w:rPr>
          <w:sz w:val="16"/>
        </w:rPr>
        <w:t xml:space="preserve">the </w:t>
      </w:r>
      <w:r w:rsidRPr="002A7240">
        <w:rPr>
          <w:rStyle w:val="StyleUnderline"/>
        </w:rPr>
        <w:t>hegemony</w:t>
      </w:r>
      <w:r w:rsidRPr="00652763">
        <w:rPr>
          <w:sz w:val="16"/>
        </w:rPr>
        <w:t xml:space="preserve"> of Northern-centricity </w:t>
      </w:r>
      <w:r w:rsidRPr="002A7240">
        <w:rPr>
          <w:rStyle w:val="StyleUnderline"/>
        </w:rPr>
        <w:t xml:space="preserve">in governing the geopolitics of knowledge </w:t>
      </w:r>
      <w:r w:rsidRPr="00652763">
        <w:rPr>
          <w:sz w:val="16"/>
        </w:rPr>
        <w:t xml:space="preserve">globally, </w:t>
      </w:r>
      <w:r w:rsidRPr="002A7240">
        <w:rPr>
          <w:rStyle w:val="StyleUnderline"/>
        </w:rPr>
        <w:t>in favour of interconnected and multiple sites from which theory and practice get constituted</w:t>
      </w:r>
      <w:r w:rsidRPr="00652763">
        <w:rPr>
          <w:sz w:val="16"/>
        </w:rPr>
        <w:t xml:space="preserve">. From a critical perspective, I argue that </w:t>
      </w:r>
      <w:r w:rsidRPr="002A7240">
        <w:rPr>
          <w:rStyle w:val="StyleUnderline"/>
        </w:rPr>
        <w:t xml:space="preserve">this is not solely about the development of intellectual projects, but has important implications for </w:t>
      </w:r>
      <w:r w:rsidRPr="0019702B">
        <w:rPr>
          <w:rStyle w:val="StyleUnderline"/>
        </w:rPr>
        <w:t xml:space="preserve">political organising </w:t>
      </w:r>
      <w:r w:rsidRPr="00652763">
        <w:rPr>
          <w:sz w:val="16"/>
        </w:rPr>
        <w:t xml:space="preserve">and lived experiences as well. </w:t>
      </w:r>
      <w:r w:rsidRPr="0019702B">
        <w:rPr>
          <w:rStyle w:val="Emphasis"/>
        </w:rPr>
        <w:t>The imbrication of theory and practice</w:t>
      </w:r>
      <w:r w:rsidRPr="00652763">
        <w:rPr>
          <w:sz w:val="16"/>
        </w:rPr>
        <w:t xml:space="preserve">/action, </w:t>
      </w:r>
      <w:r w:rsidRPr="002A7240">
        <w:rPr>
          <w:rStyle w:val="StyleUnderline"/>
        </w:rPr>
        <w:t xml:space="preserve">as praxis, </w:t>
      </w:r>
      <w:r w:rsidRPr="0019702B">
        <w:rPr>
          <w:rStyle w:val="Emphasis"/>
        </w:rPr>
        <w:t>is</w:t>
      </w:r>
      <w:r w:rsidRPr="002A7240">
        <w:rPr>
          <w:rStyle w:val="StyleUnderline"/>
        </w:rPr>
        <w:t xml:space="preserve"> absolutely </w:t>
      </w:r>
      <w:r w:rsidRPr="002A7240">
        <w:rPr>
          <w:rStyle w:val="Emphasis"/>
        </w:rPr>
        <w:t>essential</w:t>
      </w:r>
      <w:r w:rsidRPr="00652763">
        <w:rPr>
          <w:sz w:val="16"/>
        </w:rPr>
        <w:t xml:space="preserve"> for a critical enterprise. Aligned with Mohanty (2003), I use the ‘North’/‘South’ terminology to generally ‘distinguish between affluent, privileged nations and communities and economically and politically marginalised nations and communities’ (2003: 226). While these terms loosely distinguish the northern and southern hemispheres, affluence and marginality of course do not line up within this geographical frame in any stable way. As the Comaroffs (2012: 7) put it, there are enclaves of ‘the south in the north and the north in the south’. The terminology, therefore, is necessarily imprecise, slippery and porous, and for this reason, I find Mohanty's formulation of ‘nations and communities’ extremely useful. Having said this, the </w:t>
      </w:r>
      <w:r w:rsidRPr="00834CFA">
        <w:rPr>
          <w:rStyle w:val="StyleUnderline"/>
        </w:rPr>
        <w:t>North/South terminology serves a political</w:t>
      </w:r>
      <w:r w:rsidRPr="00652763">
        <w:rPr>
          <w:sz w:val="16"/>
        </w:rPr>
        <w:t xml:space="preserve">, explanatory </w:t>
      </w:r>
      <w:r w:rsidRPr="00834CFA">
        <w:rPr>
          <w:rStyle w:val="StyleUnderline"/>
        </w:rPr>
        <w:t>function that draws attention to</w:t>
      </w:r>
      <w:r w:rsidRPr="00652763">
        <w:rPr>
          <w:sz w:val="16"/>
        </w:rPr>
        <w:t xml:space="preserve"> the experiences of </w:t>
      </w:r>
      <w:r w:rsidRPr="00834CFA">
        <w:rPr>
          <w:rStyle w:val="StyleUnderline"/>
        </w:rPr>
        <w:t xml:space="preserve">colonisation, </w:t>
      </w:r>
      <w:r w:rsidRPr="00652763">
        <w:rPr>
          <w:sz w:val="16"/>
        </w:rPr>
        <w:t xml:space="preserve">historically as well as discursively, </w:t>
      </w:r>
      <w:r w:rsidRPr="00834CFA">
        <w:rPr>
          <w:rStyle w:val="StyleUnderline"/>
        </w:rPr>
        <w:t>and the structured imbalances of power and influence across geoscapes. The notion of the ‘South’ or periphery</w:t>
      </w:r>
      <w:r w:rsidRPr="00652763">
        <w:rPr>
          <w:sz w:val="16"/>
        </w:rPr>
        <w:t xml:space="preserve">, moreover, importantly </w:t>
      </w:r>
      <w:r w:rsidRPr="00834CFA">
        <w:rPr>
          <w:rStyle w:val="StyleUnderline"/>
        </w:rPr>
        <w:t>functions as an analytical category to denote</w:t>
      </w:r>
      <w:r w:rsidRPr="00652763">
        <w:rPr>
          <w:sz w:val="16"/>
        </w:rPr>
        <w:t xml:space="preserve"> a politicised </w:t>
      </w:r>
      <w:r w:rsidRPr="00834CFA">
        <w:rPr>
          <w:rStyle w:val="StyleUnderline"/>
        </w:rPr>
        <w:t>positionality</w:t>
      </w:r>
      <w:r w:rsidRPr="00652763">
        <w:rPr>
          <w:sz w:val="16"/>
        </w:rPr>
        <w:t xml:space="preserve"> in regard to theory and practice. </w:t>
      </w:r>
      <w:r w:rsidRPr="00834CFA">
        <w:rPr>
          <w:rStyle w:val="StyleUnderline"/>
        </w:rPr>
        <w:t>The periphery as an ‘ex-centric location’</w:t>
      </w:r>
      <w:r w:rsidRPr="00652763">
        <w:rPr>
          <w:sz w:val="16"/>
        </w:rPr>
        <w:t xml:space="preserve"> (Bhabha 1994) </w:t>
      </w:r>
      <w:r w:rsidRPr="00834CFA">
        <w:rPr>
          <w:rStyle w:val="StyleUnderline"/>
        </w:rPr>
        <w:t>has been conceptualised as offerin</w:t>
      </w:r>
      <w:r w:rsidRPr="00652763">
        <w:rPr>
          <w:sz w:val="16"/>
        </w:rPr>
        <w:t xml:space="preserve">g an ‘angle of vision’ or </w:t>
      </w:r>
      <w:r w:rsidRPr="00834CFA">
        <w:rPr>
          <w:rStyle w:val="StyleUnderline"/>
        </w:rPr>
        <w:t>a ‘special vantage point’</w:t>
      </w:r>
      <w:r w:rsidRPr="00652763">
        <w:rPr>
          <w:sz w:val="16"/>
        </w:rPr>
        <w:t xml:space="preserve">, arising </w:t>
      </w:r>
      <w:r w:rsidRPr="00834CFA">
        <w:rPr>
          <w:rStyle w:val="StyleUnderline"/>
        </w:rPr>
        <w:t>from an acute awareness of borders and boundaries</w:t>
      </w:r>
      <w:r w:rsidRPr="00652763">
        <w:rPr>
          <w:sz w:val="16"/>
        </w:rPr>
        <w:t xml:space="preserve">, which are exclusionary and enabling in providing pathways to navigate between the borders (Comaroff and Comaroff 2012; hooks 1984; Mohanty 2003). What might constitute a southern praxis? Here, I outline three points pertinent to the present study. Firstly, </w:t>
      </w:r>
      <w:r w:rsidRPr="00834CFA">
        <w:rPr>
          <w:rStyle w:val="StyleUnderline"/>
        </w:rPr>
        <w:t>a southern praxis involves de-centring Northern-centric prerogatives</w:t>
      </w:r>
      <w:r w:rsidRPr="00652763">
        <w:rPr>
          <w:sz w:val="16"/>
        </w:rPr>
        <w:t xml:space="preserve"> in theorising </w:t>
      </w:r>
      <w:r w:rsidRPr="00834CFA">
        <w:rPr>
          <w:rStyle w:val="StyleUnderline"/>
        </w:rPr>
        <w:t>which,</w:t>
      </w:r>
      <w:r w:rsidRPr="00652763">
        <w:rPr>
          <w:sz w:val="16"/>
        </w:rPr>
        <w:t xml:space="preserve"> arising from an inadequate recognition of their own socio-historical specificities, </w:t>
      </w:r>
      <w:r w:rsidRPr="00834CFA">
        <w:rPr>
          <w:rStyle w:val="StyleUnderline"/>
        </w:rPr>
        <w:t>are presented as universally agenda-setting. As a form of discursive colonisation, a Northern-centric lens,</w:t>
      </w:r>
      <w:r w:rsidRPr="00652763">
        <w:rPr>
          <w:sz w:val="16"/>
        </w:rPr>
        <w:t xml:space="preserve"> through which the rest of the world is read, profoundly </w:t>
      </w:r>
      <w:r w:rsidRPr="00834CFA">
        <w:rPr>
          <w:rStyle w:val="StyleUnderline"/>
        </w:rPr>
        <w:t>excludes the experiences and social thought of the periphery</w:t>
      </w:r>
      <w:r w:rsidRPr="00652763">
        <w:rPr>
          <w:sz w:val="16"/>
        </w:rPr>
        <w:t xml:space="preserve">, views the South merely as a source of ‘unprocessed data’ in need of Northern theoretical illumination, and ‘others’ the South as exotically different or playing catch-up with the North as the normative point of reference (Comaroff and Comaroff 2012; Connell 2007; Mohanty 2003; Spivak 2000). For example, </w:t>
      </w:r>
      <w:r w:rsidRPr="00834CFA">
        <w:rPr>
          <w:rStyle w:val="StyleUnderline"/>
        </w:rPr>
        <w:t>in sexuality research, a Northern-centric</w:t>
      </w:r>
      <w:r w:rsidRPr="00652763">
        <w:rPr>
          <w:sz w:val="16"/>
        </w:rPr>
        <w:t xml:space="preserve"> ‘rights’ </w:t>
      </w:r>
      <w:r w:rsidRPr="00834CFA">
        <w:rPr>
          <w:rStyle w:val="StyleUnderline"/>
        </w:rPr>
        <w:t>discourse has been assumed to be universally applicable, and globalisation is seen as the unilineal spread of Northern models of homosexuality</w:t>
      </w:r>
      <w:r w:rsidRPr="00652763">
        <w:rPr>
          <w:sz w:val="16"/>
        </w:rPr>
        <w:t xml:space="preserve"> (Altman 1997; Warner 1993). In assuming a global gay identity, Altman (1997: 417), for instance, argues for the ‘emergence of a Western style politicised homosexuality in Asia’ and places Asian gays in a place of deferred arrival in a normatively woven Northern narrative of gay liberation. Secondly, decolonisation of knowledge goes beyond demystifying Northern privilege to contributing positively towards a globally inclusive theory-making and practice. </w:t>
      </w:r>
      <w:r w:rsidRPr="00834CFA">
        <w:rPr>
          <w:rStyle w:val="StyleUnderline"/>
        </w:rPr>
        <w:t>Resisting erasure and ‘othering’</w:t>
      </w:r>
      <w:r w:rsidRPr="00652763">
        <w:rPr>
          <w:sz w:val="16"/>
        </w:rPr>
        <w:t xml:space="preserve"> of the South </w:t>
      </w:r>
      <w:r w:rsidRPr="00834CFA">
        <w:rPr>
          <w:rStyle w:val="StyleUnderline"/>
        </w:rPr>
        <w:t>means viewing the South as legitimate producers of theory</w:t>
      </w:r>
      <w:r w:rsidRPr="00652763">
        <w:rPr>
          <w:sz w:val="16"/>
        </w:rPr>
        <w:t xml:space="preserve"> in their own right </w:t>
      </w:r>
      <w:r w:rsidRPr="00834CFA">
        <w:rPr>
          <w:rStyle w:val="StyleUnderline"/>
        </w:rPr>
        <w:t>about the social world they inhabit</w:t>
      </w:r>
      <w:r w:rsidRPr="00652763">
        <w:rPr>
          <w:sz w:val="16"/>
        </w:rPr>
        <w:t xml:space="preserve">, and re-writing ideas of Northern experts from their situated insights (Comaroff and Comaroff 2012; Connell 2007). The Comaroffs (2012) rightly advocate </w:t>
      </w:r>
      <w:r w:rsidRPr="00834CFA">
        <w:rPr>
          <w:rStyle w:val="StyleUnderline"/>
        </w:rPr>
        <w:t>a move from ‘grand theory’ towards ‘grounded theory’, the latter</w:t>
      </w:r>
      <w:r w:rsidRPr="00652763">
        <w:rPr>
          <w:sz w:val="16"/>
        </w:rPr>
        <w:t xml:space="preserve"> of </w:t>
      </w:r>
      <w:r w:rsidRPr="00834CFA">
        <w:rPr>
          <w:rStyle w:val="StyleUnderline"/>
        </w:rPr>
        <w:t>which involves</w:t>
      </w:r>
      <w:r w:rsidRPr="00652763">
        <w:rPr>
          <w:sz w:val="16"/>
        </w:rPr>
        <w:t xml:space="preserve"> a </w:t>
      </w:r>
      <w:r w:rsidRPr="00834CFA">
        <w:rPr>
          <w:rStyle w:val="StyleUnderline"/>
        </w:rPr>
        <w:t>historically contextualised knowledge production based on</w:t>
      </w:r>
      <w:r w:rsidRPr="00652763">
        <w:rPr>
          <w:sz w:val="16"/>
        </w:rPr>
        <w:t xml:space="preserve"> a </w:t>
      </w:r>
      <w:r w:rsidRPr="00834CFA">
        <w:rPr>
          <w:rStyle w:val="StyleUnderline"/>
        </w:rPr>
        <w:t>lived praxis</w:t>
      </w:r>
      <w:r w:rsidRPr="00652763">
        <w:rPr>
          <w:sz w:val="16"/>
        </w:rPr>
        <w:t xml:space="preserve">. Fundamentally, then, a southern praxis eschews ‘monopolies of truth’ (Das 1995), such that all </w:t>
      </w:r>
      <w:r w:rsidRPr="00834CFA">
        <w:rPr>
          <w:rStyle w:val="StyleUnderline"/>
        </w:rPr>
        <w:t>knowledge production</w:t>
      </w:r>
      <w:r w:rsidRPr="00652763">
        <w:rPr>
          <w:sz w:val="16"/>
        </w:rPr>
        <w:t xml:space="preserve">, regardless from the North or the South, </w:t>
      </w:r>
      <w:r w:rsidRPr="00834CFA">
        <w:rPr>
          <w:rStyle w:val="StyleUnderline"/>
        </w:rPr>
        <w:t>must necessarily be self-reflexive</w:t>
      </w:r>
      <w:r w:rsidRPr="00652763">
        <w:rPr>
          <w:sz w:val="16"/>
        </w:rPr>
        <w:t xml:space="preserve"> and acknowledge its social, economic, political, historical, and geographical groundedness. Thirdly, </w:t>
      </w:r>
      <w:r w:rsidRPr="00834CFA">
        <w:rPr>
          <w:rStyle w:val="StyleUnderline"/>
        </w:rPr>
        <w:t>a southern praxis adopts the view of theory and practice as a transnationally shared process</w:t>
      </w:r>
      <w:r w:rsidRPr="00652763">
        <w:rPr>
          <w:sz w:val="16"/>
        </w:rPr>
        <w:t xml:space="preserve"> achieved through dialogue and mutual learning. As Connell notes (2007</w:t>
      </w:r>
      <w:r w:rsidRPr="00834CFA">
        <w:rPr>
          <w:rStyle w:val="StyleUnderline"/>
        </w:rPr>
        <w:t>), engagement, critique</w:t>
      </w:r>
      <w:r w:rsidRPr="00652763">
        <w:rPr>
          <w:sz w:val="16"/>
        </w:rPr>
        <w:t xml:space="preserve">, respect </w:t>
      </w:r>
      <w:r w:rsidRPr="00834CFA">
        <w:rPr>
          <w:rStyle w:val="StyleUnderline"/>
        </w:rPr>
        <w:t>and recognition form the bases of mutual learning</w:t>
      </w:r>
      <w:r w:rsidRPr="00652763">
        <w:rPr>
          <w:sz w:val="16"/>
        </w:rPr>
        <w:t xml:space="preserve">, whereby the North too must learn as actively as the South. Mutual learning can be </w:t>
      </w:r>
      <w:r w:rsidRPr="00834CFA">
        <w:rPr>
          <w:rStyle w:val="StyleUnderline"/>
        </w:rPr>
        <w:t>in the form of</w:t>
      </w:r>
      <w:r w:rsidRPr="00652763">
        <w:rPr>
          <w:sz w:val="16"/>
        </w:rPr>
        <w:t xml:space="preserve"> developing </w:t>
      </w:r>
      <w:r w:rsidRPr="00834CFA">
        <w:rPr>
          <w:rStyle w:val="StyleUnderline"/>
        </w:rPr>
        <w:t xml:space="preserve">an interconnected set of intellectual projects that emerge from varied </w:t>
      </w:r>
      <w:r w:rsidRPr="00652763">
        <w:rPr>
          <w:sz w:val="16"/>
        </w:rPr>
        <w:t xml:space="preserve">social </w:t>
      </w:r>
      <w:r w:rsidRPr="00834CFA">
        <w:rPr>
          <w:rStyle w:val="StyleUnderline"/>
        </w:rPr>
        <w:t>starting points</w:t>
      </w:r>
      <w:r w:rsidRPr="00652763">
        <w:rPr>
          <w:sz w:val="16"/>
        </w:rPr>
        <w:t xml:space="preserve"> as well as </w:t>
      </w:r>
      <w:r w:rsidRPr="00834CFA">
        <w:rPr>
          <w:rStyle w:val="StyleUnderline"/>
        </w:rPr>
        <w:t>forging transnational alliances for political organising</w:t>
      </w:r>
      <w:r w:rsidRPr="00652763">
        <w:rPr>
          <w:sz w:val="16"/>
        </w:rPr>
        <w:t xml:space="preserve"> (Connell 2007; Mohanty 2003</w:t>
      </w:r>
      <w:r w:rsidRPr="00834CFA">
        <w:rPr>
          <w:rStyle w:val="StyleUnderline"/>
        </w:rPr>
        <w:t>). A critical</w:t>
      </w:r>
      <w:r w:rsidRPr="00652763">
        <w:rPr>
          <w:sz w:val="16"/>
        </w:rPr>
        <w:t xml:space="preserve"> southern </w:t>
      </w:r>
      <w:r w:rsidRPr="00834CFA">
        <w:rPr>
          <w:rStyle w:val="StyleUnderline"/>
        </w:rPr>
        <w:t xml:space="preserve">praxis </w:t>
      </w:r>
      <w:r w:rsidRPr="00834CFA">
        <w:rPr>
          <w:rStyle w:val="StyleUnderline"/>
        </w:rPr>
        <w:lastRenderedPageBreak/>
        <w:t xml:space="preserve">strives to move from a politics of identity towards </w:t>
      </w:r>
      <w:r w:rsidRPr="00652763">
        <w:rPr>
          <w:sz w:val="16"/>
        </w:rPr>
        <w:t xml:space="preserve">building </w:t>
      </w:r>
      <w:r w:rsidRPr="00834CFA">
        <w:rPr>
          <w:rStyle w:val="StyleUnderline"/>
        </w:rPr>
        <w:t>a transnational politics of solidarity.</w:t>
      </w:r>
      <w:r w:rsidRPr="00652763">
        <w:rPr>
          <w:sz w:val="16"/>
        </w:rPr>
        <w:t xml:space="preserve"> Writing about homosexuality in Brazil, Parker (1999: 231) outlines a politics of solidarity as that which is ‘</w:t>
      </w:r>
      <w:r w:rsidRPr="00834CFA">
        <w:rPr>
          <w:rStyle w:val="StyleUnderline"/>
        </w:rPr>
        <w:t>capable of hearing</w:t>
      </w:r>
      <w:r w:rsidRPr="00652763">
        <w:rPr>
          <w:sz w:val="16"/>
        </w:rPr>
        <w:t xml:space="preserve"> not only our own pain and suffering, but also </w:t>
      </w:r>
      <w:r w:rsidRPr="00834CFA">
        <w:rPr>
          <w:rStyle w:val="StyleUnderline"/>
        </w:rPr>
        <w:t>the pain and suffering of others</w:t>
      </w:r>
      <w:r w:rsidRPr="00652763">
        <w:rPr>
          <w:sz w:val="16"/>
        </w:rPr>
        <w:t xml:space="preserve">, subject to the multiple forms of oppression, exploitation, and injustice that have been produced by the contemporary world system’. This is needed for political organising in both the North and the South. To be sure, CDS and a southern praxis are consonant perspectives. Both are modes of critical intervention into hegemonic discourses of power and privilege, and are aligned with excluded, marginalised communities. Both also believe that </w:t>
      </w:r>
      <w:r w:rsidRPr="0019702B">
        <w:rPr>
          <w:rStyle w:val="Emphasis"/>
        </w:rPr>
        <w:t>knowledge production</w:t>
      </w:r>
      <w:r w:rsidRPr="00834CFA">
        <w:rPr>
          <w:rStyle w:val="StyleUnderline"/>
        </w:rPr>
        <w:t xml:space="preserve"> is not an apolitical activity, but </w:t>
      </w:r>
      <w:r w:rsidRPr="0019702B">
        <w:rPr>
          <w:rStyle w:val="Emphasis"/>
        </w:rPr>
        <w:t>is invested in relations of power and ideology</w:t>
      </w:r>
      <w:r w:rsidRPr="00834CFA">
        <w:rPr>
          <w:rStyle w:val="StyleUnderline"/>
        </w:rPr>
        <w:t>. However</w:t>
      </w:r>
      <w:r w:rsidRPr="00652763">
        <w:rPr>
          <w:sz w:val="16"/>
        </w:rPr>
        <w:t xml:space="preserve">, while CDS with its well-developed linguistic and semiotic frameworks offers a sharp analytical instrument for discursive critique of knowledge practices of various kinds, </w:t>
      </w:r>
      <w:r w:rsidRPr="00834CFA">
        <w:rPr>
          <w:rStyle w:val="StyleUnderline"/>
        </w:rPr>
        <w:t>CDS scholarship</w:t>
      </w:r>
      <w:r w:rsidRPr="00652763">
        <w:rPr>
          <w:sz w:val="16"/>
        </w:rPr>
        <w:t xml:space="preserve"> itself, built upon and propagating Northern hegemonic epistemologies, </w:t>
      </w:r>
      <w:r w:rsidRPr="00834CFA">
        <w:rPr>
          <w:rStyle w:val="StyleUnderline"/>
        </w:rPr>
        <w:t xml:space="preserve">can </w:t>
      </w:r>
      <w:r w:rsidRPr="00652763">
        <w:rPr>
          <w:sz w:val="16"/>
        </w:rPr>
        <w:t xml:space="preserve">also </w:t>
      </w:r>
      <w:r w:rsidRPr="00834CFA">
        <w:rPr>
          <w:rStyle w:val="StyleUnderline"/>
        </w:rPr>
        <w:t>learn from a southern praxis.</w:t>
      </w:r>
      <w:r>
        <w:rPr>
          <w:rStyle w:val="StyleUnderline"/>
        </w:rPr>
        <w:t xml:space="preserve"> </w:t>
      </w:r>
      <w:r w:rsidRPr="00652763">
        <w:rPr>
          <w:sz w:val="16"/>
        </w:rPr>
        <w:t xml:space="preserve">The critical analysis of the Pink Dot video, from a southern/CDS perspective, builds upon two sets of conceptual ideas, which shall be explained below. The first is </w:t>
      </w:r>
      <w:r w:rsidRPr="0019702B">
        <w:rPr>
          <w:rStyle w:val="StyleUnderline"/>
        </w:rPr>
        <w:t>‘pragmatism’</w:t>
      </w:r>
      <w:r w:rsidRPr="00652763">
        <w:rPr>
          <w:rStyle w:val="StyleUnderline"/>
        </w:rPr>
        <w:t xml:space="preserve">, through which the sociopolitical contexts of </w:t>
      </w:r>
      <w:r w:rsidRPr="00652763">
        <w:rPr>
          <w:sz w:val="16"/>
        </w:rPr>
        <w:t xml:space="preserve">Singapore and </w:t>
      </w:r>
      <w:r w:rsidRPr="00652763">
        <w:rPr>
          <w:rStyle w:val="StyleUnderline"/>
        </w:rPr>
        <w:t>Singapore's LGBTQ movement can be historically understood</w:t>
      </w:r>
      <w:r w:rsidRPr="00652763">
        <w:rPr>
          <w:sz w:val="16"/>
        </w:rPr>
        <w:t>. Resistance in pragmatic terms, or ‘</w:t>
      </w:r>
      <w:r w:rsidRPr="0019702B">
        <w:rPr>
          <w:rStyle w:val="StyleUnderline"/>
        </w:rPr>
        <w:t>pragmatic resistance’</w:t>
      </w:r>
      <w:r w:rsidRPr="00652763">
        <w:rPr>
          <w:sz w:val="16"/>
        </w:rPr>
        <w:t xml:space="preserve"> (Yue 2012), </w:t>
      </w:r>
      <w:r w:rsidRPr="00652763">
        <w:rPr>
          <w:rStyle w:val="StyleUnderline"/>
        </w:rPr>
        <w:t>is introduced, against which the emergence of the Pink Dot movement and its tactical approach are set out.</w:t>
      </w:r>
      <w:r w:rsidRPr="00652763">
        <w:rPr>
          <w:sz w:val="16"/>
        </w:rPr>
        <w:t xml:space="preserve"> The second set of ideas is ‘homonormativity’ (Duggan 2003) and ‘homonationalism’ (Puar 2007), and how these are differently, and strategically, implicated in the Pink Dot SG movement. In the light of these conceptual discussions, the critical analysis of the Pink Dot video in terms of the discourse of homonationalism as a politics of pragmatic resistance is then undertaken. In concluding, I return to some observations about ‘doing’ queer politics from a southern praxis perspective.</w:t>
      </w:r>
    </w:p>
    <w:p w:rsidR="00615E70" w:rsidRDefault="00615E70" w:rsidP="00615E70"/>
    <w:p w:rsidR="00615E70" w:rsidRPr="001E052D" w:rsidRDefault="00615E70" w:rsidP="006506E5">
      <w:pPr>
        <w:rPr>
          <w:sz w:val="16"/>
        </w:rPr>
      </w:pPr>
    </w:p>
    <w:p w:rsidR="00A97807" w:rsidRDefault="003B7098" w:rsidP="00F061FE">
      <w:pPr>
        <w:pStyle w:val="Heading3"/>
      </w:pPr>
      <w:bookmarkStart w:id="101" w:name="_Toc489138990"/>
      <w:r>
        <w:lastRenderedPageBreak/>
        <w:t>Perm</w:t>
      </w:r>
      <w:r w:rsidR="00F061FE">
        <w:t>: Reform / Policy Interventions</w:t>
      </w:r>
      <w:bookmarkEnd w:id="101"/>
    </w:p>
    <w:p w:rsidR="00F061FE" w:rsidRPr="00F061FE" w:rsidRDefault="00F061FE" w:rsidP="00F061FE">
      <w:pPr>
        <w:pStyle w:val="Heading4"/>
      </w:pPr>
      <w:r w:rsidRPr="00F061FE">
        <w:t>Reforms are key to challenge institutional abandonment—the permutation is a whimsical queering of policy intervention that resists inclusion as assimilation and challenges structures of power</w:t>
      </w:r>
    </w:p>
    <w:p w:rsidR="00F061FE" w:rsidRDefault="00F061FE" w:rsidP="0012172B">
      <w:r w:rsidRPr="0012172B">
        <w:rPr>
          <w:rStyle w:val="Author-Date"/>
        </w:rPr>
        <w:t>Lugg and Murphy 14</w:t>
      </w:r>
      <w:r>
        <w:t xml:space="preserve">(Catherine Lugg is a professor in Educational theory at Rutgers Grad school of education, she has a Ph.D. in Educational Theory from Penn State. Jason Murphy is a </w:t>
      </w:r>
      <w:r w:rsidRPr="00DE150E">
        <w:t>Ph.D. Student &amp; Teaching Assistant at Rutgers University</w:t>
      </w:r>
      <w:r>
        <w:t>, “</w:t>
      </w:r>
      <w:r w:rsidRPr="00DE150E">
        <w:t>Thinking whimsically: queering the study of educational policy-making and politics</w:t>
      </w:r>
      <w:r>
        <w:t xml:space="preserve">”, </w:t>
      </w:r>
      <w:hyperlink r:id="rId24" w:history="1">
        <w:r w:rsidRPr="00FD075F">
          <w:rPr>
            <w:rStyle w:val="Hyperlink"/>
          </w:rPr>
          <w:t>http://dx.doi.org/10.1080/09518398.2014.916009</w:t>
        </w:r>
      </w:hyperlink>
      <w:r>
        <w:t xml:space="preserve"> August 18, 2014, International Journal of Qualitative affairs, pg. 1196-1197)</w:t>
      </w:r>
    </w:p>
    <w:p w:rsidR="00F061FE" w:rsidRDefault="00F061FE" w:rsidP="00F061FE">
      <w:r w:rsidRPr="001F4970">
        <w:rPr>
          <w:sz w:val="16"/>
        </w:rPr>
        <w:t>*QT = Queer Theory &amp; QLT = Queer Legal Theory</w:t>
      </w:r>
    </w:p>
    <w:p w:rsidR="00F061FE" w:rsidRDefault="00F061FE" w:rsidP="00F061FE">
      <w:pPr>
        <w:rPr>
          <w:rStyle w:val="StyleUnderline"/>
        </w:rPr>
      </w:pPr>
      <w:r w:rsidRPr="00DE150E">
        <w:rPr>
          <w:sz w:val="16"/>
        </w:rPr>
        <w:t xml:space="preserve">As we have discussed, </w:t>
      </w:r>
      <w:r w:rsidRPr="00AC4C5B">
        <w:rPr>
          <w:rStyle w:val="StyleUnderline"/>
        </w:rPr>
        <w:t>QT and QLT are both rooted in notions of queer liberation</w:t>
      </w:r>
      <w:r w:rsidRPr="00DE150E">
        <w:rPr>
          <w:sz w:val="16"/>
        </w:rPr>
        <w:t xml:space="preserve">. While we have used the most common analytic frames (silence and stigma) to tease out oppressive practices in two disparate educational settings, </w:t>
      </w:r>
      <w:r w:rsidRPr="00AC4C5B">
        <w:rPr>
          <w:rStyle w:val="StyleUnderline"/>
        </w:rPr>
        <w:t>both theories can</w:t>
      </w:r>
      <w:r w:rsidRPr="00DE150E">
        <w:rPr>
          <w:sz w:val="16"/>
        </w:rPr>
        <w:t xml:space="preserve"> also </w:t>
      </w:r>
      <w:r w:rsidRPr="00AC4C5B">
        <w:rPr>
          <w:rStyle w:val="StyleUnderline"/>
        </w:rPr>
        <w:t>empower analyses to look beyond the identity politics of a particular time- period or space and toward potential reforms in curriculum, pedagogy, and institutional supports for students, teachers and staff. Understanding the institutional and cultural practices that frame orientation, class, race and sex/gender can lead to policy changes that benefit all students, teachers, and staff.</w:t>
      </w:r>
      <w:r>
        <w:rPr>
          <w:rStyle w:val="StyleUnderline"/>
        </w:rPr>
        <w:t xml:space="preserve"> </w:t>
      </w:r>
      <w:r w:rsidRPr="00AC4C5B">
        <w:rPr>
          <w:rStyle w:val="StyleUnderline"/>
        </w:rPr>
        <w:t xml:space="preserve">A central tenet of </w:t>
      </w:r>
      <w:r w:rsidRPr="00DE150E">
        <w:rPr>
          <w:sz w:val="16"/>
        </w:rPr>
        <w:t xml:space="preserve">all </w:t>
      </w:r>
      <w:r w:rsidRPr="00AC4C5B">
        <w:rPr>
          <w:rStyle w:val="StyleUnderline"/>
        </w:rPr>
        <w:t>critical-oriented analyses is that power, status, and privilege are inequitably distributed</w:t>
      </w:r>
      <w:r w:rsidRPr="00DE150E">
        <w:rPr>
          <w:sz w:val="16"/>
        </w:rPr>
        <w:t xml:space="preserve">, typically </w:t>
      </w:r>
      <w:r w:rsidRPr="00AC4C5B">
        <w:rPr>
          <w:rStyle w:val="StyleUnderline"/>
        </w:rPr>
        <w:t>along lines of historic marginalization</w:t>
      </w:r>
      <w:r w:rsidRPr="00DE150E">
        <w:rPr>
          <w:sz w:val="16"/>
        </w:rPr>
        <w:t xml:space="preserve">. Both QT and QLT acknowledge that </w:t>
      </w:r>
      <w:r w:rsidRPr="00AC4C5B">
        <w:rPr>
          <w:rStyle w:val="StyleUnderline"/>
        </w:rPr>
        <w:t>these lines</w:t>
      </w:r>
      <w:r w:rsidRPr="00DE150E">
        <w:rPr>
          <w:sz w:val="16"/>
        </w:rPr>
        <w:t xml:space="preserve"> of marginalization </w:t>
      </w:r>
      <w:r w:rsidRPr="00AC4C5B">
        <w:rPr>
          <w:rStyle w:val="StyleUnderline"/>
        </w:rPr>
        <w:t>are always at play in governmental and organizational settings</w:t>
      </w:r>
      <w:r w:rsidRPr="00DE150E">
        <w:rPr>
          <w:sz w:val="16"/>
        </w:rPr>
        <w:t xml:space="preserve">. </w:t>
      </w:r>
      <w:r w:rsidRPr="0017045A">
        <w:rPr>
          <w:rStyle w:val="StyleUnderline"/>
        </w:rPr>
        <w:t>Power, status, and privilege</w:t>
      </w:r>
      <w:r w:rsidRPr="00DE150E">
        <w:rPr>
          <w:sz w:val="16"/>
        </w:rPr>
        <w:t xml:space="preserve"> also </w:t>
      </w:r>
      <w:r w:rsidRPr="0017045A">
        <w:rPr>
          <w:rStyle w:val="StyleUnderline"/>
        </w:rPr>
        <w:t>complicate a given student’s status within an educational setting.</w:t>
      </w:r>
      <w:r w:rsidRPr="00DE150E">
        <w:rPr>
          <w:sz w:val="16"/>
        </w:rPr>
        <w:t xml:space="preserve"> </w:t>
      </w:r>
      <w:r w:rsidRPr="0017045A">
        <w:rPr>
          <w:rStyle w:val="StyleUnderline"/>
        </w:rPr>
        <w:t>Is one gay? Male? African- American? All of the above? Both QT and QLT would respond, “it depends” on the individual and the educational context in question</w:t>
      </w:r>
      <w:r w:rsidRPr="00DE150E">
        <w:rPr>
          <w:sz w:val="16"/>
        </w:rPr>
        <w:t xml:space="preserve">. </w:t>
      </w:r>
      <w:r w:rsidRPr="0017045A">
        <w:rPr>
          <w:rStyle w:val="StyleUnderline"/>
        </w:rPr>
        <w:t>Some identities are more legitimate within school policies, and therefore school spaces</w:t>
      </w:r>
      <w:r w:rsidRPr="00DE150E">
        <w:rPr>
          <w:sz w:val="16"/>
        </w:rPr>
        <w:t xml:space="preserve">, than others. For example, we have seen this to be the case in AERA, where organizational positions were disallowed for all but “legitimate” topics – a policy which did include racial and ethnic bias but did and does not include queer bias and/or the political oppression of queer identities. </w:t>
      </w:r>
      <w:r w:rsidRPr="0017045A">
        <w:rPr>
          <w:rStyle w:val="StyleUnderline"/>
        </w:rPr>
        <w:t>That said, there are specific ways to extend QT and QLT to make public schools more inclusive</w:t>
      </w:r>
      <w:r w:rsidRPr="00DE150E">
        <w:rPr>
          <w:sz w:val="16"/>
        </w:rPr>
        <w:t xml:space="preserve"> of all children, and to make educational organizations more inclusive for the queers within their midsts. </w:t>
      </w:r>
      <w:r w:rsidRPr="0017045A">
        <w:rPr>
          <w:rStyle w:val="StyleUnderline"/>
        </w:rPr>
        <w:t>The first steps are to remove the vestiges of anti- queer oppression. Policies, research orientations, and curricula that marginalize and exclude queers, which stigmatize, erase and silence</w:t>
      </w:r>
      <w:r w:rsidRPr="00DE150E">
        <w:rPr>
          <w:sz w:val="16"/>
        </w:rPr>
        <w:t xml:space="preserve"> queers (and those many children </w:t>
      </w:r>
      <w:r w:rsidRPr="0017045A">
        <w:rPr>
          <w:rStyle w:val="StyleUnderline"/>
        </w:rPr>
        <w:t>perceived to be queer), need to be rewritten</w:t>
      </w:r>
      <w:r w:rsidRPr="00DE150E">
        <w:rPr>
          <w:sz w:val="16"/>
        </w:rPr>
        <w:t xml:space="preserve"> so as </w:t>
      </w:r>
      <w:r w:rsidRPr="0017045A">
        <w:rPr>
          <w:rStyle w:val="StyleUnderline"/>
        </w:rPr>
        <w:t>to acknowledge and welcome queer people. Secondly, inclusive educational and organizational policies do not mean that queers should assimilate</w:t>
      </w:r>
      <w:r w:rsidRPr="00DE150E">
        <w:rPr>
          <w:sz w:val="16"/>
        </w:rPr>
        <w:t xml:space="preserve"> to the typically heterosexist norms. For that matter, </w:t>
      </w:r>
      <w:r w:rsidRPr="0017045A">
        <w:rPr>
          <w:rStyle w:val="StyleUnderline"/>
        </w:rPr>
        <w:t>neither should non-queer children be forced to assimilate to heteronormative expectations</w:t>
      </w:r>
      <w:r w:rsidRPr="00DE150E">
        <w:rPr>
          <w:sz w:val="16"/>
        </w:rPr>
        <w:t xml:space="preserve">. </w:t>
      </w:r>
      <w:r w:rsidRPr="0017045A">
        <w:rPr>
          <w:rStyle w:val="StyleUnderline"/>
        </w:rPr>
        <w:t>Non-assimilation demands point three: confrontation.</w:t>
      </w:r>
      <w:r w:rsidRPr="00DE150E">
        <w:rPr>
          <w:sz w:val="16"/>
        </w:rPr>
        <w:t xml:space="preserve"> Occasionally, </w:t>
      </w:r>
      <w:r w:rsidRPr="0017045A">
        <w:rPr>
          <w:rStyle w:val="StyleUnderline"/>
        </w:rPr>
        <w:t xml:space="preserve">neither QT nor QLT </w:t>
      </w:r>
      <w:r w:rsidRPr="00DE150E">
        <w:rPr>
          <w:sz w:val="16"/>
        </w:rPr>
        <w:t xml:space="preserve">analyses </w:t>
      </w:r>
      <w:r w:rsidRPr="0017045A">
        <w:rPr>
          <w:rStyle w:val="StyleUnderline"/>
        </w:rPr>
        <w:t>are particularly polite, especially when addressing issues of systemic and institutional oppression</w:t>
      </w:r>
      <w:r w:rsidRPr="00DE150E">
        <w:rPr>
          <w:sz w:val="16"/>
        </w:rPr>
        <w:t xml:space="preserve"> (Halberstam, 2011). Yet </w:t>
      </w:r>
      <w:r w:rsidRPr="0017045A">
        <w:rPr>
          <w:rStyle w:val="StyleUnderline"/>
        </w:rPr>
        <w:t>this stance</w:t>
      </w:r>
      <w:r w:rsidRPr="00DE150E">
        <w:rPr>
          <w:sz w:val="16"/>
        </w:rPr>
        <w:t xml:space="preserve"> violates the long-held value of collegiality in many educational settings, which </w:t>
      </w:r>
      <w:r w:rsidRPr="0017045A">
        <w:rPr>
          <w:rStyle w:val="StyleUnderline"/>
        </w:rPr>
        <w:t>is</w:t>
      </w:r>
      <w:r w:rsidRPr="00DE150E">
        <w:rPr>
          <w:sz w:val="16"/>
        </w:rPr>
        <w:t xml:space="preserve"> then </w:t>
      </w:r>
      <w:r w:rsidRPr="0017045A">
        <w:rPr>
          <w:rStyle w:val="StyleUnderline"/>
        </w:rPr>
        <w:t>quickly conflated with a lack of professionalism</w:t>
      </w:r>
      <w:r w:rsidRPr="00DE150E">
        <w:rPr>
          <w:sz w:val="16"/>
        </w:rPr>
        <w:t xml:space="preserve"> (see Quinn &amp; Meiners, 2009). </w:t>
      </w:r>
      <w:r w:rsidRPr="0017045A">
        <w:rPr>
          <w:rStyle w:val="StyleUnderline"/>
        </w:rPr>
        <w:t>Being labeled “unprofessional” is the club</w:t>
      </w:r>
      <w:r w:rsidRPr="00DE150E">
        <w:rPr>
          <w:sz w:val="16"/>
        </w:rPr>
        <w:t xml:space="preserve"> typically wi</w:t>
      </w:r>
      <w:r w:rsidRPr="0017045A">
        <w:rPr>
          <w:rStyle w:val="StyleUnderline"/>
        </w:rPr>
        <w:t>elded by senior scholars (with tenure) to flog</w:t>
      </w:r>
      <w:r w:rsidRPr="00DE150E">
        <w:rPr>
          <w:sz w:val="16"/>
        </w:rPr>
        <w:t xml:space="preserve"> their j</w:t>
      </w:r>
      <w:r w:rsidRPr="0017045A">
        <w:rPr>
          <w:rStyle w:val="StyleUnderline"/>
        </w:rPr>
        <w:t>unior colleagues</w:t>
      </w:r>
      <w:r w:rsidRPr="00DE150E">
        <w:rPr>
          <w:sz w:val="16"/>
        </w:rPr>
        <w:t xml:space="preserve"> (who are </w:t>
      </w:r>
      <w:r w:rsidRPr="0017045A">
        <w:rPr>
          <w:rStyle w:val="StyleUnderline"/>
        </w:rPr>
        <w:t>without tenure) into submission when called to account for their involvement in systemic oppression and political privilege.</w:t>
      </w:r>
      <w:r>
        <w:rPr>
          <w:rStyle w:val="StyleUnderline"/>
        </w:rPr>
        <w:t xml:space="preserve"> </w:t>
      </w:r>
      <w:r w:rsidRPr="00DE150E">
        <w:rPr>
          <w:sz w:val="16"/>
        </w:rPr>
        <w:t xml:space="preserve">More broadly, </w:t>
      </w:r>
      <w:r w:rsidRPr="0017045A">
        <w:rPr>
          <w:rStyle w:val="StyleUnderline"/>
        </w:rPr>
        <w:t>critical approaches</w:t>
      </w:r>
      <w:r w:rsidRPr="00DE150E">
        <w:rPr>
          <w:sz w:val="16"/>
        </w:rPr>
        <w:t xml:space="preserve"> to policy analysis </w:t>
      </w:r>
      <w:r w:rsidRPr="0017045A">
        <w:rPr>
          <w:rStyle w:val="StyleUnderline"/>
        </w:rPr>
        <w:t>are not about merely ferreting out modes and methods of oppression, but</w:t>
      </w:r>
      <w:r w:rsidRPr="00DE150E">
        <w:rPr>
          <w:sz w:val="16"/>
        </w:rPr>
        <w:t xml:space="preserve"> are supposed to be </w:t>
      </w:r>
      <w:r w:rsidRPr="0017045A">
        <w:rPr>
          <w:rStyle w:val="StyleUnderline"/>
        </w:rPr>
        <w:t>liberatory tools</w:t>
      </w:r>
      <w:r w:rsidRPr="00DE150E">
        <w:rPr>
          <w:sz w:val="16"/>
        </w:rPr>
        <w:t xml:space="preserve">. In particular, QT and QLT encourage researchers and policy analysts to be </w:t>
      </w:r>
      <w:r w:rsidRPr="0017045A">
        <w:rPr>
          <w:rStyle w:val="StyleUnderline"/>
        </w:rPr>
        <w:t>not only creative, but even downright whimsical when constructing more equitable policies and school environments</w:t>
      </w:r>
      <w:r w:rsidRPr="00DE150E">
        <w:rPr>
          <w:sz w:val="16"/>
        </w:rPr>
        <w:t xml:space="preserve"> (see Halberstam, 2011 to start). While both theories are well-poised to address systemic oppression, they are also importantly about the liberation of human beings from social, political and economic oppression – oppressions that our public school systems and educational organizations have lent a hand in building. A particular case in point is the on-going reform movement focused on accountability</w:t>
      </w:r>
      <w:r w:rsidRPr="0017045A">
        <w:rPr>
          <w:rStyle w:val="StyleUnderline"/>
        </w:rPr>
        <w:t>. Student accountability is defined by students’ academic achievement as measured by standardized assessments</w:t>
      </w:r>
      <w:r w:rsidRPr="00DE150E">
        <w:rPr>
          <w:sz w:val="16"/>
        </w:rPr>
        <w:t xml:space="preserve"> (Penfield, 2010). </w:t>
      </w:r>
      <w:r w:rsidRPr="0017045A">
        <w:rPr>
          <w:rStyle w:val="StyleUnderline"/>
        </w:rPr>
        <w:t>Teacher accountability is</w:t>
      </w:r>
      <w:r w:rsidRPr="00DE150E">
        <w:rPr>
          <w:sz w:val="16"/>
        </w:rPr>
        <w:t xml:space="preserve"> increasingly </w:t>
      </w:r>
      <w:r w:rsidRPr="0017045A">
        <w:rPr>
          <w:rStyle w:val="StyleUnderline"/>
        </w:rPr>
        <w:t>defined by students’ performances on</w:t>
      </w:r>
      <w:r w:rsidRPr="00DE150E">
        <w:rPr>
          <w:sz w:val="16"/>
        </w:rPr>
        <w:t xml:space="preserve"> said </w:t>
      </w:r>
      <w:r w:rsidRPr="0017045A">
        <w:rPr>
          <w:rStyle w:val="StyleUnderline"/>
        </w:rPr>
        <w:t>tests</w:t>
      </w:r>
      <w:r w:rsidRPr="00DE150E">
        <w:rPr>
          <w:sz w:val="16"/>
        </w:rPr>
        <w:t xml:space="preserve">, and </w:t>
      </w:r>
      <w:r w:rsidRPr="0017045A">
        <w:rPr>
          <w:rStyle w:val="StyleUnderline"/>
        </w:rPr>
        <w:t xml:space="preserve">principal </w:t>
      </w:r>
      <w:r w:rsidRPr="0017045A">
        <w:rPr>
          <w:rStyle w:val="StyleUnderline"/>
        </w:rPr>
        <w:lastRenderedPageBreak/>
        <w:t>accountability is defined by teacher efficacy in raising students’ scores</w:t>
      </w:r>
      <w:r w:rsidRPr="00DE150E">
        <w:rPr>
          <w:sz w:val="16"/>
        </w:rPr>
        <w:t xml:space="preserve"> on said tests (Cohen-Vogel, 2011; Long &amp; Wong, 2011). </w:t>
      </w:r>
      <w:r w:rsidRPr="0017045A">
        <w:rPr>
          <w:rStyle w:val="StyleUnderline"/>
        </w:rPr>
        <w:t>Very little</w:t>
      </w:r>
      <w:r w:rsidRPr="00DE150E">
        <w:rPr>
          <w:sz w:val="16"/>
        </w:rPr>
        <w:t xml:space="preserve"> actual policy or political </w:t>
      </w:r>
      <w:r w:rsidRPr="0017045A">
        <w:rPr>
          <w:rStyle w:val="StyleUnderline"/>
        </w:rPr>
        <w:t>effort is made to address the much larger influence</w:t>
      </w:r>
      <w:r w:rsidRPr="00DE150E">
        <w:rPr>
          <w:sz w:val="16"/>
        </w:rPr>
        <w:t xml:space="preserve"> upon student academic achievement: </w:t>
      </w:r>
      <w:r w:rsidRPr="0017045A">
        <w:rPr>
          <w:rStyle w:val="StyleUnderline"/>
        </w:rPr>
        <w:t>parental socio-economic status</w:t>
      </w:r>
      <w:r w:rsidRPr="00DE150E">
        <w:rPr>
          <w:sz w:val="16"/>
        </w:rPr>
        <w:t xml:space="preserve"> (Sirin, 2005). Instead, the policy efforts are focused on flogging school and district-level personnel into boosting academic achievement, particularly for poor and historically minoritized students, ignoring nearly 50 years of data regarding the explanatory power of parental socio-economic status. Consequently, policymakers are focused on the proverbial leaves in the forest instead of paying heed to the worsening inferno of poverty destroying the forest (see Kirp, 2013; Lipman, 2004). </w:t>
      </w:r>
      <w:r w:rsidRPr="0017045A">
        <w:rPr>
          <w:rStyle w:val="StyleUnderline"/>
        </w:rPr>
        <w:t>By ignoring</w:t>
      </w:r>
      <w:r w:rsidRPr="00DE150E">
        <w:rPr>
          <w:sz w:val="16"/>
        </w:rPr>
        <w:t xml:space="preserve"> the far larger </w:t>
      </w:r>
      <w:r w:rsidRPr="0017045A">
        <w:rPr>
          <w:rStyle w:val="StyleUnderline"/>
        </w:rPr>
        <w:t>influence that poverty has in shaping student academic achievement, policymakers are ensuring most distressed urban public schools will be seen as “failing” their charge</w:t>
      </w:r>
      <w:r w:rsidRPr="00DE150E">
        <w:rPr>
          <w:sz w:val="16"/>
        </w:rPr>
        <w:t xml:space="preserve">s. In New Jersey, one response to this “mandate to fail” is that increasing numbers of urban districts are dispensing with recess to give more time in the school day to instruction (Sofield, 2013). But eliminating recess means, in very real terms, that </w:t>
      </w:r>
      <w:r w:rsidRPr="0017045A">
        <w:rPr>
          <w:rStyle w:val="StyleUnderline"/>
        </w:rPr>
        <w:t>children attending urban public schools have lost the right to skip at school – while their suburban counterparts have not</w:t>
      </w:r>
      <w:r w:rsidRPr="00DE150E">
        <w:rPr>
          <w:sz w:val="16"/>
        </w:rPr>
        <w:t xml:space="preserve">.17 While most traditional policy analysts might be loathe to defend a child’s right to skip at a public school, the current authors, both queer theorists, believe that is precisely the argument that needs to be made (Lugg &amp; Murphy, 2013). Our stance is that policy reform should be grounded in the lives of very real children, as well as the growing and very troubling data regarding accountability (Crocco &amp; Costigan, 2007; Darling-Hammond, 2010; Lipman, 2011). And, we argue, </w:t>
      </w:r>
      <w:r w:rsidRPr="0017045A">
        <w:rPr>
          <w:rStyle w:val="StyleUnderline"/>
        </w:rPr>
        <w:t>such reform will need a whimsical queering of decidedly non-queer school policy.</w:t>
      </w:r>
      <w:r>
        <w:rPr>
          <w:rStyle w:val="StyleUnderline"/>
        </w:rPr>
        <w:t xml:space="preserve"> </w:t>
      </w:r>
      <w:r w:rsidRPr="00DE150E">
        <w:rPr>
          <w:sz w:val="16"/>
        </w:rPr>
        <w:t xml:space="preserve">More broadly, we also argue that </w:t>
      </w:r>
      <w:r w:rsidRPr="0017045A">
        <w:rPr>
          <w:rStyle w:val="StyleUnderline"/>
        </w:rPr>
        <w:t>queer approaches to educational policy</w:t>
      </w:r>
      <w:r w:rsidRPr="00DE150E">
        <w:rPr>
          <w:sz w:val="16"/>
        </w:rPr>
        <w:t xml:space="preserve"> and politics research, </w:t>
      </w:r>
      <w:r w:rsidRPr="0017045A">
        <w:rPr>
          <w:rStyle w:val="StyleUnderline"/>
        </w:rPr>
        <w:t>because of</w:t>
      </w:r>
      <w:r w:rsidRPr="00DE150E">
        <w:rPr>
          <w:sz w:val="16"/>
        </w:rPr>
        <w:t xml:space="preserve"> their </w:t>
      </w:r>
      <w:r w:rsidRPr="0017045A">
        <w:rPr>
          <w:rStyle w:val="StyleUnderline"/>
        </w:rPr>
        <w:t>roots in</w:t>
      </w:r>
      <w:r w:rsidRPr="00DE150E">
        <w:rPr>
          <w:sz w:val="16"/>
        </w:rPr>
        <w:t xml:space="preserve"> the </w:t>
      </w:r>
      <w:r w:rsidRPr="0017045A">
        <w:rPr>
          <w:rStyle w:val="StyleUnderline"/>
        </w:rPr>
        <w:t>humanities, provide critical insights that</w:t>
      </w:r>
      <w:r w:rsidRPr="00DE150E">
        <w:rPr>
          <w:sz w:val="16"/>
        </w:rPr>
        <w:t xml:space="preserve"> simply </w:t>
      </w:r>
      <w:r w:rsidRPr="0017045A">
        <w:rPr>
          <w:rStyle w:val="StyleUnderline"/>
        </w:rPr>
        <w:t>cannot be derived from quantitative studies</w:t>
      </w:r>
      <w:r w:rsidRPr="00DE150E">
        <w:rPr>
          <w:sz w:val="16"/>
        </w:rPr>
        <w:t xml:space="preserve">. We acknowledge that </w:t>
      </w:r>
      <w:r w:rsidRPr="0017045A">
        <w:rPr>
          <w:rStyle w:val="StyleUnderline"/>
        </w:rPr>
        <w:t>present-day policymakers may not appreciate</w:t>
      </w:r>
      <w:r w:rsidRPr="00DE150E">
        <w:rPr>
          <w:sz w:val="16"/>
        </w:rPr>
        <w:t xml:space="preserve"> the </w:t>
      </w:r>
      <w:r w:rsidRPr="0017045A">
        <w:rPr>
          <w:rStyle w:val="StyleUnderline"/>
        </w:rPr>
        <w:t>knowledge generated from these endeavors</w:t>
      </w:r>
      <w:r w:rsidRPr="00DE150E">
        <w:rPr>
          <w:sz w:val="16"/>
        </w:rPr>
        <w:t xml:space="preserve">, particularly those whimsical ones </w:t>
      </w:r>
      <w:r w:rsidRPr="0017045A">
        <w:rPr>
          <w:rStyle w:val="StyleUnderline"/>
        </w:rPr>
        <w:t>which expose the ugly oppressions built into American schooling and educational research: the truth can be wildly inconvenient</w:t>
      </w:r>
      <w:r w:rsidRPr="00DE150E">
        <w:rPr>
          <w:sz w:val="16"/>
        </w:rPr>
        <w:t xml:space="preserve">. But, as policy researchers we get paid to pursue the avenues where the “data take us.” Our duty is not to please politicians, organizational leaders, and/ or our senior colleagues. Instead, our duty is to follow the data and then act on the subsequent conclusions based on the data. </w:t>
      </w:r>
      <w:r w:rsidRPr="0017045A">
        <w:rPr>
          <w:rStyle w:val="StyleUnderline"/>
        </w:rPr>
        <w:t>These</w:t>
      </w:r>
      <w:r w:rsidRPr="00DE150E">
        <w:rPr>
          <w:sz w:val="16"/>
        </w:rPr>
        <w:t xml:space="preserve"> actions </w:t>
      </w:r>
      <w:r w:rsidRPr="0017045A">
        <w:rPr>
          <w:rStyle w:val="StyleUnderline"/>
        </w:rPr>
        <w:t>include confrontation, particularly where educational institutions and their leaders contribute to the oppression of queer people. In an era of ever-increasing dehumanized schooling in the name of neo-liberal accountability, all educational organizations are in desperate need of a blunt and whimsical queering.</w:t>
      </w:r>
    </w:p>
    <w:p w:rsidR="009A6805" w:rsidRDefault="009A6805" w:rsidP="009A6805">
      <w:pPr>
        <w:pStyle w:val="Heading4"/>
      </w:pPr>
      <w:r>
        <w:t>Queering educational policy is an effective tool to create change within the educational system, means the perm solves.</w:t>
      </w:r>
    </w:p>
    <w:p w:rsidR="009A6805" w:rsidRPr="0018707B" w:rsidRDefault="009A6805" w:rsidP="009A6805">
      <w:r>
        <w:rPr>
          <w:b/>
          <w:sz w:val="26"/>
          <w:szCs w:val="26"/>
        </w:rPr>
        <w:t xml:space="preserve">Lugg and Murphy 13’ </w:t>
      </w:r>
      <w:r>
        <w:t>[Andrew and Catherine, PHD and Masters in Education from Rutgers University, “ Skipping Away from Inanity: Towards a Whimsical Queering of Educational Policy,” Texas Education Review Vol 1., 179-195] ER</w:t>
      </w:r>
    </w:p>
    <w:p w:rsidR="009A6805" w:rsidRPr="0018707B" w:rsidRDefault="009A6805" w:rsidP="009A6805">
      <w:pPr>
        <w:rPr>
          <w:rStyle w:val="Emphasis"/>
        </w:rPr>
      </w:pPr>
      <w:r w:rsidRPr="0018707B">
        <w:rPr>
          <w:sz w:val="16"/>
        </w:rPr>
        <w:t>We briefly present a much different way of looking at educational politics and policies. B</w:t>
      </w:r>
      <w:r w:rsidRPr="0018707B">
        <w:rPr>
          <w:rStyle w:val="StyleUnderline"/>
        </w:rPr>
        <w:t xml:space="preserve">y advocating that researchers use different analytic lenses, specifically Queer Theory and Queer Legal Theory, to examine current and proposed educational policies and the politics involved with both, </w:t>
      </w:r>
      <w:r w:rsidRPr="0018707B">
        <w:rPr>
          <w:rStyle w:val="Emphasis"/>
        </w:rPr>
        <w:t>we suggest that accountable educational reform need not be so dehumanizing (soul sucking?) and counter-productive to providing schools with tools they can use to make real educative improvement</w:t>
      </w:r>
      <w:r w:rsidRPr="0018707B">
        <w:rPr>
          <w:rStyle w:val="StyleUnderline"/>
        </w:rPr>
        <w:t xml:space="preserve"> (Lipman, 2011). In fact, the </w:t>
      </w:r>
      <w:r w:rsidRPr="0018707B">
        <w:rPr>
          <w:rStyle w:val="Emphasis"/>
        </w:rPr>
        <w:t>critical lenses afforded by Queer Theory and Queer Legal Theory provide analysts with important vistas for thinking about educational policy and politics in ways that do justice to the people students are, and to the happy, empathetic citizens we would like them to one day become</w:t>
      </w:r>
      <w:r w:rsidRPr="0018707B">
        <w:rPr>
          <w:rStyle w:val="StyleUnderline"/>
        </w:rPr>
        <w:t>.</w:t>
      </w:r>
      <w:r w:rsidRPr="0018707B">
        <w:rPr>
          <w:sz w:val="16"/>
        </w:rPr>
        <w:t xml:space="preserve"> But moving to a liberatory analysis, the Texas code regarding public schools should be rewritten to provide state monies to districts that offer a queer-positive public school curriculum--especially in the area of sexuality education. For example, Burdge and colleagues found that public school climates in California are improving vis-a-vis student safety and sense of belonging as queer-inclusive curricula are being implemented (see Burdge, Sinclair, Laub, &amp; Russell, 2012). Like California, the state of Texas should provide money for queer-positive curriculum materials across all curricular areas, as well as providing the means to pay for educators’ professional development in these areas. This must be a long-standing commitment -- at least for as long as the state of Texas has continued to willfully teach a profound constitutional error (which is eight years at present). The quote from Case, which highlights the intersection between gender and sexuality, also underscores the power that whimsy can provide policy analysts. Much of contemporary educational policy is wildly punitive. In particular, accountability mandates employ threats of “bad dog” to monitor (bully?) all </w:t>
      </w:r>
      <w:r w:rsidRPr="0018707B">
        <w:rPr>
          <w:sz w:val="16"/>
        </w:rPr>
        <w:lastRenderedPageBreak/>
        <w:t xml:space="preserve">public school students, teachers and principals, and even punish them (Johnson, 2013), although the performance targets are, quite frankly, inane (Linn, 2003). </w:t>
      </w:r>
      <w:r w:rsidRPr="0018707B">
        <w:rPr>
          <w:rStyle w:val="StyleUnderline"/>
        </w:rPr>
        <w:t>But given the very real anxieties over punishment, districts and the educators they employ have responded by narrowing the curriculum, focusing educators’ efforts on test preparation, and making public schools increasingly joyless and soul-less, much less whimsical, venues where all students can explore, embrace their creativity and even skip</w:t>
      </w:r>
      <w:r w:rsidRPr="0018707B">
        <w:rPr>
          <w:sz w:val="16"/>
        </w:rPr>
        <w:t xml:space="preserve"> (Carini, 2001; see also: Himley &amp; Carini, 2000). </w:t>
      </w:r>
      <w:r w:rsidRPr="0018707B">
        <w:rPr>
          <w:rStyle w:val="Emphasis"/>
        </w:rPr>
        <w:t>Using a decidedly queer lens, we can now suggest important directions policy reform can take to move away from authoritative controls and towards liberation and social justice</w:t>
      </w:r>
      <w:r w:rsidRPr="0018707B">
        <w:rPr>
          <w:sz w:val="16"/>
        </w:rPr>
        <w:t xml:space="preserve">. First and foremost, laws, public school codes, and policies deemed unconstitutional should be removed from the books (as with Texas’ “no promo homo” Penal Code: 21.06, 2005). </w:t>
      </w:r>
      <w:r w:rsidRPr="0018707B">
        <w:rPr>
          <w:rStyle w:val="StyleUnderline"/>
        </w:rPr>
        <w:t>Furthermore, the continued efforts to stigmatize queer identity and silence queer people have no rational basis in public school policy, but are typically embraced to uphold religious dogma (see Lugg &amp; Murphy, under revision). These also should be filed in the dustbin of history</w:t>
      </w:r>
      <w:r w:rsidRPr="0018707B">
        <w:rPr>
          <w:sz w:val="16"/>
        </w:rPr>
        <w:t xml:space="preserve">. But removing unconstitutional mandates and practices is not the same as promoting liberation (Lugg, 2003). Districts and educators would also be rewarded for developing better curricular materials and pedagogical practices acknowledging and celebrating queer identity and individuals, while educating all students about the contributions queer people have made to the United States. </w:t>
      </w:r>
      <w:r w:rsidRPr="0018707B">
        <w:rPr>
          <w:rStyle w:val="Emphasis"/>
        </w:rPr>
        <w:t>Additionally, a liberatory approach would reward districts/schools that build on these reforms, creating curricular and political spaces for queer-positive social justice practices</w:t>
      </w:r>
      <w:r w:rsidRPr="0018707B">
        <w:rPr>
          <w:rStyle w:val="StyleUnderline"/>
        </w:rPr>
        <w:t xml:space="preserve"> (Ruitenberg, 2010). Examples of queering for liberation can be found in some New Jersey public schools, where student-led school climate clubs (sometimes called Peace Ambassadors) have teamed up with the schools’ gay-straight alliances. Together, students from both of these groups are provided time and resources to organize queer-positive liberatory movements (such as Safe Zones) with, and for, their peers, teachers and administrators. </w:t>
      </w:r>
      <w:r w:rsidRPr="0018707B">
        <w:rPr>
          <w:sz w:val="16"/>
        </w:rPr>
        <w:t xml:space="preserve">Safe Zones label school spaces as “safe” from the harassment, intimidation, and bullying which contribute to erasure and stigma of all aspects of identity. 3 Social justice work like this sees students explicitly challenging the heteronormativities embedded in how they (and their teachers) live, study, and play in schools on an ongoing basis. And </w:t>
      </w:r>
      <w:r w:rsidRPr="0018707B">
        <w:rPr>
          <w:rStyle w:val="Emphasis"/>
        </w:rPr>
        <w:t>importantly, using QT and QLT in policy analyses should encourage policy researchers</w:t>
      </w:r>
      <w:r w:rsidRPr="0018707B">
        <w:rPr>
          <w:rStyle w:val="StyleUnderline"/>
        </w:rPr>
        <w:t xml:space="preserve"> </w:t>
      </w:r>
      <w:r w:rsidRPr="0018707B">
        <w:rPr>
          <w:rStyle w:val="Emphasis"/>
        </w:rPr>
        <w:t>to</w:t>
      </w:r>
      <w:r w:rsidRPr="0018707B">
        <w:rPr>
          <w:rStyle w:val="StyleUnderline"/>
        </w:rPr>
        <w:t xml:space="preserve"> step back and look for what is missing from or diminished within public school practices – including the arts, humanities, physical education, and of course, recess – while </w:t>
      </w:r>
      <w:r w:rsidRPr="0018707B">
        <w:rPr>
          <w:rStyle w:val="Emphasis"/>
        </w:rPr>
        <w:t>becom</w:t>
      </w:r>
      <w:r w:rsidRPr="0018707B">
        <w:rPr>
          <w:rStyle w:val="StyleUnderline"/>
        </w:rPr>
        <w:t xml:space="preserve">ing </w:t>
      </w:r>
      <w:r w:rsidRPr="0018707B">
        <w:rPr>
          <w:rStyle w:val="Emphasis"/>
        </w:rPr>
        <w:t>more critical of punitive policy approaches which run counter to best pedagogical and workplace practices. To be blunt, we must empower ourselves to skip away from inane educational policies and instead promote those policies which encourage all children and educators to embrace their creativities, whimsies and joy, within a public school setting.</w:t>
      </w:r>
    </w:p>
    <w:p w:rsidR="00933EFE" w:rsidRDefault="0005372F" w:rsidP="0005372F">
      <w:pPr>
        <w:pStyle w:val="Heading3"/>
      </w:pPr>
      <w:bookmarkStart w:id="102" w:name="_Toc489138991"/>
      <w:r>
        <w:lastRenderedPageBreak/>
        <w:t>Perm: Reform—solves homonationalism</w:t>
      </w:r>
      <w:bookmarkEnd w:id="102"/>
    </w:p>
    <w:p w:rsidR="0005372F" w:rsidRDefault="0005372F" w:rsidP="0005372F">
      <w:pPr>
        <w:pStyle w:val="Heading4"/>
      </w:pPr>
      <w:r>
        <w:t>Puar’s representation of the state as a singular entity de-historicizes politics and prevents resistance – Strategies must simultaneously challenge but not invest within structures of governance</w:t>
      </w:r>
    </w:p>
    <w:p w:rsidR="0005372F" w:rsidRDefault="0005372F" w:rsidP="0005372F">
      <w:r w:rsidRPr="00376944">
        <w:rPr>
          <w:rStyle w:val="Style13ptBold"/>
        </w:rPr>
        <w:t xml:space="preserve">Dhawan </w:t>
      </w:r>
      <w:r>
        <w:t>20</w:t>
      </w:r>
      <w:r w:rsidRPr="00376944">
        <w:rPr>
          <w:rStyle w:val="Style13ptBold"/>
        </w:rPr>
        <w:t xml:space="preserve">15 </w:t>
      </w:r>
      <w:r>
        <w:t>(Nikita is the Professor of Political Science (Political Theory and Gender Studies) and Director of the Research Platform Gender Studies: "Identities – Discourses – Transformations" at the University of Innsbruck, Austria. Previously she was Director of the Frankfurt Research Center for Postcolonial Studies at Goethe University. “</w:t>
      </w:r>
      <w:r w:rsidRPr="0035191C">
        <w:t>Homonationalism and State-phobia: The Postcolonial Predicament of Queering Modernities</w:t>
      </w:r>
      <w:r>
        <w:t xml:space="preserve">,” Queering Paradigms: Queering Narratives of Modernity, Vol. 5, </w:t>
      </w:r>
      <w:r w:rsidRPr="0035191C">
        <w:t>https://www.academia.edu/15604557/Homonationalism_and_state-phobia_The_postcolonial_predicament_of_queering_modernities_uncorrected_proofs</w:t>
      </w:r>
      <w:r>
        <w:t xml:space="preserve"> -CR) </w:t>
      </w:r>
    </w:p>
    <w:p w:rsidR="0005372F" w:rsidRDefault="0005372F" w:rsidP="0005372F">
      <w:r>
        <w:t>-Includes references of Foucault’s analysis of sensitive subjects-</w:t>
      </w:r>
    </w:p>
    <w:p w:rsidR="0005372F" w:rsidRPr="00A1618A" w:rsidRDefault="0005372F" w:rsidP="0005372F">
      <w:pPr>
        <w:rPr>
          <w:sz w:val="16"/>
        </w:rPr>
      </w:pPr>
      <w:r w:rsidRPr="00A1618A">
        <w:rPr>
          <w:sz w:val="16"/>
        </w:rPr>
        <w:t xml:space="preserve">State-phobia: One of my main </w:t>
      </w:r>
      <w:r w:rsidRPr="00B040F1">
        <w:rPr>
          <w:rStyle w:val="StyleUnderline"/>
        </w:rPr>
        <w:t xml:space="preserve">difficulties with current politics of anti-homonationalism and pink-watching is their rejection of any engagement with the state, which is censured as a form of co-option and appeasement. They </w:t>
      </w:r>
      <w:r w:rsidRPr="00A1618A">
        <w:rPr>
          <w:sz w:val="16"/>
        </w:rPr>
        <w:t xml:space="preserve">almost </w:t>
      </w:r>
      <w:r w:rsidRPr="00B040F1">
        <w:rPr>
          <w:rStyle w:val="StyleUnderline"/>
        </w:rPr>
        <w:t>seem to oppose the political agenda of providing non-normative sexualities with social recognition and legal protection</w:t>
      </w:r>
      <w:r w:rsidRPr="00A1618A">
        <w:rPr>
          <w:sz w:val="16"/>
        </w:rPr>
        <w:t xml:space="preserve"> through rights and policies, </w:t>
      </w:r>
      <w:r w:rsidRPr="00B040F1">
        <w:rPr>
          <w:rStyle w:val="StyleUnderline"/>
        </w:rPr>
        <w:t>because this would mean acknowledging the existence of other forms of violence that are not reducible to Western racism and imperialism</w:t>
      </w:r>
      <w:r w:rsidRPr="00A1618A">
        <w:rPr>
          <w:sz w:val="16"/>
        </w:rPr>
        <w:t xml:space="preserve"> even as they are not entirely disconnected from them. </w:t>
      </w:r>
      <w:r w:rsidRPr="00B040F1">
        <w:rPr>
          <w:rStyle w:val="StyleUnderline"/>
        </w:rPr>
        <w:t xml:space="preserve">This form of </w:t>
      </w:r>
      <w:r w:rsidRPr="00B040F1">
        <w:rPr>
          <w:rStyle w:val="Emphasis"/>
        </w:rPr>
        <w:t>anti-statism denies</w:t>
      </w:r>
      <w:r w:rsidRPr="00B040F1">
        <w:rPr>
          <w:rStyle w:val="StyleUnderline"/>
        </w:rPr>
        <w:t xml:space="preserve"> others some of the </w:t>
      </w:r>
      <w:r w:rsidRPr="00B040F1">
        <w:rPr>
          <w:rStyle w:val="Emphasis"/>
        </w:rPr>
        <w:t>protections</w:t>
      </w:r>
      <w:r w:rsidRPr="00B040F1">
        <w:rPr>
          <w:rStyle w:val="StyleUnderline"/>
        </w:rPr>
        <w:t xml:space="preserve"> postcolonial queers enjoy on the privileged side</w:t>
      </w:r>
      <w:r w:rsidRPr="00A1618A">
        <w:rPr>
          <w:sz w:val="16"/>
        </w:rPr>
        <w:t xml:space="preserve"> of transnationality, who live in states where homosexuality has been decriminalized. </w:t>
      </w:r>
      <w:r w:rsidRPr="00B040F1">
        <w:rPr>
          <w:rStyle w:val="StyleUnderline"/>
        </w:rPr>
        <w:t>Anyone who addresses the issue of homophobia in minority cultures is simply racist</w:t>
      </w:r>
      <w:r w:rsidRPr="00A1618A">
        <w:rPr>
          <w:sz w:val="16"/>
        </w:rPr>
        <w:t xml:space="preserve"> and any talk of homophobic violence causes trouble for sexual minorities in their communities or countries. </w:t>
      </w:r>
      <w:r w:rsidRPr="00B040F1">
        <w:rPr>
          <w:rStyle w:val="StyleUnderline"/>
        </w:rPr>
        <w:t>Anyone who supports ideals of equality, freedom, or emancipation is labeled ‘Western’ or functions as a trophy for liberal and conservative forces</w:t>
      </w:r>
      <w:r w:rsidRPr="00A1618A">
        <w:rPr>
          <w:sz w:val="16"/>
        </w:rPr>
        <w:t xml:space="preserve">. My response to this position is that </w:t>
      </w:r>
      <w:r w:rsidRPr="00B040F1">
        <w:rPr>
          <w:rStyle w:val="Emphasis"/>
        </w:rPr>
        <w:t>they do not take the consequences of colonialism seriously</w:t>
      </w:r>
      <w:r w:rsidRPr="00A1618A">
        <w:rPr>
          <w:sz w:val="16"/>
        </w:rPr>
        <w:t xml:space="preserve"> </w:t>
      </w:r>
      <w:r w:rsidRPr="00B040F1">
        <w:rPr>
          <w:rStyle w:val="StyleUnderline"/>
        </w:rPr>
        <w:t>if they think decolonization is simply circumventing</w:t>
      </w:r>
      <w:r w:rsidRPr="00A1618A">
        <w:rPr>
          <w:sz w:val="16"/>
        </w:rPr>
        <w:t xml:space="preserve"> the legacies of </w:t>
      </w:r>
      <w:r w:rsidRPr="00B040F1">
        <w:rPr>
          <w:rStyle w:val="StyleUnderline"/>
        </w:rPr>
        <w:t>modernity and the language of rights</w:t>
      </w:r>
      <w:r w:rsidRPr="00A1618A">
        <w:rPr>
          <w:sz w:val="16"/>
        </w:rPr>
        <w:t xml:space="preserve">, equality, freedom </w:t>
      </w:r>
      <w:r w:rsidRPr="00B040F1">
        <w:rPr>
          <w:rStyle w:val="StyleUnderline"/>
        </w:rPr>
        <w:t>and emancipation</w:t>
      </w:r>
      <w:r w:rsidRPr="00A1618A">
        <w:rPr>
          <w:sz w:val="16"/>
        </w:rPr>
        <w:t xml:space="preserve">. While theorists like Puar rightly draw on Foucault to unpack how non-normative sexualities are deployed in the biopolitical production of different populations in relation to one another, namely, how European queers are constituted in terms of requiring protection from the threat of homophobic migrants at home and regressive Muslim cultures elsewhere. At the same time, one of my primary objects against </w:t>
      </w:r>
      <w:r w:rsidRPr="00E052D6">
        <w:rPr>
          <w:rStyle w:val="StyleUnderline"/>
        </w:rPr>
        <w:t>Puar and the politics of anti-homonationalism is that they tend to dehistoricize</w:t>
      </w:r>
      <w:r w:rsidRPr="00A1618A">
        <w:rPr>
          <w:sz w:val="16"/>
        </w:rPr>
        <w:t xml:space="preserve">, demonize </w:t>
      </w:r>
      <w:r w:rsidRPr="00E052D6">
        <w:rPr>
          <w:rStyle w:val="StyleUnderline"/>
        </w:rPr>
        <w:t>and essentialize the state reducing it to its penal functions</w:t>
      </w:r>
      <w:r w:rsidRPr="00A1618A">
        <w:rPr>
          <w:sz w:val="16"/>
        </w:rPr>
        <w:t>. In her discussions of Israeli ‘pink-washing’ or decriminalization of homosexuality in India</w:t>
      </w:r>
      <w:r w:rsidRPr="00E052D6">
        <w:rPr>
          <w:rStyle w:val="StyleUnderline"/>
        </w:rPr>
        <w:t>, Puar gives the impression ‘as if ’ there is no difference between the US and Germany, or between Israel and India. This</w:t>
      </w:r>
      <w:r w:rsidRPr="00A1618A">
        <w:rPr>
          <w:sz w:val="16"/>
        </w:rPr>
        <w:t xml:space="preserve"> dangerously </w:t>
      </w:r>
      <w:r w:rsidRPr="00E052D6">
        <w:rPr>
          <w:rStyle w:val="StyleUnderline"/>
        </w:rPr>
        <w:t>disregards Foucault’s critique of state-phobia in his governmentality lectures, where he</w:t>
      </w:r>
      <w:r w:rsidRPr="00A1618A">
        <w:rPr>
          <w:sz w:val="16"/>
        </w:rPr>
        <w:t xml:space="preserve"> simultaneously </w:t>
      </w:r>
      <w:r w:rsidRPr="00E052D6">
        <w:rPr>
          <w:rStyle w:val="StyleUnderline"/>
        </w:rPr>
        <w:t>target</w:t>
      </w:r>
      <w:r w:rsidRPr="00A1618A">
        <w:rPr>
          <w:sz w:val="16"/>
        </w:rPr>
        <w:t xml:space="preserve">s Marxists, ultra-left radicals, </w:t>
      </w:r>
      <w:r w:rsidRPr="00E052D6">
        <w:rPr>
          <w:rStyle w:val="StyleUnderline"/>
        </w:rPr>
        <w:t>liberals,</w:t>
      </w:r>
      <w:r w:rsidRPr="00A1618A">
        <w:rPr>
          <w:sz w:val="16"/>
        </w:rPr>
        <w:t xml:space="preserve"> neo-liberals, </w:t>
      </w:r>
      <w:r w:rsidRPr="00E052D6">
        <w:rPr>
          <w:rStyle w:val="StyleUnderline"/>
        </w:rPr>
        <w:t>which consider the state as predator that must be contained and ‘defanged’</w:t>
      </w:r>
      <w:r w:rsidRPr="00A1618A">
        <w:rPr>
          <w:sz w:val="16"/>
        </w:rPr>
        <w:t xml:space="preserve"> (refer to Dhawan 2013). Rejecting Nietzsche’s image of the state as the ‘coldest of all cold monsters’, </w:t>
      </w:r>
      <w:r w:rsidRPr="00E052D6">
        <w:rPr>
          <w:rStyle w:val="StyleUnderline"/>
        </w:rPr>
        <w:t>Foucault views the state an effect rather than cause of governmental practices and rationalities. Foucault’s historical investigations unfold how the experience with fascism [and] totalitarianism</w:t>
      </w:r>
      <w:r w:rsidRPr="00A1618A">
        <w:rPr>
          <w:sz w:val="16"/>
        </w:rPr>
        <w:t xml:space="preserve"> during National Socialism and Stalinism </w:t>
      </w:r>
      <w:r w:rsidRPr="00E052D6">
        <w:rPr>
          <w:rStyle w:val="StyleUnderline"/>
        </w:rPr>
        <w:t xml:space="preserve">led to the rise of state-phobia in Europe. </w:t>
      </w:r>
      <w:r w:rsidRPr="00A1618A">
        <w:rPr>
          <w:sz w:val="16"/>
        </w:rPr>
        <w:t xml:space="preserve">In order to reconfigure the relation between government and society, the subsequent efforts sought to replace the despotic state or police state through rule of law and constitutional state. According to Foucault, </w:t>
      </w:r>
      <w:r w:rsidRPr="00E052D6">
        <w:rPr>
          <w:rStyle w:val="StyleUnderline"/>
        </w:rPr>
        <w:t>since the late 1970s anti-statism rapidly became the basis of liberal and left politics in</w:t>
      </w:r>
      <w:r w:rsidRPr="00A1618A">
        <w:rPr>
          <w:sz w:val="16"/>
        </w:rPr>
        <w:t xml:space="preserve"> the form of </w:t>
      </w:r>
      <w:r w:rsidRPr="00E052D6">
        <w:rPr>
          <w:rStyle w:val="StyleUnderline"/>
        </w:rPr>
        <w:t>critique of securitization and repressive apparatus. This translated</w:t>
      </w:r>
      <w:r w:rsidRPr="00A1618A">
        <w:rPr>
          <w:sz w:val="16"/>
        </w:rPr>
        <w:t xml:space="preserve"> for instance </w:t>
      </w:r>
      <w:r w:rsidRPr="00E052D6">
        <w:rPr>
          <w:rStyle w:val="StyleUnderline"/>
        </w:rPr>
        <w:t>into uncritical solidarity</w:t>
      </w:r>
      <w:r w:rsidRPr="00A1618A">
        <w:rPr>
          <w:sz w:val="16"/>
        </w:rPr>
        <w:t xml:space="preserve"> with soviet dissidents. Both amongst the liberals as well as amongst the left, </w:t>
      </w:r>
      <w:r w:rsidRPr="00E052D6">
        <w:rPr>
          <w:rStyle w:val="StyleUnderline"/>
        </w:rPr>
        <w:t>the idea of state as threat gained traction</w:t>
      </w:r>
      <w:r w:rsidRPr="00A1618A">
        <w:rPr>
          <w:sz w:val="16"/>
        </w:rPr>
        <w:t xml:space="preserve">, particularly </w:t>
      </w:r>
      <w:r w:rsidRPr="00E052D6">
        <w:rPr>
          <w:rStyle w:val="StyleUnderline"/>
        </w:rPr>
        <w:t>in the context of fear of atomic war. Foucault problematizes</w:t>
      </w:r>
      <w:r w:rsidRPr="00A1618A">
        <w:rPr>
          <w:sz w:val="16"/>
        </w:rPr>
        <w:t xml:space="preserve"> the </w:t>
      </w:r>
      <w:r w:rsidRPr="00E052D6">
        <w:rPr>
          <w:rStyle w:val="Emphasis"/>
        </w:rPr>
        <w:t>state-phobia</w:t>
      </w:r>
      <w:r w:rsidRPr="00A1618A">
        <w:rPr>
          <w:sz w:val="16"/>
        </w:rPr>
        <w:t xml:space="preserve"> of liberal as well as left politics, </w:t>
      </w:r>
      <w:r w:rsidRPr="00E052D6">
        <w:rPr>
          <w:rStyle w:val="StyleUnderline"/>
        </w:rPr>
        <w:t xml:space="preserve">in that they </w:t>
      </w:r>
      <w:r w:rsidRPr="00E052D6">
        <w:rPr>
          <w:rStyle w:val="Emphasis"/>
        </w:rPr>
        <w:t xml:space="preserve">fail to distinguish between </w:t>
      </w:r>
      <w:r w:rsidRPr="00E052D6">
        <w:rPr>
          <w:rStyle w:val="StyleUnderline"/>
        </w:rPr>
        <w:t>administrative</w:t>
      </w:r>
      <w:r w:rsidRPr="00A1618A">
        <w:rPr>
          <w:sz w:val="16"/>
        </w:rPr>
        <w:t xml:space="preserve"> state, </w:t>
      </w:r>
      <w:r w:rsidRPr="00E052D6">
        <w:rPr>
          <w:rStyle w:val="StyleUnderline"/>
        </w:rPr>
        <w:t xml:space="preserve">welfare </w:t>
      </w:r>
      <w:r w:rsidRPr="00A1618A">
        <w:rPr>
          <w:sz w:val="16"/>
        </w:rPr>
        <w:t xml:space="preserve">state, </w:t>
      </w:r>
      <w:r w:rsidRPr="00E052D6">
        <w:rPr>
          <w:rStyle w:val="StyleUnderline"/>
        </w:rPr>
        <w:t>bureaucratic</w:t>
      </w:r>
      <w:r w:rsidRPr="00A1618A">
        <w:rPr>
          <w:sz w:val="16"/>
        </w:rPr>
        <w:t xml:space="preserve"> state, </w:t>
      </w:r>
      <w:r w:rsidRPr="00E052D6">
        <w:rPr>
          <w:rStyle w:val="StyleUnderline"/>
        </w:rPr>
        <w:t>fascist</w:t>
      </w:r>
      <w:r w:rsidRPr="00A1618A">
        <w:rPr>
          <w:sz w:val="16"/>
        </w:rPr>
        <w:t xml:space="preserve"> state </w:t>
      </w:r>
      <w:r w:rsidRPr="00E052D6">
        <w:rPr>
          <w:rStyle w:val="StyleUnderline"/>
        </w:rPr>
        <w:t xml:space="preserve">and totalitarian </w:t>
      </w:r>
      <w:r w:rsidRPr="00E052D6">
        <w:rPr>
          <w:rStyle w:val="Emphasis"/>
        </w:rPr>
        <w:t>state.</w:t>
      </w:r>
      <w:r w:rsidRPr="00E052D6">
        <w:rPr>
          <w:rStyle w:val="StyleUnderline"/>
        </w:rPr>
        <w:t xml:space="preserve"> He distances himself from such an </w:t>
      </w:r>
      <w:r w:rsidRPr="00E052D6">
        <w:rPr>
          <w:rStyle w:val="StyleUnderline"/>
        </w:rPr>
        <w:lastRenderedPageBreak/>
        <w:t>inflationary form of</w:t>
      </w:r>
      <w:r w:rsidRPr="00A1618A">
        <w:rPr>
          <w:sz w:val="16"/>
        </w:rPr>
        <w:t xml:space="preserve"> liberal and left </w:t>
      </w:r>
      <w:r w:rsidRPr="00E052D6">
        <w:rPr>
          <w:rStyle w:val="StyleUnderline"/>
        </w:rPr>
        <w:t>statephobia</w:t>
      </w:r>
      <w:r w:rsidRPr="00A1618A">
        <w:rPr>
          <w:sz w:val="16"/>
        </w:rPr>
        <w:t xml:space="preserve">. In contrast </w:t>
      </w:r>
      <w:r w:rsidRPr="00E052D6">
        <w:rPr>
          <w:rStyle w:val="StyleUnderline"/>
        </w:rPr>
        <w:t>Foucault understands the state as ‘the mobile effect of a regime of multiple governmentalities’ that overlap, but also contradict each other</w:t>
      </w:r>
      <w:r w:rsidRPr="00A1618A">
        <w:rPr>
          <w:sz w:val="16"/>
        </w:rPr>
        <w:t xml:space="preserve"> (2008: 77). </w:t>
      </w:r>
      <w:r w:rsidRPr="00E052D6">
        <w:rPr>
          <w:rStyle w:val="StyleUnderline"/>
        </w:rPr>
        <w:t xml:space="preserve">This </w:t>
      </w:r>
      <w:r w:rsidRPr="00E052D6">
        <w:rPr>
          <w:rStyle w:val="Emphasis"/>
        </w:rPr>
        <w:t>dynamic and ambivalent function</w:t>
      </w:r>
      <w:r w:rsidRPr="00E052D6">
        <w:rPr>
          <w:rStyle w:val="StyleUnderline"/>
        </w:rPr>
        <w:t xml:space="preserve"> of the state </w:t>
      </w:r>
      <w:r w:rsidRPr="00E052D6">
        <w:rPr>
          <w:rStyle w:val="Emphasis"/>
        </w:rPr>
        <w:t>is dangerously ignored by scholars</w:t>
      </w:r>
      <w:r w:rsidRPr="00A1618A">
        <w:rPr>
          <w:sz w:val="16"/>
        </w:rPr>
        <w:t xml:space="preserve"> </w:t>
      </w:r>
      <w:r w:rsidRPr="00E052D6">
        <w:rPr>
          <w:rStyle w:val="StyleUnderline"/>
        </w:rPr>
        <w:t>like Puar, whose critique</w:t>
      </w:r>
      <w:r w:rsidRPr="00A1618A">
        <w:rPr>
          <w:sz w:val="16"/>
        </w:rPr>
        <w:t xml:space="preserve"> of the state </w:t>
      </w:r>
      <w:r w:rsidRPr="00E052D6">
        <w:rPr>
          <w:rStyle w:val="StyleUnderline"/>
        </w:rPr>
        <w:t>gravitates towards state-phobia in that every attempt by queer individuals</w:t>
      </w:r>
      <w:r w:rsidRPr="00A1618A">
        <w:rPr>
          <w:sz w:val="16"/>
        </w:rPr>
        <w:t xml:space="preserve"> and groups </w:t>
      </w:r>
      <w:r w:rsidRPr="00E052D6">
        <w:rPr>
          <w:rStyle w:val="StyleUnderline"/>
        </w:rPr>
        <w:t>to negotiate with the state is denounced as homonationalism.</w:t>
      </w:r>
      <w:r w:rsidRPr="00A1618A">
        <w:rPr>
          <w:sz w:val="16"/>
        </w:rPr>
        <w:t xml:space="preserve"> One must bear in mind that </w:t>
      </w:r>
      <w:r w:rsidRPr="00E052D6">
        <w:rPr>
          <w:rStyle w:val="StyleUnderline"/>
        </w:rPr>
        <w:t>there is a very fine line between critique of the state and statephobia and anti-statism. The latter is marked by a deep distrust of state institutions</w:t>
      </w:r>
      <w:r w:rsidRPr="00A1618A">
        <w:rPr>
          <w:sz w:val="16"/>
        </w:rPr>
        <w:t xml:space="preserve"> per se. As Foucault compellingly argues, </w:t>
      </w:r>
      <w:r w:rsidRPr="00E052D6">
        <w:rPr>
          <w:rStyle w:val="StyleUnderline"/>
        </w:rPr>
        <w:t>state-phobia forms a foundational premise for the emergence of neoliberal governmentality and conflates critique</w:t>
      </w:r>
      <w:r w:rsidRPr="00A1618A">
        <w:rPr>
          <w:sz w:val="16"/>
        </w:rPr>
        <w:t xml:space="preserve"> of state and critique of domination, </w:t>
      </w:r>
      <w:r w:rsidRPr="00E052D6">
        <w:rPr>
          <w:rStyle w:val="StyleUnderline"/>
        </w:rPr>
        <w:t>with the state</w:t>
      </w:r>
      <w:r w:rsidRPr="00A1618A">
        <w:rPr>
          <w:sz w:val="16"/>
        </w:rPr>
        <w:t xml:space="preserve"> being </w:t>
      </w:r>
      <w:r w:rsidRPr="00E052D6">
        <w:rPr>
          <w:rStyle w:val="StyleUnderline"/>
        </w:rPr>
        <w:t xml:space="preserve">characterized as the origin of all violence. </w:t>
      </w:r>
      <w:r w:rsidRPr="00A1618A">
        <w:rPr>
          <w:sz w:val="16"/>
        </w:rPr>
        <w:t xml:space="preserve">The challenge for postcolonial queer theory is to formulate critique of the state and critique of hegemonic heteronormativity without reproducing state-phobia. Finally liberal and left </w:t>
      </w:r>
      <w:r w:rsidRPr="00E052D6">
        <w:rPr>
          <w:rStyle w:val="StyleUnderline"/>
        </w:rPr>
        <w:t>state-phobia is informed by a Eurocentrism</w:t>
      </w:r>
      <w:r w:rsidRPr="00A1618A">
        <w:rPr>
          <w:sz w:val="16"/>
        </w:rPr>
        <w:t xml:space="preserve">, in that a particular, specific </w:t>
      </w:r>
      <w:r w:rsidRPr="00DF463C">
        <w:rPr>
          <w:rStyle w:val="StyleUnderline"/>
        </w:rPr>
        <w:t>European experience with fascism is universalized</w:t>
      </w:r>
      <w:r w:rsidRPr="00A1618A">
        <w:rPr>
          <w:sz w:val="16"/>
        </w:rPr>
        <w:t xml:space="preserve"> thereby </w:t>
      </w:r>
      <w:r w:rsidRPr="00DF463C">
        <w:rPr>
          <w:rStyle w:val="StyleUnderline"/>
        </w:rPr>
        <w:t xml:space="preserve">erasing different historical processes of state-formation </w:t>
      </w:r>
      <w:r w:rsidRPr="00A1618A">
        <w:rPr>
          <w:sz w:val="16"/>
        </w:rPr>
        <w:t xml:space="preserve">and state-building in postcolonial contexts. </w:t>
      </w:r>
      <w:r w:rsidRPr="00DF463C">
        <w:rPr>
          <w:rStyle w:val="StyleUnderline"/>
        </w:rPr>
        <w:t>Puar</w:t>
      </w:r>
      <w:r w:rsidRPr="00A1618A">
        <w:rPr>
          <w:sz w:val="16"/>
        </w:rPr>
        <w:t xml:space="preserve">s critique of USA, Israel und India </w:t>
      </w:r>
      <w:r w:rsidRPr="00DF463C">
        <w:rPr>
          <w:rStyle w:val="StyleUnderline"/>
        </w:rPr>
        <w:t>homogenize</w:t>
      </w:r>
      <w:r w:rsidRPr="00A1618A">
        <w:rPr>
          <w:sz w:val="16"/>
        </w:rPr>
        <w:t xml:space="preserve">s very </w:t>
      </w:r>
      <w:r w:rsidRPr="00DF463C">
        <w:rPr>
          <w:rStyle w:val="StyleUnderline"/>
        </w:rPr>
        <w:t>diverse anti-discrimination policies and laws simply as politics of appeasement.</w:t>
      </w:r>
      <w:r w:rsidRPr="00A1618A">
        <w:rPr>
          <w:sz w:val="16"/>
        </w:rPr>
        <w:t xml:space="preserve"> This approach is risky in its simplicity. Interestingly </w:t>
      </w:r>
      <w:r w:rsidRPr="00DF463C">
        <w:rPr>
          <w:rStyle w:val="StyleUnderline"/>
        </w:rPr>
        <w:t>states like Saudi Arabia or Mauritania, where homosexual acts are punishable with death</w:t>
      </w:r>
      <w:r w:rsidRPr="00A1618A">
        <w:rPr>
          <w:sz w:val="16"/>
        </w:rPr>
        <w:t xml:space="preserve"> penalty </w:t>
      </w:r>
      <w:r w:rsidRPr="00DF463C">
        <w:rPr>
          <w:rStyle w:val="StyleUnderline"/>
        </w:rPr>
        <w:t>are spared</w:t>
      </w:r>
      <w:r w:rsidRPr="00A1618A">
        <w:rPr>
          <w:sz w:val="16"/>
        </w:rPr>
        <w:t xml:space="preserve"> in Puar’s writings. Moreover, </w:t>
      </w:r>
      <w:r w:rsidRPr="00DF463C">
        <w:rPr>
          <w:rStyle w:val="StyleUnderline"/>
        </w:rPr>
        <w:t>she equates the</w:t>
      </w:r>
      <w:r w:rsidRPr="00A1618A">
        <w:rPr>
          <w:sz w:val="16"/>
        </w:rPr>
        <w:t xml:space="preserve"> provisional </w:t>
      </w:r>
      <w:r w:rsidRPr="00DF463C">
        <w:rPr>
          <w:rStyle w:val="StyleUnderline"/>
        </w:rPr>
        <w:t>decriminalization of same sex acts in India and</w:t>
      </w:r>
      <w:r w:rsidRPr="00A1618A">
        <w:rPr>
          <w:sz w:val="16"/>
        </w:rPr>
        <w:t xml:space="preserve"> invalidation of sodomy laws </w:t>
      </w:r>
      <w:r w:rsidRPr="00DF463C">
        <w:rPr>
          <w:rStyle w:val="StyleUnderline"/>
        </w:rPr>
        <w:t xml:space="preserve">in </w:t>
      </w:r>
      <w:r>
        <w:rPr>
          <w:rStyle w:val="StyleUnderline"/>
        </w:rPr>
        <w:t xml:space="preserve">[the] </w:t>
      </w:r>
      <w:r w:rsidRPr="00DF463C">
        <w:rPr>
          <w:rStyle w:val="StyleUnderline"/>
        </w:rPr>
        <w:t xml:space="preserve">USA as examples of homonationalism, discounting </w:t>
      </w:r>
      <w:r w:rsidRPr="00A1618A">
        <w:rPr>
          <w:sz w:val="16"/>
        </w:rPr>
        <w:t xml:space="preserve">the </w:t>
      </w:r>
      <w:r w:rsidRPr="00DF463C">
        <w:rPr>
          <w:rStyle w:val="StyleUnderline"/>
        </w:rPr>
        <w:t xml:space="preserve">differences between two very different historical </w:t>
      </w:r>
      <w:r w:rsidRPr="00A1618A">
        <w:rPr>
          <w:sz w:val="16"/>
        </w:rPr>
        <w:t>and regional</w:t>
      </w:r>
      <w:r w:rsidRPr="00DF463C">
        <w:rPr>
          <w:rStyle w:val="StyleUnderline"/>
        </w:rPr>
        <w:t xml:space="preserve"> contexts. The</w:t>
      </w:r>
      <w:r w:rsidRPr="00A1618A">
        <w:rPr>
          <w:sz w:val="16"/>
        </w:rPr>
        <w:t xml:space="preserve"> two legal </w:t>
      </w:r>
      <w:r w:rsidRPr="00DF463C">
        <w:rPr>
          <w:rStyle w:val="StyleUnderline"/>
        </w:rPr>
        <w:t>reforms are a result of complex</w:t>
      </w:r>
      <w:r w:rsidRPr="00A1618A">
        <w:rPr>
          <w:sz w:val="16"/>
        </w:rPr>
        <w:t xml:space="preserve"> social and legal </w:t>
      </w:r>
      <w:r w:rsidRPr="00DF463C">
        <w:rPr>
          <w:rStyle w:val="StyleUnderline"/>
        </w:rPr>
        <w:t xml:space="preserve">struggles </w:t>
      </w:r>
      <w:r w:rsidRPr="00A1618A">
        <w:rPr>
          <w:sz w:val="16"/>
        </w:rPr>
        <w:t xml:space="preserve">that produce ambivalent and diverse effects, </w:t>
      </w:r>
      <w:r w:rsidRPr="00DF463C">
        <w:rPr>
          <w:rStyle w:val="StyleUnderline"/>
        </w:rPr>
        <w:t>which are</w:t>
      </w:r>
      <w:r w:rsidRPr="00A1618A">
        <w:rPr>
          <w:sz w:val="16"/>
        </w:rPr>
        <w:t xml:space="preserve"> questionably </w:t>
      </w:r>
      <w:r w:rsidRPr="00DF463C">
        <w:rPr>
          <w:rStyle w:val="StyleUnderline"/>
        </w:rPr>
        <w:t>disregarded.</w:t>
      </w:r>
      <w:r w:rsidRPr="00A1618A">
        <w:rPr>
          <w:sz w:val="16"/>
        </w:rPr>
        <w:t xml:space="preserve"> If Europe universalized its norms and epistemologies through colonialism, then decolonization is incomplete without the deuniversalization and provincialization of Euro-American experiences and politics. This would entail a nuanced historical analysis of diverse configurations. In this context the specific German experience with fascism and totalitarianism must not be imposed seamlessly on postcolonial contexts to promote a transnational state-phobic queer politics. This would be disastrous. This raises the question: Why is Foucault’s critique of state-phobia disregarded, not just by radical queer politics but even by Foucaultians themselves. Here I claim that this comes from an inconsistency and ambivalence in Foucault’s own position. </w:t>
      </w:r>
      <w:r w:rsidRPr="00DF463C">
        <w:rPr>
          <w:rStyle w:val="StyleUnderline"/>
        </w:rPr>
        <w:t>Foucault diagnoses sexuality as a key zone of government, as a fundamental object of regulation</w:t>
      </w:r>
      <w:r w:rsidRPr="00A1618A">
        <w:rPr>
          <w:sz w:val="16"/>
        </w:rPr>
        <w:t xml:space="preserve"> in liberal-capitalist states. Securitization and sexuality, danger and protection, family and nation function as stock phrases of governmental practices. Accordingly </w:t>
      </w:r>
      <w:r w:rsidRPr="00DF463C">
        <w:rPr>
          <w:rStyle w:val="StyleUnderline"/>
        </w:rPr>
        <w:t>when it comes to the issue</w:t>
      </w:r>
      <w:r w:rsidRPr="00A1618A">
        <w:rPr>
          <w:sz w:val="16"/>
        </w:rPr>
        <w:t xml:space="preserve"> of legislation </w:t>
      </w:r>
      <w:r w:rsidRPr="00DF463C">
        <w:rPr>
          <w:rStyle w:val="StyleUnderline"/>
        </w:rPr>
        <w:t>of sexuality, one gets a sense of Foucault’s distrust</w:t>
      </w:r>
      <w:r w:rsidRPr="00A1618A">
        <w:rPr>
          <w:sz w:val="16"/>
        </w:rPr>
        <w:t xml:space="preserve"> of the state that he otherwise warns others to overcome. To give you a concrete example: In a round-table discussion in 1977, Foucault made the controversial proposal to treat rape like a ‘punch in the face’. Foucault recommends ‘desexualization of rape’ as a strategy against disciplinary power. The sexual definition of rape, he argues, reinforces the genitalization of the body, thereby justifying the disciplinary targeting of sexuality. He provocatively asks why an assault with a penis should be distinguished legally from an assault with any other body part. His aim is to delink desire and crime, sexuality and the law in an attempt to immunize sexuality from becoming target of state intervention. At this point I detect an inconsistency in Foucault’s positions as he shows signs of state-phobia (Dhawan 2013). By reclassifying rape from criminal law into a civil offense, punishable by damages, Foucault seeks to immunize sexual acts from state punishment namely, incarceration of the rapists</w:t>
      </w:r>
      <w:r w:rsidRPr="00A1618A">
        <w:rPr>
          <w:rStyle w:val="StyleUnderline"/>
        </w:rPr>
        <w:t>. Modern law, in his view, has the function of discipline, surveillance, and normalization</w:t>
      </w:r>
      <w:r w:rsidRPr="00A1618A">
        <w:rPr>
          <w:sz w:val="16"/>
        </w:rPr>
        <w:t xml:space="preserve">. Through a legal redefinition of the crime, Foucault anticipates a shift in discourse that constructs women as ‘pre-victims’, even as he seeks to protect male sexuality from the disciplinary force of the law. Keeping in mind Foucault’s reflections on governmentality, one could argue that the establishment of women as vulnerable in discourse and policy constitutes them as subjects of government. This rationalizes the regulation of their bodies and mobilities as well as mobilizes paternalistic protection that reinforce processes of gender formation. Foucault advances a powerful case for the desexualization of rape that would place sexuality outside the purview of state intervention. </w:t>
      </w:r>
      <w:r w:rsidRPr="00A1618A">
        <w:rPr>
          <w:rStyle w:val="StyleUnderline"/>
        </w:rPr>
        <w:t>Even as one can understand Foucault’s distrust of the judiciary, in his attempt to remove sexuality from legislation, he risks misjudging the role of law</w:t>
      </w:r>
      <w:r w:rsidRPr="00A1618A">
        <w:rPr>
          <w:sz w:val="16"/>
        </w:rPr>
        <w:t xml:space="preserve">. Suggesting </w:t>
      </w:r>
      <w:r w:rsidRPr="00A1618A">
        <w:rPr>
          <w:rStyle w:val="StyleUnderline"/>
        </w:rPr>
        <w:t>a departure from law, would imply parting from many of the structures</w:t>
      </w:r>
      <w:r w:rsidRPr="00A1618A">
        <w:rPr>
          <w:sz w:val="16"/>
        </w:rPr>
        <w:t xml:space="preserve"> that protect one from violence and discrimination, that are </w:t>
      </w:r>
      <w:r w:rsidRPr="00A1618A">
        <w:rPr>
          <w:rStyle w:val="StyleUnderline"/>
        </w:rPr>
        <w:t>made possible through state monopoly</w:t>
      </w:r>
      <w:r w:rsidRPr="00A1618A">
        <w:rPr>
          <w:sz w:val="16"/>
        </w:rPr>
        <w:t xml:space="preserve"> on violence. In this regard </w:t>
      </w:r>
      <w:r w:rsidRPr="00A1618A">
        <w:rPr>
          <w:rStyle w:val="StyleUnderline"/>
        </w:rPr>
        <w:t>Foucault is</w:t>
      </w:r>
      <w:r w:rsidRPr="00A1618A">
        <w:rPr>
          <w:sz w:val="16"/>
        </w:rPr>
        <w:t xml:space="preserve"> just </w:t>
      </w:r>
      <w:r w:rsidRPr="00A1618A">
        <w:rPr>
          <w:rStyle w:val="StyleUnderline"/>
        </w:rPr>
        <w:t xml:space="preserve">as state-phobic as the neoliberals </w:t>
      </w:r>
      <w:r w:rsidRPr="00A1618A">
        <w:rPr>
          <w:sz w:val="16"/>
        </w:rPr>
        <w:t xml:space="preserve">and anarchists </w:t>
      </w:r>
      <w:r w:rsidRPr="00A1618A">
        <w:rPr>
          <w:rStyle w:val="StyleUnderline"/>
        </w:rPr>
        <w:t xml:space="preserve">whom he critiques for imagining a good society </w:t>
      </w:r>
      <w:r w:rsidRPr="00A1618A">
        <w:rPr>
          <w:sz w:val="16"/>
        </w:rPr>
        <w:t xml:space="preserve">through a split of the state and civil society. As Foucault himself warns state-phobia is deeply inscribed in liberal and neo-liberal ideas of civil society. The wickedness of the state is juxtaposed against the inherent goodness of civil society, so that the aim is the ‘whithering away of the state’. This anti-state-centric approach to political power, locates radical politics in extra-state space of innovation. </w:t>
      </w:r>
      <w:r w:rsidRPr="00A1618A">
        <w:rPr>
          <w:rStyle w:val="StyleUnderline"/>
        </w:rPr>
        <w:t>This is why Puar and others reject pragmatic politics of same-sex marriage or antidiscrimination legislations</w:t>
      </w:r>
      <w:r w:rsidRPr="00A1618A">
        <w:rPr>
          <w:sz w:val="16"/>
        </w:rPr>
        <w:t xml:space="preserve">. In contrast they support civil society campaigns like pink-watching that increasingly deploy the strategy of surveillance for shaming states into good behavior. Even as one critiques the harnessing of gender and sexuality by neo-liberal capitalism, </w:t>
      </w:r>
      <w:r w:rsidRPr="00A1618A">
        <w:rPr>
          <w:rStyle w:val="StyleUnderline"/>
        </w:rPr>
        <w:t>the rejection of all feminist-queer politics oriented towards the state</w:t>
      </w:r>
      <w:r w:rsidRPr="00A1618A">
        <w:rPr>
          <w:sz w:val="16"/>
        </w:rPr>
        <w:t xml:space="preserve"> as part of a biopolitical agenda </w:t>
      </w:r>
      <w:r w:rsidRPr="00A1618A">
        <w:rPr>
          <w:rStyle w:val="StyleUnderline"/>
        </w:rPr>
        <w:t xml:space="preserve">is disingenuous state-phobic rhetoric. Postcolonial-queer-feminists are caught in an </w:t>
      </w:r>
      <w:r w:rsidRPr="00A1618A">
        <w:rPr>
          <w:rStyle w:val="StyleUnderline"/>
        </w:rPr>
        <w:lastRenderedPageBreak/>
        <w:t>ambivalent, double-bind</w:t>
      </w:r>
      <w:r w:rsidRPr="00A1618A">
        <w:rPr>
          <w:sz w:val="16"/>
        </w:rPr>
        <w:t xml:space="preserve"> vis-à-vis the state: On the one hand, </w:t>
      </w:r>
      <w:r w:rsidRPr="00A1618A">
        <w:rPr>
          <w:rStyle w:val="StyleUnderline"/>
        </w:rPr>
        <w:t>the state has historically been the source of violence and repression</w:t>
      </w:r>
      <w:r w:rsidRPr="00A1618A">
        <w:rPr>
          <w:sz w:val="16"/>
        </w:rPr>
        <w:t xml:space="preserve"> through the criminalization and pathologization of non-normative sexual practices. And </w:t>
      </w:r>
      <w:r w:rsidRPr="00A1618A">
        <w:rPr>
          <w:rStyle w:val="StyleUnderline"/>
        </w:rPr>
        <w:t>yet, queer strategies seek to instrumentalize the state</w:t>
      </w:r>
      <w:r w:rsidRPr="00A1618A">
        <w:rPr>
          <w:sz w:val="16"/>
        </w:rPr>
        <w:t xml:space="preserve"> to promote sexual justice. Even as the state is known to perpetuate heteronormative ideologies, which are founding myths of nations, the hope is that the state can function as a site of redress of gender and sexual inequality. </w:t>
      </w:r>
      <w:r w:rsidRPr="00A1618A">
        <w:rPr>
          <w:rStyle w:val="StyleUnderline"/>
        </w:rPr>
        <w:t>Despite the problematic track-record</w:t>
      </w:r>
      <w:r w:rsidRPr="00A1618A">
        <w:rPr>
          <w:sz w:val="16"/>
        </w:rPr>
        <w:t xml:space="preserve"> with regard to sexual politics of all nation-states, whether European or non-European, </w:t>
      </w:r>
      <w:r w:rsidRPr="00A1618A">
        <w:rPr>
          <w:rStyle w:val="StyleUnderline"/>
        </w:rPr>
        <w:t>it is dangerous to disregard the immense political implications of state-phobic positions</w:t>
      </w:r>
      <w:r w:rsidRPr="00A1618A">
        <w:rPr>
          <w:sz w:val="16"/>
        </w:rPr>
        <w:t xml:space="preserve">, which are increasingly popular in radical discourses in the West. As the recent re-criminalization of homosexuality in Uganda, India and Nigeria demonstrate, </w:t>
      </w:r>
      <w:r w:rsidRPr="00A1618A">
        <w:rPr>
          <w:rStyle w:val="StyleUnderline"/>
        </w:rPr>
        <w:t>negotiations with state are indispensable and imperative for emancipatory queer politics in the global South</w:t>
      </w:r>
      <w:r w:rsidRPr="00A1618A">
        <w:rPr>
          <w:sz w:val="16"/>
        </w:rPr>
        <w:t xml:space="preserve">. This is not a plea for statism; rather, </w:t>
      </w:r>
      <w:r w:rsidRPr="00A1618A">
        <w:rPr>
          <w:rStyle w:val="StyleUnderline"/>
        </w:rPr>
        <w:t>one must be aware of the dangers of the replacement of state with non-state actors as motors of justice.</w:t>
      </w:r>
      <w:r w:rsidRPr="00A1618A">
        <w:rPr>
          <w:sz w:val="16"/>
        </w:rPr>
        <w:t xml:space="preserve"> Against this background, the recent anti-statist stance within postcolonial queer scholarship is alarming, as it ignores the importance of the state for those citizens who do not have access to transnational counterpublic spheres to address their grievances. </w:t>
      </w:r>
      <w:r w:rsidRPr="00A1618A">
        <w:rPr>
          <w:rStyle w:val="Emphasis"/>
        </w:rPr>
        <w:t>Decolonization</w:t>
      </w:r>
      <w:r w:rsidRPr="00A1618A">
        <w:rPr>
          <w:sz w:val="16"/>
        </w:rPr>
        <w:t xml:space="preserve">, whether in USA, Israel or India, </w:t>
      </w:r>
      <w:r w:rsidRPr="00A1618A">
        <w:rPr>
          <w:rStyle w:val="Emphasis"/>
        </w:rPr>
        <w:t>cannot be achieved</w:t>
      </w:r>
      <w:r w:rsidRPr="00A1618A">
        <w:rPr>
          <w:sz w:val="16"/>
        </w:rPr>
        <w:t xml:space="preserve"> merely </w:t>
      </w:r>
      <w:r w:rsidRPr="00A1618A">
        <w:rPr>
          <w:rStyle w:val="Emphasis"/>
        </w:rPr>
        <w:t>through a strategy of shaming the state</w:t>
      </w:r>
      <w:r w:rsidRPr="00A1618A">
        <w:rPr>
          <w:sz w:val="16"/>
        </w:rPr>
        <w:t xml:space="preserve">. Rather in the Gramscian-Spivakian sense, </w:t>
      </w:r>
      <w:r w:rsidRPr="00A1618A">
        <w:rPr>
          <w:rStyle w:val="StyleUnderline"/>
        </w:rPr>
        <w:t>it is imperative to enable</w:t>
      </w:r>
      <w:r w:rsidRPr="00A1618A">
        <w:rPr>
          <w:sz w:val="16"/>
        </w:rPr>
        <w:t xml:space="preserve"> vulnerable </w:t>
      </w:r>
      <w:r w:rsidRPr="00A1618A">
        <w:rPr>
          <w:rStyle w:val="StyleUnderline"/>
        </w:rPr>
        <w:t>disenfranchised individuals and groups to access the state</w:t>
      </w:r>
      <w:r w:rsidRPr="00A1618A">
        <w:rPr>
          <w:sz w:val="16"/>
        </w:rPr>
        <w:t xml:space="preserve"> (Dhawan 2013). Accordingly, instead of a for or against position vis-à-vis the state, </w:t>
      </w:r>
      <w:r w:rsidRPr="00A1618A">
        <w:rPr>
          <w:rStyle w:val="StyleUnderline"/>
        </w:rPr>
        <w:t>the more challenging question is how to reconfigure the state</w:t>
      </w:r>
      <w:r w:rsidRPr="00A1618A">
        <w:rPr>
          <w:sz w:val="16"/>
        </w:rPr>
        <w:t xml:space="preserve">, given that its institutions and policies are the mobile effect of a regime of multiple governmentalities. Thus </w:t>
      </w:r>
      <w:r w:rsidRPr="00A1618A">
        <w:rPr>
          <w:rStyle w:val="StyleUnderline"/>
        </w:rPr>
        <w:t>the challenge is how to pursue a non-statephobic</w:t>
      </w:r>
      <w:r w:rsidRPr="00A1618A">
        <w:rPr>
          <w:sz w:val="16"/>
        </w:rPr>
        <w:t xml:space="preserve"> queer </w:t>
      </w:r>
      <w:r w:rsidRPr="00A1618A">
        <w:rPr>
          <w:rStyle w:val="StyleUnderline"/>
        </w:rPr>
        <w:t>politics that at the same time neither rationalizes the</w:t>
      </w:r>
      <w:r w:rsidRPr="00A1618A">
        <w:rPr>
          <w:sz w:val="16"/>
        </w:rPr>
        <w:t xml:space="preserve"> biopolitical </w:t>
      </w:r>
      <w:r w:rsidRPr="00A1618A">
        <w:rPr>
          <w:rStyle w:val="StyleUnderline"/>
        </w:rPr>
        <w:t xml:space="preserve">state project nor makes </w:t>
      </w:r>
      <w:r w:rsidRPr="00A1618A">
        <w:rPr>
          <w:sz w:val="16"/>
        </w:rPr>
        <w:t xml:space="preserve">the </w:t>
      </w:r>
      <w:r w:rsidRPr="00A1618A">
        <w:rPr>
          <w:rStyle w:val="StyleUnderline"/>
        </w:rPr>
        <w:t>queer bodies governable</w:t>
      </w:r>
      <w:r w:rsidRPr="00A1618A">
        <w:rPr>
          <w:sz w:val="16"/>
        </w:rPr>
        <w:t xml:space="preserve">. In postcolonial contexts, the state is like a pharmakon, namely, both poison and medicine. Postcolonial queer politics must explore strategies of converting poison into counterpoison (Spivak 2007: 71). Herein </w:t>
      </w:r>
      <w:r w:rsidRPr="00A1618A">
        <w:rPr>
          <w:rStyle w:val="StyleUnderline"/>
        </w:rPr>
        <w:t>the ambivalent function of the state must be addressed</w:t>
      </w:r>
      <w:r w:rsidRPr="00A1618A">
        <w:rPr>
          <w:sz w:val="16"/>
        </w:rPr>
        <w:t xml:space="preserve">. As Pharmakon, the </w:t>
      </w:r>
      <w:r w:rsidRPr="00A1618A">
        <w:rPr>
          <w:rStyle w:val="StyleUnderline"/>
        </w:rPr>
        <w:t>inherent condradictions must be engaged with</w:t>
      </w:r>
      <w:r w:rsidRPr="00A1618A">
        <w:rPr>
          <w:sz w:val="16"/>
        </w:rPr>
        <w:t>: Violence and justice, ideology and emancipation, law and discipline. If, following Foucault, the state has no stable essence, then it is marked by undecidability or doubleness. The sole focus on the negative aspects of the Pharmakon, namely the destructive and repressive traits, neutralizes and ignores the enabling and empowering aspects. Thus postcolonial-queer-feminist politics must transform poison into remedy and formulate critique of the state beyond state-phobia. A challenging task, but anything else would be too risky!</w:t>
      </w:r>
    </w:p>
    <w:p w:rsidR="0005372F" w:rsidRDefault="0005372F" w:rsidP="0005372F">
      <w:pPr>
        <w:pStyle w:val="Heading4"/>
      </w:pPr>
    </w:p>
    <w:p w:rsidR="0005372F" w:rsidRPr="0005372F" w:rsidRDefault="0005372F" w:rsidP="0005372F"/>
    <w:p w:rsidR="00731921" w:rsidRDefault="00731921" w:rsidP="00731921">
      <w:pPr>
        <w:pStyle w:val="Heading3"/>
      </w:pPr>
      <w:bookmarkStart w:id="103" w:name="_Toc489138992"/>
      <w:r>
        <w:lastRenderedPageBreak/>
        <w:t>Link Turn: Anti-capitalism</w:t>
      </w:r>
      <w:bookmarkEnd w:id="103"/>
    </w:p>
    <w:p w:rsidR="00731921" w:rsidRDefault="00731921" w:rsidP="00731921">
      <w:pPr>
        <w:pStyle w:val="Heading4"/>
      </w:pPr>
      <w:r>
        <w:t xml:space="preserve">The approach of queering capitalism presented in the 1AC is a good approach to negotiate complex issues that lead to LGBTQ+ abuses --- our method is a way of understanding the processes of social reproduction </w:t>
      </w:r>
    </w:p>
    <w:p w:rsidR="00731921" w:rsidRPr="00BA5AF1" w:rsidRDefault="00731921" w:rsidP="00731921">
      <w:pPr>
        <w:rPr>
          <w:sz w:val="16"/>
          <w:szCs w:val="16"/>
        </w:rPr>
      </w:pPr>
      <w:r w:rsidRPr="00BA5AF1">
        <w:rPr>
          <w:b/>
          <w:sz w:val="26"/>
          <w:szCs w:val="26"/>
        </w:rPr>
        <w:t>Sears 05</w:t>
      </w:r>
      <w:r>
        <w:t xml:space="preserve"> </w:t>
      </w:r>
      <w:r w:rsidRPr="00BA5AF1">
        <w:rPr>
          <w:sz w:val="16"/>
          <w:szCs w:val="16"/>
        </w:rPr>
        <w:t>[ALAN SEARS, a queer activist, author, and professor of sociology at Ryerson University in Toronto. Sears is the author of, among other works, "Queer in a Lean World" and “Queer Anti-Capitalism: What's Left of Lesbian and Gay Liberation?” and co-author with James Cairns of The Democratic Imagination. Science &amp; Society, Vol. 69, No. 1, January 2005, 92–112, Queer Anti-Capitalism:</w:t>
      </w:r>
      <w:r>
        <w:rPr>
          <w:sz w:val="16"/>
          <w:szCs w:val="16"/>
        </w:rPr>
        <w:t xml:space="preserve"> </w:t>
      </w:r>
      <w:r w:rsidRPr="00BA5AF1">
        <w:rPr>
          <w:sz w:val="16"/>
          <w:szCs w:val="16"/>
        </w:rPr>
        <w:t xml:space="preserve">What’s Left of Lesbian and Gay Liberation?, </w:t>
      </w:r>
      <w:hyperlink r:id="rId25" w:history="1">
        <w:r w:rsidRPr="00C76AE3">
          <w:rPr>
            <w:rStyle w:val="Hyperlink"/>
            <w:sz w:val="16"/>
            <w:szCs w:val="16"/>
          </w:rPr>
          <w:t>http://www.decolonize.org/wp-content/uploads/2015/06/queeranticap.pdf</w:t>
        </w:r>
      </w:hyperlink>
      <w:r>
        <w:rPr>
          <w:sz w:val="16"/>
          <w:szCs w:val="16"/>
        </w:rPr>
        <w:t>]  [JS]</w:t>
      </w:r>
    </w:p>
    <w:p w:rsidR="00731921" w:rsidRPr="00847A16" w:rsidRDefault="00731921" w:rsidP="00731921">
      <w:pPr>
        <w:rPr>
          <w:sz w:val="16"/>
        </w:rPr>
      </w:pPr>
      <w:r w:rsidRPr="00847A16">
        <w:rPr>
          <w:sz w:val="16"/>
        </w:rPr>
        <w:t xml:space="preserve">The past few years have seen </w:t>
      </w:r>
      <w:r w:rsidRPr="00847A16">
        <w:rPr>
          <w:rStyle w:val="StyleUnderline"/>
        </w:rPr>
        <w:t>the emergence of movements for global justice and against poverty that at their most radical have taken on an anti-capitalist character. It is an important time to consider whether there is a possibility for an open queer presence in these movements.</w:t>
      </w:r>
      <w:r w:rsidRPr="00847A16">
        <w:rPr>
          <w:sz w:val="16"/>
        </w:rPr>
        <w:t xml:space="preserve"> Clearly, </w:t>
      </w:r>
      <w:r w:rsidRPr="00847A16">
        <w:rPr>
          <w:rStyle w:val="Emphasis"/>
        </w:rPr>
        <w:t>the commoditized queer existence is very much captured inside capitalist social relations</w:t>
      </w:r>
      <w:r w:rsidRPr="00847A16">
        <w:rPr>
          <w:sz w:val="16"/>
        </w:rPr>
        <w:t xml:space="preserve">. Thus, </w:t>
      </w:r>
      <w:r w:rsidRPr="00847A16">
        <w:rPr>
          <w:rStyle w:val="StyleUnderline"/>
        </w:rPr>
        <w:t>our communities exist largely in the form of exclusionary market spaces; our real diversity is obscured by the dominance of homogenous images; our politics are largely confined to claiming our place in existing social relations either through reform</w:t>
      </w:r>
      <w:r w:rsidRPr="00847A16">
        <w:rPr>
          <w:sz w:val="16"/>
        </w:rPr>
        <w:t xml:space="preserve"> (“get me to the church on time!”) or transgression detached from transformation (“we’re here, we’re queer, get used to it!”); and our sexuality is visible (though only in very specific forms) while our real sexual practices are effaced. It might be tempting, under these circumstances, to conclude that an explicitly queer anti-capitalism is not in the cards</w:t>
      </w:r>
      <w:r w:rsidRPr="00847A16">
        <w:rPr>
          <w:rStyle w:val="StyleUnderline"/>
        </w:rPr>
        <w:t>. A queer Marxist-feminist perspective provides us with ways of envisioning a queer anti-capitalism.</w:t>
      </w:r>
      <w:r w:rsidRPr="00847A16">
        <w:rPr>
          <w:sz w:val="16"/>
        </w:rPr>
        <w:t xml:space="preserve"> Many people who engage in same sex sexual practices have won neither full citizenship nor a place within the currently existing queer public spaces. The brutalizing experiences of many queer youth (or youth perceived as queer) in high schools is an important reminder of how far we have to go to achieve full human rights (see Frank, 1994; Smith, 1998). </w:t>
      </w:r>
      <w:r w:rsidRPr="00847A16">
        <w:rPr>
          <w:rStyle w:val="StyleUnderline"/>
        </w:rPr>
        <w:t>A new queer radical agenda will have to be built around the needs, desires and organizing capacities of the young, the poor, people of color, women, transgendered people, working-class people, people living with AIDS and/or disabilities, the elderly and those who cannot or will not come out.</w:t>
      </w:r>
      <w:r w:rsidRPr="00847A16">
        <w:rPr>
          <w:sz w:val="16"/>
        </w:rPr>
        <w:t xml:space="preserve"> One of the important organizing bases for this agenda will be the emerging movement of queer trade unionists, though (like the unions themselves) it will need to go much farther to organize the unorganized (people in non-union workplaces, contingent workers, people who are not employed) and the excluded (on the basis of nationality, racialization, disability or gender). </w:t>
      </w:r>
      <w:r w:rsidRPr="00847A16">
        <w:rPr>
          <w:rStyle w:val="Emphasis"/>
        </w:rPr>
        <w:t>A queer anti-capitalism takes us back to the best of the liberationist politics that emerged after Stonewall</w:t>
      </w:r>
      <w:r w:rsidRPr="00847A16">
        <w:rPr>
          <w:sz w:val="16"/>
        </w:rPr>
        <w:t>: the militancy, the breadth of vision and the transformative commitments.</w:t>
      </w:r>
      <w:r w:rsidRPr="00847A16">
        <w:rPr>
          <w:rStyle w:val="Emphasis"/>
        </w:rPr>
        <w:t xml:space="preserve"> An engaged queer marxist feminism provides valuable tools for negotiating the complex issues that led to the impasse of gay libertarianism and lesbian feminism, specifically through grounding the analysis of sexuality in a rich understanding of processes of social reproduction</w:t>
      </w:r>
      <w:r w:rsidRPr="00847A16">
        <w:rPr>
          <w:sz w:val="16"/>
        </w:rPr>
        <w:t xml:space="preserve">. </w:t>
      </w:r>
      <w:r w:rsidRPr="00847A16">
        <w:rPr>
          <w:rStyle w:val="StyleUnderline"/>
        </w:rPr>
        <w:t>It is possible to combine a joyous struggle for sexual freedom with a serious and nuanced examination of the power relations that shape our experiences of gender and sexuality</w:t>
      </w:r>
      <w:r w:rsidRPr="00847A16">
        <w:rPr>
          <w:sz w:val="16"/>
        </w:rPr>
        <w:t>.</w:t>
      </w:r>
    </w:p>
    <w:p w:rsidR="003F1098" w:rsidRPr="00690162" w:rsidRDefault="003F1098" w:rsidP="003F1098">
      <w:pPr>
        <w:pStyle w:val="Heading3"/>
      </w:pPr>
      <w:bookmarkStart w:id="104" w:name="_Toc489138993"/>
      <w:r>
        <w:lastRenderedPageBreak/>
        <w:t>Link Turn: Computer Science</w:t>
      </w:r>
      <w:bookmarkEnd w:id="104"/>
    </w:p>
    <w:p w:rsidR="003F1098" w:rsidRPr="008E6640" w:rsidRDefault="003F1098" w:rsidP="003F1098">
      <w:pPr>
        <w:pStyle w:val="Heading4"/>
      </w:pPr>
      <w:r w:rsidRPr="008E6640">
        <w:t xml:space="preserve">Link Turn—digital literacy proliferates meeting grounds between queer individuals, allowing for the exploration and practice of non-heteronormative sexualities </w:t>
      </w:r>
    </w:p>
    <w:p w:rsidR="003F1098" w:rsidRPr="00690162" w:rsidRDefault="003F1098" w:rsidP="003F1098">
      <w:pPr>
        <w:rPr>
          <w:rStyle w:val="Style13ptBold"/>
          <w:b w:val="0"/>
          <w:szCs w:val="24"/>
        </w:rPr>
      </w:pPr>
      <w:r w:rsidRPr="00690162">
        <w:rPr>
          <w:rStyle w:val="Style13ptBold"/>
        </w:rPr>
        <w:t xml:space="preserve">Cover No Date </w:t>
      </w:r>
      <w:r w:rsidRPr="00690162">
        <w:rPr>
          <w:rStyle w:val="Style13ptBold"/>
          <w:b w:val="0"/>
          <w:szCs w:val="24"/>
        </w:rPr>
        <w:t>(Rob is associate professor and Discipline Chair of Media and Communication @ UWA, PhD in media theory and queer theory. “The Chasm &amp; the Abyss: Queer Theory and the Socialities of Queer Youth Suicide” p.18-9 //cl)</w:t>
      </w:r>
    </w:p>
    <w:p w:rsidR="003F1098" w:rsidRPr="008D201A" w:rsidRDefault="003F1098" w:rsidP="003F1098">
      <w:pPr>
        <w:rPr>
          <w:rStyle w:val="StyleUnderline"/>
        </w:rPr>
      </w:pPr>
      <w:r w:rsidRPr="00690162">
        <w:rPr>
          <w:sz w:val="16"/>
        </w:rPr>
        <w:t xml:space="preserve">I would like to conclude by making some short remarks on queer theory and digital media theory as sites for pragmatic intervention schemes that can be used to address the problem of exclusionary discourses of sexuality that, as I have been arguing, can be implicated in some cases of marginal youth suicide. </w:t>
      </w:r>
      <w:r w:rsidRPr="008D201A">
        <w:rPr>
          <w:rStyle w:val="StyleUnderline"/>
        </w:rPr>
        <w:t xml:space="preserve">Given the focus on requiring a 'platform' for coherent sexual identity expression, it remains that one of the solutions is to expand the availability of discourses which provide platforms for identity coherence, making available a greater range of diverse sexualities through which one can recognise oneself and articulate erotics in a way that meets the cultural demand for intelligibility. </w:t>
      </w:r>
      <w:r w:rsidRPr="00690162">
        <w:rPr>
          <w:sz w:val="16"/>
        </w:rPr>
        <w:t xml:space="preserve">This might include discourses which make queer, fluid and non-hetero/homo sexualities recognisable and hence liveable. </w:t>
      </w:r>
      <w:r w:rsidRPr="008D201A">
        <w:rPr>
          <w:rStyle w:val="StyleUnderline"/>
        </w:rPr>
        <w:t xml:space="preserve">The Internet is one realm that opens a few possibilities for the queer-theoretical expansion of sexualities. As Hillier &amp; Harrison have concluded, </w:t>
      </w:r>
      <w:r w:rsidRPr="008D201A">
        <w:rPr>
          <w:rStyle w:val="Emphasis"/>
        </w:rPr>
        <w:t>the Internet provides some significant opportunities for young people to explore and practice non-heteronormative sexualities through online communicative tools, particularly in the face of exclusion in their immediate physical environments</w:t>
      </w:r>
      <w:r w:rsidRPr="008D201A">
        <w:rPr>
          <w:rStyle w:val="StyleUnderline"/>
        </w:rPr>
        <w:t xml:space="preserve"> (83).</w:t>
      </w:r>
      <w:r w:rsidRPr="00690162">
        <w:rPr>
          <w:sz w:val="16"/>
        </w:rPr>
        <w:t xml:space="preserve"> This point can be extended to suggest that online spaces provide the capacity not just to explore and encounter discourses of positive homosexuality, but a broader range of sexual discourses or platforms for sexual identity that meet the needs of vulnerable, at-risk youth or younger persons who are unable to identify with dominant identity paradigms. However, from a digital practice and policy perspective, it is important not to over-simplify the Internet as a medium to all things alternative, nor to celebrate it as a space providing resources for the most diverse Rob Cover - The Chasm &amp; the Abyss: Queer Theory and the Socialities of Queer Youth Suicide page: 18 / 22 groups. If one of the pragmatic approaches to addressing queer youth suicide is to open the field of possibilities for identification, allowing younger persons whose sexualities are unrepresented to forge coherent identities, and if online digital communicative tools are to be one of the more practical ways in which a broader field of discourses can be 'made available', then two things need to happen. Firstly, </w:t>
      </w:r>
      <w:r w:rsidRPr="008D201A">
        <w:rPr>
          <w:rStyle w:val="StyleUnderline"/>
        </w:rPr>
        <w:t xml:space="preserve">the user must have not only an awareness of what it is that is being looked for online, but an understanding of a need to explore beyond the more narrow, legitimated discourses. This is not an easy thing to achieve without some wholesale shifts in the very ideas of sexuality in western cultures today. </w:t>
      </w:r>
      <w:r w:rsidRPr="008D201A">
        <w:rPr>
          <w:rStyle w:val="Emphasis"/>
        </w:rPr>
        <w:t>Enabling the right kind of searches for alternative discourses</w:t>
      </w:r>
      <w:r w:rsidRPr="008D201A">
        <w:rPr>
          <w:rStyle w:val="StyleUnderline"/>
        </w:rPr>
        <w:t xml:space="preserve"> that help meet those 'residual' erotics that cannot be represented within the hetero/homo binary </w:t>
      </w:r>
      <w:r w:rsidRPr="008D201A">
        <w:rPr>
          <w:rStyle w:val="Emphasis"/>
        </w:rPr>
        <w:t>involves digital literacy</w:t>
      </w:r>
      <w:r w:rsidRPr="008D201A">
        <w:rPr>
          <w:rStyle w:val="StyleUnderline"/>
        </w:rPr>
        <w:t>, search capability, broad cultural literacy and an understanding of sexuality and sexual discourse-and if to be a tool intervening to reduce the suicide and self-harm risk described above, requires safe spaces (Hillier &amp; Harrison 85) for exchange of ideas in a non-threatening capacity.</w:t>
      </w:r>
    </w:p>
    <w:p w:rsidR="005A160F" w:rsidRDefault="005A160F" w:rsidP="005A160F">
      <w:pPr>
        <w:pStyle w:val="Heading3"/>
      </w:pPr>
      <w:bookmarkStart w:id="105" w:name="_Toc489138994"/>
      <w:r>
        <w:lastRenderedPageBreak/>
        <w:t>Link Turn: Sex Ed / Visibility</w:t>
      </w:r>
      <w:bookmarkEnd w:id="105"/>
      <w:r>
        <w:t xml:space="preserve"> </w:t>
      </w:r>
    </w:p>
    <w:p w:rsidR="005A160F" w:rsidRPr="00F83145" w:rsidRDefault="005A160F" w:rsidP="005A160F">
      <w:pPr>
        <w:pStyle w:val="Heading4"/>
      </w:pPr>
      <w:r w:rsidRPr="00F83145">
        <w:t>Incl</w:t>
      </w:r>
      <w:r>
        <w:t>usive projects like the aff are key to decenter heteronormativity</w:t>
      </w:r>
    </w:p>
    <w:p w:rsidR="005A160F" w:rsidRPr="00F83145" w:rsidRDefault="005A160F" w:rsidP="005A160F">
      <w:r>
        <w:rPr>
          <w:rStyle w:val="Style13ptBold"/>
        </w:rPr>
        <w:t xml:space="preserve">Lagomarsino 15 </w:t>
      </w:r>
      <w:r w:rsidRPr="00F83145">
        <w:t>[Dina, M.A. Sociology of Education NYU, “Living in the Contradictions: LGBTQ Educators and Socially Just Pedagogies,” NYU, 2-10]</w:t>
      </w:r>
    </w:p>
    <w:p w:rsidR="005A160F" w:rsidRDefault="005A160F" w:rsidP="005A160F">
      <w:r>
        <w:t xml:space="preserve">Alice believes that education must be empowering and that educators and other stakeholders need to truly be invested in communities, helping young people be critical problem solvers and activists that “care about everything.” Similarly, Howard discusses the Jewish notion of tikkun olam, repairing the world, and how teaching students to think critically and express themselves is more important than specific content in making positive changes at large. And, Angela incorporates the African idea of Ubuntu—I am because we are—to facilitate community building and critical care. For some participants, socially just education is described as radical, subversive and anti-establishment, drawing on perceived frustrations of students with the system. Alice mentions intentionally serving students who are most impacted by capitalism, and Malalai uses discussions about supremacy to challenge traditional notions and complicate understandings. Henry describes how his first unit of each school year is “pretty risqué,”—he begins the school year reading Tweaked: A Crystal Meth Memoir, in which the straight-identified male author exchanges sex with another man for drugs—claiming that “if it’s great lit and you can do it academically, there’s no reason not to teach it.” Angela wants her students “to be angry [because] the world is fucked up, and it’s using that as a resource to go out into the world and fuck shit up for the better.” </w:t>
      </w:r>
      <w:r w:rsidRPr="006A5358">
        <w:rPr>
          <w:rStyle w:val="StyleUnderline"/>
        </w:rPr>
        <w:t xml:space="preserve">Socially just educators facilitate the creation of collaborative classroom communities—spaces in which students can explore their own identities safely while developing empathy and seeing themselves as part of their classroom community as well as a global community, while coming to see their educators as change agents who walk the walk. </w:t>
      </w:r>
      <w:r>
        <w:t xml:space="preserve">This involves extending beyond traditional classrooms walls through social media and technology integration, as well as building and presenting a strong narrative. A few participants have written education-related articles for various national publications, been interviewed for documentaries, created spaces, workshops, and performances in other educational settings and beyond, and engaged thousands in critical conversation over social media. Alice believes strongly in the power of technology “not only as a means of support, but also to engage, enlighten, and energize all 21st century learners and educators alike” so that “all people can become independent, aware, empathetic problems solvers that can not only live, but thrive,” in a world where students can see themselves as the change. She equates community-building as such as character development: “Every lesson ties back to humanity, humility, civility, and right versus wrong.” Educators extend the walls of the classroom in many different ways. Unlike the other participants, Howard teaches students who are class-privileged, but he uses similar principles, because liberatory, critical education is necessary for all students in order for societal change to occur. In addition to the notion of tikkun olam, he helps his students recognize their privilege to support equity in the world, running a program where students spend a significant amount of time researching non-profit organizations, discuss how they are battling societal issues and why they are needed, and ultimately, giving away large amounts of money to support the work, acting as young, conscious philanthropists. The funds are compiled from parents, who are asked to give the money that they would spend on bar or bat mitzvah gifts to the school, instead. Accessibility beyond typical boundaries of students and teachers is an act that challenges power on its own. Socially just educators see themselves, and are seen by students, as mentors, facilitators, parental figures, and even friends. Many educators in the study make themselves accessible before, during, and after school hours, often aided by technology and social media. Melissa believes that, </w:t>
      </w:r>
      <w:r w:rsidRPr="000702A3">
        <w:rPr>
          <w:rStyle w:val="StyleUnderline"/>
        </w:rPr>
        <w:t>as a sexual health educator, normalizing and answering all questions is key to students developing a liberatory understanding of their sexuality and reproductive processes.</w:t>
      </w:r>
      <w:r>
        <w:t xml:space="preserve"> She creates social media accounts where students can message her </w:t>
      </w:r>
      <w:r>
        <w:lastRenderedPageBreak/>
        <w:t xml:space="preserve">questions that they may not want to ask in class, providing them opportunities to engage with her and form trusting relationships. </w:t>
      </w:r>
      <w:r w:rsidRPr="006A5358">
        <w:rPr>
          <w:rStyle w:val="StyleUnderline"/>
        </w:rPr>
        <w:t>The practices and components of socially just education described by the participants connect to earlier discussions of theories of change and resistance in the classroom, and can also be used to describe much of the participants’ own experiences in schools. Although they didn’t put names or theories to their pedagogies or sexual identities until college, they engaged in challenging dominant narratives, real world learning, and critical thought often before they became teachers. The pedagogies described by the participants make use of the symbolic and societal curricula, in addition to challenging and expanding on the formal curriculum.</w:t>
      </w:r>
      <w:r>
        <w:t xml:space="preserve"> Socially just educators who are also part of the LGBT community act as bridges for students along lines of race, class, sexuality, gender, and more. The educators in this study demonstrated critical reflection of how their understanding of their place in the world is linked to schools, and how they used their multiple identities to engage different students in a variety of ways and affirm marginalized identities. Adrienne states that she feels being a teacher is part of her identity because she isn’t just being a teacher—she’s being an “out, queer, political, white female teacher.” Adrienne acknowledges her intersecting identities, but implies that they coexist without one dominating the others. Rather than keeping her personal life separate from the classroom as per the status quo, she seems committed to forming sites that resist and undermine institutional oppression for her students. Similarly, Angela reflects, “If anything, my queerness helps me be prepared to have difficult conversations because it’s not an intellectual experience for me, it’s not something I read about, it’s something I experience myself.” Socially just educators who identify as LGBTQ, like Adrienne and Angela, might be more attuned to pedagogies that are liberatory because they have navigated their own identities in different spaces their whole lives, as demonstrated by their stories, developing empathy and agency through mentors, experiences, and exposure to critical thought and discussion. The self-reflection on intersecting identities, and “double consciousness” (Du Bois, 1903) necessary for this type of awareness also allows the participants in this study to act as bridges, connecting with students that they may not share significant cultural markers with. Whereas some educators engage in colorblind tactics to try to reach students with different background from their own, the participants in this study r</w:t>
      </w:r>
      <w:r w:rsidRPr="006A5358">
        <w:rPr>
          <w:rStyle w:val="StyleUnderline"/>
        </w:rPr>
        <w:t>ecognize the importance of community mentors who can bring critical materials, activities, and discussions to the classroom because they have had to engage in the process for themselves, as well</w:t>
      </w:r>
      <w:r>
        <w:t xml:space="preserve">. As hooks (1994) explains, “Engaged pedagogy does not seek simply to empower students...empowerment cannot happen if we refuse to be vulnerable while encouraging students to take risks.” The educators in this study teach in what Mary Louise Pratt (1991) calls the contact zones—“social spaces where cultures meet, clash, and grapple with each other, often in contexts of highly asymmetrical relations of power” (p. 34). Within these zones, where sociocultural factors impact the way that intersecting identities meet and interact, the participants in this study actively, purposefully mobilize their experiences and identities regarding their sexual orientation and other factors to make connections and show empathy and understanding of other forms of oppression and marginalization. Kevin Kumashiro (2000) asserts that “Educators need not only to acknowledge the diversity among their student, but also to embrace these differences and to treat students as raced, gendered, sexualized, and classed individuals” (p. 28). Angela recognizes her intersecting identities and believes that she must use her awareness of them in the classroom to support her students as fully as possible, stating: As a person of color, you walk around and you carry the legacy and the implications of race, of poverty, every day! Of historical and cultural repression, you carry that and it’s inherited, right? This trauma that’s inherited makes it imperative...that’s why my parents would tell me to be careful around this teacher or mindful of all these things. You’re very hyper-vigilant and aware of where this is all coming from. I teach very lovingly through a lens of love and care, and I’m now at a school were the experiences are so vast, so some of the students look like me, some don’t, some can identify with me because I’m a wild teacher with purple hair, some because I’m also a New Yorker, some because, you know, I’m thick, and all the </w:t>
      </w:r>
      <w:r>
        <w:lastRenderedPageBreak/>
        <w:t xml:space="preserve">different multi layers of who I am. Angela’s recognition of the many different ways in which students can relate to her helps her to use her lived experiences as texts in the classroom to create a critical classroom community. She, and the other participants, reference bringing their multitudinous selves into the classroom, which is something educators often shy away from. However, this distinction could be because the educator as mentor and facilitator, breaking traditional power dynamics in the classroom, is a central tenet of socially just pedagogies, which are not the norm in most classrooms. Malalai raises the important point that liberatory education necessitates a diverse community of educators—not the primarily white, young, middle-class female make-up we currently have, stating, “If the source from which we’re getting all these teachers ignores and dismisses the fact that they are generally not from that community, that inherently is not liberatory.” Adrienne also speaks to the importance of teachers who can act as bridges for students when she states that she chose her current school because many teachers have been there for a long time, “and a quarter of them were students there so there’s a culture and a history.” However, although she is not a community member in that sense, she is still explicit in her reflection on her abilities to engage students because of her own multiple identities. For example, she is aware of what she names her “tomboy privilege”, stating: I think I get to do things in the world not just because of being a white woman, but specifically because I’m a white masculine-presenting woman who is not especially butch. I can interact with young men in the school and never get accused of flirting, but I can touch them, I can put my hand on their shoulders and redirect them or stand in the middle of a fight and it’s not sexual, so I have a lot of close relationships with young men, especially young men of color that I think is partially related to the position that I occupy that is being queer. Adrienne and the other participants engage queerness to help with bridging, allowing for “a multiculturalism [which] explicitly affirms diversity, focusing on both the similarities and differences present in schools and society” (Nieto, 2004, in Asher, 2015, p. 66). Queer theory questions and problematizes how social structures normalize and enforce particular behaviors, such as described earlier on the stratification of our education system (Shelton, 2014). Furthermore, queer theory complicates the idea of static personal identities (Gamson, 2000); the participants in this study make explicit their own intersecting identities, resisting simple definitions and stereotypes, and they refuse to see their students as “empty vessels to fill with knowledge” (Freire, 1970). Queer pedagogy challenges students regardless of their sexual identities as it questions normalized, dominant beliefs and challenges educators to question their own pedagogy (Winans, 2006). </w:t>
      </w:r>
      <w:r w:rsidRPr="006A5358">
        <w:rPr>
          <w:rStyle w:val="StyleUnderline"/>
        </w:rPr>
        <w:t>While teacher perceptions of students are a key factor in student achievement, most research has focused on the negative impact of this interaction. However, as the participants in this study demonstrate, teacher perception can be positively impacted by teacher identity when educators are self-reflective and engage in socially just pedagogies, acting as bridges for their students.</w:t>
      </w:r>
      <w:r>
        <w:t xml:space="preserve"> The participants in this study spoke often of their desire to use their lived experiences to help their students work through their own identity issues, familial concerns, and societal barriers</w:t>
      </w:r>
      <w:r w:rsidRPr="006A5358">
        <w:rPr>
          <w:rStyle w:val="StyleUnderline"/>
        </w:rPr>
        <w:t>. It is necessary to acknowledge and consider the sociocultural factors that impact educators’ abilities to engage in socially just practices with students. Teacher engagement and comfort level along different lines varied at different schools—most of the participants discussed negative environments at prior schools, which they left for related reasons, and actively sought out schools where their identities would be affirmed and they could engage in socially just work.</w:t>
      </w:r>
      <w:r>
        <w:t xml:space="preserve"> As demonstrated in the earlier discussion of our current education system, an increase in data collection, testing, and accountability impact educators differently based on location, funding, and other factors. Further studies might examine similar groups of educators with more of a focus on these sociocultural factors, along with structural factors, in order to provide support and guidelines for educators who may want to engage socially just pedagogies but are not in environments that support such actions. </w:t>
      </w:r>
      <w:r w:rsidRPr="006A5358">
        <w:rPr>
          <w:rStyle w:val="StyleUnderline"/>
        </w:rPr>
        <w:t xml:space="preserve">Despite engaging in radical pedagogies, many of the teachers struggled with discussing their sexual identities with students. Some used their partners as their coming out, which can serve to normalize LGBT relationships </w:t>
      </w:r>
      <w:r w:rsidRPr="006A5358">
        <w:rPr>
          <w:rStyle w:val="StyleUnderline"/>
        </w:rPr>
        <w:lastRenderedPageBreak/>
        <w:t>but also feeds into heteronormativity.</w:t>
      </w:r>
      <w:r>
        <w:t xml:space="preserve"> Meanwhile, other participants were out as a key component of their identity as social justice educators. They saw being out as a political choice—Henry comes out every National Coming Out Day using recent articles about LGBT issues to prompt a critical reading and discussion. He and others see it as part of their accessibility and responsibility, and they consider the various identity markers that they possess, as well as their students’ various identities, when they come out. For example, most of Henry’s students are Caribbean, so he tries to open his class with current voices from marginalized communities as a way of saying, “This is where we are now—let’s back up and figure out how we got here.” To make connections between forms of marginalization with students whose culture might not support homosexuality, he teaches three essays by queer men of color in a class forum, using his own identity as a gay man to create a safe space for discussion and to deepen understanding. Angela discusses how important having a support structure in Adrienne was in her coming out—they both began at their school this year, and it is the first time both of them are fully out in a school they have taught at. Likewise, a few other participants were not out in the first schools they taught at, but all eight participants are currently out to some degree in their school setting, from Nelson, who is out with select co-workers, to Alice, who is out with co-workers and select students, and others who are out with their whole school. A negative finding of this study regarding coming out was that most participants were outed by students during their first months in the classroom, and even by co- workers in team meetings. While this could speak to power dynamics, or how students often test new teachers, it is problematic. Another possibility is that this questioning of the participants’ personal lives could be related to the blurred lines that can arise when educators attempt to engage their students in non-traditional ways that students are not used to. Regarding coming out, further studies are needed to examine the ways in which educators come out or are outed, so that policies can be advocated for to protect LGBTQ educators—at this time, we don’t have federal non-discrimination protections for sexual orientation and gender identity— and to increase understanding of the ways in which sexuality plays into the classroom and school setting. In the struggle for LGBT equality, visibility is key, and educators should be out to the extent that it is safe for them to be. </w:t>
      </w:r>
      <w:r w:rsidRPr="006A5358">
        <w:rPr>
          <w:rStyle w:val="Emphasis"/>
        </w:rPr>
        <w:t xml:space="preserve">We need better professional development, anti-discrimination laws, and national equality. </w:t>
      </w:r>
      <w:r w:rsidRPr="006A5358">
        <w:rPr>
          <w:rStyle w:val="StyleUnderline"/>
        </w:rPr>
        <w:t>Although sexual orientation is different from sexual behavior, negative stereotypes and preoccupations with the sex lives of LGBTQ individuals—as seen by the existence of anti-sodomy laws13 and the fact that, while a majority of non-LGBT people support equal marriage protections, one-third of those polled would be uncomfortable attending the wedding of a same-sex couple.</w:t>
      </w:r>
      <w:r>
        <w:t>14 This focus on LGBTQ individuals is inappropriate and needs to be interrogated, because schools cannot be safe spaces for students if they are not safe for the educators who work with them. We also need rich stories told from all educators who identify as LGBTQ, not just those who identify as social justice practitioners</w:t>
      </w:r>
      <w:r w:rsidRPr="006A5358">
        <w:rPr>
          <w:rStyle w:val="StyleUnderline"/>
        </w:rPr>
        <w:t xml:space="preserve">. Our schools are already politicized spaces and everyone brings multiple, intersecting, sometimes clashing identities to the space. It is vital that we engage in education for all that has the potential for positive identity formation and conscious action regarding power and marginalization. </w:t>
      </w:r>
      <w:r>
        <w:t xml:space="preserve">Too often, socially just education gets explained and implemented on a surface level as multicultural endeavors, instead of as the rich complexities and intersections described by the participants in this study. Malalai discusses how she feels she has to “live in the contradictions”—the contact zones where intersectionality can be brought to light, studied, discussed, and multiple identities affirmed—and that the only reason they are contradictions is “because the lens through which we think success is measured is one that doesn’t fit our lives, identities, and backgrounds.” By living in the contradictions, Malalai references the importance of recognizing and naming the messages received societally, which can be seen in “whitewashed” curricula and school practices contrary to students’ home lives, or not relevant to their lived experiences, and reconciling these forces with “personal desires” and identity development to create bridges which students can cross to deepen understanding of themselves, their realities, and society. </w:t>
      </w:r>
      <w:r w:rsidRPr="00B7246B">
        <w:rPr>
          <w:rStyle w:val="StyleUnderline"/>
        </w:rPr>
        <w:t xml:space="preserve">If we recognize the need for deep, </w:t>
      </w:r>
      <w:r w:rsidRPr="00B7246B">
        <w:rPr>
          <w:rStyle w:val="StyleUnderline"/>
        </w:rPr>
        <w:lastRenderedPageBreak/>
        <w:t>fundamental transformation of our schools from sites of reproduction to those of resistance with the power to change society, we need educators who can act as bridges, using their own experiences and identities to engage in socially just, liberatory education with all students. Our education system already has those with the wisdom, drive, fearlessness, intelligence, empathy, and critical lens to create an equitable, transformative education system in educators, such as the participants in this study.</w:t>
      </w:r>
      <w:r>
        <w:t xml:space="preserve"> Platforms need to exist, leveraging social media and other spaces, for those on the ground to tell their stories, share best practices, and engage in efforts that lead to equitable education that affirms all identities. </w:t>
      </w:r>
    </w:p>
    <w:p w:rsidR="005A160F" w:rsidRPr="00F83145" w:rsidRDefault="005A160F" w:rsidP="005A160F"/>
    <w:p w:rsidR="005A160F" w:rsidRDefault="005A160F" w:rsidP="005A160F">
      <w:pPr>
        <w:pStyle w:val="Heading3"/>
      </w:pPr>
      <w:bookmarkStart w:id="106" w:name="_Toc489138995"/>
      <w:r>
        <w:lastRenderedPageBreak/>
        <w:t>Link Turn: Studio</w:t>
      </w:r>
      <w:r>
        <w:t>u</w:t>
      </w:r>
      <w:r>
        <w:t>s Play</w:t>
      </w:r>
      <w:bookmarkEnd w:id="106"/>
    </w:p>
    <w:p w:rsidR="005A160F" w:rsidRPr="00E04C0B" w:rsidRDefault="005A160F" w:rsidP="005A160F">
      <w:pPr>
        <w:pStyle w:val="Heading4"/>
      </w:pPr>
      <w:r w:rsidRPr="00E04C0B">
        <w:t>Studious play</w:t>
      </w:r>
      <w:r>
        <w:t xml:space="preserve"> explores the queer impotential of Bartlby’s refusal—non-knowledge forgoes the incorporation of the human into politics</w:t>
      </w:r>
    </w:p>
    <w:p w:rsidR="005A160F" w:rsidRDefault="005A160F" w:rsidP="005A160F">
      <w:r w:rsidRPr="00E04C0B">
        <w:rPr>
          <w:rStyle w:val="Author-Date"/>
        </w:rPr>
        <w:t>Edelman 2013</w:t>
      </w:r>
      <w:r w:rsidRPr="00E04C0B">
        <w:t xml:space="preserve"> (</w:t>
      </w:r>
      <w:r w:rsidRPr="00BE2E04">
        <w:t>Edelman</w:t>
      </w:r>
      <w:r>
        <w:t>,</w:t>
      </w:r>
      <w:r w:rsidRPr="00BE2E04">
        <w:t xml:space="preserve"> </w:t>
      </w:r>
      <w:r w:rsidRPr="00B848A8">
        <w:t xml:space="preserve">Fletcher Professor of English </w:t>
      </w:r>
      <w:r>
        <w:t>Literature at Tufts University | “Occupy Wall Street: ‘Bartleby’</w:t>
      </w:r>
      <w:r w:rsidRPr="00BE2E04">
        <w:t xml:space="preserve"> Against the Humanities</w:t>
      </w:r>
      <w:r>
        <w:t xml:space="preserve">.” </w:t>
      </w:r>
      <w:r w:rsidRPr="00155D2B">
        <w:rPr>
          <w:i/>
        </w:rPr>
        <w:t>History of the Present</w:t>
      </w:r>
      <w:r>
        <w:t>, Vol. 3, No. 1 (Spring 2013) Pg 99-118)</w:t>
      </w:r>
    </w:p>
    <w:p w:rsidR="005A160F" w:rsidRPr="00DB75D7" w:rsidRDefault="005A160F" w:rsidP="005A160F">
      <w:pPr>
        <w:rPr>
          <w:sz w:val="16"/>
        </w:rPr>
      </w:pPr>
      <w:r w:rsidRPr="00E04C0B">
        <w:t xml:space="preserve">The corporate humanities, by contrast, serve the gods of the state quite well, transforming Socrates and Bartleby into poster boys for democracy, social responsibility, the triumph of the human spirit, </w:t>
      </w:r>
      <w:r w:rsidRPr="00DB75D7">
        <w:rPr>
          <w:sz w:val="16"/>
        </w:rPr>
        <w:t xml:space="preserve">until the humanities classroom can start to seem like a Unitarian church. </w:t>
      </w:r>
      <w:r w:rsidRPr="00E04C0B">
        <w:rPr>
          <w:rStyle w:val="StyleUnderline"/>
        </w:rPr>
        <w:t>But another relation to the humanities persists by virtue of preferring not to. Operating not for the good of the state or the cohesion of any community, this queerness dwells on the fractures that make the social a site of dissension and attends to the discontinuities that turn the aesthetic against itself.</w:t>
      </w:r>
      <w:r w:rsidRPr="00DB75D7">
        <w:rPr>
          <w:sz w:val="16"/>
        </w:rPr>
        <w:t xml:space="preserve"> </w:t>
      </w:r>
      <w:r w:rsidRPr="00EB6572">
        <w:rPr>
          <w:rStyle w:val="StyleUnderline"/>
        </w:rPr>
        <w:t>Rather than affirming the putative “richness” and plurality of mea</w:t>
      </w:r>
      <w:r>
        <w:rPr>
          <w:rStyle w:val="StyleUnderline"/>
        </w:rPr>
        <w:t>ning, it empties meaning of au</w:t>
      </w:r>
      <w:r w:rsidRPr="00EB6572">
        <w:rPr>
          <w:rStyle w:val="StyleUnderline"/>
        </w:rPr>
        <w:t>thority without, in the process, denying its power</w:t>
      </w:r>
      <w:r w:rsidRPr="00DB75D7">
        <w:rPr>
          <w:sz w:val="16"/>
        </w:rPr>
        <w:t xml:space="preserve">. Power without authority, in fact, is its object of analysis, even when it focuses on its own analytic force. </w:t>
      </w:r>
      <w:r w:rsidRPr="00EB6572">
        <w:rPr>
          <w:rStyle w:val="StyleUnderline"/>
        </w:rPr>
        <w:t>This queerness, this materiality that never resolves into relation, bespeaks the nonhumanity inseparable from the assertion of the human and the “non- language,” the negativity, that linguistic sense drowns out</w:t>
      </w:r>
      <w:r>
        <w:rPr>
          <w:rStyle w:val="Emphasis"/>
        </w:rPr>
        <w:t xml:space="preserve">. If it teaches, it </w:t>
      </w:r>
      <w:r w:rsidRPr="00EB6572">
        <w:rPr>
          <w:rStyle w:val="Emphasis"/>
        </w:rPr>
        <w:t>teaches us nothing</w:t>
      </w:r>
      <w:r w:rsidRPr="00DB75D7">
        <w:rPr>
          <w:sz w:val="16"/>
        </w:rPr>
        <w:t xml:space="preserve">—or, more precisely, </w:t>
      </w:r>
      <w:r w:rsidRPr="00EB6572">
        <w:rPr>
          <w:rStyle w:val="StyleUnderline"/>
        </w:rPr>
        <w:t>the place of that nothing, that non, in the politics of the human and, therefore, the place of the humanities in the performance of every politics.</w:t>
      </w:r>
      <w:r w:rsidRPr="00DB75D7">
        <w:rPr>
          <w:sz w:val="16"/>
        </w:rPr>
        <w:t xml:space="preserve"> Like the poet, in Sir Philip Sidney’s words, this humanities “nothing aftermeth,” but its queerness inheres in the force with which it stubbornly affirms this nothing, insisting, thereby, with Bartleby, on its preference for the negative, which is also to say, </w:t>
      </w:r>
      <w:r w:rsidRPr="00474C67">
        <w:rPr>
          <w:rStyle w:val="StyleUnderline"/>
        </w:rPr>
        <w:t>its preference for what the governing orders, the circuits of opinion, the frameworks of collective reality make invisible, impossible, and, to that extent, unthinkable.</w:t>
      </w:r>
      <w:r w:rsidRPr="00DB75D7">
        <w:rPr>
          <w:sz w:val="16"/>
        </w:rPr>
        <w:t xml:space="preserve"> </w:t>
      </w:r>
      <w:r w:rsidRPr="00474C67">
        <w:rPr>
          <w:rStyle w:val="StyleUnderline"/>
        </w:rPr>
        <w:t>It functions,</w:t>
      </w:r>
      <w:r w:rsidRPr="00DB75D7">
        <w:rPr>
          <w:sz w:val="16"/>
        </w:rPr>
        <w:t xml:space="preserve"> in short, as a version of the irony that Cicero saw in Socrates, whose thought he describes in De Natura Deorum, as “a purely negative dialectic which refrains from pronouncing any positive judgement.”26 But against that Socratic irony, Cicero, the Roman, despite his admiration for the Greek, affirmed the role of “positive judgment” and with it the centrality of philosophy to public life and to the state. It was Cicero, as Hannah Arendt observes, who “first used the word [culture] for matters of spirit and mind” and in this he played a crucial role in developing the notion of humanitas. Humanism, Ar- endt reminds us, “like culture, is . . . Roman in origin; there is no word in the Greek language corresponding to the Latin humanitas.”27 In its Roman origin, however, that concept already opposes the queerness, the irony, of relentless negativity in order to identify culture with the conservation of human com- munity. Cicero himself declares, after all, “One thing, therefore, ought to be aimed at by all men; that the interest of each individually, and of all collectively, should be the same; for if each should grasp at his individual interest, all hu- man society will be dissolved.”28 </w:t>
      </w:r>
      <w:r w:rsidRPr="00327052">
        <w:rPr>
          <w:rStyle w:val="StyleUnderline"/>
        </w:rPr>
        <w:t xml:space="preserve">For the Occupy protestors the collective interest has been trampled on by Wall Street; for the Daily Oklahoman the Occupy protestors trample on it themselves; for the jury in Athens it’s Socrates who threatens the good of collectivity; and for Cicero, the father of the humanities, </w:t>
      </w:r>
      <w:r w:rsidRPr="00327052">
        <w:rPr>
          <w:rStyle w:val="Emphasis"/>
        </w:rPr>
        <w:t>it’s the pure negativity</w:t>
      </w:r>
      <w:r w:rsidRPr="00327052">
        <w:rPr>
          <w:rStyle w:val="StyleUnderline"/>
        </w:rPr>
        <w:t xml:space="preserve"> of an irony </w:t>
      </w:r>
      <w:r w:rsidRPr="00327052">
        <w:rPr>
          <w:rStyle w:val="Emphasis"/>
        </w:rPr>
        <w:t>that affords us</w:t>
      </w:r>
      <w:r w:rsidRPr="00327052">
        <w:rPr>
          <w:rStyle w:val="StyleUnderline"/>
        </w:rPr>
        <w:t xml:space="preserve"> </w:t>
      </w:r>
      <w:r w:rsidRPr="009603EB">
        <w:rPr>
          <w:rStyle w:val="Emphasis"/>
        </w:rPr>
        <w:t>no positive “standards of guidance” and as a result occasions the dissolution of every truth</w:t>
      </w:r>
      <w:r w:rsidRPr="00327052">
        <w:rPr>
          <w:rStyle w:val="StyleUnderline"/>
        </w:rPr>
        <w:t>.</w:t>
      </w:r>
      <w:r w:rsidRPr="00DB75D7">
        <w:rPr>
          <w:sz w:val="16"/>
        </w:rPr>
        <w:t xml:space="preserve"> Perhaps that explains why Bartleby, refusing conversation with his employer, says nothing at all when the lawyer cries out, “But what reasonable objection can you have to speak to me? I feel friendly towards you.” Though Bartleby offers no answer here, he responds in a way nonetheless; “He did not look at me while I spoke,” the lawyer writes, “but kept his glance fixed upon my bust of Cicero, which, as I then sat, was directly behind me, some six inches above my head” (80). Does Bartleby know that the lawyer is to him what Cicero was to Socrates and will similarly eradicate his queerness through the very humanity that claims to embrace it? Or </w:t>
      </w:r>
      <w:r w:rsidRPr="00474C67">
        <w:rPr>
          <w:rStyle w:val="StyleUnderline"/>
        </w:rPr>
        <w:t>does he know, perhaps, that the steady, unwavering fixity of his glance preserves the force of the irony that will always occupy the humanities</w:t>
      </w:r>
      <w:r w:rsidRPr="00DB75D7">
        <w:rPr>
          <w:sz w:val="16"/>
        </w:rPr>
        <w:t xml:space="preserve">, even if that glance is powerless to escape its incorporation by them in turn? Or is the question less what Bartleby knows than what our not knowing does? </w:t>
      </w:r>
      <w:r w:rsidRPr="00474C67">
        <w:rPr>
          <w:rStyle w:val="StyleUnderline"/>
        </w:rPr>
        <w:t>That nonknowledge, that radical irony, asks one more thing of us all: are we willing to forego incorporation in the “human” as offered by the humanities,</w:t>
      </w:r>
      <w:r w:rsidRPr="00DB75D7">
        <w:rPr>
          <w:sz w:val="16"/>
        </w:rPr>
        <w:t xml:space="preserve"> and so in the secularized immortality proposed at once by the humanities and by the fictions of corporate personhood, in order to encounter, instead, a queerness at odds with what we think we know or what we think we are—a queerness that prefers the not, the non, or the dis- of disincorporation</w:t>
      </w:r>
      <w:r w:rsidRPr="002A7659">
        <w:rPr>
          <w:rStyle w:val="StyleUnderline"/>
        </w:rPr>
        <w:t xml:space="preserve">? Might </w:t>
      </w:r>
      <w:r w:rsidRPr="002A7659">
        <w:rPr>
          <w:rStyle w:val="Emphasis"/>
        </w:rPr>
        <w:t xml:space="preserve">the negativity that prefers not to </w:t>
      </w:r>
      <w:r w:rsidRPr="002A7659">
        <w:rPr>
          <w:rStyle w:val="StyleUnderline"/>
        </w:rPr>
        <w:t xml:space="preserve">pledge itself to the goal of a new community and declines its positivization in a recognizably political agenda remain faithful, </w:t>
      </w:r>
      <w:r w:rsidRPr="002A7659">
        <w:rPr>
          <w:rStyle w:val="Emphasis"/>
        </w:rPr>
        <w:t xml:space="preserve">by </w:t>
      </w:r>
      <w:r w:rsidRPr="002A7659">
        <w:rPr>
          <w:rStyle w:val="Emphasis"/>
        </w:rPr>
        <w:lastRenderedPageBreak/>
        <w:t>that very refusal, to what vitalizes politics as such</w:t>
      </w:r>
      <w:r w:rsidRPr="002A7659">
        <w:rPr>
          <w:rStyle w:val="StyleUnderline"/>
        </w:rPr>
        <w:t>?</w:t>
      </w:r>
      <w:r w:rsidRPr="00DB75D7">
        <w:rPr>
          <w:sz w:val="16"/>
        </w:rPr>
        <w:t xml:space="preserve"> </w:t>
      </w:r>
      <w:r w:rsidRPr="002A7659">
        <w:rPr>
          <w:rStyle w:val="StyleUnderline"/>
        </w:rPr>
        <w:t>Is the “negative dialectic” of Socrates, which ironizes every effort to pass, like the lawyer, from “Bartleby” to “humanity,” the unacknowledged wellspring of the humanities themselve</w:t>
      </w:r>
      <w:r w:rsidRPr="00DB75D7">
        <w:rPr>
          <w:sz w:val="16"/>
        </w:rPr>
        <w:t xml:space="preserve">s? </w:t>
      </w:r>
      <w:r w:rsidRPr="002A7659">
        <w:rPr>
          <w:rStyle w:val="Emphasis"/>
        </w:rPr>
        <w:t>So long as we, like the humanities, are overdetermined by these questions, they, like Socrates and Bartleby, will continue to occupy us.</w:t>
      </w:r>
    </w:p>
    <w:p w:rsidR="005A160F" w:rsidRPr="00DB78EB" w:rsidRDefault="005A160F" w:rsidP="005A160F"/>
    <w:p w:rsidR="002C1E1C" w:rsidRDefault="002C1E1C" w:rsidP="00731921">
      <w:pPr>
        <w:pStyle w:val="Heading3"/>
      </w:pPr>
      <w:bookmarkStart w:id="107" w:name="_Toc489138996"/>
      <w:r>
        <w:lastRenderedPageBreak/>
        <w:t>Link Turn: De-schooling</w:t>
      </w:r>
      <w:bookmarkEnd w:id="107"/>
    </w:p>
    <w:p w:rsidR="002C1E1C" w:rsidRPr="00717D54" w:rsidRDefault="002C1E1C" w:rsidP="002C1E1C">
      <w:pPr>
        <w:pStyle w:val="Heading4"/>
      </w:pPr>
      <w:r>
        <w:t xml:space="preserve">Schooling perpetuates heteronormativity through curriculums, queer shaming, prejudice, and hetero hegemony. The only direction we can take to avoid reproducing these structural assumptions and violence is deschooling and repudiating the school system. </w:t>
      </w:r>
    </w:p>
    <w:p w:rsidR="002C1E1C" w:rsidRDefault="002C1E1C" w:rsidP="002C1E1C">
      <w:pPr>
        <w:pStyle w:val="Heading4"/>
        <w:rPr>
          <w:b w:val="0"/>
          <w:sz w:val="16"/>
          <w:szCs w:val="16"/>
        </w:rPr>
      </w:pPr>
      <w:r w:rsidRPr="00B65932">
        <w:t xml:space="preserve">Haddad, 13 </w:t>
      </w:r>
      <w:r w:rsidRPr="00554337">
        <w:rPr>
          <w:b w:val="0"/>
          <w:sz w:val="16"/>
          <w:szCs w:val="16"/>
        </w:rPr>
        <w:t>[Ph.D in Philosophy, University of Nevada, Las Vegas awarded 2013 | “</w:t>
      </w:r>
      <w:hyperlink r:id="rId26" w:history="1">
        <w:r w:rsidRPr="00554337">
          <w:rPr>
            <w:b w:val="0"/>
            <w:sz w:val="16"/>
            <w:szCs w:val="16"/>
          </w:rPr>
          <w:t>A Multiple Case Study of Gay Teacher Identity Development: Negotiating and Enacting Identity to Interrupt Heteronormativity</w:t>
        </w:r>
      </w:hyperlink>
      <w:r w:rsidRPr="00554337">
        <w:rPr>
          <w:b w:val="0"/>
          <w:sz w:val="16"/>
          <w:szCs w:val="16"/>
        </w:rPr>
        <w:t xml:space="preserve">” </w:t>
      </w:r>
      <w:r w:rsidRPr="00554337">
        <w:rPr>
          <w:b w:val="0"/>
          <w:i/>
          <w:sz w:val="16"/>
          <w:szCs w:val="16"/>
        </w:rPr>
        <w:t xml:space="preserve">UNLV Theses, </w:t>
      </w:r>
      <w:hyperlink r:id="rId27" w:history="1">
        <w:r w:rsidRPr="00554337">
          <w:rPr>
            <w:b w:val="0"/>
            <w:i/>
            <w:sz w:val="16"/>
            <w:szCs w:val="16"/>
          </w:rPr>
          <w:t>Dissertations</w:t>
        </w:r>
      </w:hyperlink>
      <w:r w:rsidRPr="00554337">
        <w:rPr>
          <w:b w:val="0"/>
          <w:i/>
          <w:sz w:val="16"/>
          <w:szCs w:val="16"/>
        </w:rPr>
        <w:t xml:space="preserve">, Professional Papers, and Capstones. </w:t>
      </w:r>
      <w:r w:rsidRPr="00554337">
        <w:rPr>
          <w:b w:val="0"/>
          <w:sz w:val="16"/>
          <w:szCs w:val="16"/>
        </w:rPr>
        <w:t>pg. 1-4]</w:t>
      </w:r>
      <w:r>
        <w:rPr>
          <w:b w:val="0"/>
          <w:sz w:val="16"/>
          <w:szCs w:val="16"/>
        </w:rPr>
        <w:t xml:space="preserve"> JBa</w:t>
      </w:r>
    </w:p>
    <w:p w:rsidR="002C1E1C" w:rsidRPr="00E97613" w:rsidRDefault="002C1E1C" w:rsidP="002C1E1C"/>
    <w:p w:rsidR="002C1E1C" w:rsidRPr="00741676" w:rsidRDefault="002C1E1C" w:rsidP="002C1E1C">
      <w:pPr>
        <w:rPr>
          <w:sz w:val="16"/>
        </w:rPr>
      </w:pPr>
      <w:r w:rsidRPr="00741676">
        <w:rPr>
          <w:sz w:val="16"/>
        </w:rPr>
        <w:t>“</w:t>
      </w:r>
      <w:r w:rsidRPr="00554337">
        <w:rPr>
          <w:rStyle w:val="StyleUnderline"/>
        </w:rPr>
        <w:t>To live in society is to live in heterosexuality</w:t>
      </w:r>
      <w:r w:rsidRPr="00741676">
        <w:rPr>
          <w:sz w:val="16"/>
        </w:rPr>
        <w:t xml:space="preserve"> . . . </w:t>
      </w:r>
      <w:r w:rsidRPr="00554337">
        <w:rPr>
          <w:rStyle w:val="StyleUnderline"/>
        </w:rPr>
        <w:t>Heterosexuality is always already there within all mental categories</w:t>
      </w:r>
      <w:r w:rsidRPr="00741676">
        <w:rPr>
          <w:sz w:val="16"/>
        </w:rPr>
        <w:t xml:space="preserve">” (Warner, 1993). In other words, </w:t>
      </w:r>
      <w:r w:rsidRPr="00554337">
        <w:rPr>
          <w:rStyle w:val="StyleUnderline"/>
        </w:rPr>
        <w:t xml:space="preserve">heterosexuality is the assumed normal in all aspects of life. Contrary to heterosexuality, anything queer is therefore seen as not normal, as deviant, and wrong. </w:t>
      </w:r>
      <w:r w:rsidRPr="00741676">
        <w:rPr>
          <w:sz w:val="16"/>
        </w:rPr>
        <w:t xml:space="preserve">Coining the term “heteronormativity” in the nineties, Warner explains that </w:t>
      </w:r>
      <w:r w:rsidRPr="00B346E8">
        <w:rPr>
          <w:rStyle w:val="StyleUnderline"/>
        </w:rPr>
        <w:t xml:space="preserve">heteronormativity includes those punitive rules—social, familial, and legal—that force members of society to conform to hegemonic, heterosexual standards for identity </w:t>
      </w:r>
      <w:r w:rsidRPr="00741676">
        <w:rPr>
          <w:sz w:val="16"/>
        </w:rPr>
        <w:t xml:space="preserve">(1993 &amp; 1999). In </w:t>
      </w:r>
      <w:r w:rsidRPr="00B346E8">
        <w:rPr>
          <w:rStyle w:val="StyleUnderline"/>
        </w:rPr>
        <w:t>today’s</w:t>
      </w:r>
      <w:r w:rsidRPr="00741676">
        <w:rPr>
          <w:sz w:val="16"/>
        </w:rPr>
        <w:t xml:space="preserve"> 2 society, Warner argues, it </w:t>
      </w:r>
      <w:r w:rsidRPr="00B346E8">
        <w:rPr>
          <w:rStyle w:val="StyleUnderline"/>
        </w:rPr>
        <w:t>is vital that those who are gay or lesbian act to change heteronormative perspectives and practices in their daily lives</w:t>
      </w:r>
      <w:r w:rsidRPr="00741676">
        <w:rPr>
          <w:sz w:val="16"/>
        </w:rPr>
        <w:t xml:space="preserve">: Every person who comes to a queer self understanding knows in one way or another that his or her stigmatization is connected with gender, the family, notions of individual freedom, the state, public speech, consumption and desire, nature and culture, maturation, reproductive politics, racial and national fantasy, class identity, truth and trust, censorship, intimate life and social display, terror and violence, health care, and deep cultural norms about the bearing of the body. </w:t>
      </w:r>
      <w:r w:rsidRPr="004D7D2F">
        <w:rPr>
          <w:rStyle w:val="StyleUnderline"/>
        </w:rPr>
        <w:t>Being queer means fighting about these issues all the time, locally and piecemeal but always with consequences.</w:t>
      </w:r>
      <w:r w:rsidRPr="00741676">
        <w:rPr>
          <w:sz w:val="16"/>
        </w:rPr>
        <w:t xml:space="preserve"> [emphasis added] (Warner, 1993, p. xiii) Therefore, the implied call to action for those who identify as queer is to interrupt or cease heteronormativity. Within an educational context, </w:t>
      </w:r>
      <w:r w:rsidRPr="00717D54">
        <w:rPr>
          <w:rStyle w:val="Emphasis"/>
        </w:rPr>
        <w:t>heteronormativity has a pervasive effect on curriculum (both formal and informal), extra-curricular activities, and teaching as a profession</w:t>
      </w:r>
      <w:r w:rsidRPr="00741676">
        <w:rPr>
          <w:sz w:val="16"/>
        </w:rPr>
        <w:t>. Illich (1970) understood this notion, though in a different context, when he wrote Deschooling Society. Illich asserts “</w:t>
      </w:r>
      <w:r w:rsidRPr="00717D54">
        <w:rPr>
          <w:rStyle w:val="Emphasis"/>
        </w:rPr>
        <w:t>to understand what it means to deschool society, and not just reform the educational establishment, we must now focus on the hidden curriculum of schooling</w:t>
      </w:r>
      <w:r w:rsidRPr="00741676">
        <w:rPr>
          <w:sz w:val="16"/>
        </w:rPr>
        <w:t xml:space="preserve">” (Illich, 1970, p. 32). From a queer perspective, </w:t>
      </w:r>
      <w:r w:rsidRPr="00717D54">
        <w:rPr>
          <w:rStyle w:val="Emphasis"/>
        </w:rPr>
        <w:t>Illich is directly referencing the normative nature of schools as socializers of society in the views of the mainstream, of the hegemonic establishment. Inevitably, this hidden curriculum of schooling adds prejudice and guilt to the discrimination, which a society practices against some of its members and compounds the privilege of others with a new title to condescend to the majority. 3 Just as inevitably, this hidden curriculum serves as a ritual of initiation into a growth-oriented [heterosexual] society for rich and poor alike.</w:t>
      </w:r>
      <w:r w:rsidRPr="00741676">
        <w:rPr>
          <w:sz w:val="16"/>
        </w:rPr>
        <w:t xml:space="preserve"> (Illich, 1970, p. 33</w:t>
      </w:r>
      <w:r w:rsidRPr="00717D54">
        <w:rPr>
          <w:rStyle w:val="StyleUnderline"/>
        </w:rPr>
        <w:t>) American society is currently in a socio-politically located renaissance when it comes to public opinion regarding sexual minorities. Issues such as the end of Don’t Ask, Don’t Tell, the increasing momentum behind marriage equality, advances in the fight against HIV and AIDS, and increased protections for Gay, Lesbian, Bisexual, Transgender, and Queer (GLBTQ)</w:t>
      </w:r>
      <w:r w:rsidRPr="00741676">
        <w:rPr>
          <w:sz w:val="16"/>
        </w:rPr>
        <w:t xml:space="preserve"> people from employment and other forms of discrimination are all indicators of the growing tide that is changing. These changes in the social and political fabric are not absent in public education; in fact many would argue that in </w:t>
      </w:r>
      <w:r w:rsidRPr="00717D54">
        <w:rPr>
          <w:rStyle w:val="Emphasis"/>
        </w:rPr>
        <w:t>schools the shifting attitudes regarding sexual minorities are manifesting in troubling ways</w:t>
      </w:r>
      <w:r w:rsidRPr="00741676">
        <w:rPr>
          <w:sz w:val="16"/>
        </w:rPr>
        <w:t xml:space="preserve">. According to The 2011 National School Climate Survey conducted by the Gay Lesbian Straight Education Network (GLSEN) </w:t>
      </w:r>
      <w:r w:rsidRPr="00717D54">
        <w:rPr>
          <w:rStyle w:val="Emphasis"/>
        </w:rPr>
        <w:t>GLBTQ students report experiencing hostile school environments that lead to absenteeism and lowered educational expectations and achievement</w:t>
      </w:r>
      <w:r w:rsidRPr="00741676">
        <w:rPr>
          <w:sz w:val="16"/>
        </w:rPr>
        <w:t xml:space="preserve"> (GLSEN, 2012). Another key finding in the GLSEN study was regarding the </w:t>
      </w:r>
      <w:r w:rsidRPr="00741676">
        <w:rPr>
          <w:sz w:val="16"/>
        </w:rPr>
        <w:lastRenderedPageBreak/>
        <w:t>necessity for GLBTQ students to be able to identify supportive educators and to have an inclusive curriculum that provides positive representations of LGBTQ people and respect for all as a means of providing the context for a positive school experience (GLSEN, 2012</w:t>
      </w:r>
      <w:r w:rsidRPr="00717D54">
        <w:rPr>
          <w:rStyle w:val="StyleUnderline"/>
        </w:rPr>
        <w:t>). The goal of this study is to illustrate the implicit need for those who come to a gay realization to be allowed to do so in an environment that is supportive of minority beliefs, livelihoods, and practices</w:t>
      </w:r>
      <w:r w:rsidRPr="00741676">
        <w:rPr>
          <w:sz w:val="16"/>
        </w:rPr>
        <w:t xml:space="preserve"> by examining the ways in which gay teachers interact with the social context of their schools and enact or do not enact their gay teacher identities. 4 </w:t>
      </w:r>
      <w:r w:rsidRPr="00717D54">
        <w:rPr>
          <w:rStyle w:val="Emphasis"/>
        </w:rPr>
        <w:t>What is a school, if not a portrait of the society within which it resides?</w:t>
      </w:r>
      <w:r w:rsidRPr="00741676">
        <w:rPr>
          <w:sz w:val="16"/>
        </w:rPr>
        <w:t xml:space="preserve"> John Dewey (1902; 1916) argues that schools are to reflect the values and beliefs of the local community. This belief is also evident in how government creates and administers schools through separation of powers and local control of schools; I recall the adage, “</w:t>
      </w:r>
      <w:r w:rsidRPr="00717D54">
        <w:rPr>
          <w:rStyle w:val="Emphasis"/>
        </w:rPr>
        <w:t>it takes a village to raise a child”—understanding subliminally that the village is heteronormative</w:t>
      </w:r>
      <w:r w:rsidRPr="00741676">
        <w:rPr>
          <w:sz w:val="16"/>
        </w:rPr>
        <w:t xml:space="preserve">. For our schools to truly be reflections of democratic society </w:t>
      </w:r>
      <w:r w:rsidRPr="00717D54">
        <w:rPr>
          <w:rStyle w:val="StyleUnderline"/>
        </w:rPr>
        <w:t>there must be a fundamental shift in society’s attitudes and treatment of those who identify as queer—students and educators alike. Defining and understanding heteronormativity is simply not enough to impact schools and schooling.</w:t>
      </w:r>
      <w:r w:rsidRPr="00741676">
        <w:rPr>
          <w:sz w:val="16"/>
        </w:rPr>
        <w:t xml:space="preserve"> Teacher preparation programs and in-service teachers have an obligation to society to interrupt heteronormativity as a social justice imperative; “the bottom line of teaching is enhancing students’ learning and their life chances by challenging the inequities of school and society” (Cochran-Smith, Shakman, Jong, Terrell, Barnatt, &amp; Mcquillan, 2009). Schools can no longer just socialize students into the socalled mainstream because all senses of “normal” are being questioned; and this is a good thing. </w:t>
      </w:r>
    </w:p>
    <w:p w:rsidR="002C1E1C" w:rsidRPr="002C1E1C" w:rsidRDefault="002C1E1C" w:rsidP="002C1E1C"/>
    <w:p w:rsidR="00731921" w:rsidRDefault="00731921" w:rsidP="00731921">
      <w:pPr>
        <w:pStyle w:val="Heading3"/>
      </w:pPr>
      <w:bookmarkStart w:id="108" w:name="_Toc489138997"/>
      <w:r>
        <w:lastRenderedPageBreak/>
        <w:t>Link Turn: Research Practices</w:t>
      </w:r>
      <w:bookmarkEnd w:id="108"/>
    </w:p>
    <w:p w:rsidR="00637D6C" w:rsidRPr="009B16D4" w:rsidRDefault="00637D6C" w:rsidP="00637D6C">
      <w:pPr>
        <w:pStyle w:val="Heading4"/>
      </w:pPr>
      <w:r>
        <w:t xml:space="preserve">Aff uses queer theory to examine fissures in hegemonic capitalism </w:t>
      </w:r>
    </w:p>
    <w:p w:rsidR="00637D6C" w:rsidRPr="008147A1" w:rsidRDefault="00637D6C" w:rsidP="00637D6C">
      <w:r w:rsidRPr="008147A1">
        <w:rPr>
          <w:rStyle w:val="Heading4Char"/>
        </w:rPr>
        <w:t>Gibson-Graham 99</w:t>
      </w:r>
      <w:r w:rsidRPr="008147A1">
        <w:t>,</w:t>
      </w:r>
      <w:r>
        <w:t xml:space="preserve"> (</w:t>
      </w:r>
      <w:r w:rsidRPr="008147A1">
        <w:t xml:space="preserve"> J. K. "Queer (y) ing Capitalism in and out of the Classroom [1]." Journal of Geography in Higher Education 23.1 (1999): 80-85.</w:t>
      </w:r>
    </w:p>
    <w:p w:rsidR="00637D6C" w:rsidRDefault="00637D6C" w:rsidP="00637D6C">
      <w:r w:rsidRPr="008147A1">
        <w:t xml:space="preserve">Of course , </w:t>
      </w:r>
      <w:r w:rsidRPr="00B8646B">
        <w:rPr>
          <w:rStyle w:val="StyleUnderline"/>
        </w:rPr>
        <w:t>destabilizing images of capitalist dominance</w:t>
      </w:r>
      <w:r w:rsidRPr="008147A1">
        <w:t xml:space="preserve"> </w:t>
      </w:r>
      <w:r w:rsidRPr="00B8646B">
        <w:rPr>
          <w:rStyle w:val="StyleUnderline"/>
        </w:rPr>
        <w:t>is a big project</w:t>
      </w:r>
      <w:r w:rsidRPr="008147A1">
        <w:t xml:space="preserve"> , </w:t>
      </w:r>
      <w:r w:rsidRPr="00B8646B">
        <w:rPr>
          <w:rStyle w:val="StyleUnderline"/>
        </w:rPr>
        <w:t>and I could not do it</w:t>
      </w:r>
      <w:r w:rsidRPr="008147A1">
        <w:t xml:space="preserve"> by myself . Nor could I do </w:t>
      </w:r>
      <w:r w:rsidRPr="00B8646B">
        <w:rPr>
          <w:rStyle w:val="StyleUnderline"/>
        </w:rPr>
        <w:t>it without t queer theory</w:t>
      </w:r>
      <w:r w:rsidRPr="008147A1">
        <w:t xml:space="preserve">, that incredibly dynamic matrix of contemporary theory </w:t>
      </w:r>
      <w:r w:rsidRPr="00B8646B">
        <w:rPr>
          <w:rStyle w:val="StyleUnderline"/>
        </w:rPr>
        <w:t>whose practitioners are</w:t>
      </w:r>
      <w:r w:rsidRPr="008147A1">
        <w:t xml:space="preserve"> not only theorizing about queers but who are also </w:t>
      </w:r>
      <w:r w:rsidRPr="00B8646B">
        <w:rPr>
          <w:rStyle w:val="StyleUnderline"/>
        </w:rPr>
        <w:t>making social theory `queer ’</w:t>
      </w:r>
      <w:r w:rsidRPr="008147A1">
        <w:t xml:space="preserve"> . This latter project can be seen to involve </w:t>
      </w:r>
      <w:r>
        <w:t>no</w:t>
      </w:r>
      <w:r w:rsidRPr="008147A1">
        <w:t>t</w:t>
      </w:r>
      <w:r>
        <w:t xml:space="preserve"> </w:t>
      </w:r>
      <w:r w:rsidRPr="008147A1">
        <w:t>(or not merely ) constituting a minority</w:t>
      </w:r>
      <w:r>
        <w:t xml:space="preserve"> </w:t>
      </w:r>
      <w:r w:rsidRPr="008147A1">
        <w:t xml:space="preserve"> population</w:t>
      </w:r>
      <w:r>
        <w:t xml:space="preserve"> based on same-sex desire</w:t>
      </w:r>
      <w:r w:rsidRPr="008147A1">
        <w:t xml:space="preserve">, set in opposition to a heterosexual norm, but </w:t>
      </w:r>
      <w:r w:rsidRPr="00B8646B">
        <w:rPr>
          <w:rStyle w:val="StyleUnderline"/>
        </w:rPr>
        <w:t>calling into question the very ide a of norms and normality , calling attention to the violence entailed by normalizing</w:t>
      </w:r>
      <w:r>
        <w:rPr>
          <w:rStyle w:val="StyleUnderline"/>
        </w:rPr>
        <w:t xml:space="preserve"> impulses</w:t>
      </w:r>
      <w:r w:rsidRPr="00B8646B">
        <w:rPr>
          <w:rStyle w:val="StyleUnderline"/>
        </w:rPr>
        <w:t xml:space="preserve">, including the impulse to theorize a social site as subsumed to a hegemonic order </w:t>
      </w:r>
      <w:r w:rsidRPr="008147A1">
        <w:t>[7] . Wha</w:t>
      </w:r>
      <w:r>
        <w:t xml:space="preserve">t </w:t>
      </w:r>
      <w:r w:rsidRPr="00B8646B">
        <w:rPr>
          <w:rStyle w:val="StyleUnderline"/>
        </w:rPr>
        <w:t>if we were to `queer ’ capitalist hegemony and break apart some of its consolidating associations</w:t>
      </w:r>
      <w:r w:rsidRPr="008147A1">
        <w:t>? We cou</w:t>
      </w:r>
      <w:r>
        <w:t>ld start by reimagining the bod</w:t>
      </w:r>
      <w:r w:rsidRPr="008147A1">
        <w:t>y</w:t>
      </w:r>
      <w:r>
        <w:t xml:space="preserve"> of capitalism, that hard and masculine body that penetrate</w:t>
      </w:r>
      <w:r w:rsidRPr="008147A1">
        <w:t>s non-capitalis</w:t>
      </w:r>
      <w:r>
        <w:t>m but is no</w:t>
      </w:r>
      <w:r w:rsidRPr="008147A1">
        <w:t>t itself susceptible to penetration (this image conveys some of the heterose</w:t>
      </w:r>
      <w:r>
        <w:t>xis</w:t>
      </w:r>
      <w:r w:rsidRPr="008147A1">
        <w:t>m that structu</w:t>
      </w:r>
      <w:r>
        <w:t>res contemporary social theory)</w:t>
      </w:r>
      <w:r>
        <w:rPr>
          <w:rStyle w:val="StyleUnderline"/>
        </w:rPr>
        <w:t xml:space="preserve">. </w:t>
      </w:r>
      <w:r w:rsidRPr="00B8646B">
        <w:rPr>
          <w:rStyle w:val="StyleUnderline"/>
        </w:rPr>
        <w:t>One key `coming together’</w:t>
      </w:r>
      <w:r>
        <w:t xml:space="preserve"> (a Christ</w:t>
      </w:r>
      <w:r w:rsidRPr="008147A1">
        <w:t xml:space="preserve">mas effect that participates in consolidating a capitalist monolith ) </w:t>
      </w:r>
      <w:r w:rsidRPr="00B8646B">
        <w:rPr>
          <w:rStyle w:val="StyleUnderline"/>
        </w:rPr>
        <w:t>is the familiar association of capitalism with commodification and `the market ’ . This association, in which all three terms ultimately signify `capitalism’ , constitutes the body of capitalism as dominant and expansiv</w:t>
      </w:r>
      <w:r>
        <w:t>e (a</w:t>
      </w:r>
      <w:r w:rsidRPr="008147A1">
        <w:t xml:space="preserve">t least in the space of </w:t>
      </w:r>
      <w:r>
        <w:t>co</w:t>
      </w:r>
      <w:r w:rsidRPr="008147A1">
        <w:t xml:space="preserve">mmodity transactions) </w:t>
      </w:r>
      <w:r w:rsidRPr="00B8646B">
        <w:rPr>
          <w:rStyle w:val="StyleUnderline"/>
        </w:rPr>
        <w:t>. But how might we re-envision that body as more open and permeable,</w:t>
      </w:r>
      <w:r w:rsidRPr="008147A1">
        <w:t xml:space="preserve"> as having ori</w:t>
      </w:r>
      <w:r>
        <w:t>fices</w:t>
      </w:r>
      <w:r w:rsidRPr="008147A1">
        <w:t xml:space="preserve"> through w</w:t>
      </w:r>
      <w:r>
        <w:t>hich non-capitalism might enter</w:t>
      </w:r>
      <w:r w:rsidRPr="008147A1">
        <w:t xml:space="preserve">? </w:t>
      </w:r>
      <w:r w:rsidRPr="00B8646B">
        <w:rPr>
          <w:rStyle w:val="StyleUnderline"/>
        </w:rPr>
        <w:t>We might argue,</w:t>
      </w:r>
      <w:r w:rsidRPr="008147A1">
        <w:t xml:space="preserve"> as many have done , </w:t>
      </w:r>
      <w:r w:rsidRPr="00B8646B">
        <w:rPr>
          <w:rStyle w:val="StyleUnderline"/>
        </w:rPr>
        <w:t>that many different relations of production  including slavery and independent commodity production and collective or communal relations are compatible with production for a market . What violence do we do to these when we normalize all commodity production as capitalist commodity production</w:t>
      </w:r>
      <w:r w:rsidRPr="008147A1">
        <w:t>? Surel</w:t>
      </w:r>
      <w:r>
        <w:t xml:space="preserve">y </w:t>
      </w:r>
      <w:r w:rsidRPr="00AB1EE1">
        <w:rPr>
          <w:rStyle w:val="StyleUnderline"/>
        </w:rPr>
        <w:t>the market is a mobile and membranous orifice in to which can be inserted all kinds of non-capitalist commodities</w:t>
      </w:r>
      <w:r w:rsidRPr="008147A1">
        <w:t xml:space="preserve"> , </w:t>
      </w:r>
      <w:r w:rsidRPr="00AB1EE1">
        <w:rPr>
          <w:rStyle w:val="StyleUnderline"/>
        </w:rPr>
        <w:t>whose queer presences challenge the pre-eminence of capitalism an the discourses of its hegemony . Queering our pedagogy means making differences visible and calling normative impulses and forms of social closure into question.</w:t>
      </w:r>
      <w:r>
        <w:t xml:space="preserve"> </w:t>
      </w:r>
      <w:r w:rsidRPr="00AB1EE1">
        <w:rPr>
          <w:rStyle w:val="StyleUnderline"/>
        </w:rPr>
        <w:t>This is something that geographic researchers are increasingly doing with respect to a wide range of social</w:t>
      </w:r>
      <w:r>
        <w:t xml:space="preserve"> an</w:t>
      </w:r>
      <w:r w:rsidRPr="008147A1">
        <w:t>d cultural site</w:t>
      </w:r>
      <w:r>
        <w:t>s an</w:t>
      </w:r>
      <w:r w:rsidRPr="008147A1">
        <w:t xml:space="preserve">d </w:t>
      </w:r>
      <w:r w:rsidRPr="00AB1EE1">
        <w:rPr>
          <w:rStyle w:val="StyleUnderline"/>
        </w:rPr>
        <w:t>processes , not excluding the `economic ’ , when differences among industries, enterprises, economic subjects, cities and regions, national and world economies are often highlighted and explored.</w:t>
      </w:r>
      <w:r w:rsidRPr="009B16D4">
        <w:t xml:space="preserve"> The fact that one sameness their capitalist nature tends to unify all these forms of difference offers a challenge to us as teachers. Can we, with our students, generate different representations of the economic world, ones in which non-capitalist class relations and forms of economy are prevalent and widespread? [8] If we can, what might be the impact of these representations? Might they not help to make anticapitalist activism seem less quixotic and more realistic? Might they contribute to a non-capitalist politics of economic invention</w:t>
      </w:r>
    </w:p>
    <w:p w:rsidR="00637D6C" w:rsidRDefault="00637D6C" w:rsidP="00731921">
      <w:pPr>
        <w:pStyle w:val="Heading4"/>
      </w:pPr>
    </w:p>
    <w:p w:rsidR="00731921" w:rsidRDefault="00731921" w:rsidP="00731921">
      <w:pPr>
        <w:pStyle w:val="Heading4"/>
      </w:pPr>
      <w:r>
        <w:t xml:space="preserve">There is a need for research on the specific social relations of the queer service economy --- only the AFF can accomplish this research by examining the relations of queer communities to the capitalist system and how they are produced. </w:t>
      </w:r>
    </w:p>
    <w:p w:rsidR="00731921" w:rsidRPr="005020BF" w:rsidRDefault="00731921" w:rsidP="00731921">
      <w:pPr>
        <w:rPr>
          <w:sz w:val="16"/>
          <w:szCs w:val="16"/>
        </w:rPr>
      </w:pPr>
      <w:r w:rsidRPr="00BA5AF1">
        <w:rPr>
          <w:b/>
          <w:sz w:val="26"/>
          <w:szCs w:val="26"/>
        </w:rPr>
        <w:t>Sears 05</w:t>
      </w:r>
      <w:r>
        <w:t xml:space="preserve"> </w:t>
      </w:r>
      <w:r w:rsidRPr="00BA5AF1">
        <w:rPr>
          <w:sz w:val="16"/>
          <w:szCs w:val="16"/>
        </w:rPr>
        <w:t>[ALAN SEARS, a queer activist, author, and professor of sociology at Ryerson University in Toronto. Sears is the author of, among other works, "Queer in a Lean World" and “Queer Anti-Capitalism: What's Left of Lesbian and Gay Liberation?” and co-author with James Cairns of The Democratic Imagination. Science &amp; Society, Vol. 69, No. 1, January 2005, 92–112, Queer Anti-Capitalism:</w:t>
      </w:r>
      <w:r>
        <w:rPr>
          <w:sz w:val="16"/>
          <w:szCs w:val="16"/>
        </w:rPr>
        <w:t xml:space="preserve"> </w:t>
      </w:r>
      <w:r w:rsidRPr="00BA5AF1">
        <w:rPr>
          <w:sz w:val="16"/>
          <w:szCs w:val="16"/>
        </w:rPr>
        <w:t xml:space="preserve">What’s Left of Lesbian and Gay Liberation?, </w:t>
      </w:r>
      <w:hyperlink r:id="rId28" w:history="1">
        <w:r w:rsidRPr="00C76AE3">
          <w:rPr>
            <w:rStyle w:val="Hyperlink"/>
            <w:sz w:val="16"/>
            <w:szCs w:val="16"/>
          </w:rPr>
          <w:t>http://www.decolonize.org/wp-content/uploads/2015/06/queeranticap.pdf</w:t>
        </w:r>
      </w:hyperlink>
      <w:r>
        <w:rPr>
          <w:sz w:val="16"/>
          <w:szCs w:val="16"/>
        </w:rPr>
        <w:t>] [JS]</w:t>
      </w:r>
    </w:p>
    <w:p w:rsidR="00731921" w:rsidRPr="005F721C" w:rsidRDefault="00731921" w:rsidP="00731921">
      <w:pPr>
        <w:rPr>
          <w:sz w:val="16"/>
        </w:rPr>
      </w:pPr>
      <w:r w:rsidRPr="005F721C">
        <w:rPr>
          <w:sz w:val="16"/>
        </w:rPr>
        <w:lastRenderedPageBreak/>
        <w:t xml:space="preserve">Yet the fact that </w:t>
      </w:r>
      <w:r w:rsidRPr="009962EF">
        <w:rPr>
          <w:rStyle w:val="StyleUnderline"/>
        </w:rPr>
        <w:t>advanced capitalism has opened up certain spaces for open lesbian and gay existence should not mute our anti-capitalism.</w:t>
      </w:r>
      <w:r w:rsidRPr="005F721C">
        <w:rPr>
          <w:sz w:val="16"/>
        </w:rPr>
        <w:t xml:space="preserve"> Indeed</w:t>
      </w:r>
      <w:r w:rsidRPr="009962EF">
        <w:rPr>
          <w:rStyle w:val="StyleUnderline"/>
        </w:rPr>
        <w:t>, queer marxist feminism provides tools for understanding the ways that the commodification of public lesbian and gay life has distorted our communities. The nature of market relations is that access to goods or services is based not on need or desire, but on the ability to pay</w:t>
      </w:r>
      <w:r w:rsidRPr="009962EF">
        <w:rPr>
          <w:rStyle w:val="Emphasis"/>
        </w:rPr>
        <w:t>. A community structured around commodified public spaces is economically exclusive</w:t>
      </w:r>
      <w:r w:rsidRPr="005F721C">
        <w:rPr>
          <w:sz w:val="16"/>
        </w:rPr>
        <w:t xml:space="preserve">. </w:t>
      </w:r>
      <w:r w:rsidRPr="009962EF">
        <w:rPr>
          <w:rStyle w:val="StyleUnderline"/>
        </w:rPr>
        <w:t>Not everyone has the money, or the class-based taste</w:t>
      </w:r>
      <w:r w:rsidRPr="005F721C">
        <w:rPr>
          <w:sz w:val="16"/>
        </w:rPr>
        <w:t xml:space="preserve">,13 </w:t>
      </w:r>
      <w:r w:rsidRPr="009962EF">
        <w:rPr>
          <w:rStyle w:val="StyleUnderline"/>
        </w:rPr>
        <w:t>to outfit themselves with the right clothes, haircuts and accessories or to pay the price of socializing at the “in” places.</w:t>
      </w:r>
      <w:r w:rsidRPr="005F721C">
        <w:rPr>
          <w:sz w:val="16"/>
        </w:rPr>
        <w:t xml:space="preserve"> </w:t>
      </w:r>
      <w:r w:rsidRPr="009962EF">
        <w:rPr>
          <w:rStyle w:val="StyleUnderline"/>
        </w:rPr>
        <w:t>Women are less likely to have access to a public commercial</w:t>
      </w:r>
      <w:r w:rsidRPr="005F721C">
        <w:rPr>
          <w:sz w:val="16"/>
        </w:rPr>
        <w:t xml:space="preserve"> lesbian scene as a result of the dominant gendered division of labor that tends to offer women lower economic standing and a greater likelihood of having “private” domestic responsibilities. </w:t>
      </w:r>
      <w:r w:rsidRPr="009962EF">
        <w:rPr>
          <w:rStyle w:val="StyleUnderline"/>
        </w:rPr>
        <w:t xml:space="preserve">Men with limited incomes are not likely to find their way in. </w:t>
      </w:r>
      <w:r w:rsidRPr="005F721C">
        <w:rPr>
          <w:sz w:val="16"/>
        </w:rPr>
        <w:t xml:space="preserve">Amber Hollibaugh (2001) wrote about the importance of challenging the belief that “queerness can’t be poor.” “The myth of our wealth goes deep, so deep that even other gay people seem to believe it.” One major source for the myth of queer wealth is the exclusionary character of lesbian and gay spaces. </w:t>
      </w:r>
      <w:r w:rsidRPr="009962EF">
        <w:rPr>
          <w:rStyle w:val="StyleUnderline"/>
        </w:rPr>
        <w:t>Queers with limited incomes are invisible because they cannot enter the commodified realm of lesbian/gay visibility.</w:t>
      </w:r>
      <w:r w:rsidRPr="005F721C">
        <w:rPr>
          <w:sz w:val="16"/>
        </w:rPr>
        <w:t xml:space="preserve"> Indeed, Hollibaugh argues that queers are often particularly vulnerable to poverty: Poverty and outright destitution can happen to anyone — and </w:t>
      </w:r>
      <w:r w:rsidRPr="009962EF">
        <w:rPr>
          <w:rStyle w:val="StyleUnderline"/>
        </w:rPr>
        <w:t>the queerer you are, the fewer safety nets exist to hold you up or bounce you back from the abyss. Queerness intensifies poverty and compounds the difficulty of dealing with the social service system.</w:t>
      </w:r>
      <w:r w:rsidRPr="005F721C">
        <w:rPr>
          <w:sz w:val="16"/>
        </w:rPr>
        <w:t xml:space="preserve"> An investigation of the impact of market relations on the character of lesbian and gay communities goes beyond the question of access to the character of the businesses that organize queer space. These businesses (bars, cafes, shops, restaurants, fashion and beauty industries) are themselves class-organized workplaces. </w:t>
      </w:r>
      <w:r w:rsidRPr="009962EF">
        <w:rPr>
          <w:rStyle w:val="Emphasis"/>
        </w:rPr>
        <w:t>There is a need for more research on the specific social relations of the queer service economy</w:t>
      </w:r>
      <w:r w:rsidRPr="009962EF">
        <w:rPr>
          <w:rStyle w:val="StyleUnderline"/>
        </w:rPr>
        <w:t>. It matters that these spaces are sustained by the labor of relatively low-wage service workers who may</w:t>
      </w:r>
      <w:r w:rsidRPr="005F721C">
        <w:rPr>
          <w:sz w:val="16"/>
        </w:rPr>
        <w:t xml:space="preserve"> (though further investigation is required) </w:t>
      </w:r>
      <w:r w:rsidRPr="009962EF">
        <w:rPr>
          <w:rStyle w:val="StyleUnderline"/>
        </w:rPr>
        <w:t xml:space="preserve">be willing to accept a lower wage than they would be paid elsewhere in exchange for the relative comfort of working in a queer environment. </w:t>
      </w:r>
      <w:r w:rsidRPr="005F721C">
        <w:rPr>
          <w:sz w:val="16"/>
        </w:rPr>
        <w:t>It would also be important to hear more from these workers about the particular rewards and punishments involved in working in what are often (certainly in gay male settings) aestheticized and sexualized work places.14</w:t>
      </w:r>
      <w:r w:rsidRPr="009962EF">
        <w:rPr>
          <w:rStyle w:val="Emphasis"/>
        </w:rPr>
        <w:t xml:space="preserve"> An understanding of class in queer communities must, of course, extend beyond those specific spaces</w:t>
      </w:r>
      <w:r w:rsidRPr="005F721C">
        <w:rPr>
          <w:sz w:val="16"/>
        </w:rPr>
        <w:t xml:space="preserve">. The working-class majority of the queer population has very little presence as such. Increasingly, it is the queer professional, entrepreneurial and managerial classes who act as the spokespeople for our “communities” (see Kinsman, 1996, 300). This might be changing a little. Over the past few years, queer organizing within the union movement has begun to provide a voice for lesbian and gay activists within unions and working-class voice within our communities. This matters, in part because the labor movement has often been a crucial ally in lesbian and gay struggles.15 I would argue </w:t>
      </w:r>
      <w:r w:rsidRPr="005F721C">
        <w:rPr>
          <w:rStyle w:val="StyleUnderline"/>
        </w:rPr>
        <w:t>that one of the important reasons that Canadian queers have won more civil rights than Americans is because of the more militant state of the labor movement in Canada.</w:t>
      </w:r>
      <w:r w:rsidRPr="005F721C">
        <w:rPr>
          <w:sz w:val="16"/>
        </w:rPr>
        <w:t>16 Many of the crucial gains for lesbian and gay civil rights (non-discrimination on the basis of sexual orientation, full benefits for same-sex domestic partners) were established in collective agreements before they were generalized through provincial or federal legislation.17 Further, the contract protection we have won through unions had provided a crucial foundation of security that has allowed lesbian and gay existence to break into the everyday world (in which waged and domestic labor are central) out of its confinement to the night</w:t>
      </w:r>
    </w:p>
    <w:p w:rsidR="005A160F" w:rsidRPr="00672790" w:rsidRDefault="005A160F" w:rsidP="005A160F">
      <w:pPr>
        <w:pStyle w:val="Heading3"/>
      </w:pPr>
      <w:bookmarkStart w:id="109" w:name="_Toc489138998"/>
      <w:r>
        <w:lastRenderedPageBreak/>
        <w:t xml:space="preserve">Turn: </w:t>
      </w:r>
      <w:r w:rsidRPr="00672790">
        <w:t xml:space="preserve">Antinormativity </w:t>
      </w:r>
      <w:r>
        <w:t>&amp; Essentialism</w:t>
      </w:r>
      <w:bookmarkEnd w:id="109"/>
    </w:p>
    <w:p w:rsidR="005A160F" w:rsidRPr="005527C6" w:rsidRDefault="005A160F" w:rsidP="005A160F">
      <w:pPr>
        <w:pStyle w:val="Heading4"/>
        <w:rPr>
          <w:rStyle w:val="Style13ptBold"/>
          <w:b/>
        </w:rPr>
      </w:pPr>
      <w:r>
        <w:rPr>
          <w:rStyle w:val="Style13ptBold"/>
          <w:b/>
        </w:rPr>
        <w:t>Reading queerness as pure anti-normativity produces a universalizing model of queerness that erases agency, complexity, and attunement to time and space</w:t>
      </w:r>
    </w:p>
    <w:p w:rsidR="005A160F" w:rsidRPr="005527C6" w:rsidRDefault="005A160F" w:rsidP="005A160F">
      <w:pPr>
        <w:rPr>
          <w:rStyle w:val="Style13ptBold"/>
          <w:b w:val="0"/>
        </w:rPr>
      </w:pPr>
      <w:r>
        <w:rPr>
          <w:rStyle w:val="Style13ptBold"/>
        </w:rPr>
        <w:t xml:space="preserve">Bessette 16 </w:t>
      </w:r>
      <w:r w:rsidRPr="005527C6">
        <w:rPr>
          <w:rStyle w:val="Style13ptBold"/>
          <w:b w:val="0"/>
          <w:sz w:val="16"/>
          <w:szCs w:val="16"/>
        </w:rPr>
        <w:t xml:space="preserve">[Jean. Assistant Professor in the Department of English at the University of Vermont. “Queer Rhetoric in Situ.” </w:t>
      </w:r>
      <w:r w:rsidRPr="005527C6">
        <w:rPr>
          <w:rStyle w:val="Style13ptBold"/>
          <w:b w:val="0"/>
          <w:i/>
          <w:sz w:val="16"/>
          <w:szCs w:val="16"/>
        </w:rPr>
        <w:t xml:space="preserve">Rhetoric Review </w:t>
      </w:r>
      <w:r w:rsidRPr="005527C6">
        <w:rPr>
          <w:rStyle w:val="Style13ptBold"/>
          <w:b w:val="0"/>
          <w:sz w:val="16"/>
          <w:szCs w:val="16"/>
        </w:rPr>
        <w:t xml:space="preserve">Vol. 35 Issue 2, 2016 pg 148-164. Doi: </w:t>
      </w:r>
      <w:hyperlink r:id="rId29" w:history="1">
        <w:r w:rsidRPr="005527C6">
          <w:rPr>
            <w:rStyle w:val="Hyperlink"/>
            <w:sz w:val="16"/>
            <w:szCs w:val="16"/>
          </w:rPr>
          <w:t>http://dx.doi.org/10.1080/07350198.2016.1142851</w:t>
        </w:r>
      </w:hyperlink>
      <w:r w:rsidRPr="005527C6">
        <w:rPr>
          <w:rStyle w:val="Style13ptBold"/>
          <w:b w:val="0"/>
          <w:sz w:val="16"/>
          <w:szCs w:val="16"/>
        </w:rPr>
        <w:t>. SH]</w:t>
      </w:r>
    </w:p>
    <w:p w:rsidR="005A160F" w:rsidRDefault="005A160F" w:rsidP="005A160F">
      <w:pPr>
        <w:rPr>
          <w:rStyle w:val="Emphasis"/>
        </w:rPr>
      </w:pPr>
      <w:r w:rsidRPr="005527C6">
        <w:rPr>
          <w:sz w:val="16"/>
        </w:rPr>
        <w:t>Some of the ways in which we import “queer” into rhetorical analysis suggest a tacit acceptance of the utility of paranoia and an unawareness that we might be telling ourselves what we already know. “</w:t>
      </w:r>
      <w:r w:rsidRPr="00291783">
        <w:rPr>
          <w:rStyle w:val="StyleUnderline"/>
        </w:rPr>
        <w:t>Queer</w:t>
      </w:r>
      <w:r w:rsidRPr="005527C6">
        <w:rPr>
          <w:sz w:val="16"/>
        </w:rPr>
        <w:t xml:space="preserve">” as a descriptor for lives, desires, activisms, and orientations is eclectically polymorphous and open for continuous redefinition, as queer theorists have championed from the beginning. Nonetheless, </w:t>
      </w:r>
      <w:r w:rsidRPr="00291783">
        <w:rPr>
          <w:rStyle w:val="StyleUnderline"/>
        </w:rPr>
        <w:t>definitions do become sedimented through importing and recycling particular definitions over others</w:t>
      </w:r>
      <w:r w:rsidRPr="005527C6">
        <w:rPr>
          <w:sz w:val="16"/>
        </w:rPr>
        <w:t xml:space="preserve">. Commonly cited definitions come from Michael Warner (1993 Warner, Michael. Fear of a Queer Planet: Queer Politics and Social Theory. Minneapolis: U of Minnesota P, 1993. [Google Scholar] ), David Halperin (1997), Lisa Duggan and Nan Hunter (1995), and Tim Dean and Christopher Lane (2001), each of whom emphasize the oppositional, reactionary orientation of queerness against normativity. Warner defines </w:t>
      </w:r>
      <w:r w:rsidRPr="00291783">
        <w:rPr>
          <w:rStyle w:val="StyleUnderline"/>
        </w:rPr>
        <w:t>queer as</w:t>
      </w:r>
      <w:r w:rsidRPr="005527C6">
        <w:rPr>
          <w:sz w:val="16"/>
        </w:rPr>
        <w:t xml:space="preserve"> “resistance to regimes of the normal” (xxvii). Echoing Warner, Halperin defines it as “by definition </w:t>
      </w:r>
      <w:r w:rsidRPr="00291783">
        <w:rPr>
          <w:rStyle w:val="StyleUnderline"/>
        </w:rPr>
        <w:t>whatever is at odds with the normal, the legitimate, the dominant</w:t>
      </w:r>
      <w:r w:rsidRPr="005527C6">
        <w:rPr>
          <w:sz w:val="16"/>
        </w:rPr>
        <w:t xml:space="preserve">,” further explaining that “‘queer’ then, demarcates not a positivity but a positionality vis-à-vis the normative” (62). Likewise, Duggan writes that queer is a position “constituted by its dissent from the hegemonic, structured relations and meanings of sexuality and gender” (159), while Tim Dean and Christopher Lane write that queer theory “advocates a politics based on resistance to all norms” (7). This iterative, definitional work has </w:t>
      </w:r>
      <w:r w:rsidRPr="00291783">
        <w:rPr>
          <w:rStyle w:val="StyleUnderline"/>
        </w:rPr>
        <w:t>worked to cement “antinormative” as the accepted synonym of “queer</w:t>
      </w:r>
      <w:r w:rsidRPr="005527C6">
        <w:rPr>
          <w:sz w:val="16"/>
        </w:rPr>
        <w:t xml:space="preserve">.” As Annamarie Jagose writes in 2015, “[I]t seems that everyone knows—or no one much cares—what queer means these days” because “it almost goes without saying that queer is conventionally understood to mean ‘antinormative’” (27). We might also say that </w:t>
      </w:r>
      <w:r w:rsidRPr="00291783">
        <w:rPr>
          <w:rStyle w:val="StyleUnderline"/>
        </w:rPr>
        <w:t>it seems everyone knows—or no one much cares—what normativity means in any given situation</w:t>
      </w:r>
      <w:r w:rsidRPr="005527C6">
        <w:rPr>
          <w:sz w:val="16"/>
        </w:rPr>
        <w:t xml:space="preserve">. And yet, </w:t>
      </w:r>
      <w:r w:rsidRPr="00291783">
        <w:rPr>
          <w:rStyle w:val="StyleUnderline"/>
        </w:rPr>
        <w:t>this value of antinormativity has become the “unimpeachable criterion for determining the queerness of any political stance or strategy</w:t>
      </w:r>
      <w:r w:rsidRPr="005527C6">
        <w:rPr>
          <w:sz w:val="16"/>
        </w:rPr>
        <w:t xml:space="preserve">” (28). Several rhetorical critics have drawn on this antinormative definition of queer.22. 2As I elaborate later in this essay, Erin Rand defines </w:t>
      </w:r>
      <w:r w:rsidRPr="00291783">
        <w:rPr>
          <w:rStyle w:val="StyleUnderline"/>
        </w:rPr>
        <w:t>queerness as the risk of failure</w:t>
      </w:r>
      <w:r w:rsidRPr="005527C6">
        <w:rPr>
          <w:sz w:val="16"/>
        </w:rPr>
        <w:t xml:space="preserve"> fundamental to any rhetorical act while Alexander and Rhodes (in an earlier piece in 2011) define queer </w:t>
      </w:r>
      <w:r w:rsidRPr="00291783">
        <w:rPr>
          <w:rStyle w:val="StyleUnderline"/>
        </w:rPr>
        <w:t>as impossibility and excess</w:t>
      </w:r>
      <w:r w:rsidRPr="005527C6">
        <w:rPr>
          <w:sz w:val="16"/>
        </w:rPr>
        <w:t xml:space="preserve">. View all notes Anthony Slagle maintains that “queer criticism challenges the heteronormative assumptions of the mainstream,” and, further, that “queer rhetoric insists that there is nothing necessarily ‘normal’ about being heterosexual” (135). Karen Foss draws on Teresa de Lauretis and William Teirney to advance a queer rhetorical analysis that “seeks to uncover and decode ideological norms and practices in terms of sexual identity and politics” (89). Similarly, in a previous work, I have defined queer as “an orientation against normativity,” contending that “someone, or something, is queer when s/he or it challenges the social processes that consolidate and normalize gendered, sexual, raced, and classed identities” (Bessette 28). In line with this approach, Alexander and Rhodes also focus on queer’s antinormative thrust in their explication of queer rhetoric, which they define as the “self-conscious and critical engagement with normative discourses of sexuality in the public sphere” using “strategies that seek to broaden, even to the breaking point, what counts or passes as ‘normal.’” As Alexander and Rhodes’s definition suggests, however, the antinormative rule is </w:t>
      </w:r>
      <w:r w:rsidRPr="00291783">
        <w:rPr>
          <w:rStyle w:val="StyleUnderline"/>
        </w:rPr>
        <w:t>often accompanied by a concurrent focus on alternative possibilities</w:t>
      </w:r>
      <w:r w:rsidRPr="005527C6">
        <w:rPr>
          <w:sz w:val="16"/>
        </w:rPr>
        <w:t xml:space="preserve"> for living that exceed or diverge from normalcy, thus emphasizing both negative critique and new formations and practices. For instance, Karma Chavez defines queer as a “kind of critique” and as “non- or anti-normative genders and sexualities,” but she also emphasizes queerness as “what is possible for making lives livable,” specifically the “coalitional moments” that allow diverse queer people to come together provisionally in political action (6). Yet, by and large within queer rhetoric as with outside it, the antinormative definition holds great purchase, and </w:t>
      </w:r>
      <w:r w:rsidRPr="00291783">
        <w:rPr>
          <w:rStyle w:val="StyleUnderline"/>
        </w:rPr>
        <w:t>queer rhetoric often emerges as the discursive practice of normativity’s disruption. Even when alternative “queer world making</w:t>
      </w:r>
      <w:r w:rsidRPr="005527C6">
        <w:rPr>
          <w:sz w:val="16"/>
        </w:rPr>
        <w:t xml:space="preserve">” (Berlant and Warner) </w:t>
      </w:r>
      <w:r w:rsidRPr="00291783">
        <w:rPr>
          <w:rStyle w:val="StyleUnderline"/>
        </w:rPr>
        <w:t>is emphasized, antinormativity-as-queer is the premise</w:t>
      </w:r>
      <w:r w:rsidRPr="005527C6">
        <w:rPr>
          <w:sz w:val="16"/>
        </w:rPr>
        <w:t xml:space="preserve">: Identifying and imagining alternative possibilities for living depends upon </w:t>
      </w:r>
      <w:r w:rsidRPr="00291783">
        <w:rPr>
          <w:rStyle w:val="StyleUnderline"/>
        </w:rPr>
        <w:t>their difference from an often prefigured understanding of normativity</w:t>
      </w:r>
      <w:r w:rsidRPr="005527C6">
        <w:rPr>
          <w:sz w:val="16"/>
        </w:rPr>
        <w:t xml:space="preserve"> that precedes, exceeds, and produces the specific rhetorical context. Like Villarejo’s description, </w:t>
      </w:r>
      <w:r w:rsidRPr="00291783">
        <w:rPr>
          <w:rStyle w:val="StyleUnderline"/>
        </w:rPr>
        <w:t>normativity can emerge universal, monolithic, and ahistorical, a devious “beast” indeed</w:t>
      </w:r>
      <w:r w:rsidRPr="005527C6">
        <w:rPr>
          <w:sz w:val="16"/>
        </w:rPr>
        <w:t xml:space="preserve">. What I am moving toward here is a revisitation of normativity as a target, a frame, and an exigency. I certainly have no wish to domesticate queerness’s ever-resistant edge or to defend those protected and privileged by normativity, but I want our understanding of normativity to be more nuanced, flexible, and contextual. </w:t>
      </w:r>
      <w:r w:rsidRPr="00291783">
        <w:rPr>
          <w:rStyle w:val="StyleUnderline"/>
        </w:rPr>
        <w:t>Rhetorical critics</w:t>
      </w:r>
      <w:r w:rsidRPr="005527C6">
        <w:rPr>
          <w:sz w:val="16"/>
        </w:rPr>
        <w:t xml:space="preserve"> in particular </w:t>
      </w:r>
      <w:r w:rsidRPr="00291783">
        <w:rPr>
          <w:rStyle w:val="StyleUnderline"/>
        </w:rPr>
        <w:t>should be suspicious of any “unimpeachable criterion</w:t>
      </w:r>
      <w:r w:rsidRPr="005527C6">
        <w:rPr>
          <w:sz w:val="16"/>
        </w:rPr>
        <w:t>,” as Jagose put it—</w:t>
      </w:r>
      <w:r w:rsidRPr="00291783">
        <w:rPr>
          <w:rStyle w:val="StyleUnderline"/>
        </w:rPr>
        <w:t>any theory that might churn out similar results regardless of the specificity of local, historical, rhetorical situations</w:t>
      </w:r>
      <w:r w:rsidRPr="005527C6">
        <w:rPr>
          <w:sz w:val="16"/>
        </w:rPr>
        <w:t xml:space="preserve">. Celeste Condit reminds that attending to both the text and its context and reception is precisely the “most difficult problematic in rhetorical studies”—but also what defines our disciplinary contribution, what separates “philosophy or the history of ideas” from rhetorical analyses of the same object (330). For Condit reading texts “as they are situated in history is what constitutes rhetorical criticism as a distinct discipline in the humanities and as an academic endeavor with a unique contribution to make to human understanding” (332). </w:t>
      </w:r>
      <w:r w:rsidRPr="00291783">
        <w:rPr>
          <w:rStyle w:val="StyleUnderline"/>
        </w:rPr>
        <w:t xml:space="preserve">If we import a paranoid hermeneutic that presumes normativity is always already at insidious play, we may be unable to see </w:t>
      </w:r>
      <w:r w:rsidRPr="00291783">
        <w:rPr>
          <w:rStyle w:val="StyleUnderline"/>
        </w:rPr>
        <w:lastRenderedPageBreak/>
        <w:t>what Sedgwick might call “reparative” rhetorics</w:t>
      </w:r>
      <w:r w:rsidRPr="005527C6">
        <w:rPr>
          <w:sz w:val="16"/>
        </w:rPr>
        <w:t xml:space="preserve">. In comparison to the grim adjectives Love found in Sedgwick’s account of paranoid reading, </w:t>
      </w:r>
      <w:r w:rsidRPr="00291783">
        <w:rPr>
          <w:rStyle w:val="StyleUnderline"/>
        </w:rPr>
        <w:t>reparative reading seeks “multiplicity, surprise, rich divergence, consolation, creativity, and love</w:t>
      </w:r>
      <w:r w:rsidRPr="005527C6">
        <w:rPr>
          <w:sz w:val="16"/>
        </w:rPr>
        <w:t xml:space="preserve">” (Love 237). </w:t>
      </w:r>
      <w:r w:rsidRPr="00291783">
        <w:rPr>
          <w:rStyle w:val="StyleUnderline"/>
        </w:rPr>
        <w:t>Rather than organizing and explaining broad, big truths</w:t>
      </w:r>
      <w:r w:rsidRPr="005527C6">
        <w:rPr>
          <w:sz w:val="16"/>
        </w:rPr>
        <w:t xml:space="preserve"> (those systemic oppressions that transcend all time and place), </w:t>
      </w:r>
      <w:r w:rsidRPr="00291783">
        <w:rPr>
          <w:rStyle w:val="StyleUnderline"/>
        </w:rPr>
        <w:t>reparative reading focuses on “descriptive richness”; it lets itself be surprised and affected by the local particularities</w:t>
      </w:r>
      <w:r w:rsidRPr="005527C6">
        <w:rPr>
          <w:sz w:val="16"/>
        </w:rPr>
        <w:t xml:space="preserve">. Like Sedgwick’s reparative reading, </w:t>
      </w:r>
      <w:r w:rsidRPr="00291783">
        <w:rPr>
          <w:rStyle w:val="StyleUnderline"/>
        </w:rPr>
        <w:t>Condit encourages attention to multiple, fractured experiences of an address. Instead of “implied universal” meanings or receptions</w:t>
      </w:r>
      <w:r w:rsidRPr="005527C6">
        <w:rPr>
          <w:sz w:val="16"/>
        </w:rPr>
        <w:t xml:space="preserve">, as if any text could elicit the same response from every reader or listener, </w:t>
      </w:r>
      <w:r w:rsidRPr="00291783">
        <w:rPr>
          <w:rStyle w:val="StyleUnderline"/>
        </w:rPr>
        <w:t>she advocates instead a more nuanced, fragmented reading of the context of an address that acknowledges its range of audiences.</w:t>
      </w:r>
      <w:r>
        <w:rPr>
          <w:rStyle w:val="StyleUnderline"/>
        </w:rPr>
        <w:t xml:space="preserve"> </w:t>
      </w:r>
      <w:r w:rsidRPr="005527C6">
        <w:rPr>
          <w:sz w:val="16"/>
        </w:rPr>
        <w:t xml:space="preserve">Setting queer theory’s antinormative “queer” against Condit’s “rhetoric” reveals a potentially oxymoronic pairing. For Condit rhetorical studies’ unique contribution is our attention to “collective human meaning-making process as it occurs in history through situated discourse construction” (342). But </w:t>
      </w:r>
      <w:r w:rsidRPr="00291783">
        <w:rPr>
          <w:rStyle w:val="Emphasis"/>
        </w:rPr>
        <w:t>paranoid reading can be ahistorical</w:t>
      </w:r>
      <w:r w:rsidRPr="005527C6">
        <w:rPr>
          <w:sz w:val="16"/>
        </w:rPr>
        <w:t>. Instead of deriving rhetorical theory from close reading of texts, the situated historical context of their address, and their fragmented, unequal receptions, par</w:t>
      </w:r>
      <w:r w:rsidRPr="00291783">
        <w:rPr>
          <w:rStyle w:val="StyleUnderline"/>
        </w:rPr>
        <w:t>anoid reading can be anticipatory. It “requires that bad news be always already known.</w:t>
      </w:r>
      <w:r w:rsidRPr="005527C6">
        <w:rPr>
          <w:sz w:val="16"/>
        </w:rPr>
        <w:t xml:space="preserve"> No time could be too early for one’s having-already-known, for its having-already-been-inevitable, that something bad would happen; and no loss could be too far in the future to need to be preemptively discounted” (Sedgwick 131). In other words, </w:t>
      </w:r>
      <w:r w:rsidRPr="00291783">
        <w:rPr>
          <w:rStyle w:val="StyleUnderline"/>
        </w:rPr>
        <w:t>a paranoid critic might come to a text already knowing that it must wield or represent normative violence, or must wield or represent resistance to normative violence. The results may be either a condemnation that the text is not queer enough or a celebration of its rebellious queerness. When we cite queer theorists’ claims about normativity’s reach as a premise for our reading of a text</w:t>
      </w:r>
      <w:r w:rsidRPr="005527C6">
        <w:rPr>
          <w:sz w:val="16"/>
        </w:rPr>
        <w:t>—such as Berlant and Warner’s assertion that heteronormativity is “produced in almost every aspect of the forms and arrangements of social life”—</w:t>
      </w:r>
      <w:r w:rsidRPr="00291783">
        <w:rPr>
          <w:rStyle w:val="StyleUnderline"/>
        </w:rPr>
        <w:t>we already “know” that insidious regulations of binary gender and opposite-sex relations pervade everything, and always have and always will, and then our analysis duly confirms it.</w:t>
      </w:r>
      <w:r>
        <w:rPr>
          <w:rStyle w:val="StyleUnderline"/>
        </w:rPr>
        <w:t xml:space="preserve"> </w:t>
      </w:r>
      <w:r w:rsidRPr="005527C6">
        <w:rPr>
          <w:sz w:val="16"/>
        </w:rPr>
        <w:t xml:space="preserve">Queer rhetoricians know the value of historical specificity, of course. Alexander and Rhodes, for instance, are careful to examine queer texts as they “emerge from rhetorical and material needs of specific peoples working in particular times.” But, </w:t>
      </w:r>
      <w:r w:rsidRPr="001453E6">
        <w:rPr>
          <w:rStyle w:val="StyleUnderline"/>
        </w:rPr>
        <w:t>while texts are situated in the context of their deployment and reception, the meaning of queerness doesn’t seem to shift with time, nor does the meaning of the normativity it opposes</w:t>
      </w:r>
      <w:r w:rsidRPr="005527C6">
        <w:rPr>
          <w:sz w:val="16"/>
        </w:rPr>
        <w:t xml:space="preserve">. Immediately following their attention to specificity, the authors assert in a present-continuous tense that “one cannot be publicly queer without calling upon oneself outrage, indignation, and shame” (“Queer Rhetoric”). For Alexander and Rhodes, queer is synonymous both with antinormativity, anti-assimilationism, and with “anger, outrage, and in-your-face activism.” </w:t>
      </w:r>
      <w:r w:rsidRPr="005527C6">
        <w:rPr>
          <w:rStyle w:val="StyleUnderline"/>
        </w:rPr>
        <w:t>The queer practices may be provisional and historically and materially positioned, but their target (“straight” normativity) and their affect (outrage) are not.</w:t>
      </w:r>
      <w:r w:rsidRPr="005527C6">
        <w:rPr>
          <w:sz w:val="16"/>
        </w:rPr>
        <w:t xml:space="preserve"> Alexander and Rhodes make a claim for queer rhetoric that Sedgwick would champion as reparative analysis: “[W]hen considering queer bodies, identities, practices, and lives—when broaching the sexual and erotic as public performance within civic discourse—our rhetorical practice must consider the fullness of being, in all of its outrageous drives, desires, kins, and embodied possibilities” (“Queer Rhetoric”). Yet the fact is that </w:t>
      </w:r>
      <w:r w:rsidRPr="005527C6">
        <w:rPr>
          <w:rStyle w:val="StyleUnderline"/>
        </w:rPr>
        <w:t>some of those “outrageous” drives, desires, kins and embodiments will seem normative if the paranoid critic arrives with prefigured notions of normativity (anything that seems heterosexual and doesn’t seem angry), and then they may no longer be understood queer.</w:t>
      </w:r>
      <w:r>
        <w:rPr>
          <w:rStyle w:val="StyleUnderline"/>
        </w:rPr>
        <w:t xml:space="preserve"> </w:t>
      </w:r>
      <w:r w:rsidRPr="005527C6">
        <w:rPr>
          <w:sz w:val="16"/>
        </w:rPr>
        <w:t xml:space="preserve">Attending to queer theory’s own historical specificity may help explain how its enduring connotations of antinormativity, anti-assimilationism, and strident affect have emerged and evolved. Erin Rand explains that early definitions of queer found inspiration in the late 1980s and early 1990s activist stylings of Queer Nation, a short-lived group formed out of members of ACT-UP (AIDS Coalition to Unleash Power) who wanted to broaden their focus. Queer Nation’s manifesto, “Queers Read This,” defined queer as “rage and its politics,” and positioned “straight people” as “the enemy.” Part of Rand’s project is to situate queer theory as itself a series of rhetorical acts located in a specific historical moment. She explains: </w:t>
      </w:r>
      <w:r w:rsidRPr="005527C6">
        <w:rPr>
          <w:rStyle w:val="StyleUnderline"/>
        </w:rPr>
        <w:t>The spirit of brash critique and opposition that was so central to queer activism of the late 1980s and early 1990s also marked the temperament of early queer academic interventions, with queer theory often mirroring queer activism’s stance vis-à-vis heteronormative institutions; that is, both queer activism and queer theory were defined in terms of their resistance, opposition, and dissension.</w:t>
      </w:r>
      <w:r w:rsidRPr="005527C6">
        <w:rPr>
          <w:sz w:val="16"/>
        </w:rPr>
        <w:t xml:space="preserve"> (23) Queer theory as “brash critique and opposition” originated from and alongside queer activism as a joint response to the vicious and brutal cultural conditions that erupted in the wake of AIDS. Queer anger here was kairotic. </w:t>
      </w:r>
      <w:r w:rsidRPr="005527C6">
        <w:rPr>
          <w:rStyle w:val="StyleUnderline"/>
        </w:rPr>
        <w:t>While homophobia, ignorance about AIDS, hate crimes, and systemic heterosexism certainly persist, they may not take the same form now, or in prior historical moments, as this fraught moment in the late 80s and early 90s</w:t>
      </w:r>
      <w:r w:rsidRPr="005527C6">
        <w:rPr>
          <w:sz w:val="16"/>
        </w:rPr>
        <w:t xml:space="preserve">—again they may, but they also may not, or they may and they may not. In short, importing early queer theorists’ affect and connotations of queerness and normativity into other rhetorical moments requires some more reflection. </w:t>
      </w:r>
      <w:r w:rsidRPr="005527C6">
        <w:rPr>
          <w:rStyle w:val="StyleUnderline"/>
        </w:rPr>
        <w:t>If we don’t look more closely at historically contextualized normativity</w:t>
      </w:r>
      <w:r w:rsidRPr="005527C6">
        <w:rPr>
          <w:sz w:val="16"/>
        </w:rPr>
        <w:t>—the positive plane against which queer theory, and queer rhetoric, is negatively opposed—</w:t>
      </w:r>
      <w:r w:rsidRPr="005527C6">
        <w:rPr>
          <w:rStyle w:val="StyleUnderline"/>
        </w:rPr>
        <w:t>we risk what Sedgwick</w:t>
      </w:r>
      <w:r w:rsidRPr="005527C6">
        <w:rPr>
          <w:sz w:val="16"/>
        </w:rPr>
        <w:t xml:space="preserve">, </w:t>
      </w:r>
      <w:r w:rsidRPr="005527C6">
        <w:rPr>
          <w:sz w:val="16"/>
        </w:rPr>
        <w:lastRenderedPageBreak/>
        <w:t xml:space="preserve">drawing on Silvan Tomkins, </w:t>
      </w:r>
      <w:r w:rsidRPr="005527C6">
        <w:rPr>
          <w:rStyle w:val="StyleUnderline"/>
        </w:rPr>
        <w:t>calls a “strong theory.</w:t>
      </w:r>
      <w:r w:rsidRPr="005527C6">
        <w:rPr>
          <w:sz w:val="16"/>
        </w:rPr>
        <w:t>” A strong theory is “</w:t>
      </w:r>
      <w:r w:rsidRPr="005527C6">
        <w:rPr>
          <w:rStyle w:val="StyleUnderline"/>
        </w:rPr>
        <w:t>any theory of wide generality … capable of accounting for a wide spectrum of phenomena which appear to be very remote, one from the other, and from a common source</w:t>
      </w:r>
      <w:r w:rsidRPr="005527C6">
        <w:rPr>
          <w:sz w:val="16"/>
        </w:rPr>
        <w:t xml:space="preserve">” (Tomkins qtd. in Sedgwick 134). As outrageous and diverse as our drives, desires, kins, and embodiments are, they can emerge in relief as “shared dissent” against a homogenized mass of normativity—if read through an anticipatory paranoid lens. </w:t>
      </w:r>
      <w:r w:rsidRPr="005527C6">
        <w:rPr>
          <w:rStyle w:val="StyleUnderline"/>
        </w:rPr>
        <w:t>Queer theory can be strong because gender and sexuality do infuse everything through processes of normalization and instances of resistance, and so it can explain any phenomena in the form of either X or Y, either “that’s not queer enough” or a celebration of queer resistance</w:t>
      </w:r>
      <w:r w:rsidRPr="005527C6">
        <w:rPr>
          <w:sz w:val="16"/>
        </w:rPr>
        <w:t xml:space="preserve">. But, as I’ve argued, </w:t>
      </w:r>
      <w:r w:rsidRPr="005527C6">
        <w:rPr>
          <w:rStyle w:val="StyleUnderline"/>
        </w:rPr>
        <w:t>the problem is that (1) this is anticipatory, it can tell us what we already know</w:t>
      </w:r>
      <w:r w:rsidRPr="005527C6">
        <w:rPr>
          <w:sz w:val="16"/>
        </w:rPr>
        <w:t xml:space="preserve">––that gender and sexuality infuse and construct everything, privileging in all circumstances seemingly straight, white, able, wealthy men (and women, and gays and lesbians who attempt assimilation into heteronormative institutions like marriage, the nuclear family, and the military) </w:t>
      </w:r>
      <w:r w:rsidRPr="005527C6">
        <w:rPr>
          <w:rStyle w:val="StyleUnderline"/>
        </w:rPr>
        <w:t xml:space="preserve">and (2) this doesn’t attend to the </w:t>
      </w:r>
      <w:r w:rsidRPr="005527C6">
        <w:rPr>
          <w:rStyle w:val="Emphasis"/>
        </w:rPr>
        <w:t>diversity of ways in which a communicative act might be read</w:t>
      </w:r>
      <w:r w:rsidRPr="005527C6">
        <w:rPr>
          <w:rStyle w:val="StyleUnderline"/>
        </w:rPr>
        <w:t xml:space="preserve"> as queer and not queer across and within time and place.</w:t>
      </w:r>
      <w:r w:rsidRPr="005527C6">
        <w:rPr>
          <w:sz w:val="16"/>
        </w:rPr>
        <w:t xml:space="preserve"> </w:t>
      </w:r>
      <w:r w:rsidRPr="005527C6">
        <w:rPr>
          <w:rStyle w:val="StyleUnderline"/>
        </w:rPr>
        <w:t>Queer theory has a tendency to universalize the “normal,” and to slip between the discursive ideality of heteronormativity on the one hand and hypothetical people who sleep with the opposite sex on the other</w:t>
      </w:r>
      <w:r w:rsidRPr="005527C6">
        <w:rPr>
          <w:sz w:val="16"/>
        </w:rPr>
        <w:t>. Since much queer theory and, by extension, queer rhetoric is defined by its antinormative intervention,</w:t>
      </w:r>
      <w:r w:rsidRPr="005527C6">
        <w:rPr>
          <w:rStyle w:val="StyleUnderline"/>
        </w:rPr>
        <w:t xml:space="preserve"> it too can become universalized (as anger, as aversion to enduring relations of any kind but particularly monogamous coupledom and parenting).</w:t>
      </w:r>
      <w:r w:rsidRPr="005527C6">
        <w:rPr>
          <w:sz w:val="16"/>
        </w:rPr>
        <w:t xml:space="preserve"> Paradoxically, </w:t>
      </w:r>
      <w:r w:rsidRPr="005527C6">
        <w:rPr>
          <w:rStyle w:val="Emphasis"/>
        </w:rPr>
        <w:t>queer’s durable definition as antinormative may help reify its normalization.</w:t>
      </w:r>
    </w:p>
    <w:p w:rsidR="005A160F" w:rsidRDefault="005A160F" w:rsidP="005A160F">
      <w:pPr>
        <w:rPr>
          <w:rStyle w:val="Emphasis"/>
        </w:rPr>
      </w:pPr>
    </w:p>
    <w:p w:rsidR="005A160F" w:rsidRDefault="005A160F" w:rsidP="005A160F">
      <w:pPr>
        <w:rPr>
          <w:rStyle w:val="Emphasis"/>
        </w:rPr>
      </w:pPr>
    </w:p>
    <w:p w:rsidR="0005372F" w:rsidRDefault="0005372F" w:rsidP="006506E5">
      <w:pPr>
        <w:pStyle w:val="Heading3"/>
      </w:pPr>
      <w:bookmarkStart w:id="110" w:name="_Toc489138999"/>
      <w:r>
        <w:lastRenderedPageBreak/>
        <w:t>Turn: Pragmatism Good</w:t>
      </w:r>
      <w:bookmarkEnd w:id="110"/>
    </w:p>
    <w:p w:rsidR="0005372F" w:rsidRPr="00D10AE1" w:rsidRDefault="0005372F" w:rsidP="0005372F">
      <w:pPr>
        <w:pStyle w:val="Heading4"/>
      </w:pPr>
      <w:r>
        <w:t>Pragmatic resistance is key to work around state structures</w:t>
      </w:r>
    </w:p>
    <w:p w:rsidR="0005372F" w:rsidRPr="007E7819" w:rsidRDefault="0005372F" w:rsidP="0005372F">
      <w:r w:rsidRPr="002A7240">
        <w:rPr>
          <w:rStyle w:val="Style13ptBold"/>
        </w:rPr>
        <w:t>Lazar</w:t>
      </w:r>
      <w:r w:rsidRPr="00652763">
        <w:t xml:space="preserve"> 20</w:t>
      </w:r>
      <w:r w:rsidRPr="002A7240">
        <w:rPr>
          <w:rStyle w:val="Style13ptBold"/>
        </w:rPr>
        <w:t>17</w:t>
      </w:r>
      <w:r>
        <w:rPr>
          <w:rFonts w:ascii="Arial" w:hAnsi="Arial" w:cs="Arial"/>
          <w:color w:val="333333"/>
          <w:sz w:val="23"/>
          <w:szCs w:val="23"/>
          <w:shd w:val="clear" w:color="auto" w:fill="FFFFFF"/>
        </w:rPr>
        <w:t xml:space="preserve"> (</w:t>
      </w:r>
      <w:r>
        <w:t>Michelle M. is a linguist with specialisations in critical discourse analysis, feminist discourse studies, and multimodal discourse analysis.</w:t>
      </w:r>
      <w:r w:rsidRPr="00652763">
        <w:t xml:space="preserve"> June 2017, “Homonationalist discourse as a politics of pragmatic resistance in Singapore's Pink Dot movement: Towards a southern praxis.” Sociolinguistics, Vol. 21, pg. 420–441. </w:t>
      </w:r>
      <w:r w:rsidRPr="00CE6F2B">
        <w:t>http://onlinelibrary.wiley.com/doi/10.1111/josl.12239/full</w:t>
      </w:r>
      <w:r>
        <w:t xml:space="preserve"> -CR)</w:t>
      </w:r>
    </w:p>
    <w:p w:rsidR="0005372F" w:rsidRPr="007E7819" w:rsidRDefault="0005372F" w:rsidP="0005372F">
      <w:pPr>
        <w:rPr>
          <w:sz w:val="16"/>
        </w:rPr>
      </w:pPr>
      <w:r w:rsidRPr="00D10AE1">
        <w:rPr>
          <w:rStyle w:val="StyleUnderline"/>
        </w:rPr>
        <w:t>LGBTQ communities in Singapore</w:t>
      </w:r>
      <w:r w:rsidRPr="007E7819">
        <w:rPr>
          <w:sz w:val="16"/>
        </w:rPr>
        <w:t xml:space="preserve">, therefore, </w:t>
      </w:r>
      <w:r w:rsidRPr="00D10AE1">
        <w:rPr>
          <w:rStyle w:val="StyleUnderline"/>
        </w:rPr>
        <w:t>have circumnavigated around</w:t>
      </w:r>
      <w:r w:rsidRPr="007E7819">
        <w:rPr>
          <w:sz w:val="16"/>
        </w:rPr>
        <w:t xml:space="preserve"> the ambivalences of an </w:t>
      </w:r>
      <w:r w:rsidRPr="00D10AE1">
        <w:rPr>
          <w:rStyle w:val="StyleUnderline"/>
        </w:rPr>
        <w:t>illiberal pragmatic governance, in order to survive</w:t>
      </w:r>
      <w:r w:rsidRPr="007E7819">
        <w:rPr>
          <w:sz w:val="16"/>
        </w:rPr>
        <w:t xml:space="preserve"> and thrive. The same applies to the LGBTQ movement in Singapore, </w:t>
      </w:r>
      <w:r w:rsidRPr="00D10AE1">
        <w:rPr>
          <w:rStyle w:val="StyleUnderline"/>
        </w:rPr>
        <w:t>necessitating queer activists to negotiate</w:t>
      </w:r>
      <w:r w:rsidRPr="007E7819">
        <w:rPr>
          <w:sz w:val="16"/>
        </w:rPr>
        <w:t xml:space="preserve"> the legal </w:t>
      </w:r>
      <w:r w:rsidRPr="00D10AE1">
        <w:rPr>
          <w:rStyle w:val="StyleUnderline"/>
        </w:rPr>
        <w:t>restrictions and stigmatisation</w:t>
      </w:r>
      <w:r w:rsidRPr="007E7819">
        <w:rPr>
          <w:sz w:val="16"/>
        </w:rPr>
        <w:t xml:space="preserve"> of non-normative sexualities and gender </w:t>
      </w:r>
      <w:r w:rsidRPr="00D10AE1">
        <w:rPr>
          <w:rStyle w:val="StyleUnderline"/>
        </w:rPr>
        <w:t>through a tactical response of pragmatic resistance</w:t>
      </w:r>
      <w:r w:rsidRPr="007E7819">
        <w:rPr>
          <w:sz w:val="16"/>
        </w:rPr>
        <w:t xml:space="preserve">. Pragmatic resistance </w:t>
      </w:r>
      <w:r w:rsidRPr="00D10AE1">
        <w:rPr>
          <w:rStyle w:val="StyleUnderline"/>
        </w:rPr>
        <w:t>refers to a sustained collective strategy which seeks to advance the</w:t>
      </w:r>
      <w:r w:rsidRPr="007E7819">
        <w:rPr>
          <w:sz w:val="16"/>
        </w:rPr>
        <w:t xml:space="preserve"> LGBTQ </w:t>
      </w:r>
      <w:r w:rsidRPr="00D10AE1">
        <w:rPr>
          <w:rStyle w:val="StyleUnderline"/>
        </w:rPr>
        <w:t xml:space="preserve">movement, while ensuring that it survives </w:t>
      </w:r>
      <w:r w:rsidRPr="007E7819">
        <w:rPr>
          <w:sz w:val="16"/>
        </w:rPr>
        <w:t xml:space="preserve">the </w:t>
      </w:r>
      <w:r w:rsidRPr="00D10AE1">
        <w:rPr>
          <w:rStyle w:val="StyleUnderline"/>
        </w:rPr>
        <w:t>scrutiny and</w:t>
      </w:r>
      <w:r w:rsidRPr="007E7819">
        <w:rPr>
          <w:sz w:val="16"/>
        </w:rPr>
        <w:t xml:space="preserve"> potential </w:t>
      </w:r>
      <w:r w:rsidRPr="00D10AE1">
        <w:rPr>
          <w:rStyle w:val="StyleUnderline"/>
        </w:rPr>
        <w:t>retaliation of the government</w:t>
      </w:r>
      <w:r w:rsidRPr="007E7819">
        <w:rPr>
          <w:sz w:val="16"/>
        </w:rPr>
        <w:t xml:space="preserve"> (Chua 2014). Although </w:t>
      </w:r>
      <w:r w:rsidRPr="00D10AE1">
        <w:rPr>
          <w:rStyle w:val="StyleUnderline"/>
        </w:rPr>
        <w:t>queer activists in Singapore</w:t>
      </w:r>
      <w:r w:rsidRPr="007E7819">
        <w:rPr>
          <w:sz w:val="16"/>
        </w:rPr>
        <w:t xml:space="preserve">, like their counterparts elsewhere on the globe, want to be allowed to live full self-determined lives, their approach </w:t>
      </w:r>
      <w:r w:rsidRPr="00D10AE1">
        <w:rPr>
          <w:rStyle w:val="StyleUnderline"/>
        </w:rPr>
        <w:t>reflect</w:t>
      </w:r>
      <w:r w:rsidRPr="007E7819">
        <w:rPr>
          <w:sz w:val="16"/>
        </w:rPr>
        <w:t xml:space="preserve">s </w:t>
      </w:r>
      <w:r w:rsidRPr="00D10AE1">
        <w:rPr>
          <w:rStyle w:val="StyleUnderline"/>
        </w:rPr>
        <w:t>a highly contextual</w:t>
      </w:r>
      <w:r w:rsidRPr="007E7819">
        <w:rPr>
          <w:sz w:val="16"/>
        </w:rPr>
        <w:t xml:space="preserve"> and reflexive </w:t>
      </w:r>
      <w:r w:rsidRPr="00D10AE1">
        <w:rPr>
          <w:rStyle w:val="StyleUnderline"/>
        </w:rPr>
        <w:t xml:space="preserve">response of ‘toe[ing] the line, while </w:t>
      </w:r>
      <w:r w:rsidRPr="00D10AE1">
        <w:rPr>
          <w:rStyle w:val="Emphasis"/>
        </w:rPr>
        <w:t>pushing boundaries’</w:t>
      </w:r>
      <w:r w:rsidRPr="007E7819">
        <w:rPr>
          <w:sz w:val="16"/>
        </w:rPr>
        <w:t xml:space="preserve"> (Chua 2014: 20). </w:t>
      </w:r>
      <w:r w:rsidRPr="00D10AE1">
        <w:rPr>
          <w:rStyle w:val="StyleUnderline"/>
        </w:rPr>
        <w:t>The approach has been</w:t>
      </w:r>
      <w:r w:rsidRPr="007E7819">
        <w:rPr>
          <w:sz w:val="16"/>
        </w:rPr>
        <w:t xml:space="preserve"> highly </w:t>
      </w:r>
      <w:r w:rsidRPr="00D10AE1">
        <w:rPr>
          <w:rStyle w:val="StyleUnderline"/>
        </w:rPr>
        <w:t>adept at reading signals and shifts in the sociopolitical environment</w:t>
      </w:r>
      <w:r w:rsidRPr="007E7819">
        <w:rPr>
          <w:sz w:val="16"/>
        </w:rPr>
        <w:t xml:space="preserve"> in order </w:t>
      </w:r>
      <w:r w:rsidRPr="00D10AE1">
        <w:rPr>
          <w:rStyle w:val="StyleUnderline"/>
        </w:rPr>
        <w:t xml:space="preserve">to </w:t>
      </w:r>
      <w:r w:rsidRPr="007E7819">
        <w:rPr>
          <w:sz w:val="16"/>
        </w:rPr>
        <w:t xml:space="preserve">seize as well as </w:t>
      </w:r>
      <w:r w:rsidRPr="00D10AE1">
        <w:rPr>
          <w:rStyle w:val="StyleUnderline"/>
        </w:rPr>
        <w:t>create opportunities to progress</w:t>
      </w:r>
      <w:r w:rsidRPr="007E7819">
        <w:rPr>
          <w:sz w:val="16"/>
        </w:rPr>
        <w:t xml:space="preserve"> (pushing boundaries), </w:t>
      </w:r>
      <w:r w:rsidRPr="00D10AE1">
        <w:rPr>
          <w:rStyle w:val="StyleUnderline"/>
        </w:rPr>
        <w:t>while not jeopardising the survival of the movement</w:t>
      </w:r>
      <w:r w:rsidRPr="007E7819">
        <w:rPr>
          <w:sz w:val="16"/>
        </w:rPr>
        <w:t xml:space="preserve"> (toeing the line). Such acts as organising street protests or belligerently demanding rights could be seen to pose a threat to existing power structures, and are avoided. </w:t>
      </w:r>
      <w:r w:rsidRPr="00D10AE1">
        <w:rPr>
          <w:rStyle w:val="StyleUnderline"/>
        </w:rPr>
        <w:t>Tactics</w:t>
      </w:r>
      <w:r w:rsidRPr="007E7819">
        <w:rPr>
          <w:sz w:val="16"/>
        </w:rPr>
        <w:t xml:space="preserve">, too, </w:t>
      </w:r>
      <w:r w:rsidRPr="00D10AE1">
        <w:rPr>
          <w:rStyle w:val="StyleUnderline"/>
        </w:rPr>
        <w:t>are continuously adapted</w:t>
      </w:r>
      <w:r w:rsidRPr="007E7819">
        <w:rPr>
          <w:sz w:val="16"/>
        </w:rPr>
        <w:t xml:space="preserve">, escalated or scaled down, based on earlier lessons learnt (Chua 2014). Pink Dot SG and pragmatic resistance: Here, I outline specifically the emergence of </w:t>
      </w:r>
      <w:r w:rsidRPr="00D10AE1">
        <w:rPr>
          <w:rStyle w:val="StyleUnderline"/>
        </w:rPr>
        <w:t>the Pink Dot movement as a mode of pragmatic resistance</w:t>
      </w:r>
      <w:r w:rsidRPr="007E7819">
        <w:rPr>
          <w:sz w:val="16"/>
        </w:rPr>
        <w:t xml:space="preserve">, demonstrating its tactical manoeuvring around the illiberal pragmatism of governance. In her book, Mobilizing Gay Singapore, Lynette Chua (2014) outlines several factors which shaped the tactical direction taken with the Pink Dot initiative, as a historic moment in the LGBTQ movement of Singapore. </w:t>
      </w:r>
      <w:r w:rsidRPr="00D10AE1">
        <w:rPr>
          <w:rStyle w:val="StyleUnderline"/>
        </w:rPr>
        <w:t>One important factor was the unsuccessful outcome of a parliamentary petition</w:t>
      </w:r>
      <w:r w:rsidRPr="007E7819">
        <w:rPr>
          <w:sz w:val="16"/>
        </w:rPr>
        <w:t xml:space="preserve"> advanced by Singaporean gay activists </w:t>
      </w:r>
      <w:r w:rsidRPr="00D10AE1">
        <w:rPr>
          <w:rStyle w:val="StyleUnderline"/>
        </w:rPr>
        <w:t>to decriminalise gay sex in 2007</w:t>
      </w:r>
      <w:r w:rsidRPr="007E7819">
        <w:rPr>
          <w:sz w:val="16"/>
        </w:rPr>
        <w:t xml:space="preserve">. Under Section 377A of the penal code, sexual intimacy between gay men, even when consensual, is punishable by a two-year jail term. Expressed through the language of rights, </w:t>
      </w:r>
      <w:r w:rsidRPr="00D10AE1">
        <w:rPr>
          <w:rStyle w:val="StyleUnderline"/>
        </w:rPr>
        <w:t>the gay activists who had spearheaded the petition had no expectation that the law would be repealed, but wanted to force political attention to be paid</w:t>
      </w:r>
      <w:r w:rsidRPr="007E7819">
        <w:rPr>
          <w:sz w:val="16"/>
        </w:rPr>
        <w:t xml:space="preserve"> to it. As a result, </w:t>
      </w:r>
      <w:r w:rsidRPr="0019702B">
        <w:rPr>
          <w:rStyle w:val="StyleUnderline"/>
        </w:rPr>
        <w:t>Prime Minister</w:t>
      </w:r>
      <w:r w:rsidRPr="007E7819">
        <w:rPr>
          <w:sz w:val="16"/>
        </w:rPr>
        <w:t xml:space="preserve"> Lee Hsien Loong </w:t>
      </w:r>
      <w:r w:rsidRPr="0019702B">
        <w:rPr>
          <w:rStyle w:val="StyleUnderline"/>
        </w:rPr>
        <w:t>made an assurance that</w:t>
      </w:r>
      <w:r w:rsidRPr="007E7819">
        <w:rPr>
          <w:sz w:val="16"/>
        </w:rPr>
        <w:t xml:space="preserve"> Section 377A </w:t>
      </w:r>
      <w:r w:rsidRPr="0019702B">
        <w:rPr>
          <w:rStyle w:val="StyleUnderline"/>
        </w:rPr>
        <w:t>would not be enforced</w:t>
      </w:r>
      <w:r w:rsidRPr="007E7819">
        <w:rPr>
          <w:sz w:val="16"/>
        </w:rPr>
        <w:t xml:space="preserve"> against gays </w:t>
      </w:r>
      <w:r w:rsidRPr="0019702B">
        <w:rPr>
          <w:rStyle w:val="StyleUnderline"/>
        </w:rPr>
        <w:t>in consensual, private situations</w:t>
      </w:r>
      <w:r w:rsidRPr="007E7819">
        <w:rPr>
          <w:sz w:val="16"/>
        </w:rPr>
        <w:t xml:space="preserve">. However, </w:t>
      </w:r>
      <w:r w:rsidRPr="0019702B">
        <w:rPr>
          <w:rStyle w:val="StyleUnderline"/>
        </w:rPr>
        <w:t>the law was retained symbolically</w:t>
      </w:r>
      <w:r w:rsidRPr="007E7819">
        <w:rPr>
          <w:sz w:val="16"/>
        </w:rPr>
        <w:t xml:space="preserve">, sending a clear message that LGBTQ interests were not to be prioritised above those of the heteronormative mainstream which, it was argued, had yet to accept non-normative sexualities. The unsuccessful result of the petition confirmed local queer activists’ expectation that a Northern-style liberal rights discourse was not an effective instrument for social change in Singapore. It became clear, too, that </w:t>
      </w:r>
      <w:r w:rsidRPr="0019702B">
        <w:rPr>
          <w:rStyle w:val="StyleUnderline"/>
        </w:rPr>
        <w:t>legal restrictions a</w:t>
      </w:r>
      <w:r w:rsidRPr="007E7819">
        <w:rPr>
          <w:sz w:val="16"/>
        </w:rPr>
        <w:t xml:space="preserve">gainst gay men </w:t>
      </w:r>
      <w:r w:rsidRPr="0019702B">
        <w:rPr>
          <w:rStyle w:val="StyleUnderline"/>
        </w:rPr>
        <w:t>would not be removed unless</w:t>
      </w:r>
      <w:r w:rsidRPr="007E7819">
        <w:rPr>
          <w:sz w:val="16"/>
        </w:rPr>
        <w:t xml:space="preserve"> </w:t>
      </w:r>
      <w:r w:rsidRPr="0019702B">
        <w:rPr>
          <w:rStyle w:val="StyleUnderline"/>
        </w:rPr>
        <w:t>mainstream values shifted in favour of doing so. This meant that garnering a visible support base</w:t>
      </w:r>
      <w:r w:rsidRPr="007E7819">
        <w:rPr>
          <w:sz w:val="16"/>
        </w:rPr>
        <w:t xml:space="preserve"> of straight allies </w:t>
      </w:r>
      <w:r w:rsidRPr="0019702B">
        <w:rPr>
          <w:rStyle w:val="StyleUnderline"/>
        </w:rPr>
        <w:t>and demonstrating alignment with mainstream goals</w:t>
      </w:r>
      <w:r w:rsidRPr="007E7819">
        <w:rPr>
          <w:sz w:val="16"/>
        </w:rPr>
        <w:t xml:space="preserve"> of social cohesion and harmony were imperative. Secondly, in the wake of the petition to repeal Section 377A, </w:t>
      </w:r>
      <w:r w:rsidRPr="0019702B">
        <w:rPr>
          <w:rStyle w:val="StyleUnderline"/>
        </w:rPr>
        <w:t>there emerged a vocal countermovement</w:t>
      </w:r>
      <w:r w:rsidRPr="007E7819">
        <w:rPr>
          <w:sz w:val="16"/>
        </w:rPr>
        <w:t xml:space="preserve"> led by a conservative Christian minority group. </w:t>
      </w:r>
      <w:r w:rsidRPr="0019702B">
        <w:rPr>
          <w:rStyle w:val="StyleUnderline"/>
        </w:rPr>
        <w:t>This required the LGBTQ constituency to respond cautiously and non-confrontationall</w:t>
      </w:r>
      <w:r w:rsidRPr="007E7819">
        <w:rPr>
          <w:sz w:val="16"/>
        </w:rPr>
        <w:t xml:space="preserve">y, so as not to be seen as causing social disharmony, thus </w:t>
      </w:r>
      <w:r w:rsidRPr="0019702B">
        <w:rPr>
          <w:rStyle w:val="StyleUnderline"/>
        </w:rPr>
        <w:t>underscoring the importance of achieving a wider support base</w:t>
      </w:r>
      <w:r w:rsidRPr="007E7819">
        <w:rPr>
          <w:sz w:val="16"/>
        </w:rPr>
        <w:t xml:space="preserve">. Thirdly, </w:t>
      </w:r>
      <w:r w:rsidRPr="0019702B">
        <w:rPr>
          <w:rStyle w:val="StyleUnderline"/>
        </w:rPr>
        <w:t>a</w:t>
      </w:r>
      <w:r w:rsidRPr="007E7819">
        <w:rPr>
          <w:sz w:val="16"/>
        </w:rPr>
        <w:t xml:space="preserve">n economically-motivated </w:t>
      </w:r>
      <w:r w:rsidRPr="0019702B">
        <w:rPr>
          <w:rStyle w:val="StyleUnderline"/>
        </w:rPr>
        <w:t>trend towards social liberalisation led to</w:t>
      </w:r>
      <w:r w:rsidRPr="007E7819">
        <w:rPr>
          <w:sz w:val="16"/>
        </w:rPr>
        <w:t xml:space="preserve"> the government </w:t>
      </w:r>
      <w:r w:rsidRPr="0019702B">
        <w:rPr>
          <w:rStyle w:val="StyleUnderline"/>
        </w:rPr>
        <w:t>relaxing i</w:t>
      </w:r>
      <w:r w:rsidRPr="007E7819">
        <w:rPr>
          <w:sz w:val="16"/>
        </w:rPr>
        <w:t xml:space="preserve">ts </w:t>
      </w:r>
      <w:r w:rsidRPr="0019702B">
        <w:rPr>
          <w:rStyle w:val="StyleUnderline"/>
        </w:rPr>
        <w:t>licensing rules for public</w:t>
      </w:r>
      <w:r w:rsidRPr="007E7819">
        <w:rPr>
          <w:sz w:val="16"/>
        </w:rPr>
        <w:t xml:space="preserve"> speech and </w:t>
      </w:r>
      <w:r w:rsidRPr="0019702B">
        <w:rPr>
          <w:rStyle w:val="StyleUnderline"/>
        </w:rPr>
        <w:t>assembly</w:t>
      </w:r>
      <w:r w:rsidRPr="007E7819">
        <w:rPr>
          <w:sz w:val="16"/>
        </w:rPr>
        <w:t xml:space="preserve"> in Hong Lim Park, the site of Singapore's ‘Speaker's Corner’, in 2008. </w:t>
      </w:r>
      <w:r w:rsidRPr="0019702B">
        <w:rPr>
          <w:rStyle w:val="StyleUnderline"/>
        </w:rPr>
        <w:t>As long as organisers of events pre-registered</w:t>
      </w:r>
      <w:r w:rsidRPr="007E7819">
        <w:rPr>
          <w:sz w:val="16"/>
        </w:rPr>
        <w:t xml:space="preserve"> with the police, and did not broach politically sensitive topics on race and religion, they were no longer required to obtain a license to hold public gatherings at the site. </w:t>
      </w:r>
      <w:r w:rsidRPr="0019702B">
        <w:rPr>
          <w:rStyle w:val="StyleUnderline"/>
        </w:rPr>
        <w:t>The new exemption rule gave queer activists an opportunity for collective mobilisation</w:t>
      </w:r>
      <w:r w:rsidRPr="007E7819">
        <w:rPr>
          <w:sz w:val="16"/>
        </w:rPr>
        <w:t xml:space="preserve"> in the Park, leading to the inception of Pink Dot SG in 2009. After much deliberation among queer activists, the decision was made not to hold a Northern-style protest or gay pride parade that could be seen as politically confrontational and off-putting to the masses. Instead, </w:t>
      </w:r>
      <w:r w:rsidRPr="0019702B">
        <w:rPr>
          <w:rStyle w:val="StyleUnderline"/>
        </w:rPr>
        <w:t xml:space="preserve">the concept of organising a free-to-all </w:t>
      </w:r>
      <w:r w:rsidRPr="007E7819">
        <w:rPr>
          <w:sz w:val="16"/>
        </w:rPr>
        <w:t xml:space="preserve">carnival-like </w:t>
      </w:r>
      <w:r w:rsidRPr="0019702B">
        <w:rPr>
          <w:rStyle w:val="StyleUnderline"/>
        </w:rPr>
        <w:t>rally, aimed at</w:t>
      </w:r>
      <w:r w:rsidRPr="007E7819">
        <w:rPr>
          <w:sz w:val="16"/>
        </w:rPr>
        <w:t xml:space="preserve"> social cohesion and </w:t>
      </w:r>
      <w:r w:rsidRPr="0019702B">
        <w:rPr>
          <w:rStyle w:val="StyleUnderline"/>
        </w:rPr>
        <w:t>mobilising mass support, was birthed</w:t>
      </w:r>
      <w:r w:rsidRPr="007E7819">
        <w:rPr>
          <w:sz w:val="16"/>
        </w:rPr>
        <w:t xml:space="preserve">. Under the banner ‘Freedom to Love’, </w:t>
      </w:r>
      <w:r w:rsidRPr="0019702B">
        <w:rPr>
          <w:rStyle w:val="StyleUnderline"/>
        </w:rPr>
        <w:t xml:space="preserve">the event aimed to ‘raise awareness </w:t>
      </w:r>
      <w:r w:rsidRPr="007E7819">
        <w:rPr>
          <w:sz w:val="16"/>
        </w:rPr>
        <w:t xml:space="preserve">and foster deeper understanding of the basic human need to love and be loved, regardless of one's sexual orientation or gender identity’ (Pink Dot SG 2013). </w:t>
      </w:r>
      <w:r w:rsidRPr="0019702B">
        <w:rPr>
          <w:rStyle w:val="StyleUnderline"/>
        </w:rPr>
        <w:t>The idea was for anyone to simply show up</w:t>
      </w:r>
      <w:r w:rsidRPr="007E7819">
        <w:rPr>
          <w:sz w:val="16"/>
        </w:rPr>
        <w:t xml:space="preserve"> at a designated time in the park attired in pink, </w:t>
      </w:r>
      <w:r w:rsidRPr="0019702B">
        <w:rPr>
          <w:rStyle w:val="StyleUnderline"/>
        </w:rPr>
        <w:t>for a picnic, some entertainment and speeches</w:t>
      </w:r>
      <w:r w:rsidRPr="007E7819">
        <w:rPr>
          <w:sz w:val="16"/>
        </w:rPr>
        <w:t xml:space="preserve"> by LGBTQ ambassadors. The highlight of the event was the formation </w:t>
      </w:r>
      <w:r w:rsidRPr="007E7819">
        <w:rPr>
          <w:sz w:val="16"/>
        </w:rPr>
        <w:lastRenderedPageBreak/>
        <w:t xml:space="preserve">of a giant human Pink Dot, to be photographed aerially from a nearby hotel for a visual record of collective solidarity. At the first Pink Dot SG rally in 2009, 2,500 people – queer, and straight allies – showed up. Since 2009, Pink Dot SG has been an annual event, attracting increasingly larger crowds. </w:t>
      </w:r>
      <w:r w:rsidRPr="0019702B">
        <w:rPr>
          <w:rStyle w:val="StyleUnderline"/>
        </w:rPr>
        <w:t>In 2015, the estimated turnout was 28,000 people</w:t>
      </w:r>
      <w:r w:rsidRPr="007E7819">
        <w:rPr>
          <w:sz w:val="16"/>
        </w:rPr>
        <w:t xml:space="preserve"> (The Straits Times, 14 June 2015). In the run-up to the Pink Dot SG rallies, </w:t>
      </w:r>
      <w:r w:rsidRPr="0019702B">
        <w:rPr>
          <w:rStyle w:val="StyleUnderline"/>
        </w:rPr>
        <w:t>the organisers produce a promotional video</w:t>
      </w:r>
      <w:r w:rsidRPr="007E7819">
        <w:rPr>
          <w:sz w:val="16"/>
        </w:rPr>
        <w:t xml:space="preserve">, different each year, which they circulate widely online. In what follows, the 2014 official video will be analysed to show the emergent tactical discourse as a form of pragmatic resistance. The Discourse of Homonationalism as Pragmatic Resistance: </w:t>
      </w:r>
      <w:r w:rsidRPr="0019702B">
        <w:rPr>
          <w:rStyle w:val="StyleUnderline"/>
        </w:rPr>
        <w:t xml:space="preserve">Evident in the </w:t>
      </w:r>
      <w:r w:rsidRPr="007E7819">
        <w:rPr>
          <w:sz w:val="16"/>
        </w:rPr>
        <w:t xml:space="preserve">Pink Dot SG </w:t>
      </w:r>
      <w:r w:rsidRPr="0019702B">
        <w:rPr>
          <w:rStyle w:val="StyleUnderline"/>
        </w:rPr>
        <w:t>videos is a discourse of homonormative nationalism</w:t>
      </w:r>
      <w:r w:rsidRPr="007E7819">
        <w:rPr>
          <w:sz w:val="16"/>
        </w:rPr>
        <w:t xml:space="preserve">. The terms ‘homonormativity’ and ‘homonationalism’ were </w:t>
      </w:r>
      <w:r w:rsidRPr="0019702B">
        <w:rPr>
          <w:rStyle w:val="StyleUnderline"/>
        </w:rPr>
        <w:t>coined by Duggan</w:t>
      </w:r>
      <w:r w:rsidRPr="007E7819">
        <w:rPr>
          <w:sz w:val="16"/>
        </w:rPr>
        <w:t xml:space="preserve"> (2003) </w:t>
      </w:r>
      <w:r w:rsidRPr="0019702B">
        <w:rPr>
          <w:rStyle w:val="StyleUnderline"/>
        </w:rPr>
        <w:t xml:space="preserve">and Puar </w:t>
      </w:r>
      <w:r w:rsidRPr="007E7819">
        <w:rPr>
          <w:sz w:val="16"/>
        </w:rPr>
        <w:t xml:space="preserve">(2007), respectively, in regard to the U.S. context. I briefly outline </w:t>
      </w:r>
      <w:r w:rsidRPr="0019702B">
        <w:rPr>
          <w:rStyle w:val="StyleUnderline"/>
        </w:rPr>
        <w:t>these concepts</w:t>
      </w:r>
      <w:r w:rsidRPr="007E7819">
        <w:rPr>
          <w:sz w:val="16"/>
        </w:rPr>
        <w:t xml:space="preserve">, and then explain how they </w:t>
      </w:r>
      <w:r w:rsidRPr="0019702B">
        <w:rPr>
          <w:rStyle w:val="StyleUnderline"/>
        </w:rPr>
        <w:t>are put to work differently</w:t>
      </w:r>
      <w:r w:rsidRPr="007E7819">
        <w:rPr>
          <w:sz w:val="16"/>
        </w:rPr>
        <w:t xml:space="preserve"> in the context of Pink Dot SG. Duggan (2003: 50) defines homonormativity as: a politics that does not contest dominant heteronormative assumptions and institutions, but upholds and sustains them, while promising the possibility of a demobilized gay constituency and a privatized gay culture anchored in domesticity and consumption. </w:t>
      </w:r>
      <w:r w:rsidRPr="007E7819">
        <w:rPr>
          <w:rStyle w:val="StyleUnderline"/>
        </w:rPr>
        <w:t>According to Duggan, homonormativity</w:t>
      </w:r>
      <w:r w:rsidRPr="007E7819">
        <w:rPr>
          <w:sz w:val="16"/>
        </w:rPr>
        <w:t xml:space="preserve"> signals a new neoliberal sexual politics that </w:t>
      </w:r>
      <w:r w:rsidRPr="007E7819">
        <w:rPr>
          <w:rStyle w:val="StyleUnderline"/>
        </w:rPr>
        <w:t>is consonant with broader neoliberal ‘equality politics’</w:t>
      </w:r>
      <w:r w:rsidRPr="007E7819">
        <w:rPr>
          <w:sz w:val="16"/>
        </w:rPr>
        <w:t xml:space="preserve"> in the U.S.A. since the mid-1990s, as </w:t>
      </w:r>
      <w:r w:rsidRPr="007E7819">
        <w:rPr>
          <w:rStyle w:val="StyleUnderline"/>
        </w:rPr>
        <w:t>manifested in the rhetoric of U.S. politicians, corporations and the media</w:t>
      </w:r>
      <w:r w:rsidRPr="007E7819">
        <w:rPr>
          <w:sz w:val="16"/>
        </w:rPr>
        <w:t xml:space="preserve">. She is critical of U.S. gay civil rights groups that have adopted this neoliberal rhetoric, thus moving away from a broad-based progressive queer politics. Homonormativity, she argues, leads to a shrinking of the gay public sphere and a ‘stripped-down equality’ (Duggan 2003: xx), seen merely in terms of access to institutions of domestic privacy, the ‘free market’, and patriotism. Although </w:t>
      </w:r>
      <w:r w:rsidRPr="007E7819">
        <w:rPr>
          <w:rStyle w:val="StyleUnderline"/>
        </w:rPr>
        <w:t>homonormativity</w:t>
      </w:r>
      <w:r w:rsidRPr="007E7819">
        <w:rPr>
          <w:sz w:val="16"/>
        </w:rPr>
        <w:t xml:space="preserve"> is complicit with the reproduction of heteronormativity, and appears depoliticised, </w:t>
      </w:r>
      <w:r w:rsidRPr="007E7819">
        <w:rPr>
          <w:rStyle w:val="StyleUnderline"/>
        </w:rPr>
        <w:t>when viewed through the lens of pragmatic resistance</w:t>
      </w:r>
      <w:r w:rsidRPr="007E7819">
        <w:rPr>
          <w:sz w:val="16"/>
        </w:rPr>
        <w:t xml:space="preserve">, the case of Pink Dot SG, I suggest, </w:t>
      </w:r>
      <w:r w:rsidRPr="007E7819">
        <w:rPr>
          <w:rStyle w:val="StyleUnderline"/>
        </w:rPr>
        <w:t xml:space="preserve">can be read as </w:t>
      </w:r>
      <w:r w:rsidRPr="007E7819">
        <w:rPr>
          <w:rStyle w:val="Emphasis"/>
        </w:rPr>
        <w:t xml:space="preserve">a form of tactical politics </w:t>
      </w:r>
      <w:r w:rsidRPr="007E7819">
        <w:rPr>
          <w:rStyle w:val="StyleUnderline"/>
        </w:rPr>
        <w:t>within</w:t>
      </w:r>
      <w:r w:rsidRPr="007E7819">
        <w:rPr>
          <w:sz w:val="16"/>
        </w:rPr>
        <w:t xml:space="preserve"> illiberal </w:t>
      </w:r>
      <w:r w:rsidRPr="007E7819">
        <w:rPr>
          <w:rStyle w:val="StyleUnderline"/>
        </w:rPr>
        <w:t>state structures.</w:t>
      </w:r>
      <w:r w:rsidRPr="007E7819">
        <w:rPr>
          <w:sz w:val="16"/>
        </w:rPr>
        <w:t xml:space="preserve"> Instead of shrinking the queer public sphere, </w:t>
      </w:r>
      <w:r w:rsidRPr="007E7819">
        <w:rPr>
          <w:rStyle w:val="StyleUnderline"/>
        </w:rPr>
        <w:t>leveraging on a discourse of homonormativity</w:t>
      </w:r>
      <w:r w:rsidRPr="007E7819">
        <w:rPr>
          <w:sz w:val="16"/>
        </w:rPr>
        <w:t xml:space="preserve">, in fact, </w:t>
      </w:r>
      <w:r w:rsidRPr="007E7819">
        <w:rPr>
          <w:rStyle w:val="StyleUnderline"/>
        </w:rPr>
        <w:t xml:space="preserve">offers the Pink Dot movement an opportunity to expand, </w:t>
      </w:r>
      <w:r w:rsidRPr="007E7819">
        <w:rPr>
          <w:sz w:val="16"/>
        </w:rPr>
        <w:t>strategically,</w:t>
      </w:r>
      <w:r w:rsidRPr="007E7819">
        <w:rPr>
          <w:rStyle w:val="StyleUnderline"/>
        </w:rPr>
        <w:t xml:space="preserve"> the queer public sphere.</w:t>
      </w:r>
      <w:r w:rsidRPr="007E7819">
        <w:rPr>
          <w:sz w:val="16"/>
        </w:rPr>
        <w:t xml:space="preserve"> This applies beyond the conspicuous staging of the rally for one day, to a wider reach through its videos and other content posted on its website and other media platforms. </w:t>
      </w:r>
      <w:r w:rsidRPr="007E7819">
        <w:rPr>
          <w:rStyle w:val="StyleUnderline"/>
        </w:rPr>
        <w:t xml:space="preserve">Puar </w:t>
      </w:r>
      <w:r w:rsidRPr="007E7819">
        <w:rPr>
          <w:sz w:val="16"/>
        </w:rPr>
        <w:t xml:space="preserve">(2007, 2013) </w:t>
      </w:r>
      <w:r w:rsidRPr="007E7819">
        <w:rPr>
          <w:rStyle w:val="StyleUnderline"/>
        </w:rPr>
        <w:t>links the concept</w:t>
      </w:r>
      <w:r w:rsidRPr="007E7819">
        <w:rPr>
          <w:sz w:val="16"/>
        </w:rPr>
        <w:t xml:space="preserve"> of homonormativity explicitly </w:t>
      </w:r>
      <w:r w:rsidRPr="007E7819">
        <w:rPr>
          <w:rStyle w:val="StyleUnderline"/>
        </w:rPr>
        <w:t>to a national scale</w:t>
      </w:r>
      <w:r w:rsidRPr="007E7819">
        <w:rPr>
          <w:sz w:val="16"/>
        </w:rPr>
        <w:t xml:space="preserve">, in theorising practices of U.S. sexual exceptionalism, and terms this phenomenon ‘national homonormativity’ or ‘homonationalism’. She shows the collusion between homosexuality and nationalism in U.S. national rhetorics of patriotic inclusion against orientalist invocations of Islamic terrorists. The strategic appropriation of non-normative sexualities for U.S. nationalist agendas is explained in the following terms: For contemporary US nationalism and patriotism, the production of gay and queer bodies is crucial to the deployment of nationalism, in so far as these perverse bodies reiterate heterosexuality as the norm but also because certain domesticated homosexual bodies provide ammunition to reinforce nationalistic projects. (Puar 2007: 39) Homonationalism is viewed as an inevitable facet of modernity, and is characterised by a number of features. For example, the relationship between non-normative sexualities and the nation is seen to be convivial rather than antagonistic. Homonationalism is also primarily exclusionary in that it privileges queer white bodies, and denies homonational subjectivity to undesirable ‘others’ based on such criteria as race, ethnicity, religion and age. Furthermore, as argued by Puar, homonationalism is neither an identity nor a political position. </w:t>
      </w:r>
      <w:r w:rsidRPr="007E7819">
        <w:rPr>
          <w:rStyle w:val="StyleUnderline"/>
        </w:rPr>
        <w:t>In the case of Singapore</w:t>
      </w:r>
      <w:r w:rsidRPr="007E7819">
        <w:rPr>
          <w:sz w:val="16"/>
        </w:rPr>
        <w:t xml:space="preserve">, in so far as official discourses on the ‘global city’ appropriate non-normative sexualities and genders to create the city-state as cosmopolitan, tolerant and open (Obendorf 2012), it can be said that </w:t>
      </w:r>
      <w:r w:rsidRPr="007E7819">
        <w:rPr>
          <w:rStyle w:val="StyleUnderline"/>
        </w:rPr>
        <w:t>homonationalism</w:t>
      </w:r>
      <w:r w:rsidRPr="007E7819">
        <w:rPr>
          <w:sz w:val="16"/>
        </w:rPr>
        <w:t xml:space="preserve">, as a feature of modernity, </w:t>
      </w:r>
      <w:r w:rsidRPr="007E7819">
        <w:rPr>
          <w:rStyle w:val="StyleUnderline"/>
        </w:rPr>
        <w:t>does get enacted tacitly</w:t>
      </w:r>
      <w:r w:rsidRPr="007E7819">
        <w:rPr>
          <w:sz w:val="16"/>
        </w:rPr>
        <w:t xml:space="preserve"> and grudgingly. </w:t>
      </w:r>
      <w:r w:rsidRPr="007E7819">
        <w:rPr>
          <w:rStyle w:val="StyleUnderline"/>
        </w:rPr>
        <w:t>However</w:t>
      </w:r>
      <w:r w:rsidRPr="007E7819">
        <w:rPr>
          <w:sz w:val="16"/>
        </w:rPr>
        <w:t>, unlike Puar, my</w:t>
      </w:r>
      <w:r w:rsidRPr="007E7819">
        <w:rPr>
          <w:rStyle w:val="StyleUnderline"/>
        </w:rPr>
        <w:t xml:space="preserve"> interest</w:t>
      </w:r>
      <w:r w:rsidRPr="007E7819">
        <w:rPr>
          <w:sz w:val="16"/>
        </w:rPr>
        <w:t xml:space="preserve"> in homonationalism </w:t>
      </w:r>
      <w:r w:rsidRPr="007E7819">
        <w:rPr>
          <w:rStyle w:val="StyleUnderline"/>
        </w:rPr>
        <w:t>here is from the perspective of a queer subaltern practice, rather than from a position of institutional state power</w:t>
      </w:r>
      <w:r w:rsidRPr="007E7819">
        <w:rPr>
          <w:sz w:val="16"/>
        </w:rPr>
        <w:t xml:space="preserve">. Specifically, my uptake on the concept of homonationalism is how an LGBTQ movement yokes together homonormativity and nationalism as a political discursive strategy. Furthermore, unlike Puar's thesis that U.S. homonationalism is contingent upon the exclusion of racial and religious others, </w:t>
      </w:r>
      <w:r w:rsidRPr="007E7819">
        <w:rPr>
          <w:rStyle w:val="Emphasis"/>
        </w:rPr>
        <w:t>the performance</w:t>
      </w:r>
      <w:r w:rsidRPr="007E7819">
        <w:rPr>
          <w:rStyle w:val="StyleUnderline"/>
        </w:rPr>
        <w:t xml:space="preserve"> of homonationalism</w:t>
      </w:r>
      <w:r w:rsidRPr="007E7819">
        <w:rPr>
          <w:sz w:val="16"/>
        </w:rPr>
        <w:t xml:space="preserve"> by Pink Dot SG </w:t>
      </w:r>
      <w:r w:rsidRPr="007E7819">
        <w:rPr>
          <w:rStyle w:val="Emphasis"/>
        </w:rPr>
        <w:t>is consciously inclusive</w:t>
      </w:r>
      <w:r w:rsidRPr="007E7819">
        <w:rPr>
          <w:rStyle w:val="StyleUnderline"/>
        </w:rPr>
        <w:t xml:space="preserve"> </w:t>
      </w:r>
      <w:r w:rsidRPr="007E7819">
        <w:rPr>
          <w:sz w:val="16"/>
        </w:rPr>
        <w:t xml:space="preserve">of all Singaporeans. Homonationalism and Singapore's shared values: The homonational </w:t>
      </w:r>
      <w:r w:rsidRPr="007E7819">
        <w:rPr>
          <w:rStyle w:val="StyleUnderline"/>
        </w:rPr>
        <w:t>discourse</w:t>
      </w:r>
      <w:r w:rsidRPr="007E7819">
        <w:rPr>
          <w:sz w:val="16"/>
        </w:rPr>
        <w:t xml:space="preserve"> in Pink Dot SG </w:t>
      </w:r>
      <w:r w:rsidRPr="007E7819">
        <w:rPr>
          <w:rStyle w:val="StyleUnderline"/>
        </w:rPr>
        <w:t>resonates closely with Singapore's nationalist values</w:t>
      </w:r>
      <w:r w:rsidRPr="007E7819">
        <w:rPr>
          <w:sz w:val="16"/>
        </w:rPr>
        <w:t xml:space="preserve"> as articulated in a White Paper tabled in Parliament in 1991 and accepted the following year. Former Prime Minister Goh Chok Tong had proposed developing a national ideology, called ‘Shared Values’, which aimed to evolve and anchor a Singaporean identity, incorporating the relevant parts of our varied cultural heritages, and the attitudes and values which have helped us to survive and succeed as a nation. (Shared Values 1991: 1).</w:t>
      </w:r>
    </w:p>
    <w:p w:rsidR="0005372F" w:rsidRDefault="0005372F" w:rsidP="0005372F"/>
    <w:p w:rsidR="0005372F" w:rsidRPr="00E15F40" w:rsidRDefault="0005372F" w:rsidP="0005372F">
      <w:pPr>
        <w:pStyle w:val="Heading4"/>
      </w:pPr>
      <w:r>
        <w:t>Institutional engagement leads to politically supported movements that build communal relationships – Prefer reform to radicalization</w:t>
      </w:r>
    </w:p>
    <w:p w:rsidR="0005372F" w:rsidRPr="007E7819" w:rsidRDefault="0005372F" w:rsidP="0005372F">
      <w:r w:rsidRPr="002A7240">
        <w:rPr>
          <w:rStyle w:val="Style13ptBold"/>
        </w:rPr>
        <w:t>Lazar</w:t>
      </w:r>
      <w:r w:rsidRPr="00652763">
        <w:t xml:space="preserve"> 20</w:t>
      </w:r>
      <w:r w:rsidRPr="002A7240">
        <w:rPr>
          <w:rStyle w:val="Style13ptBold"/>
        </w:rPr>
        <w:t>17</w:t>
      </w:r>
      <w:r>
        <w:rPr>
          <w:rFonts w:ascii="Arial" w:hAnsi="Arial" w:cs="Arial"/>
          <w:color w:val="333333"/>
          <w:sz w:val="23"/>
          <w:szCs w:val="23"/>
          <w:shd w:val="clear" w:color="auto" w:fill="FFFFFF"/>
        </w:rPr>
        <w:t xml:space="preserve"> (</w:t>
      </w:r>
      <w:r>
        <w:t>Michelle M. is a linguist with specialisations in critical discourse analysis, feminist discourse studies, and multimodal discourse analysis.</w:t>
      </w:r>
      <w:r w:rsidRPr="00652763">
        <w:t xml:space="preserve"> June 2017, “Homonationalist discourse as a politics of pragmatic resistance in Singapore's Pink Dot movement: Towards a southern praxis.” Sociolinguistics, Vol. 21, pg. 420–441. </w:t>
      </w:r>
      <w:r w:rsidRPr="00CE6F2B">
        <w:t>http://onlinelibrary.wiley.com/doi/10.1111/josl.12239/full</w:t>
      </w:r>
      <w:r>
        <w:t xml:space="preserve"> -CR)</w:t>
      </w:r>
    </w:p>
    <w:p w:rsidR="0005372F" w:rsidRDefault="0005372F" w:rsidP="0005372F">
      <w:pPr>
        <w:spacing w:after="200" w:line="276" w:lineRule="auto"/>
        <w:rPr>
          <w:rFonts w:asciiTheme="minorHAnsi" w:hAnsiTheme="minorHAnsi" w:cstheme="minorBidi"/>
          <w:sz w:val="16"/>
        </w:rPr>
      </w:pPr>
      <w:r w:rsidRPr="001E69CB">
        <w:rPr>
          <w:rFonts w:asciiTheme="minorHAnsi" w:hAnsiTheme="minorHAnsi" w:cstheme="minorBidi"/>
          <w:sz w:val="16"/>
        </w:rPr>
        <w:lastRenderedPageBreak/>
        <w:t xml:space="preserve">Family as the basic unit of society: </w:t>
      </w:r>
      <w:r w:rsidRPr="001C6F9D">
        <w:rPr>
          <w:rStyle w:val="StyleUnderline"/>
        </w:rPr>
        <w:t>The second Shared Value emphasises the importance of family ties</w:t>
      </w:r>
      <w:r w:rsidRPr="001E69CB">
        <w:rPr>
          <w:rFonts w:asciiTheme="minorHAnsi" w:hAnsiTheme="minorHAnsi" w:cstheme="minorBidi"/>
          <w:sz w:val="16"/>
        </w:rPr>
        <w:t xml:space="preserve">: ‘It is the group within which human beings most naturally express their love for parents, spouse </w:t>
      </w:r>
      <w:r w:rsidRPr="001C6F9D">
        <w:rPr>
          <w:rStyle w:val="StyleUnderline"/>
        </w:rPr>
        <w:t>and</w:t>
      </w:r>
      <w:r w:rsidRPr="001E69CB">
        <w:rPr>
          <w:rFonts w:asciiTheme="minorHAnsi" w:hAnsiTheme="minorHAnsi" w:cstheme="minorBidi"/>
          <w:sz w:val="16"/>
        </w:rPr>
        <w:t xml:space="preserve"> children, and find happiness and fulfilment’ (Shared Values 1991: 3). This universalistic formulation, in fact, </w:t>
      </w:r>
      <w:r w:rsidRPr="001C6F9D">
        <w:rPr>
          <w:rStyle w:val="StyleUnderline"/>
        </w:rPr>
        <w:t>is perfectly consonant with Pink Dot's</w:t>
      </w:r>
      <w:r w:rsidRPr="001E69CB">
        <w:rPr>
          <w:rFonts w:asciiTheme="minorHAnsi" w:hAnsiTheme="minorHAnsi" w:cstheme="minorBidi"/>
          <w:sz w:val="16"/>
        </w:rPr>
        <w:t xml:space="preserve"> broadly </w:t>
      </w:r>
      <w:r w:rsidRPr="001C6F9D">
        <w:rPr>
          <w:rStyle w:val="StyleUnderline"/>
        </w:rPr>
        <w:t>construed slogan, ‘Freedom to Love’, referring not only to the love between non-normative persons but including a spectrum of other</w:t>
      </w:r>
      <w:r w:rsidRPr="001E69CB">
        <w:rPr>
          <w:rFonts w:asciiTheme="minorHAnsi" w:hAnsiTheme="minorHAnsi" w:cstheme="minorBidi"/>
          <w:sz w:val="16"/>
        </w:rPr>
        <w:t xml:space="preserve"> loving </w:t>
      </w:r>
      <w:r w:rsidRPr="001C6F9D">
        <w:rPr>
          <w:rStyle w:val="StyleUnderline"/>
        </w:rPr>
        <w:t>relationships among friends and within</w:t>
      </w:r>
      <w:r w:rsidRPr="001E69CB">
        <w:rPr>
          <w:sz w:val="16"/>
        </w:rPr>
        <w:t xml:space="preserve"> largely </w:t>
      </w:r>
      <w:r w:rsidRPr="001C6F9D">
        <w:rPr>
          <w:rStyle w:val="StyleUnderline"/>
        </w:rPr>
        <w:t>heterosexual families.</w:t>
      </w:r>
      <w:r>
        <w:rPr>
          <w:rStyle w:val="StyleUnderline"/>
        </w:rPr>
        <w:t xml:space="preserve"> </w:t>
      </w:r>
      <w:r w:rsidRPr="001E69CB">
        <w:rPr>
          <w:rFonts w:asciiTheme="minorHAnsi" w:hAnsiTheme="minorHAnsi" w:cstheme="minorBidi"/>
          <w:sz w:val="16"/>
        </w:rPr>
        <w:t xml:space="preserve">The video surfaces two ways in which the idea of the family is accorded importance. On the one hand, </w:t>
      </w:r>
      <w:r w:rsidRPr="001C6F9D">
        <w:rPr>
          <w:rStyle w:val="StyleUnderline"/>
        </w:rPr>
        <w:t xml:space="preserve">the </w:t>
      </w:r>
      <w:r w:rsidRPr="001E69CB">
        <w:rPr>
          <w:rFonts w:asciiTheme="minorHAnsi" w:hAnsiTheme="minorHAnsi" w:cstheme="minorBidi"/>
          <w:sz w:val="16"/>
        </w:rPr>
        <w:t xml:space="preserve">Pink Dot </w:t>
      </w:r>
      <w:r w:rsidRPr="001C6F9D">
        <w:rPr>
          <w:rStyle w:val="StyleUnderline"/>
        </w:rPr>
        <w:t>rally is framed as a family-centred event</w:t>
      </w:r>
      <w:r w:rsidRPr="001E69CB">
        <w:rPr>
          <w:rFonts w:asciiTheme="minorHAnsi" w:hAnsiTheme="minorHAnsi" w:cstheme="minorBidi"/>
          <w:sz w:val="16"/>
        </w:rPr>
        <w:t xml:space="preserve">, stressing familial bonds. Expressed from the perspectives of </w:t>
      </w:r>
      <w:r w:rsidRPr="001C6F9D">
        <w:rPr>
          <w:rStyle w:val="StyleUnderline"/>
        </w:rPr>
        <w:t>straight parents</w:t>
      </w:r>
      <w:r w:rsidRPr="001E69CB">
        <w:rPr>
          <w:rFonts w:asciiTheme="minorHAnsi" w:hAnsiTheme="minorHAnsi" w:cstheme="minorBidi"/>
          <w:sz w:val="16"/>
        </w:rPr>
        <w:t xml:space="preserve"> (16) as well as non-normative children (15 and 17), they </w:t>
      </w:r>
      <w:r w:rsidRPr="001C6F9D">
        <w:rPr>
          <w:rStyle w:val="StyleUnderline"/>
        </w:rPr>
        <w:t>all speak a common message of acceptance</w:t>
      </w:r>
      <w:r w:rsidRPr="001E69CB">
        <w:rPr>
          <w:rFonts w:asciiTheme="minorHAnsi" w:hAnsiTheme="minorHAnsi" w:cstheme="minorBidi"/>
          <w:sz w:val="16"/>
        </w:rPr>
        <w:t xml:space="preserve">. From the point of view of queer offspring, the desire for family approval and support is conveyed explicitly through the lexical items ‘acceptance’/ ‘to accept’. Here, </w:t>
      </w:r>
      <w:r w:rsidRPr="001C6F9D">
        <w:rPr>
          <w:rStyle w:val="StyleUnderline"/>
        </w:rPr>
        <w:t xml:space="preserve">family </w:t>
      </w:r>
      <w:r w:rsidRPr="001C6F9D">
        <w:rPr>
          <w:rStyle w:val="Emphasis"/>
        </w:rPr>
        <w:t>relationships are emphasised over</w:t>
      </w:r>
      <w:r w:rsidRPr="001C6F9D">
        <w:rPr>
          <w:rStyle w:val="StyleUnderline"/>
        </w:rPr>
        <w:t xml:space="preserve"> an autonomous </w:t>
      </w:r>
      <w:r w:rsidRPr="001C6F9D">
        <w:rPr>
          <w:rStyle w:val="Emphasis"/>
        </w:rPr>
        <w:t>individual subjectivity</w:t>
      </w:r>
      <w:r w:rsidRPr="001E69CB">
        <w:rPr>
          <w:rFonts w:asciiTheme="minorHAnsi" w:hAnsiTheme="minorHAnsi" w:cstheme="minorBidi"/>
          <w:sz w:val="16"/>
        </w:rPr>
        <w:t xml:space="preserve">. The image that accompanies (15), in fact, shows </w:t>
      </w:r>
      <w:r w:rsidRPr="001C6F9D">
        <w:rPr>
          <w:rStyle w:val="StyleUnderline"/>
        </w:rPr>
        <w:t>the speaker photographed</w:t>
      </w:r>
      <w:r w:rsidRPr="001E69CB">
        <w:rPr>
          <w:rFonts w:asciiTheme="minorHAnsi" w:hAnsiTheme="minorHAnsi" w:cstheme="minorBidi"/>
          <w:sz w:val="16"/>
        </w:rPr>
        <w:t xml:space="preserve"> in </w:t>
      </w:r>
      <w:r w:rsidRPr="001C6F9D">
        <w:rPr>
          <w:rStyle w:val="StyleUnderline"/>
        </w:rPr>
        <w:t>a part-whole ‘analytical’ relationship</w:t>
      </w:r>
      <w:r w:rsidRPr="001E69CB">
        <w:rPr>
          <w:rFonts w:asciiTheme="minorHAnsi" w:hAnsiTheme="minorHAnsi" w:cstheme="minorBidi"/>
          <w:sz w:val="16"/>
        </w:rPr>
        <w:t xml:space="preserve"> (Kress and van Leeuwen 1996) </w:t>
      </w:r>
      <w:r w:rsidRPr="001C6F9D">
        <w:rPr>
          <w:rStyle w:val="StyleUnderline"/>
        </w:rPr>
        <w:t>with his parents and sister</w:t>
      </w:r>
      <w:r w:rsidRPr="001E69CB">
        <w:rPr>
          <w:rFonts w:asciiTheme="minorHAnsi" w:hAnsiTheme="minorHAnsi" w:cstheme="minorBidi"/>
          <w:sz w:val="16"/>
        </w:rPr>
        <w:t xml:space="preserve"> at a Pink Dot rally, </w:t>
      </w:r>
      <w:r w:rsidRPr="001C6F9D">
        <w:rPr>
          <w:rStyle w:val="StyleUnderline"/>
        </w:rPr>
        <w:t>which emphasises his familial identities as a son and brother</w:t>
      </w:r>
      <w:r w:rsidRPr="001E69CB">
        <w:rPr>
          <w:rFonts w:asciiTheme="minorHAnsi" w:hAnsiTheme="minorHAnsi" w:cstheme="minorBidi"/>
          <w:sz w:val="16"/>
        </w:rPr>
        <w:t xml:space="preserve">, rather than as a gay subject. From the perspective of straight family members, acceptance is either verbalised (see 16), or implied by the act of attending Pink Dot events together as a family (14 and 15). At the same time, non-acceptance by families is also painfully portrayed. Whereas in (15) and (16), the mothers are supportive of their gay sons, the mother in (17) has yet to accept her transgender son. In all these scenarios, heteronormativity is uncontested; however, </w:t>
      </w:r>
      <w:r w:rsidRPr="001C6F9D">
        <w:rPr>
          <w:rStyle w:val="StyleUnderline"/>
        </w:rPr>
        <w:t>heteronormative family members are called upon to embrace non-normative members</w:t>
      </w:r>
      <w:r w:rsidRPr="001E69CB">
        <w:rPr>
          <w:rFonts w:asciiTheme="minorHAnsi" w:hAnsiTheme="minorHAnsi" w:cstheme="minorBidi"/>
          <w:sz w:val="16"/>
        </w:rPr>
        <w:t xml:space="preserve"> as part of being ‘family’. Pink Dot's slogan, ‘</w:t>
      </w:r>
      <w:r w:rsidRPr="001C6F9D">
        <w:rPr>
          <w:rStyle w:val="StyleUnderline"/>
        </w:rPr>
        <w:t>Freedom to Love’</w:t>
      </w:r>
      <w:r w:rsidRPr="001E69CB">
        <w:rPr>
          <w:rFonts w:asciiTheme="minorHAnsi" w:hAnsiTheme="minorHAnsi" w:cstheme="minorBidi"/>
          <w:sz w:val="16"/>
        </w:rPr>
        <w:t xml:space="preserve">, in this regard, </w:t>
      </w:r>
      <w:r w:rsidRPr="001C6F9D">
        <w:rPr>
          <w:rStyle w:val="StyleUnderline"/>
        </w:rPr>
        <w:t>is a call for</w:t>
      </w:r>
      <w:r w:rsidRPr="001E69CB">
        <w:rPr>
          <w:rFonts w:asciiTheme="minorHAnsi" w:hAnsiTheme="minorHAnsi" w:cstheme="minorBidi"/>
          <w:sz w:val="16"/>
        </w:rPr>
        <w:t xml:space="preserve"> straight parents, children, siblings, and other </w:t>
      </w:r>
      <w:r w:rsidRPr="001C6F9D">
        <w:rPr>
          <w:rStyle w:val="StyleUnderline"/>
        </w:rPr>
        <w:t>kin to accept a family structure that is sexually diverse.</w:t>
      </w:r>
      <w:r>
        <w:rPr>
          <w:rStyle w:val="StyleUnderline"/>
        </w:rPr>
        <w:t xml:space="preserve"> </w:t>
      </w:r>
      <w:r w:rsidRPr="001E69CB">
        <w:rPr>
          <w:rFonts w:asciiTheme="minorHAnsi" w:hAnsiTheme="minorHAnsi" w:cstheme="minorBidi"/>
          <w:sz w:val="16"/>
        </w:rPr>
        <w:t xml:space="preserve">On the other hand, </w:t>
      </w:r>
      <w:r w:rsidRPr="001C6F9D">
        <w:rPr>
          <w:rStyle w:val="StyleUnderline"/>
        </w:rPr>
        <w:t>the depiction of the family-oriented queer subject is pushed further</w:t>
      </w:r>
      <w:r w:rsidRPr="001E69CB">
        <w:rPr>
          <w:rFonts w:asciiTheme="minorHAnsi" w:hAnsiTheme="minorHAnsi" w:cstheme="minorBidi"/>
          <w:sz w:val="16"/>
        </w:rPr>
        <w:t xml:space="preserve"> in the video, by extending family formation to include them: In the above segment, only queer subjects are featured. (23) to (25) constitute three parts of an extended clause structure, with each subsequent part adding to the previous. The propositional content involves a narrative script of seeking love (23), establishing a stable, committed relationship (note, the formulaic expression ‘good times and in … bad times’ that resonates with traditional heterosexual wedding vows) (24), and including one's significant other in the wider kinship circle (25). Verbally, the script suggests a prerogative that is familiar to straight Singaporeans. Yet, the speakers in this case are all manifestly non-normative sexual subjects indexed, semiotically, through pink attire (23), tomboyish appearance (24), or through a male speaker's lexical reference to ‘my boyfriend’ (25). By attributing each part of the clause to a different queer speaking subject, </w:t>
      </w:r>
      <w:r w:rsidRPr="001C6F9D">
        <w:rPr>
          <w:rStyle w:val="StyleUnderline"/>
        </w:rPr>
        <w:t>family formation is implied as a universal desire shared by non-normative and normative sexual subjects alike</w:t>
      </w:r>
      <w:r w:rsidRPr="001E69CB">
        <w:rPr>
          <w:rFonts w:asciiTheme="minorHAnsi" w:hAnsiTheme="minorHAnsi" w:cstheme="minorBidi"/>
          <w:sz w:val="16"/>
        </w:rPr>
        <w:t xml:space="preserve">. In (26) to (28), same-sex couples (a lesbian couple (26) and two gay couples (27 and 28)) are featured, claiming stable, long-term relationships, ranging between six to seventeen years. Each pair is visually framed as a ‘couple’ through their close physical proximity and through mutual engagement of some sort – looking at each other (27) or depicted in a shared activity (26) and (28). The public declarations about their years together highlight the monogamous nature of their relationships, disrupting stereotypes of gay promiscuity. Such a representation counters the government's expressed fears of ‘permissive social mores’ of ‘alternative lifestyles’ which would ‘weaken the family unit’, thus recommending that ‘Singapore should not follow these untested fashions uncritically’ (Shared Values 1991: 3). The video representation not only directly challenges such a view, but normalises non-normative sexual relationships. The lesbian couple (26) is visually featured holding a toddler, without verbally calling attention to the infant in any way, thus implicitly normalising sexually diverse family structures. In sum, this segment of </w:t>
      </w:r>
      <w:r w:rsidRPr="001C6F9D">
        <w:rPr>
          <w:rStyle w:val="StyleUnderline"/>
        </w:rPr>
        <w:t>the video shows queer people presented just like straight people</w:t>
      </w:r>
      <w:r w:rsidRPr="001E69CB">
        <w:rPr>
          <w:rFonts w:asciiTheme="minorHAnsi" w:hAnsiTheme="minorHAnsi" w:cstheme="minorBidi"/>
          <w:sz w:val="16"/>
        </w:rPr>
        <w:t xml:space="preserve">, with a natural desire to love and be loved like anyone else. Community support and regard for the individual: </w:t>
      </w:r>
      <w:r w:rsidRPr="009412AE">
        <w:rPr>
          <w:rStyle w:val="StyleUnderline"/>
        </w:rPr>
        <w:t>The White Paper on Shared Values explains that</w:t>
      </w:r>
      <w:r w:rsidRPr="001E69CB">
        <w:rPr>
          <w:rFonts w:asciiTheme="minorHAnsi" w:hAnsiTheme="minorHAnsi" w:cstheme="minorBidi"/>
          <w:sz w:val="16"/>
        </w:rPr>
        <w:t xml:space="preserve"> although </w:t>
      </w:r>
      <w:r w:rsidRPr="009412AE">
        <w:rPr>
          <w:rStyle w:val="StyleUnderline"/>
        </w:rPr>
        <w:t>the government recognises that individuals have rights</w:t>
      </w:r>
      <w:r w:rsidRPr="001E69CB">
        <w:rPr>
          <w:rFonts w:asciiTheme="minorHAnsi" w:hAnsiTheme="minorHAnsi" w:cstheme="minorBidi"/>
          <w:sz w:val="16"/>
        </w:rPr>
        <w:t xml:space="preserve"> which should be respected, </w:t>
      </w:r>
      <w:r w:rsidRPr="009412AE">
        <w:rPr>
          <w:rStyle w:val="StyleUnderline"/>
        </w:rPr>
        <w:t>each society must determine the balance between the individual and the community</w:t>
      </w:r>
      <w:r w:rsidRPr="001E69CB">
        <w:rPr>
          <w:rFonts w:asciiTheme="minorHAnsi" w:hAnsiTheme="minorHAnsi" w:cstheme="minorBidi"/>
          <w:sz w:val="16"/>
        </w:rPr>
        <w:t xml:space="preserve">. Unlike Western societies which emphasise individual rights, </w:t>
      </w:r>
      <w:r w:rsidRPr="009412AE">
        <w:rPr>
          <w:rStyle w:val="StyleUnderline"/>
        </w:rPr>
        <w:t>Asian societies favour communitarianism, where individuals can rely on the care and support of one another</w:t>
      </w:r>
      <w:r w:rsidRPr="001E69CB">
        <w:rPr>
          <w:rFonts w:asciiTheme="minorHAnsi" w:hAnsiTheme="minorHAnsi" w:cstheme="minorBidi"/>
          <w:sz w:val="16"/>
        </w:rPr>
        <w:t xml:space="preserve"> as a way to strengthen social cohesion (Shared Values 1991). </w:t>
      </w:r>
      <w:r w:rsidRPr="009412AE">
        <w:rPr>
          <w:rStyle w:val="StyleUnderline"/>
        </w:rPr>
        <w:t xml:space="preserve">The theme of relying on wider group support is pronounced in the </w:t>
      </w:r>
      <w:r w:rsidRPr="001E69CB">
        <w:rPr>
          <w:rStyle w:val="StyleUnderline"/>
        </w:rPr>
        <w:t>video, which relates</w:t>
      </w:r>
      <w:r w:rsidRPr="001E69CB">
        <w:rPr>
          <w:rFonts w:asciiTheme="minorHAnsi" w:hAnsiTheme="minorHAnsi" w:cstheme="minorBidi"/>
          <w:sz w:val="16"/>
        </w:rPr>
        <w:t xml:space="preserve"> also </w:t>
      </w:r>
      <w:r w:rsidRPr="001E69CB">
        <w:rPr>
          <w:rStyle w:val="StyleUnderline"/>
        </w:rPr>
        <w:t>to the theme of consensus-building</w:t>
      </w:r>
      <w:r w:rsidRPr="001E69CB">
        <w:rPr>
          <w:rFonts w:asciiTheme="minorHAnsi" w:hAnsiTheme="minorHAnsi" w:cstheme="minorBidi"/>
          <w:sz w:val="16"/>
        </w:rPr>
        <w:t xml:space="preserve"> (discussed in the next section). On the one hand, </w:t>
      </w:r>
      <w:r w:rsidRPr="001E69CB">
        <w:rPr>
          <w:rStyle w:val="StyleUnderline"/>
        </w:rPr>
        <w:t>the value of community support is represented as LGBTQ persons finding validation</w:t>
      </w:r>
      <w:r w:rsidRPr="001E69CB">
        <w:rPr>
          <w:rFonts w:asciiTheme="minorHAnsi" w:hAnsiTheme="minorHAnsi" w:cstheme="minorBidi"/>
          <w:sz w:val="16"/>
        </w:rPr>
        <w:t xml:space="preserve"> by participating in the Pink Dot rallies over the years. In the following, four individuals (two of whom appear to be transgender) recall past rallies each has attended. Their attendance signifies their identification with the Pink Dot community; through their participation, each of them, in turn, contributes towards forming that community. On the other hand, community support is represented also from the point of view of straight allies: Here, the call for support is extended beyond the family to friends and the general public; that is, everyone. The speakers’ personal support for queer individuals or the community is symbolised by their wearing pink and by attending a Pink Dot rally (note the verb ‘to go’). One's physical presence at the rally becomes both a symbolic and an actual gesture of solidarity. These utterances also signal the importance of recruiting new participants to the rally, thus </w:t>
      </w:r>
      <w:r w:rsidRPr="001E69CB">
        <w:rPr>
          <w:rFonts w:asciiTheme="minorHAnsi" w:hAnsiTheme="minorHAnsi" w:cstheme="minorBidi"/>
          <w:sz w:val="16"/>
        </w:rPr>
        <w:lastRenderedPageBreak/>
        <w:t xml:space="preserve">growing the community support base. Regard for the individual, which forms part of the third </w:t>
      </w:r>
      <w:r w:rsidRPr="001E69CB">
        <w:rPr>
          <w:rStyle w:val="StyleUnderline"/>
        </w:rPr>
        <w:t>Shared Value</w:t>
      </w:r>
      <w:r w:rsidRPr="001E69CB">
        <w:rPr>
          <w:rFonts w:asciiTheme="minorHAnsi" w:hAnsiTheme="minorHAnsi" w:cstheme="minorBidi"/>
          <w:sz w:val="16"/>
        </w:rPr>
        <w:t xml:space="preserve">, underscores the utterances below: Queer subjects are represented as speaking up on their own terms from personal experiences of being socially excluded (18), judged (19), bullied and called names (20, 21). Similar to the liberation of women's oppression under patriarchy, it </w:t>
      </w:r>
      <w:r w:rsidRPr="001E69CB">
        <w:rPr>
          <w:rStyle w:val="StyleUnderline"/>
        </w:rPr>
        <w:t>can be seen as a process of making the ‘personal political’</w:t>
      </w:r>
      <w:r w:rsidRPr="001E69CB">
        <w:rPr>
          <w:rFonts w:asciiTheme="minorHAnsi" w:hAnsiTheme="minorHAnsi" w:cstheme="minorBidi"/>
          <w:sz w:val="16"/>
        </w:rPr>
        <w:t xml:space="preserve"> i.e., </w:t>
      </w:r>
      <w:r w:rsidRPr="001E69CB">
        <w:rPr>
          <w:rStyle w:val="StyleUnderline"/>
        </w:rPr>
        <w:t>drawing attention to the social nature of prejudice and discrimination in order to redress them.</w:t>
      </w:r>
      <w:r w:rsidRPr="001E69CB">
        <w:rPr>
          <w:rFonts w:asciiTheme="minorHAnsi" w:hAnsiTheme="minorHAnsi" w:cstheme="minorBidi"/>
          <w:sz w:val="16"/>
        </w:rPr>
        <w:t xml:space="preserve"> However, </w:t>
      </w:r>
      <w:r w:rsidRPr="001E69CB">
        <w:rPr>
          <w:rStyle w:val="StyleUnderline"/>
        </w:rPr>
        <w:t>here, it is a consciousness-raising or education of the public, and is balanced</w:t>
      </w:r>
      <w:r w:rsidRPr="001E69CB">
        <w:rPr>
          <w:rFonts w:asciiTheme="minorHAnsi" w:hAnsiTheme="minorHAnsi" w:cstheme="minorBidi"/>
          <w:sz w:val="16"/>
        </w:rPr>
        <w:t xml:space="preserve"> discursively </w:t>
      </w:r>
      <w:r w:rsidRPr="001E69CB">
        <w:rPr>
          <w:rStyle w:val="StyleUnderline"/>
        </w:rPr>
        <w:t>through</w:t>
      </w:r>
      <w:r w:rsidRPr="001E69CB">
        <w:rPr>
          <w:rFonts w:asciiTheme="minorHAnsi" w:hAnsiTheme="minorHAnsi" w:cstheme="minorBidi"/>
          <w:sz w:val="16"/>
        </w:rPr>
        <w:t xml:space="preserve"> an </w:t>
      </w:r>
      <w:r w:rsidRPr="001E69CB">
        <w:rPr>
          <w:rStyle w:val="StyleUnderline"/>
        </w:rPr>
        <w:t>assertiveness that is not confrontational. The subaltern subjects make explicit their personal standpoints</w:t>
      </w:r>
      <w:r w:rsidRPr="001E69CB">
        <w:rPr>
          <w:rFonts w:asciiTheme="minorHAnsi" w:hAnsiTheme="minorHAnsi" w:cstheme="minorBidi"/>
          <w:sz w:val="16"/>
        </w:rPr>
        <w:t xml:space="preserve"> in terms of what they want (18) and what they want stopped (19) and (20). Yet, social criticism against the straight mainstream is mitigated in a number of ways. Firstly, through passivisation and agent-deletion, the focus is deflected away from the discriminatory majority (see 18 and 21). Secondly, where agents are intact, vague and indefinite referents are chosen (‘people’ (19), ‘everyone’ (22)). Thirdly, the use of the conditional moderates the tone (see 20 and 22), which reflects poignantly the social reality of asymmetrical power relations at work where desired changes are contingent upon the collective good will of the majority. Finally, </w:t>
      </w:r>
      <w:r w:rsidRPr="001E69CB">
        <w:rPr>
          <w:rStyle w:val="StyleUnderline"/>
        </w:rPr>
        <w:t>community support and regard</w:t>
      </w:r>
      <w:r w:rsidRPr="001E69CB">
        <w:rPr>
          <w:rFonts w:asciiTheme="minorHAnsi" w:hAnsiTheme="minorHAnsi" w:cstheme="minorBidi"/>
          <w:sz w:val="16"/>
        </w:rPr>
        <w:t xml:space="preserve"> for the individual </w:t>
      </w:r>
      <w:r w:rsidRPr="001E69CB">
        <w:rPr>
          <w:rStyle w:val="StyleUnderline"/>
        </w:rPr>
        <w:t>are forged through straight allies’ advocacy of the marginalised LGBTQ community.</w:t>
      </w:r>
      <w:r>
        <w:rPr>
          <w:rStyle w:val="StyleUnderline"/>
        </w:rPr>
        <w:t xml:space="preserve"> </w:t>
      </w:r>
      <w:r w:rsidRPr="001E69CB">
        <w:rPr>
          <w:rFonts w:asciiTheme="minorHAnsi" w:hAnsiTheme="minorHAnsi" w:cstheme="minorBidi"/>
          <w:sz w:val="16"/>
        </w:rPr>
        <w:t xml:space="preserve">Interestingly, </w:t>
      </w:r>
      <w:r w:rsidRPr="001E69CB">
        <w:rPr>
          <w:rStyle w:val="StyleUnderline"/>
        </w:rPr>
        <w:t xml:space="preserve">the use of the ‘us’ and ‘them’ </w:t>
      </w:r>
      <w:r w:rsidRPr="001E69CB">
        <w:rPr>
          <w:rFonts w:asciiTheme="minorHAnsi" w:hAnsiTheme="minorHAnsi" w:cstheme="minorBidi"/>
          <w:sz w:val="16"/>
        </w:rPr>
        <w:t xml:space="preserve">pronouns </w:t>
      </w:r>
      <w:r w:rsidRPr="001E69CB">
        <w:rPr>
          <w:rStyle w:val="StyleUnderline"/>
        </w:rPr>
        <w:t>can be read as socially divisive</w:t>
      </w:r>
      <w:r w:rsidRPr="001E69CB">
        <w:rPr>
          <w:rFonts w:asciiTheme="minorHAnsi" w:hAnsiTheme="minorHAnsi" w:cstheme="minorBidi"/>
          <w:sz w:val="16"/>
        </w:rPr>
        <w:t xml:space="preserve"> from the point of view of the Shared Values. Yet, by drawing attention to the division, the </w:t>
      </w:r>
      <w:r w:rsidRPr="001E69CB">
        <w:rPr>
          <w:rStyle w:val="StyleUnderline"/>
        </w:rPr>
        <w:t>speakers from their position as the straight majority,</w:t>
      </w:r>
      <w:r w:rsidRPr="001E69CB">
        <w:rPr>
          <w:rFonts w:asciiTheme="minorHAnsi" w:hAnsiTheme="minorHAnsi" w:cstheme="minorBidi"/>
          <w:sz w:val="16"/>
        </w:rPr>
        <w:t xml:space="preserve"> collectively </w:t>
      </w:r>
      <w:r w:rsidRPr="001E69CB">
        <w:rPr>
          <w:rStyle w:val="StyleUnderline"/>
        </w:rPr>
        <w:t>confront the prevailing attitudes of the conservative mainstream</w:t>
      </w:r>
      <w:r w:rsidRPr="001E69CB">
        <w:rPr>
          <w:rFonts w:asciiTheme="minorHAnsi" w:hAnsiTheme="minorHAnsi" w:cstheme="minorBidi"/>
          <w:sz w:val="16"/>
        </w:rPr>
        <w:t xml:space="preserve"> (34), </w:t>
      </w:r>
      <w:r w:rsidRPr="001E69CB">
        <w:rPr>
          <w:rStyle w:val="StyleUnderline"/>
        </w:rPr>
        <w:t>and advocate a change of mindset</w:t>
      </w:r>
      <w:r w:rsidRPr="001E69CB">
        <w:rPr>
          <w:rFonts w:asciiTheme="minorHAnsi" w:hAnsiTheme="minorHAnsi" w:cstheme="minorBidi"/>
          <w:sz w:val="16"/>
        </w:rPr>
        <w:t xml:space="preserve"> (36).</w:t>
      </w:r>
      <w:r w:rsidRPr="001E69CB">
        <w:rPr>
          <w:rStyle w:val="StyleUnderline"/>
        </w:rPr>
        <w:t xml:space="preserve"> The</w:t>
      </w:r>
      <w:r w:rsidRPr="001E69CB">
        <w:rPr>
          <w:rFonts w:asciiTheme="minorHAnsi" w:hAnsiTheme="minorHAnsi" w:cstheme="minorBidi"/>
          <w:sz w:val="16"/>
        </w:rPr>
        <w:t xml:space="preserve"> ‘us/them’ discursive </w:t>
      </w:r>
      <w:r w:rsidRPr="001E69CB">
        <w:rPr>
          <w:rStyle w:val="StyleUnderline"/>
        </w:rPr>
        <w:t>strategy</w:t>
      </w:r>
      <w:r w:rsidRPr="001E69CB">
        <w:rPr>
          <w:rFonts w:asciiTheme="minorHAnsi" w:hAnsiTheme="minorHAnsi" w:cstheme="minorBidi"/>
          <w:sz w:val="16"/>
        </w:rPr>
        <w:t xml:space="preserve">, moreover, </w:t>
      </w:r>
      <w:r w:rsidRPr="001E69CB">
        <w:rPr>
          <w:rStyle w:val="StyleUnderline"/>
        </w:rPr>
        <w:t>clarifies the position of straight allies, in that they are not part of the subaltern but speak up in solidarity</w:t>
      </w:r>
      <w:r w:rsidRPr="001E69CB">
        <w:rPr>
          <w:rFonts w:asciiTheme="minorHAnsi" w:hAnsiTheme="minorHAnsi" w:cstheme="minorBidi"/>
          <w:sz w:val="16"/>
        </w:rPr>
        <w:t xml:space="preserve"> with them, </w:t>
      </w:r>
      <w:r w:rsidRPr="001E69CB">
        <w:rPr>
          <w:rStyle w:val="StyleUnderline"/>
        </w:rPr>
        <w:t>alongside the subalterns who are capable of speaking for themselves</w:t>
      </w:r>
      <w:r w:rsidRPr="001E69CB">
        <w:rPr>
          <w:rFonts w:asciiTheme="minorHAnsi" w:hAnsiTheme="minorHAnsi" w:cstheme="minorBidi"/>
          <w:sz w:val="16"/>
        </w:rPr>
        <w:t xml:space="preserve"> (as seen above). </w:t>
      </w:r>
      <w:r w:rsidRPr="001E69CB">
        <w:rPr>
          <w:rStyle w:val="StyleUnderline"/>
        </w:rPr>
        <w:t>Neither is the straight ‘in-group’ conservatively homogenous</w:t>
      </w:r>
      <w:r w:rsidRPr="001E69CB">
        <w:rPr>
          <w:rFonts w:asciiTheme="minorHAnsi" w:hAnsiTheme="minorHAnsi" w:cstheme="minorBidi"/>
          <w:sz w:val="16"/>
        </w:rPr>
        <w:t xml:space="preserve">. Implied in the word ‘majority’ (34) is the fact that there exists also a straight minority which is progressive. This is especially evident in (35) where self-referencing of ‘people like us, families like us’ suggests that a different (sub)group of ‘us’ belongs within the larger straight mainstream. </w:t>
      </w:r>
      <w:r w:rsidRPr="001E69CB">
        <w:rPr>
          <w:rStyle w:val="StyleUnderline"/>
        </w:rPr>
        <w:t>These</w:t>
      </w:r>
      <w:r w:rsidRPr="001E69CB">
        <w:rPr>
          <w:rFonts w:asciiTheme="minorHAnsi" w:hAnsiTheme="minorHAnsi" w:cstheme="minorBidi"/>
          <w:sz w:val="16"/>
        </w:rPr>
        <w:t xml:space="preserve"> straight </w:t>
      </w:r>
      <w:r w:rsidRPr="001E69CB">
        <w:rPr>
          <w:rStyle w:val="StyleUnderline"/>
        </w:rPr>
        <w:t xml:space="preserve">allies potentially destabilise the ‘us/them’ dichotomy, as they advocate a </w:t>
      </w:r>
      <w:r w:rsidRPr="001E69CB">
        <w:rPr>
          <w:rStyle w:val="Emphasis"/>
        </w:rPr>
        <w:t>shared humanism</w:t>
      </w:r>
      <w:r w:rsidRPr="001E69CB">
        <w:rPr>
          <w:rFonts w:asciiTheme="minorHAnsi" w:hAnsiTheme="minorHAnsi" w:cstheme="minorBidi"/>
          <w:sz w:val="16"/>
        </w:rPr>
        <w:t xml:space="preserve"> (‘they deserve to be</w:t>
      </w:r>
      <w:r>
        <w:rPr>
          <w:rFonts w:asciiTheme="minorHAnsi" w:hAnsiTheme="minorHAnsi" w:cstheme="minorBidi"/>
          <w:sz w:val="16"/>
        </w:rPr>
        <w:t xml:space="preserve"> loved just like anyone else’).</w:t>
      </w:r>
    </w:p>
    <w:p w:rsidR="0005372F" w:rsidRPr="0005372F" w:rsidRDefault="0005372F" w:rsidP="0005372F"/>
    <w:p w:rsidR="005A160F" w:rsidRDefault="005A160F" w:rsidP="005A160F">
      <w:pPr>
        <w:pStyle w:val="Heading3"/>
      </w:pPr>
      <w:bookmarkStart w:id="111" w:name="_Toc489139000"/>
      <w:r>
        <w:lastRenderedPageBreak/>
        <w:t>Turn: Reform/Queer Liberalism</w:t>
      </w:r>
      <w:bookmarkEnd w:id="111"/>
    </w:p>
    <w:p w:rsidR="005A160F" w:rsidRDefault="005A160F" w:rsidP="005A160F">
      <w:pPr>
        <w:pStyle w:val="Heading4"/>
      </w:pPr>
      <w:r>
        <w:t xml:space="preserve">Negative state actions are a step in the right direction, the decriminalization of sodomy proves. </w:t>
      </w:r>
    </w:p>
    <w:p w:rsidR="005A160F" w:rsidRDefault="005A160F" w:rsidP="005A160F">
      <w:pPr>
        <w:rPr>
          <w:sz w:val="16"/>
        </w:rPr>
      </w:pPr>
      <w:r w:rsidRPr="00B228BD">
        <w:rPr>
          <w:rStyle w:val="Style13ptBold"/>
        </w:rPr>
        <w:t>Pierceson 5</w:t>
      </w:r>
      <w:r>
        <w:rPr>
          <w:sz w:val="16"/>
        </w:rPr>
        <w:br/>
        <w:t>Jason Pierceson, Prof. of Political Science at U of Illinois Springfield, “Courts, Liberalism, and Rights Gay Law and Politics in the United States and Canada” Temple University Press P62-64</w:t>
      </w:r>
    </w:p>
    <w:p w:rsidR="005A160F" w:rsidRDefault="005A160F" w:rsidP="005A160F">
      <w:pPr>
        <w:rPr>
          <w:sz w:val="16"/>
        </w:rPr>
      </w:pPr>
    </w:p>
    <w:p w:rsidR="005A160F" w:rsidRPr="00291E6D" w:rsidRDefault="005A160F" w:rsidP="005A160F">
      <w:pPr>
        <w:rPr>
          <w:sz w:val="16"/>
        </w:rPr>
      </w:pPr>
      <w:r w:rsidRPr="00291E6D">
        <w:rPr>
          <w:sz w:val="16"/>
        </w:rPr>
        <w:t xml:space="preserve">STARTING IN THE EARLY 1990S, many state courts began to question the constitutionality of sodomy laws, generally using a libertarian defense of privacy. This has been, in large part, in response to litigation strategies of gay rights groups to eliminate sodomy laws. These events have particular relevance for this discussion: First, </w:t>
      </w:r>
      <w:r w:rsidRPr="000C6F4A">
        <w:rPr>
          <w:rStyle w:val="StyleUnderline"/>
        </w:rPr>
        <w:t>when courts have struck down sodomy laws, there has been little political backlash. But when courts are less aggressive, political battles between those who favor and oppose sodomy laws become more pronounced</w:t>
      </w:r>
      <w:r w:rsidRPr="00291E6D">
        <w:rPr>
          <w:sz w:val="16"/>
        </w:rPr>
        <w:t xml:space="preserve">. Generally, arguments favoring privacy rights win out, but they have a more difficult time gaining resonance without court intervention. Additionally, these arguments are successful not because of a concern for gay rights, specifically the need to allow sexual minorities the same right to intimacy as the majority in the name of developing the full person; rather, because opposition to sodomy laws has found success grounding itself in starkly negative terms. Fear of the state animates these claims, almost exclusively. This line of precedent illustrates the nature of liberal discourse in the United States, especially when placed beside the less than successful attempts at same-sex marriage advocacy. </w:t>
      </w:r>
      <w:r w:rsidRPr="00F2130D">
        <w:rPr>
          <w:rStyle w:val="StyleUnderline"/>
        </w:rPr>
        <w:t>This</w:t>
      </w:r>
      <w:r w:rsidRPr="00291E6D">
        <w:rPr>
          <w:sz w:val="16"/>
        </w:rPr>
        <w:t xml:space="preserve"> discussion </w:t>
      </w:r>
      <w:r w:rsidRPr="00F2130D">
        <w:rPr>
          <w:rStyle w:val="StyleUnderline"/>
        </w:rPr>
        <w:t>will also illustrate the power of legal norms and arguments as agents of political change, especially in the context of a liberal, rights-based framework</w:t>
      </w:r>
      <w:r w:rsidRPr="00291E6D">
        <w:rPr>
          <w:sz w:val="16"/>
        </w:rPr>
        <w:t>.</w:t>
      </w:r>
      <w:r>
        <w:rPr>
          <w:sz w:val="16"/>
        </w:rPr>
        <w:t xml:space="preserve"> </w:t>
      </w:r>
      <w:r w:rsidRPr="00201ADF">
        <w:rPr>
          <w:sz w:val="16"/>
          <w:szCs w:val="16"/>
        </w:rPr>
        <w:t>A HISTORY OF SODOMY LAWS</w:t>
      </w:r>
      <w:r>
        <w:t xml:space="preserve"> </w:t>
      </w:r>
      <w:r w:rsidRPr="00291E6D">
        <w:rPr>
          <w:sz w:val="16"/>
        </w:rPr>
        <w:t xml:space="preserve">Before being invalidated by the U.S. Supreme Court in Lawrence v. Texas, </w:t>
      </w:r>
      <w:r w:rsidRPr="00F2130D">
        <w:rPr>
          <w:rStyle w:val="StyleUnderline"/>
        </w:rPr>
        <w:t>sodomy laws</w:t>
      </w:r>
      <w:r w:rsidRPr="00291E6D">
        <w:rPr>
          <w:sz w:val="16"/>
        </w:rPr>
        <w:t xml:space="preserve"> were seldom enforced; however, they </w:t>
      </w:r>
      <w:r w:rsidRPr="00F2130D">
        <w:rPr>
          <w:rStyle w:val="StyleUnderline"/>
        </w:rPr>
        <w:t>strongly affected the legal and political status of sexual minorities</w:t>
      </w:r>
      <w:r w:rsidRPr="00291E6D">
        <w:rPr>
          <w:sz w:val="16"/>
        </w:rPr>
        <w:t xml:space="preserve">. They served </w:t>
      </w:r>
      <w:r w:rsidRPr="00F2130D">
        <w:rPr>
          <w:rStyle w:val="StyleUnderline"/>
        </w:rPr>
        <w:t>as a barrier to gay rights legislation</w:t>
      </w:r>
      <w:r w:rsidRPr="00291E6D">
        <w:rPr>
          <w:sz w:val="16"/>
        </w:rPr>
        <w:t xml:space="preserve">, since </w:t>
      </w:r>
      <w:r w:rsidRPr="00F2130D">
        <w:rPr>
          <w:rStyle w:val="StyleUnderline"/>
        </w:rPr>
        <w:t>opponents</w:t>
      </w:r>
      <w:r w:rsidRPr="00291E6D">
        <w:rPr>
          <w:sz w:val="16"/>
        </w:rPr>
        <w:t xml:space="preserve"> of such measures </w:t>
      </w:r>
      <w:r w:rsidRPr="00F2130D">
        <w:rPr>
          <w:rStyle w:val="StyleUnderline"/>
        </w:rPr>
        <w:t>argued</w:t>
      </w:r>
      <w:r w:rsidRPr="00291E6D">
        <w:rPr>
          <w:sz w:val="16"/>
        </w:rPr>
        <w:t xml:space="preserve"> </w:t>
      </w:r>
      <w:r w:rsidRPr="00F2130D">
        <w:rPr>
          <w:rStyle w:val="StyleUnderline"/>
        </w:rPr>
        <w:t>that it is wrong to grant civil rights protection to a group whose conduct is illegal</w:t>
      </w:r>
      <w:r w:rsidRPr="00291E6D">
        <w:rPr>
          <w:sz w:val="16"/>
        </w:rPr>
        <w:t xml:space="preserve">. </w:t>
      </w:r>
      <w:r w:rsidRPr="00F2130D">
        <w:rPr>
          <w:rStyle w:val="StyleUnderline"/>
        </w:rPr>
        <w:t>Additionally, they were often used as shields to prevent genuine discussion of gay right</w:t>
      </w:r>
      <w:r w:rsidRPr="00291E6D">
        <w:rPr>
          <w:sz w:val="16"/>
        </w:rPr>
        <w:t>s. As Richard Mohr described the situation, “</w:t>
      </w:r>
      <w:r w:rsidRPr="00F2130D">
        <w:rPr>
          <w:rStyle w:val="StyleUnderline"/>
        </w:rPr>
        <w:t>sodomy laws afford an opportunity for the citizenry to express its raw hatred of gays systematically and officially</w:t>
      </w:r>
      <w:r w:rsidRPr="00291E6D">
        <w:rPr>
          <w:sz w:val="16"/>
        </w:rPr>
        <w:t xml:space="preserve"> without even having publicly to discuss and so justify the hatred.”1 Thus, </w:t>
      </w:r>
      <w:r w:rsidRPr="004C5432">
        <w:rPr>
          <w:rStyle w:val="StyleUnderline"/>
        </w:rPr>
        <w:t>when courts struck down sodomy laws</w:t>
      </w:r>
      <w:r w:rsidRPr="00291E6D">
        <w:rPr>
          <w:sz w:val="16"/>
        </w:rPr>
        <w:t xml:space="preserve">, they were doing much more than destroying harmless or irrelevant laws; </w:t>
      </w:r>
      <w:r w:rsidRPr="004C5432">
        <w:rPr>
          <w:rStyle w:val="StyleUnderline"/>
        </w:rPr>
        <w:t>they</w:t>
      </w:r>
      <w:r w:rsidRPr="00291E6D">
        <w:rPr>
          <w:sz w:val="16"/>
        </w:rPr>
        <w:t xml:space="preserve">, for good or ill, </w:t>
      </w:r>
      <w:r w:rsidRPr="004C5432">
        <w:rPr>
          <w:rStyle w:val="StyleUnderline"/>
        </w:rPr>
        <w:t>were paving the way for further gains in the realm of gay rights</w:t>
      </w:r>
      <w:r w:rsidRPr="00291E6D">
        <w:rPr>
          <w:sz w:val="16"/>
        </w:rPr>
        <w:t xml:space="preserve">. As recently as 2003, fourteen states criminalized adult consensual sodomy through legislation.2 This is quite different from the 1950s when all fifty states had such statutes and all but two classified sodomy as a felony.3 </w:t>
      </w:r>
      <w:r w:rsidRPr="004C5432">
        <w:rPr>
          <w:rStyle w:val="StyleUnderline"/>
        </w:rPr>
        <w:t>These statues often dated to colonial times4 and were a legacy of the English crime of buggery, punishable by death, which was adopted by Parliament in 1533</w:t>
      </w:r>
      <w:r w:rsidRPr="00291E6D">
        <w:rPr>
          <w:sz w:val="16"/>
        </w:rPr>
        <w:t>. Before this legal classification, sodomy was considered an ecclesiastical offense and was dealt with</w:t>
      </w:r>
      <w:r>
        <w:rPr>
          <w:sz w:val="16"/>
        </w:rPr>
        <w:t xml:space="preserve"> </w:t>
      </w:r>
      <w:r>
        <w:t xml:space="preserve">Sodomy Laws, Courts, and Liberalism 63 </w:t>
      </w:r>
      <w:r w:rsidRPr="00291E6D">
        <w:rPr>
          <w:sz w:val="16"/>
        </w:rPr>
        <w:t xml:space="preserve">by the Church. But in his war with the Church, Henry VIII wished to use the legal classification to attack Catholic monasteries in England.5 Buggery came to be interpreted by English courts as anal sex between men or between a man and a woman. It also included sex between humans and animals.6 The English law was adopted by the colonies, and by 1830 all states had outlawed sodomy or buggery.7 Despite this long history, </w:t>
      </w:r>
      <w:r w:rsidRPr="004C5432">
        <w:rPr>
          <w:rStyle w:val="StyleUnderline"/>
        </w:rPr>
        <w:t xml:space="preserve">for most of the nineteenth century, sodomy laws were not explicitly intended to regulate homosexual behavior. Instead, they </w:t>
      </w:r>
      <w:r w:rsidRPr="004C5432">
        <w:rPr>
          <w:rStyle w:val="Emphasis"/>
        </w:rPr>
        <w:t>reinforced attitudes toward all nonprocreative sex</w:t>
      </w:r>
      <w:r w:rsidRPr="00291E6D">
        <w:rPr>
          <w:sz w:val="16"/>
        </w:rPr>
        <w:t xml:space="preserve">. Most laws did not speak about specific acts, but instead referred to “crimes against nature.”8 In general, then, </w:t>
      </w:r>
      <w:r w:rsidRPr="009A53A6">
        <w:rPr>
          <w:rStyle w:val="StyleUnderline"/>
        </w:rPr>
        <w:t>these laws represented a statement on the “naturalness” of heterosexual vaginal intercourse. Anything outside this realm was deemed to be unlawful and immoral—not just sexual activities between men</w:t>
      </w:r>
      <w:r w:rsidRPr="00291E6D">
        <w:rPr>
          <w:sz w:val="16"/>
        </w:rPr>
        <w:t>. Interestingly, these laws typically did not mention or include sex between women or oral sex of any kind. Oral sex was not considered a crime until the end of the nineteenth century, and sex between women was not illegal until the early twentieth century.9 Courts, as well as legislatures, reinforced the notion that sodomy laws preserved the “naturalness” of procreative sex. In 1915, the Montana Supreme Court unanimously held that fellatio was covered by the state’s “crime against nature” statute, arguing that every “intelligent adult person understands fully what the ordinary course of nature demands or permits for the purpose of procreation, and that any departure from this course is against nature.”10</w:t>
      </w:r>
      <w:r>
        <w:rPr>
          <w:sz w:val="16"/>
        </w:rPr>
        <w:t xml:space="preserve"> </w:t>
      </w:r>
      <w:r w:rsidRPr="009A53A6">
        <w:rPr>
          <w:rStyle w:val="StyleUnderline"/>
        </w:rPr>
        <w:t>Not until the late nineteenth century, when gay subcultures began to develop in urban areas, were gay men singled out as objects of sodomy laws</w:t>
      </w:r>
      <w:r w:rsidRPr="00291E6D">
        <w:rPr>
          <w:sz w:val="16"/>
        </w:rPr>
        <w:t>. Indeed, until the 1880s, few people were in prison as a result of sodomy laws. According toWilliam Eskridge:</w:t>
      </w:r>
      <w:r>
        <w:rPr>
          <w:sz w:val="16"/>
        </w:rPr>
        <w:t xml:space="preserve"> </w:t>
      </w:r>
      <w:r w:rsidRPr="00D245B3">
        <w:rPr>
          <w:sz w:val="16"/>
          <w:szCs w:val="16"/>
        </w:rPr>
        <w:t>Pre-1881 prosecutions overwhelmingly focused on male-female, adult-child or mananimal relations rather than same-sex intimacy. To the extent crime against nature laws were mechanisms of social control, their objects were either predatory men assaulting children, women, and animals, or were people of color and foreign-born individuals, all “alien” to middle-class WASP America.11</w:t>
      </w:r>
      <w:r>
        <w:rPr>
          <w:sz w:val="16"/>
          <w:szCs w:val="16"/>
        </w:rPr>
        <w:t xml:space="preserve"> </w:t>
      </w:r>
      <w:r w:rsidRPr="00291E6D">
        <w:rPr>
          <w:sz w:val="16"/>
        </w:rPr>
        <w:t xml:space="preserve">However, </w:t>
      </w:r>
      <w:r w:rsidRPr="009A53A6">
        <w:rPr>
          <w:rStyle w:val="StyleUnderline"/>
        </w:rPr>
        <w:t xml:space="preserve">by the late nineteenth century, as gay subcultures began to form in large </w:t>
      </w:r>
      <w:r w:rsidRPr="009A53A6">
        <w:rPr>
          <w:rStyle w:val="StyleUnderline"/>
        </w:rPr>
        <w:lastRenderedPageBreak/>
        <w:t>cities</w:t>
      </w:r>
      <w:r w:rsidRPr="00291E6D">
        <w:rPr>
          <w:sz w:val="16"/>
        </w:rPr>
        <w:t xml:space="preserve">,12 </w:t>
      </w:r>
      <w:r w:rsidRPr="009A53A6">
        <w:rPr>
          <w:rStyle w:val="StyleUnderline"/>
        </w:rPr>
        <w:t>homosexuality became more visible</w:t>
      </w:r>
      <w:r w:rsidRPr="00291E6D">
        <w:rPr>
          <w:sz w:val="16"/>
        </w:rPr>
        <w:t xml:space="preserve"> and was increasingly seen as a distinct phenomenon. </w:t>
      </w:r>
      <w:r w:rsidRPr="009A53A6">
        <w:rPr>
          <w:rStyle w:val="StyleUnderline"/>
        </w:rPr>
        <w:t>Individuals began to</w:t>
      </w:r>
      <w:r w:rsidRPr="00291E6D">
        <w:rPr>
          <w:sz w:val="16"/>
        </w:rPr>
        <w:t xml:space="preserve"> more </w:t>
      </w:r>
      <w:r w:rsidRPr="009A53A6">
        <w:rPr>
          <w:rStyle w:val="StyleUnderline"/>
        </w:rPr>
        <w:t>openly challenge traditional</w:t>
      </w:r>
      <w:r w:rsidRPr="00291E6D">
        <w:rPr>
          <w:sz w:val="16"/>
        </w:rPr>
        <w:t xml:space="preserve"> </w:t>
      </w:r>
      <w:r w:rsidRPr="009A53A6">
        <w:rPr>
          <w:rStyle w:val="StyleUnderline"/>
        </w:rPr>
        <w:t>gender</w:t>
      </w:r>
      <w:r w:rsidRPr="00291E6D">
        <w:rPr>
          <w:sz w:val="16"/>
        </w:rPr>
        <w:t xml:space="preserve"> </w:t>
      </w:r>
      <w:r w:rsidRPr="009A53A6">
        <w:rPr>
          <w:rStyle w:val="StyleUnderline"/>
        </w:rPr>
        <w:t>roles</w:t>
      </w:r>
      <w:r w:rsidRPr="00291E6D">
        <w:rPr>
          <w:sz w:val="16"/>
        </w:rPr>
        <w:t xml:space="preserve">, </w:t>
      </w:r>
      <w:r w:rsidRPr="009A53A6">
        <w:rPr>
          <w:rStyle w:val="StyleUnderline"/>
        </w:rPr>
        <w:t>and laws for cross-dressing, public indecency, and obscenity sprang up in response to this openness</w:t>
      </w:r>
      <w:r w:rsidRPr="00291E6D">
        <w:rPr>
          <w:sz w:val="16"/>
        </w:rPr>
        <w:t xml:space="preserve">.13 Additionally, sodomy laws began to incorporate oral sex. Pennsylvania was the first to do so, followed by New York, Ohio, Louisiana, Wisconsin, Iowa, Washington, Missouri, Virginia, and Minnesota—largely states with significant urban centers.14 Thus, </w:t>
      </w:r>
      <w:r w:rsidRPr="00291E6D">
        <w:rPr>
          <w:rStyle w:val="StyleUnderline"/>
        </w:rPr>
        <w:t>by the early twentieth century the regulation of homosexual conduct was well established</w:t>
      </w:r>
      <w:r w:rsidRPr="00291E6D">
        <w:rPr>
          <w:sz w:val="16"/>
        </w:rPr>
        <w:t>.</w:t>
      </w:r>
      <w:r>
        <w:rPr>
          <w:sz w:val="16"/>
        </w:rPr>
        <w:t xml:space="preserve"> </w:t>
      </w:r>
      <w:r w:rsidRPr="00D245B3">
        <w:rPr>
          <w:sz w:val="16"/>
          <w:szCs w:val="16"/>
        </w:rPr>
        <w:t>World War II further accelerated the growth of gay culture. According to John D’Emilio, the war “created something of a national coming out experience.”15 During the war, gay and lesbian service personnel connected with one another in ways that were not previously possible, especially those from rural locations. After the war, many of these lesbians and gay men settled in port cities like</w:t>
      </w:r>
      <w:r>
        <w:rPr>
          <w:sz w:val="16"/>
          <w:szCs w:val="16"/>
        </w:rPr>
        <w:t xml:space="preserve"> </w:t>
      </w:r>
      <w:r w:rsidRPr="00D245B3">
        <w:rPr>
          <w:sz w:val="16"/>
          <w:szCs w:val="16"/>
        </w:rPr>
        <w:t>64 CHAPTER 5</w:t>
      </w:r>
      <w:r>
        <w:rPr>
          <w:sz w:val="16"/>
          <w:szCs w:val="16"/>
        </w:rPr>
        <w:t xml:space="preserve"> </w:t>
      </w:r>
      <w:r w:rsidRPr="00D245B3">
        <w:rPr>
          <w:sz w:val="16"/>
          <w:szCs w:val="16"/>
        </w:rPr>
        <w:t>San Francisco and New York, which led to the rise of a group identity for sexual minorities. The Kinsey Report, with its rather stunning assertions of the prevalence of homosexuality, “gave an added push at a crucial time to the emergence of an urban gay subculture. Kinsey also provided ideological ammunition that lesbians and homosexuals might use once they began to fight for equality,” according to D’Emilio.16 It is no surprise, then, as noted above, that all but two states in the 1950s treated sodomy as a felony.</w:t>
      </w:r>
      <w:r>
        <w:rPr>
          <w:sz w:val="16"/>
          <w:szCs w:val="16"/>
        </w:rPr>
        <w:t xml:space="preserve"> </w:t>
      </w:r>
      <w:r w:rsidRPr="00291E6D">
        <w:rPr>
          <w:sz w:val="16"/>
        </w:rPr>
        <w:t xml:space="preserve">Indeed, </w:t>
      </w:r>
      <w:r w:rsidRPr="00291E6D">
        <w:rPr>
          <w:rStyle w:val="StyleUnderline"/>
        </w:rPr>
        <w:t>from the 1930s through the 1950s, there was something of a national political obsession with sexual deviants. Homosexuality was seen as a direct threat to the nation’s well-being and was also linked directly to the sexual abuse of children.</w:t>
      </w:r>
      <w:r w:rsidRPr="00291E6D">
        <w:rPr>
          <w:sz w:val="16"/>
        </w:rPr>
        <w:t xml:space="preserve"> In particular, gay men were seen as subversives and child molesters. For these reasons, according to Eskridge, “Following World War II, conventional society sought to eliminate homosexuality in the United States.”17 The force of state power was used to flush out and identify homosexuals, largely using sodomy laws as a pretext. The depth of the hysteria is reflected in the fact that </w:t>
      </w:r>
      <w:r w:rsidRPr="00291E6D">
        <w:rPr>
          <w:rStyle w:val="StyleUnderline"/>
        </w:rPr>
        <w:t>gay men were generally seen as the sole perpetrators of sex offenses against children, both male and female. A strong concern for combating sex crimes against children dovetailed with antigay hysteria and led to additional legislation</w:t>
      </w:r>
      <w:r w:rsidRPr="00291E6D">
        <w:rPr>
          <w:sz w:val="16"/>
        </w:rPr>
        <w:t xml:space="preserve">, with Congress taking the lead. During this time, the District of Columbia did not have a sodomy law, so Congress passed the Miller Act, which made sodomy a felony punishable by up to ten years in prison. The penalty was twenty years if the sodomy was committed with a minor under the age of sixteen. Twelve states followed suit.18 </w:t>
      </w:r>
      <w:r w:rsidRPr="00291E6D">
        <w:rPr>
          <w:rStyle w:val="Emphasis"/>
        </w:rPr>
        <w:t>Certainly legislation to protect children from abuse is a legitimate exercise of state power, but the fact that the use of this power was so closely linked to the repression of sexual minorities is a relevant point for this discussion</w:t>
      </w:r>
      <w:r w:rsidRPr="00291E6D">
        <w:rPr>
          <w:sz w:val="16"/>
        </w:rPr>
        <w:t>. During the middle part of the twentieth century in the United States, homosexuals, particularly gay men,were seen as severe threats to society—in fact, the main threat to children. The law was put to use in combating this threat without too much regard for the consequences. However, in the 1950s a closer look at the situation by several states began to challenge this notion,19 and there was increasing momentum among legal elites to reform sex laws. Beginning in 1961, with Illinois adopting general criminal law revisions from the Model Penal Code, many states began to repeal their laws against consensual sodomy.20 Led by HerbertWechsler, the American LawInstitute (ALI) developed the Model Penal Code as a way to clarify and unify state criminal law.21 The ALI was founded, despite criticism of its conservatism, mostly under the influence of progressive and realist principles among legal elites. The idea of bringing leading legal thinkers together to reformulate substantial areas of the law was certainly grounded in the assumption that the law was in serious need of reform.22</w:t>
      </w:r>
    </w:p>
    <w:p w:rsidR="005A160F" w:rsidRPr="00933EFE" w:rsidRDefault="005A160F" w:rsidP="005A160F"/>
    <w:p w:rsidR="006506E5" w:rsidRDefault="006506E5" w:rsidP="006506E5">
      <w:pPr>
        <w:pStyle w:val="Heading2"/>
      </w:pPr>
      <w:bookmarkStart w:id="112" w:name="_Toc489139001"/>
      <w:r>
        <w:lastRenderedPageBreak/>
        <w:t>Queer Negativity</w:t>
      </w:r>
      <w:bookmarkEnd w:id="112"/>
    </w:p>
    <w:p w:rsidR="006506E5" w:rsidRPr="00672790" w:rsidRDefault="006506E5" w:rsidP="006506E5">
      <w:pPr>
        <w:pStyle w:val="Heading3"/>
      </w:pPr>
      <w:bookmarkStart w:id="113" w:name="_Toc489139002"/>
      <w:r w:rsidRPr="00672790">
        <w:lastRenderedPageBreak/>
        <w:t>Perm</w:t>
      </w:r>
      <w:r w:rsidR="0012172B">
        <w:t>: Negativity</w:t>
      </w:r>
      <w:bookmarkEnd w:id="113"/>
    </w:p>
    <w:p w:rsidR="006506E5" w:rsidRPr="0044410A" w:rsidRDefault="006506E5" w:rsidP="006506E5">
      <w:pPr>
        <w:pStyle w:val="Heading4"/>
      </w:pPr>
      <w:r>
        <w:t xml:space="preserve">Idealizing queerness as negativity imposes normative restrictions on queer bonds and spaces—prefer the permutation’s exploration of the simultaneous queerness and normativity of acts and social forms. </w:t>
      </w:r>
    </w:p>
    <w:p w:rsidR="006506E5" w:rsidRPr="005527C6" w:rsidRDefault="006506E5" w:rsidP="006506E5">
      <w:pPr>
        <w:rPr>
          <w:rStyle w:val="Style13ptBold"/>
          <w:b w:val="0"/>
        </w:rPr>
      </w:pPr>
      <w:r>
        <w:rPr>
          <w:rStyle w:val="Style13ptBold"/>
        </w:rPr>
        <w:t xml:space="preserve">Bessette 16 </w:t>
      </w:r>
      <w:r w:rsidRPr="005527C6">
        <w:rPr>
          <w:rStyle w:val="Style13ptBold"/>
          <w:b w:val="0"/>
          <w:sz w:val="16"/>
          <w:szCs w:val="16"/>
        </w:rPr>
        <w:t xml:space="preserve">[Jean. Assistant Professor in the Department of English at the University of Vermont. “Queer Rhetoric in Situ.” </w:t>
      </w:r>
      <w:r w:rsidRPr="005527C6">
        <w:rPr>
          <w:rStyle w:val="Style13ptBold"/>
          <w:b w:val="0"/>
          <w:i/>
          <w:sz w:val="16"/>
          <w:szCs w:val="16"/>
        </w:rPr>
        <w:t xml:space="preserve">Rhetoric Review </w:t>
      </w:r>
      <w:r w:rsidRPr="005527C6">
        <w:rPr>
          <w:rStyle w:val="Style13ptBold"/>
          <w:b w:val="0"/>
          <w:sz w:val="16"/>
          <w:szCs w:val="16"/>
        </w:rPr>
        <w:t xml:space="preserve">Vol. 35 Issue 2, 2016 pg 148-164. Doi: </w:t>
      </w:r>
      <w:hyperlink r:id="rId30" w:history="1">
        <w:r w:rsidRPr="005527C6">
          <w:rPr>
            <w:rStyle w:val="Hyperlink"/>
            <w:sz w:val="16"/>
            <w:szCs w:val="16"/>
          </w:rPr>
          <w:t>http://dx.doi.org/10.1080/07350198.2016.1142851</w:t>
        </w:r>
      </w:hyperlink>
      <w:r w:rsidRPr="005527C6">
        <w:rPr>
          <w:rStyle w:val="Style13ptBold"/>
          <w:b w:val="0"/>
          <w:sz w:val="16"/>
          <w:szCs w:val="16"/>
        </w:rPr>
        <w:t>. SH]</w:t>
      </w:r>
    </w:p>
    <w:p w:rsidR="006506E5" w:rsidRPr="00BC3020" w:rsidRDefault="006506E5" w:rsidP="006506E5">
      <w:pPr>
        <w:rPr>
          <w:rStyle w:val="StyleUnderline"/>
        </w:rPr>
      </w:pPr>
      <w:r w:rsidRPr="00BC3020">
        <w:rPr>
          <w:sz w:val="14"/>
        </w:rPr>
        <w:t xml:space="preserve">Indeed, </w:t>
      </w:r>
      <w:r w:rsidRPr="0044410A">
        <w:rPr>
          <w:rStyle w:val="StyleUnderline"/>
        </w:rPr>
        <w:t>a casual perusal of much queer theory and rhetoric alike will find these forms of sex, relationships, family, and community positioned as the quintessence of normativity, the practical embodiment of norms that queer lives and practices</w:t>
      </w:r>
      <w:r w:rsidRPr="00BC3020">
        <w:rPr>
          <w:sz w:val="14"/>
        </w:rPr>
        <w:t>—already, or with political intention—</w:t>
      </w:r>
      <w:r w:rsidRPr="0044410A">
        <w:rPr>
          <w:rStyle w:val="StyleUnderline"/>
        </w:rPr>
        <w:t>subvert</w:t>
      </w:r>
      <w:r w:rsidRPr="00BC3020">
        <w:rPr>
          <w:sz w:val="14"/>
        </w:rPr>
        <w:t xml:space="preserve">. Lee </w:t>
      </w:r>
      <w:r w:rsidRPr="0044410A">
        <w:rPr>
          <w:rStyle w:val="StyleUnderline"/>
        </w:rPr>
        <w:t>Edelman’s influential polemic against “reproductive futurity,” the ideology of normativity, is illustrative of the idea that</w:t>
      </w:r>
      <w:r w:rsidRPr="00BC3020">
        <w:rPr>
          <w:sz w:val="14"/>
        </w:rPr>
        <w:t>—ideally—</w:t>
      </w:r>
      <w:r w:rsidRPr="0044410A">
        <w:rPr>
          <w:rStyle w:val="StyleUnderline"/>
        </w:rPr>
        <w:t>queerness avoids or subverts marriage, parenting, and military service in favor of antinormative, anti-identitarian, antisocial, and anti-assimilationist forms of relationality and activism</w:t>
      </w:r>
      <w:r w:rsidRPr="00BC3020">
        <w:rPr>
          <w:sz w:val="14"/>
        </w:rPr>
        <w:t>. But as Ahmed inquires, “[</w:t>
      </w:r>
      <w:r w:rsidRPr="0044410A">
        <w:rPr>
          <w:rStyle w:val="Emphasis"/>
        </w:rPr>
        <w:t>H]ow does defining a queer ideal rely on the existence of others who fail the ideal? Who can and cannot embody the queer ideal?”</w:t>
      </w:r>
      <w:r w:rsidRPr="00BC3020">
        <w:rPr>
          <w:sz w:val="14"/>
        </w:rPr>
        <w:t xml:space="preserve"> (151). Articulating dis/comfort as a metric for the welcome of certain bodies in certain spaces, </w:t>
      </w:r>
      <w:r w:rsidRPr="0044410A">
        <w:rPr>
          <w:rStyle w:val="StyleUnderline"/>
        </w:rPr>
        <w:t>Ahmed maintains that “queer” bodies are sometimes comfortable in presumed-“heterosexual spaces” and uncomfortable in presumed-“queer” spaces, and vice versa.</w:t>
      </w:r>
      <w:r w:rsidRPr="00BC3020">
        <w:rPr>
          <w:sz w:val="14"/>
        </w:rPr>
        <w:t xml:space="preserve"> A lesbian of color, Ahmed admits she sometimes feels discomfort even identifying with the descriptor “queer,” worrying that she has not been the right kind or intensity of queer, or for long enough. </w:t>
      </w:r>
      <w:r w:rsidRPr="0044410A">
        <w:rPr>
          <w:rStyle w:val="StyleUnderline"/>
        </w:rPr>
        <w:t>An anticipatory understanding of normativity</w:t>
      </w:r>
      <w:r w:rsidRPr="00BC3020">
        <w:rPr>
          <w:sz w:val="14"/>
        </w:rPr>
        <w:t xml:space="preserve">—one that a priori views couples, families, certain neighborhoods, and marriages as “not queer,” as what queer transgresses—in effect </w:t>
      </w:r>
      <w:r w:rsidRPr="0044410A">
        <w:rPr>
          <w:rStyle w:val="Emphasis"/>
        </w:rPr>
        <w:t>legislates and restricts</w:t>
      </w:r>
      <w:r w:rsidRPr="00BC3020">
        <w:rPr>
          <w:sz w:val="14"/>
        </w:rPr>
        <w:t xml:space="preserve"> </w:t>
      </w:r>
      <w:r w:rsidRPr="0044410A">
        <w:rPr>
          <w:rStyle w:val="StyleUnderline"/>
        </w:rPr>
        <w:t>what forms queer bonds should take. It sees a couple and presumes the missionary position and white picket fences before investigating the public or private facts of their lived reality, which may in fact resist the norms that structure their particular historical, social, and geographic context.</w:t>
      </w:r>
      <w:r w:rsidRPr="00BC3020">
        <w:rPr>
          <w:sz w:val="14"/>
        </w:rPr>
        <w:t xml:space="preserve"> Ahmed reminds that in some cases it is in fact a privilege to renounce enduring relations of support, even as we must acknowledge that those relations of support are denied to too many queers: “[</w:t>
      </w:r>
      <w:r w:rsidRPr="0044410A">
        <w:rPr>
          <w:rStyle w:val="StyleUnderline"/>
        </w:rPr>
        <w:t>M]aintaining an active position of transgression not only takes time but may not be psychically, socially, or materially possible for some individuals and groups given their ongoing and unfinished commitments and histories</w:t>
      </w:r>
      <w:r w:rsidRPr="00BC3020">
        <w:rPr>
          <w:sz w:val="14"/>
        </w:rPr>
        <w:t xml:space="preserve">” (153). </w:t>
      </w:r>
      <w:r w:rsidRPr="0044410A">
        <w:rPr>
          <w:rStyle w:val="StyleUnderline"/>
        </w:rPr>
        <w:t>It requires some form of financial and social capital for, say, working-class lesbian parents to survive outside of certain geographic locales and kinship networks.</w:t>
      </w:r>
      <w:r>
        <w:rPr>
          <w:rStyle w:val="StyleUnderline"/>
        </w:rPr>
        <w:t xml:space="preserve"> </w:t>
      </w:r>
      <w:r w:rsidRPr="00BC3020">
        <w:rPr>
          <w:sz w:val="14"/>
        </w:rPr>
        <w:t xml:space="preserve">In short, </w:t>
      </w:r>
      <w:r w:rsidRPr="0044410A">
        <w:rPr>
          <w:rStyle w:val="StyleUnderline"/>
        </w:rPr>
        <w:t>we must make our importations of queer theory into queer rhetoric weaker</w:t>
      </w:r>
      <w:r w:rsidRPr="00BC3020">
        <w:rPr>
          <w:sz w:val="14"/>
        </w:rPr>
        <w:t xml:space="preserve"> in Tompkins’s sense, </w:t>
      </w:r>
      <w:r w:rsidRPr="0044410A">
        <w:rPr>
          <w:rStyle w:val="StyleUnderline"/>
        </w:rPr>
        <w:t>less a strong theory “of wide generality” that groups diverse relations, desires, and bodies as queer or normative in advance of a precise examination of specific historical and cultural contexts, discomforts, and proximity to locally enforced norms.</w:t>
      </w:r>
      <w:r w:rsidRPr="00BC3020">
        <w:rPr>
          <w:sz w:val="14"/>
        </w:rPr>
        <w:t xml:space="preserve"> This means that </w:t>
      </w:r>
      <w:r w:rsidRPr="0044410A">
        <w:rPr>
          <w:rStyle w:val="StyleUnderline"/>
        </w:rPr>
        <w:t>queer still connotes antinormativity</w:t>
      </w:r>
      <w:r w:rsidRPr="00BC3020">
        <w:rPr>
          <w:sz w:val="14"/>
        </w:rPr>
        <w:t xml:space="preserve"> </w:t>
      </w:r>
      <w:r w:rsidRPr="0044410A">
        <w:rPr>
          <w:rStyle w:val="StyleUnderline"/>
        </w:rPr>
        <w:t>but</w:t>
      </w:r>
      <w:r w:rsidRPr="00BC3020">
        <w:rPr>
          <w:sz w:val="14"/>
        </w:rPr>
        <w:t xml:space="preserve"> that </w:t>
      </w:r>
      <w:r w:rsidRPr="0044410A">
        <w:rPr>
          <w:rStyle w:val="StyleUnderline"/>
        </w:rPr>
        <w:t>we do not anticipate in advance what shape norms take or what kinds of relations and practices they produce and constrain</w:t>
      </w:r>
      <w:r w:rsidRPr="00BC3020">
        <w:rPr>
          <w:sz w:val="14"/>
        </w:rPr>
        <w:t xml:space="preserve">. Ahmed’s hypothetical working-class lesbian parents, who live among straight families for proximity to schools, caretakers, and work, may appear “homonormative” in some anticipatory critical frames, but they are not normative to everyone: [T]he couple is likely not perceived as normative by their straight neighbors or their children’s teachers; they may very well feel queer—Ahmed’s “discomfort”—when they walk down the street of their neighborhood hand in hand with each other and their child as they deflect slurs from a passing car. </w:t>
      </w:r>
      <w:r w:rsidRPr="0044410A">
        <w:rPr>
          <w:rStyle w:val="Emphasis"/>
        </w:rPr>
        <w:t>A single act can be both queer and normative because its effects vary with its reception</w:t>
      </w:r>
      <w:r w:rsidRPr="0044410A">
        <w:rPr>
          <w:rStyle w:val="StyleUnderline"/>
        </w:rPr>
        <w:t>. We need to pay attention to the interface between queerness and normativity precisely because queer has become synonymous with antinormativity; it’s not enough to simply assert that something is queer because it is different from a prefigured notion of universal normalcy.</w:t>
      </w:r>
      <w:r>
        <w:rPr>
          <w:rStyle w:val="StyleUnderline"/>
        </w:rPr>
        <w:t xml:space="preserve"> </w:t>
      </w:r>
      <w:r w:rsidRPr="00BC3020">
        <w:rPr>
          <w:sz w:val="14"/>
        </w:rPr>
        <w:t xml:space="preserve">Toward a Queer Rhetoric of Fractured Reception </w:t>
      </w:r>
      <w:r w:rsidRPr="00BC3020">
        <w:rPr>
          <w:rStyle w:val="StyleUnderline"/>
        </w:rPr>
        <w:t>When queerness and normativity are viewed as nuanced valences that shift with changes in social and historical context, a second feature that is endemic to rhetorical study comes into</w:t>
      </w:r>
      <w:r w:rsidRPr="00BC3020">
        <w:rPr>
          <w:sz w:val="14"/>
        </w:rPr>
        <w:t xml:space="preserve"> view. While definitions have evolved over its history, rhetoric has long been understood to “adjust people to ideas … and ideas to people” (Bryant), to push and pull at rhetors and readers (Miller), to induce cooperation at the cost of division (Burke), to persuade, artfully (Aristotle). As Lloyd Bitzer influentially proclaimed, rhetoric functions ultimately to produce action or change in the world; it performs some task. In short, rhetoric is a mode of altering reality, not by the direct application of energy to objects but by the creation of discourse which changes reality through the mediation of thought and action. (3–4) These definitions have become so familiar they scarcely require reiteration. When we study rhetoric, </w:t>
      </w:r>
      <w:r w:rsidRPr="00BC3020">
        <w:rPr>
          <w:rStyle w:val="StyleUnderline"/>
        </w:rPr>
        <w:t xml:space="preserve">we often look precisely at that interface among rhetors, texts, and addressees, where something—some </w:t>
      </w:r>
      <w:r w:rsidRPr="00BC3020">
        <w:rPr>
          <w:rStyle w:val="StyleUnderline"/>
        </w:rPr>
        <w:lastRenderedPageBreak/>
        <w:t>feeling, some action, some disposition—is altered because of the form and content of the address</w:t>
      </w:r>
      <w:r w:rsidRPr="00BC3020">
        <w:rPr>
          <w:sz w:val="14"/>
        </w:rPr>
        <w:t xml:space="preserve">. Though not a rhetorician by discipline, </w:t>
      </w:r>
      <w:r w:rsidRPr="00BC3020">
        <w:rPr>
          <w:rStyle w:val="StyleUnderline"/>
        </w:rPr>
        <w:t>Ahmed’s concept of dis/comfort as a metric for individuals’ proximity to norms is a rhetorical one. Some “queer” spaces induce discomfort in her, just as some “straight” spaces do. The spaces become rhetorical; they “alter” her feelings by signaling the ways in which she does and does not belong. At the same time, those spaces clearly welcome other kinds of bodies who may feel wholly uncomfortable in the spaces she finds comfort. But any space’s specific rhetorical effects cannot be anticipated; it must be entered, and there it may emerge both queer and normative depending on the various feelings that are altered in the interaction of body and body, body and space, body and language</w:t>
      </w:r>
      <w:r w:rsidRPr="00BC3020">
        <w:rPr>
          <w:sz w:val="14"/>
        </w:rPr>
        <w:t xml:space="preserve">. Thus I am advocating </w:t>
      </w:r>
      <w:r w:rsidRPr="00BC3020">
        <w:rPr>
          <w:rStyle w:val="StyleUnderline"/>
        </w:rPr>
        <w:t>a queer rhetorical methodology in situ</w:t>
      </w:r>
      <w:r w:rsidRPr="00BC3020">
        <w:rPr>
          <w:sz w:val="14"/>
        </w:rPr>
        <w:t xml:space="preserve">, one that </w:t>
      </w:r>
      <w:r w:rsidRPr="00BC3020">
        <w:rPr>
          <w:rStyle w:val="StyleUnderline"/>
        </w:rPr>
        <w:t>asks: Queer to whom? When? Where, and how? Normative to whom? When? Where, and how?</w:t>
      </w:r>
      <w:r w:rsidRPr="00BC3020">
        <w:rPr>
          <w:sz w:val="14"/>
        </w:rPr>
        <w:t xml:space="preserve"> Erin </w:t>
      </w:r>
      <w:r w:rsidRPr="00BC3020">
        <w:rPr>
          <w:rStyle w:val="StyleUnderline"/>
        </w:rPr>
        <w:t>Rand has also questioned whether it is enough that an act intend to resist normativity, that it be judged queer in advance of evidence of its resistance. It must also, or even instead, effect an action: “[T]he resistance of any given practice or act … is conjunctural</w:t>
      </w:r>
      <w:r w:rsidRPr="00BC3020">
        <w:rPr>
          <w:sz w:val="14"/>
        </w:rPr>
        <w:t xml:space="preserve">: it does not reside in the intention of the actor nor in the act itself but </w:t>
      </w:r>
      <w:r w:rsidRPr="00BC3020">
        <w:rPr>
          <w:rStyle w:val="StyleUnderline"/>
        </w:rPr>
        <w:t>in the practice or act’s effectivity—an effectivity that cannot be controlled or predicted by the actor</w:t>
      </w:r>
      <w:r w:rsidRPr="00BC3020">
        <w:rPr>
          <w:sz w:val="14"/>
        </w:rPr>
        <w:t xml:space="preserve">” (24). Condit, like Rand, maintains that </w:t>
      </w:r>
      <w:r w:rsidRPr="00BC3020">
        <w:rPr>
          <w:rStyle w:val="StyleUnderline"/>
        </w:rPr>
        <w:t>we judge a “rhetorical artifact not solely on the action within a text but also on how that rhetoric acts upon the context within which it creates meaning</w:t>
      </w:r>
      <w:r w:rsidRPr="00BC3020">
        <w:rPr>
          <w:sz w:val="14"/>
        </w:rPr>
        <w:t xml:space="preserve">” (339). And that acting upon may produce multiple, contradictory receptions, or a range of audiences. The effect of a practice or act evades prediction in advance of our analysis both because (1) rhetoric is risky; its intentions can always misfire, and (2) </w:t>
      </w:r>
      <w:r w:rsidRPr="00BC3020">
        <w:rPr>
          <w:rStyle w:val="StyleUnderline"/>
        </w:rPr>
        <w:t>most practices, acts, or texts have multiple audiences, both within a given moment and if they persist across time.</w:t>
      </w:r>
    </w:p>
    <w:p w:rsidR="006506E5" w:rsidRDefault="006506E5" w:rsidP="006506E5"/>
    <w:p w:rsidR="006506E5" w:rsidRDefault="006506E5" w:rsidP="006506E5"/>
    <w:p w:rsidR="0012172B" w:rsidRDefault="0012172B" w:rsidP="0012172B">
      <w:pPr>
        <w:pStyle w:val="Heading3"/>
      </w:pPr>
      <w:bookmarkStart w:id="114" w:name="_Toc489139003"/>
      <w:r>
        <w:lastRenderedPageBreak/>
        <w:t>Link turn: Survivors Aff</w:t>
      </w:r>
      <w:bookmarkEnd w:id="114"/>
    </w:p>
    <w:p w:rsidR="0012172B" w:rsidRPr="0037692F" w:rsidRDefault="0012172B" w:rsidP="0012172B">
      <w:pPr>
        <w:pStyle w:val="Heading4"/>
        <w:rPr>
          <w:rStyle w:val="Style13ptBold"/>
          <w:b/>
        </w:rPr>
      </w:pPr>
      <w:r>
        <w:rPr>
          <w:rStyle w:val="Style13ptBold"/>
          <w:b/>
        </w:rPr>
        <w:t>The aff’s process of exploring fissures and alternatives to capitalism participates in a queer politics of the Real</w:t>
      </w:r>
    </w:p>
    <w:p w:rsidR="0012172B" w:rsidRPr="0037692F" w:rsidRDefault="0012172B" w:rsidP="0012172B">
      <w:pPr>
        <w:rPr>
          <w:rStyle w:val="Style13ptBold"/>
          <w:b w:val="0"/>
          <w:i/>
        </w:rPr>
      </w:pPr>
      <w:r>
        <w:rPr>
          <w:rStyle w:val="Style13ptBold"/>
        </w:rPr>
        <w:t xml:space="preserve">Kapoor 15 </w:t>
      </w:r>
      <w:r w:rsidRPr="0037692F">
        <w:rPr>
          <w:rStyle w:val="Style13ptBold"/>
          <w:b w:val="0"/>
          <w:sz w:val="16"/>
          <w:szCs w:val="16"/>
        </w:rPr>
        <w:t>[Ilan Kapoor. Professor of Critical Development Studies at the Faculty of Environmental Studies, York University, Toronto, Canada. “The queer Third World.” Third World Quarterly, 36:9, 1611-1628, DOI: 10.1080/01436597.2015.1058148. SH]</w:t>
      </w:r>
    </w:p>
    <w:p w:rsidR="0012172B" w:rsidRDefault="0012172B" w:rsidP="0012172B">
      <w:pPr>
        <w:rPr>
          <w:rStyle w:val="StyleUnderline"/>
        </w:rPr>
      </w:pPr>
      <w:r w:rsidRPr="0037692F">
        <w:rPr>
          <w:sz w:val="16"/>
        </w:rPr>
        <w:t xml:space="preserve">What are the implications of all of this for the Third World, given the challenge of trying to negotiate orientalist hetero-normative discourse without reproducing its binary structure? Clearly the idea is not to imitate the West since, as we have seen, that merely normalises both the West’s domination and the Third World’s subordination. Nor should one simply oppose the hegemon by criticising homophobia and orientalism or valorising a non-Western nativist or nationalist authenticity (eg ‘homosexuality is “un-African”’), since these, too, are an acceptance of, and entrapment within, the given binary logic. At most, and as we have seen, the latter yields to a tolerance of queers (ie a queer liberalism) or a virulent and homophobic parochialism without addressing underlying questions of hetero-normativity or neo-colonialism. </w:t>
      </w:r>
      <w:r w:rsidRPr="0037692F">
        <w:rPr>
          <w:rStyle w:val="StyleUnderline"/>
        </w:rPr>
        <w:t>The idea,</w:t>
      </w:r>
      <w:r w:rsidRPr="0037692F">
        <w:rPr>
          <w:sz w:val="16"/>
        </w:rPr>
        <w:t xml:space="preserve"> rather, </w:t>
      </w:r>
      <w:r w:rsidRPr="0037692F">
        <w:rPr>
          <w:rStyle w:val="StyleUnderline"/>
        </w:rPr>
        <w:t>is for the Third</w:t>
      </w:r>
      <w:r>
        <w:rPr>
          <w:rStyle w:val="StyleUnderline"/>
        </w:rPr>
        <w:t xml:space="preserve"> </w:t>
      </w:r>
      <w:r w:rsidRPr="0037692F">
        <w:rPr>
          <w:rStyle w:val="StyleUnderline"/>
        </w:rPr>
        <w:t>World to embrace its queerness-as-negativity</w:t>
      </w:r>
      <w:r w:rsidRPr="0037692F">
        <w:rPr>
          <w:sz w:val="16"/>
        </w:rPr>
        <w:t>. Indeed</w:t>
      </w:r>
      <w:r w:rsidRPr="0037692F">
        <w:rPr>
          <w:rStyle w:val="StyleUnderline"/>
        </w:rPr>
        <w:t>, to the extent that it represents</w:t>
      </w:r>
      <w:r>
        <w:rPr>
          <w:rStyle w:val="StyleUnderline"/>
        </w:rPr>
        <w:t xml:space="preserve"> </w:t>
      </w:r>
      <w:r w:rsidRPr="0037692F">
        <w:rPr>
          <w:sz w:val="16"/>
        </w:rPr>
        <w:t xml:space="preserve">(or has been made to represent) </w:t>
      </w:r>
      <w:r w:rsidRPr="0037692F">
        <w:rPr>
          <w:rStyle w:val="StyleUnderline"/>
        </w:rPr>
        <w:t>the failure of global modernity, the Third</w:t>
      </w:r>
      <w:r>
        <w:rPr>
          <w:rStyle w:val="StyleUnderline"/>
        </w:rPr>
        <w:t xml:space="preserve"> </w:t>
      </w:r>
      <w:r w:rsidRPr="0037692F">
        <w:rPr>
          <w:rStyle w:val="StyleUnderline"/>
        </w:rPr>
        <w:t>World threatens and fractures globalisation</w:t>
      </w:r>
      <w:r w:rsidRPr="0037692F">
        <w:rPr>
          <w:sz w:val="16"/>
        </w:rPr>
        <w:t xml:space="preserve">. Thus, </w:t>
      </w:r>
      <w:r w:rsidRPr="0037692F">
        <w:rPr>
          <w:rStyle w:val="StyleUnderline"/>
        </w:rPr>
        <w:t>by firmly inhabiting this position</w:t>
      </w:r>
      <w:r>
        <w:rPr>
          <w:rStyle w:val="StyleUnderline"/>
        </w:rPr>
        <w:t xml:space="preserve"> </w:t>
      </w:r>
      <w:r w:rsidRPr="0037692F">
        <w:rPr>
          <w:rStyle w:val="StyleUnderline"/>
        </w:rPr>
        <w:t>of structural negativity, it can help destabilise normalising practices, be they</w:t>
      </w:r>
      <w:r>
        <w:rPr>
          <w:rStyle w:val="StyleUnderline"/>
        </w:rPr>
        <w:t xml:space="preserve"> </w:t>
      </w:r>
      <w:r w:rsidRPr="0037692F">
        <w:rPr>
          <w:rStyle w:val="StyleUnderline"/>
        </w:rPr>
        <w:t>neo-colonial, orientalist, hetero-normative, patriarchal or racist. By revisiting its</w:t>
      </w:r>
      <w:r>
        <w:rPr>
          <w:rStyle w:val="StyleUnderline"/>
        </w:rPr>
        <w:t xml:space="preserve"> </w:t>
      </w:r>
      <w:r w:rsidRPr="0037692F">
        <w:rPr>
          <w:rStyle w:val="StyleUnderline"/>
        </w:rPr>
        <w:t>political roots in non-alignment, it can attempt to trouble the increasing naturalisation</w:t>
      </w:r>
      <w:r>
        <w:rPr>
          <w:rStyle w:val="StyleUnderline"/>
        </w:rPr>
        <w:t xml:space="preserve"> </w:t>
      </w:r>
      <w:r w:rsidRPr="0037692F">
        <w:rPr>
          <w:rStyle w:val="StyleUnderline"/>
        </w:rPr>
        <w:t>of global neoliberal capitalism. And by engaging in a relentless queer</w:t>
      </w:r>
      <w:r>
        <w:rPr>
          <w:rStyle w:val="StyleUnderline"/>
        </w:rPr>
        <w:t xml:space="preserve"> </w:t>
      </w:r>
      <w:r w:rsidRPr="0037692F">
        <w:rPr>
          <w:rStyle w:val="StyleUnderline"/>
        </w:rPr>
        <w:t>politics of the Real, it can seek to mess up fixed binaries, identities or</w:t>
      </w:r>
      <w:r>
        <w:rPr>
          <w:rStyle w:val="StyleUnderline"/>
        </w:rPr>
        <w:t xml:space="preserve"> </w:t>
      </w:r>
      <w:r w:rsidRPr="0037692F">
        <w:rPr>
          <w:rStyle w:val="StyleUnderline"/>
        </w:rPr>
        <w:t>hierarchies, whether political, gendered or sexual</w:t>
      </w:r>
      <w:r w:rsidRPr="0037692F">
        <w:rPr>
          <w:sz w:val="16"/>
        </w:rPr>
        <w:t>.</w:t>
      </w:r>
      <w:r>
        <w:rPr>
          <w:rStyle w:val="StyleUnderline"/>
        </w:rPr>
        <w:t xml:space="preserve"> </w:t>
      </w:r>
      <w:r w:rsidRPr="0037692F">
        <w:rPr>
          <w:rStyle w:val="StyleUnderline"/>
        </w:rPr>
        <w:t>This would mean, for example, cultivating queer affect as a political strategy:</w:t>
      </w:r>
      <w:r>
        <w:rPr>
          <w:rStyle w:val="StyleUnderline"/>
        </w:rPr>
        <w:t xml:space="preserve"> </w:t>
      </w:r>
      <w:r w:rsidRPr="0037692F">
        <w:rPr>
          <w:sz w:val="16"/>
        </w:rPr>
        <w:t xml:space="preserve">rather than directly criticising homophobic, misogynist or orientalist stereotypes, showing a certain fatigue, indifference or boredom towards them; </w:t>
      </w:r>
      <w:r w:rsidRPr="00D91316">
        <w:rPr>
          <w:rStyle w:val="StyleUnderline"/>
        </w:rPr>
        <w:t>rather than taking the hegemon seriously, responding with incredulity, disorderliness or awkwardness; and rather than conforming to the master’s rules, wilfully forgetting or ignoring them, improvising with them, or over-identifying with them</w:t>
      </w:r>
      <w:r w:rsidRPr="0037692F">
        <w:rPr>
          <w:sz w:val="16"/>
        </w:rPr>
        <w:t xml:space="preserve"> (ie taking them seriously to the point of absurdity). Using stereotypical queer affect in this way – whim, insincerity, camp, nonsense, over-the-top emotion, unregenerate sexuality, silliness, goofiness58 – interrupts and stupefies hegemonic power by declining to address it directly, thereby delegitimising it. In this regard Judith/Jack </w:t>
      </w:r>
      <w:r w:rsidRPr="00D91316">
        <w:rPr>
          <w:rStyle w:val="StyleUnderline"/>
        </w:rPr>
        <w:t>Halberstam suggests the deployment of more explicitly negativequeer political emotions – from rage, anger, mania and spite to incivility, dyke anger, anticolonial despair and punk pugilism</w:t>
      </w:r>
      <w:r w:rsidRPr="0037692F">
        <w:rPr>
          <w:sz w:val="16"/>
        </w:rPr>
        <w:t xml:space="preserve">. He59 states: we must be willing to turn away from the comfort zone of polite exchange to embrace a truly political negativity, one that promises, this time, to fail, to make a mess, to fuck shit up, to be loud, unruly, impolite, to breed resentment, to bash back, to speak up and out, to disrupt, assassinate, shock, and annihilate, and to abandon the neat, clever, [and] chiasmatic.60 Queer affect can thus help produce an uncivil politics that no state or sociopolitical regime can easily discipline or regulate. </w:t>
      </w:r>
      <w:r w:rsidRPr="0037692F">
        <w:rPr>
          <w:rStyle w:val="StyleUnderline"/>
        </w:rPr>
        <w:t>The effectiveness of any queer Third World politics will hinge crucially on</w:t>
      </w:r>
      <w:r>
        <w:rPr>
          <w:rStyle w:val="StyleUnderline"/>
        </w:rPr>
        <w:t xml:space="preserve"> </w:t>
      </w:r>
      <w:r w:rsidRPr="0037692F">
        <w:rPr>
          <w:rStyle w:val="StyleUnderline"/>
        </w:rPr>
        <w:t>its ability to disrupt (hetero-normative) capitalism. This will involve rethinking</w:t>
      </w:r>
      <w:r>
        <w:rPr>
          <w:rStyle w:val="StyleUnderline"/>
        </w:rPr>
        <w:t xml:space="preserve"> </w:t>
      </w:r>
      <w:r w:rsidRPr="0037692F">
        <w:rPr>
          <w:rStyle w:val="StyleUnderline"/>
        </w:rPr>
        <w:t>and reworking institutions as much as cultures: reordering labour relations and</w:t>
      </w:r>
      <w:r>
        <w:rPr>
          <w:rStyle w:val="StyleUnderline"/>
        </w:rPr>
        <w:t xml:space="preserve"> </w:t>
      </w:r>
      <w:r w:rsidRPr="0037692F">
        <w:rPr>
          <w:rStyle w:val="StyleUnderline"/>
        </w:rPr>
        <w:t>the sexual/gender division of labour; moving away from legal regimes that privilege</w:t>
      </w:r>
      <w:r>
        <w:rPr>
          <w:rStyle w:val="StyleUnderline"/>
        </w:rPr>
        <w:t xml:space="preserve"> </w:t>
      </w:r>
      <w:r w:rsidRPr="0037692F">
        <w:rPr>
          <w:rStyle w:val="StyleUnderline"/>
        </w:rPr>
        <w:t>private and civil/political rights towards ones that also favour collective and</w:t>
      </w:r>
      <w:r>
        <w:rPr>
          <w:rStyle w:val="StyleUnderline"/>
        </w:rPr>
        <w:t xml:space="preserve"> </w:t>
      </w:r>
      <w:r w:rsidRPr="0037692F">
        <w:rPr>
          <w:rStyle w:val="StyleUnderline"/>
        </w:rPr>
        <w:t>socioeconomic rights</w:t>
      </w:r>
      <w:r w:rsidRPr="0037692F">
        <w:rPr>
          <w:sz w:val="16"/>
        </w:rPr>
        <w:t xml:space="preserve"> (eg land rights, housing rights, indigenous rights, gender and queer rights); </w:t>
      </w:r>
      <w:r w:rsidRPr="0037692F">
        <w:rPr>
          <w:rStyle w:val="StyleUnderline"/>
        </w:rPr>
        <w:t>undoing capitalist discourses centred on wealth accumulation,</w:t>
      </w:r>
      <w:r>
        <w:rPr>
          <w:rStyle w:val="StyleUnderline"/>
        </w:rPr>
        <w:t xml:space="preserve"> </w:t>
      </w:r>
      <w:r w:rsidRPr="0037692F">
        <w:rPr>
          <w:rStyle w:val="StyleUnderline"/>
        </w:rPr>
        <w:t>entrepreneurialism, market competition and patriarchal/masculinist codes; and so</w:t>
      </w:r>
      <w:r>
        <w:rPr>
          <w:rStyle w:val="StyleUnderline"/>
        </w:rPr>
        <w:t xml:space="preserve"> </w:t>
      </w:r>
      <w:r w:rsidRPr="0037692F">
        <w:rPr>
          <w:rStyle w:val="StyleUnderline"/>
        </w:rPr>
        <w:t>on. But it will also involve creating spaces for non-conforming and non-capitalist</w:t>
      </w:r>
      <w:r>
        <w:rPr>
          <w:rStyle w:val="StyleUnderline"/>
        </w:rPr>
        <w:t xml:space="preserve"> </w:t>
      </w:r>
      <w:r w:rsidRPr="0037692F">
        <w:rPr>
          <w:rStyle w:val="StyleUnderline"/>
        </w:rPr>
        <w:t>practices.</w:t>
      </w:r>
      <w:r w:rsidRPr="0037692F">
        <w:rPr>
          <w:sz w:val="16"/>
        </w:rPr>
        <w:t xml:space="preserve"> In this regard, echoing queer theorist Eve Sedgwick, J. K. </w:t>
      </w:r>
      <w:r w:rsidRPr="0037692F">
        <w:rPr>
          <w:rStyle w:val="StyleUnderline"/>
        </w:rPr>
        <w:t>GibsonGraham</w:t>
      </w:r>
      <w:r>
        <w:rPr>
          <w:rStyle w:val="StyleUnderline"/>
        </w:rPr>
        <w:t xml:space="preserve"> </w:t>
      </w:r>
      <w:r w:rsidRPr="0037692F">
        <w:rPr>
          <w:rStyle w:val="StyleUnderline"/>
        </w:rPr>
        <w:t>ask: ‘What if we were to depict social existence at loose ends with</w:t>
      </w:r>
      <w:r>
        <w:rPr>
          <w:rStyle w:val="StyleUnderline"/>
        </w:rPr>
        <w:t xml:space="preserve"> </w:t>
      </w:r>
      <w:r w:rsidRPr="0037692F">
        <w:rPr>
          <w:rStyle w:val="StyleUnderline"/>
        </w:rPr>
        <w:t>itself...What if we were to “queer” capitalist hegemony and break apart some of</w:t>
      </w:r>
      <w:r>
        <w:rPr>
          <w:rStyle w:val="StyleUnderline"/>
        </w:rPr>
        <w:t xml:space="preserve"> </w:t>
      </w:r>
      <w:r w:rsidRPr="0037692F">
        <w:rPr>
          <w:rStyle w:val="StyleUnderline"/>
        </w:rPr>
        <w:t>its consolidating associations?’</w:t>
      </w:r>
      <w:r>
        <w:rPr>
          <w:rStyle w:val="StyleUnderline"/>
        </w:rPr>
        <w:t xml:space="preserve"> </w:t>
      </w:r>
      <w:r w:rsidRPr="0037692F">
        <w:rPr>
          <w:sz w:val="16"/>
        </w:rPr>
        <w:t xml:space="preserve">61 </w:t>
      </w:r>
      <w:r w:rsidRPr="0037692F">
        <w:rPr>
          <w:rStyle w:val="StyleUnderline"/>
        </w:rPr>
        <w:t>They have in mind ‘post-capitalist’ social</w:t>
      </w:r>
      <w:r>
        <w:rPr>
          <w:rStyle w:val="StyleUnderline"/>
        </w:rPr>
        <w:t xml:space="preserve"> </w:t>
      </w:r>
      <w:r w:rsidRPr="0037692F">
        <w:rPr>
          <w:rStyle w:val="StyleUnderline"/>
        </w:rPr>
        <w:t>economies such as cooperatives</w:t>
      </w:r>
      <w:r w:rsidRPr="0037692F">
        <w:rPr>
          <w:sz w:val="16"/>
        </w:rPr>
        <w:t xml:space="preserve"> (eg the Mondragon Basque Cooperative), local economic trading systems and remittance-based community projects (eg in the Philippines),62 </w:t>
      </w:r>
      <w:r w:rsidRPr="0037692F">
        <w:rPr>
          <w:rStyle w:val="StyleUnderline"/>
        </w:rPr>
        <w:t>but we could add worker self-management enterprises, social</w:t>
      </w:r>
      <w:r>
        <w:rPr>
          <w:rStyle w:val="StyleUnderline"/>
        </w:rPr>
        <w:t xml:space="preserve"> </w:t>
      </w:r>
      <w:r w:rsidRPr="0037692F">
        <w:rPr>
          <w:rStyle w:val="StyleUnderline"/>
        </w:rPr>
        <w:t>housing, participatory budgeting and community forestry.</w:t>
      </w:r>
      <w:r w:rsidRPr="0037692F">
        <w:rPr>
          <w:sz w:val="16"/>
        </w:rPr>
        <w:t xml:space="preserve"> In the Third World context the recuperation and reinvention of highly diverse subjugated, buried or subaltern socioeconomic institutions, ranging from handicraft ateliers and small animal husbandry to contemporary indigenous medicinal and health clinics and small-scale textile workshops, will also be pertinent and important. Given its non-conformist bent, </w:t>
      </w:r>
      <w:r w:rsidRPr="0037692F">
        <w:rPr>
          <w:rStyle w:val="StyleUnderline"/>
        </w:rPr>
        <w:t>a queer Third World politics of the type I am</w:t>
      </w:r>
      <w:r>
        <w:rPr>
          <w:rStyle w:val="StyleUnderline"/>
        </w:rPr>
        <w:t xml:space="preserve"> </w:t>
      </w:r>
      <w:r w:rsidRPr="0037692F">
        <w:rPr>
          <w:rStyle w:val="StyleUnderline"/>
        </w:rPr>
        <w:t>gesturing towards would appear to cater more to non-state than state actors</w:t>
      </w:r>
      <w:r w:rsidRPr="0037692F">
        <w:rPr>
          <w:sz w:val="16"/>
        </w:rPr>
        <w:t xml:space="preserve"> (the state being a normalising set of institutions par excellence). Yet, given the state’s continuing (albeit changing) significance in both domestic and global politics, </w:t>
      </w:r>
      <w:r w:rsidRPr="0037692F">
        <w:rPr>
          <w:rStyle w:val="StyleUnderline"/>
        </w:rPr>
        <w:t>queering the state – pressuring it to institute non-capitalist practices such as</w:t>
      </w:r>
      <w:r>
        <w:rPr>
          <w:rStyle w:val="StyleUnderline"/>
        </w:rPr>
        <w:t xml:space="preserve"> </w:t>
      </w:r>
      <w:r w:rsidRPr="0037692F">
        <w:rPr>
          <w:rStyle w:val="StyleUnderline"/>
        </w:rPr>
        <w:t xml:space="preserve">those described </w:t>
      </w:r>
      <w:r w:rsidRPr="0037692F">
        <w:rPr>
          <w:rStyle w:val="StyleUnderline"/>
        </w:rPr>
        <w:lastRenderedPageBreak/>
        <w:t>above, for example – will be vital</w:t>
      </w:r>
      <w:r w:rsidRPr="0037692F">
        <w:rPr>
          <w:sz w:val="16"/>
        </w:rPr>
        <w:t xml:space="preserve">. In this regard </w:t>
      </w:r>
      <w:r w:rsidRPr="0037692F">
        <w:rPr>
          <w:rStyle w:val="StyleUnderline"/>
        </w:rPr>
        <w:t>Bolivia’s current</w:t>
      </w:r>
      <w:r>
        <w:rPr>
          <w:rStyle w:val="StyleUnderline"/>
        </w:rPr>
        <w:t xml:space="preserve"> </w:t>
      </w:r>
      <w:r w:rsidRPr="0037692F">
        <w:rPr>
          <w:rStyle w:val="StyleUnderline"/>
        </w:rPr>
        <w:t>Morales regime appears to be one of the queerest globally</w:t>
      </w:r>
      <w:r w:rsidRPr="0037692F">
        <w:rPr>
          <w:sz w:val="16"/>
        </w:rPr>
        <w:t xml:space="preserve">: it has purposefully remained non-aligned to either the (Western) neoliberal democratic model (adopted by most of the contemporary world) or the authoritarian capitalist model (adopted by the likes of China, Russia, Singapore, etc). Instead, </w:t>
      </w:r>
      <w:r w:rsidRPr="0037692F">
        <w:rPr>
          <w:rStyle w:val="StyleUnderline"/>
        </w:rPr>
        <w:t>pursuing</w:t>
      </w:r>
      <w:r>
        <w:rPr>
          <w:rStyle w:val="StyleUnderline"/>
        </w:rPr>
        <w:t xml:space="preserve"> </w:t>
      </w:r>
      <w:r w:rsidRPr="0037692F">
        <w:rPr>
          <w:rStyle w:val="StyleUnderline"/>
        </w:rPr>
        <w:t>a unique communitarian Andean model of ‘living well’, it is one of the very</w:t>
      </w:r>
      <w:r>
        <w:rPr>
          <w:rStyle w:val="StyleUnderline"/>
        </w:rPr>
        <w:t xml:space="preserve"> </w:t>
      </w:r>
      <w:r w:rsidRPr="0037692F">
        <w:rPr>
          <w:rStyle w:val="StyleUnderline"/>
        </w:rPr>
        <w:t>few that has put the country’s subalterns first</w:t>
      </w:r>
      <w:r w:rsidRPr="0037692F">
        <w:rPr>
          <w:sz w:val="16"/>
        </w:rPr>
        <w:t xml:space="preserve"> (indigenous groups and the socioeconomically most poor and marginalised), </w:t>
      </w:r>
      <w:r w:rsidRPr="0037692F">
        <w:rPr>
          <w:rStyle w:val="StyleUnderline"/>
        </w:rPr>
        <w:t>while confronting domestic and</w:t>
      </w:r>
      <w:r>
        <w:rPr>
          <w:rStyle w:val="StyleUnderline"/>
        </w:rPr>
        <w:t xml:space="preserve"> </w:t>
      </w:r>
      <w:r w:rsidRPr="0037692F">
        <w:rPr>
          <w:rStyle w:val="StyleUnderline"/>
        </w:rPr>
        <w:t>international economic elites and defying the free market proposals of the IMF</w:t>
      </w:r>
      <w:r>
        <w:rPr>
          <w:rStyle w:val="StyleUnderline"/>
        </w:rPr>
        <w:t xml:space="preserve"> </w:t>
      </w:r>
      <w:r w:rsidRPr="0037692F">
        <w:rPr>
          <w:rStyle w:val="StyleUnderline"/>
        </w:rPr>
        <w:t>and World</w:t>
      </w:r>
      <w:r w:rsidRPr="0037692F">
        <w:rPr>
          <w:sz w:val="16"/>
        </w:rPr>
        <w:t xml:space="preserve"> Bank. While certainly not perfect,63 </w:t>
      </w:r>
      <w:r w:rsidRPr="0037692F">
        <w:rPr>
          <w:rStyle w:val="StyleUnderline"/>
        </w:rPr>
        <w:t>it better illustrates how to</w:t>
      </w:r>
      <w:r>
        <w:rPr>
          <w:rStyle w:val="StyleUnderline"/>
        </w:rPr>
        <w:t xml:space="preserve"> </w:t>
      </w:r>
      <w:r w:rsidRPr="0037692F">
        <w:rPr>
          <w:rStyle w:val="StyleUnderline"/>
        </w:rPr>
        <w:t>socioeconomically restructure</w:t>
      </w:r>
      <w:r w:rsidRPr="0037692F">
        <w:rPr>
          <w:sz w:val="16"/>
        </w:rPr>
        <w:t xml:space="preserve"> (including how to effectively regulate powerful mining multinationals) than do the vast majority of Third World states committed to non-alignment and the New International Economic Order.64 Finally, we must ask what a queer Third World politics means for Third World queers. Although it is, of course, a politics that defies normalising and hetero-normative practices and hence defends sexual minority and gender rights writ large, its structural negativity also implies that LGBTI activism settle, not on identity issues (eg queer liberalism), but on the intersection of queer politics with other key socioeconomic problems. This is illustrated by the difference between, say, a gay rights activist and a queer socialist revolutionary, or a progay marriage LGBTI association and LGBTI people fighting for subaltern land rights. So, when Third World HIV/AIDS politics concerns itself not just with discovering new and more effective retroviral drugs – thereby narrowly focusing on science and funding issues – but with ensuring cheaper and equal access to those drugs for all – thereby bringing the state and multinational pharmaceuticals to account – we have a queer Third World politics truer to its name. Eng et al point, in a similar vein, to </w:t>
      </w:r>
      <w:r w:rsidRPr="0037692F">
        <w:rPr>
          <w:rStyle w:val="StyleUnderline"/>
        </w:rPr>
        <w:t>the emergence of global queer diasporas that are</w:t>
      </w:r>
      <w:r>
        <w:rPr>
          <w:rStyle w:val="StyleUnderline"/>
        </w:rPr>
        <w:t xml:space="preserve"> </w:t>
      </w:r>
      <w:r w:rsidRPr="0037692F">
        <w:rPr>
          <w:rStyle w:val="StyleUnderline"/>
        </w:rPr>
        <w:t>increasingly denaturalising such institutions as home, nation, marriage and citizenship</w:t>
      </w:r>
      <w:r>
        <w:rPr>
          <w:rStyle w:val="StyleUnderline"/>
        </w:rPr>
        <w:t xml:space="preserve"> </w:t>
      </w:r>
      <w:r w:rsidRPr="0037692F">
        <w:rPr>
          <w:rStyle w:val="StyleUnderline"/>
        </w:rPr>
        <w:t>on the basis, not of origin, ethnicity or ‘race’, but of destination, sexuality</w:t>
      </w:r>
      <w:r>
        <w:rPr>
          <w:rStyle w:val="StyleUnderline"/>
        </w:rPr>
        <w:t xml:space="preserve"> </w:t>
      </w:r>
      <w:r w:rsidRPr="0037692F">
        <w:rPr>
          <w:rStyle w:val="StyleUnderline"/>
        </w:rPr>
        <w:t>and sociopolitical commitmen</w:t>
      </w:r>
      <w:r w:rsidRPr="0037692F">
        <w:rPr>
          <w:sz w:val="16"/>
        </w:rPr>
        <w:t xml:space="preserve">t.65 It </w:t>
      </w:r>
      <w:r w:rsidRPr="0037692F">
        <w:rPr>
          <w:rStyle w:val="StyleUnderline"/>
        </w:rPr>
        <w:t>is such nonconforming, intersectional</w:t>
      </w:r>
      <w:r>
        <w:rPr>
          <w:rStyle w:val="StyleUnderline"/>
        </w:rPr>
        <w:t xml:space="preserve"> </w:t>
      </w:r>
      <w:r w:rsidRPr="0037692F">
        <w:rPr>
          <w:rStyle w:val="StyleUnderline"/>
        </w:rPr>
        <w:t>and politically messy engagements that yield a queer Third World politics of the</w:t>
      </w:r>
      <w:r>
        <w:rPr>
          <w:rStyle w:val="StyleUnderline"/>
        </w:rPr>
        <w:t xml:space="preserve"> </w:t>
      </w:r>
      <w:r w:rsidRPr="0037692F">
        <w:rPr>
          <w:rStyle w:val="StyleUnderline"/>
        </w:rPr>
        <w:t>Real.</w:t>
      </w:r>
    </w:p>
    <w:p w:rsidR="0012172B" w:rsidRDefault="0012172B" w:rsidP="0012172B">
      <w:pPr>
        <w:rPr>
          <w:rStyle w:val="StyleUnderline"/>
        </w:rPr>
      </w:pPr>
    </w:p>
    <w:p w:rsidR="0012172B" w:rsidRDefault="0012172B" w:rsidP="0012172B">
      <w:pPr>
        <w:rPr>
          <w:rStyle w:val="StyleUnderline"/>
        </w:rPr>
      </w:pPr>
    </w:p>
    <w:p w:rsidR="0012172B" w:rsidRDefault="0012172B" w:rsidP="0012172B">
      <w:pPr>
        <w:rPr>
          <w:rStyle w:val="StyleUnderline"/>
        </w:rPr>
      </w:pPr>
    </w:p>
    <w:p w:rsidR="0012172B" w:rsidRDefault="0012172B" w:rsidP="0012172B">
      <w:pPr>
        <w:rPr>
          <w:rStyle w:val="StyleUnderline"/>
        </w:rPr>
      </w:pPr>
    </w:p>
    <w:p w:rsidR="006506E5" w:rsidRDefault="00FE2E5A" w:rsidP="00FE2E5A">
      <w:pPr>
        <w:pStyle w:val="Heading3"/>
      </w:pPr>
      <w:bookmarkStart w:id="115" w:name="_Toc489139004"/>
      <w:r>
        <w:lastRenderedPageBreak/>
        <w:t xml:space="preserve">Turn: </w:t>
      </w:r>
      <w:r w:rsidR="00C40FAB">
        <w:t>ahistorical Child / Materialism key</w:t>
      </w:r>
      <w:bookmarkEnd w:id="115"/>
    </w:p>
    <w:p w:rsidR="00FE2E5A" w:rsidRPr="0040027F" w:rsidRDefault="00FE2E5A" w:rsidP="00FE2E5A">
      <w:pPr>
        <w:pStyle w:val="Heading4"/>
        <w:rPr>
          <w:rStyle w:val="Style13ptBold"/>
          <w:b/>
        </w:rPr>
      </w:pPr>
      <w:r>
        <w:rPr>
          <w:rStyle w:val="Style13ptBold"/>
          <w:b/>
        </w:rPr>
        <w:t xml:space="preserve">Edelman misses the material implications of the Child in the present day – the narrow focus on the Symbolic figure of the Child only maintains futurity because the child’s body can never be separated from a piece of human capital. </w:t>
      </w:r>
    </w:p>
    <w:p w:rsidR="00FE2E5A" w:rsidRDefault="00FE2E5A" w:rsidP="00FE2E5A">
      <w:r w:rsidRPr="00C54D46">
        <w:rPr>
          <w:rStyle w:val="Author-Date"/>
        </w:rPr>
        <w:t>Gill-Peterson 2015</w:t>
      </w:r>
      <w:r>
        <w:t xml:space="preserve"> [Julian, Assistant Professor of English and Children's Literature at the University of Pittsburgh | “The Value of the Future: The Child as Human Capital and the Neoliberal Labor of Race,” </w:t>
      </w:r>
      <w:r w:rsidRPr="00D622CD">
        <w:rPr>
          <w:i/>
        </w:rPr>
        <w:t>Women's Studies Quarterly</w:t>
      </w:r>
      <w:r>
        <w:t>, Vol. 43, No. 1/2, (Spring/Summer 2015)]</w:t>
      </w:r>
    </w:p>
    <w:p w:rsidR="00FE2E5A" w:rsidRPr="00941429" w:rsidRDefault="00FE2E5A" w:rsidP="00FE2E5A">
      <w:pPr>
        <w:rPr>
          <w:rStyle w:val="Emphasis"/>
        </w:rPr>
      </w:pPr>
      <w:r w:rsidRPr="0040027F">
        <w:rPr>
          <w:sz w:val="16"/>
        </w:rPr>
        <w:t xml:space="preserve">I joked on Twitter recently that perhaps we will therefore be spared in the next few years from introductions to new queer theory books that devote the requisite section to an intervention into the question of anti-/sociality through yet another reading of Lee Edelman’s No Future (2004). </w:t>
      </w:r>
      <w:r w:rsidRPr="000F59A2">
        <w:rPr>
          <w:rStyle w:val="StyleUnderline"/>
        </w:rPr>
        <w:t>I have felt for some time that the opposability of negativity and futurity is already to begin by misunderstanding the terms in play and their stakes.</w:t>
      </w:r>
      <w:r w:rsidRPr="0040027F">
        <w:rPr>
          <w:sz w:val="16"/>
        </w:rPr>
        <w:t xml:space="preserve"> The publication of Sex, or the Unbearable (2013) by Edelman and Lauren Berlant a few months ago should go some distance to evaluating the itinerary of this debate and how it makes sense to continue with it, if it indeed does at all. For my part, I am less concerned with the actual examination of the question of negativity or futurity (they are valuable questions) than with its stratification and sedimentation over the past decade into a de facto dialectic, a weak way of organizing a field in which the political actionability of the entire social field becomes pre-programmed by a certain mode of queer theory: either negativity = subversive and futurity = normative, or the exact inverse. It becomes difficult in this dialectic to think anything different. And yet I </w:t>
      </w:r>
      <w:r w:rsidRPr="000F59A2">
        <w:rPr>
          <w:rStyle w:val="StyleUnderline"/>
        </w:rPr>
        <w:t xml:space="preserve">offer you </w:t>
      </w:r>
      <w:r w:rsidRPr="0040027F">
        <w:rPr>
          <w:sz w:val="16"/>
        </w:rPr>
        <w:t xml:space="preserve">just </w:t>
      </w:r>
      <w:r w:rsidRPr="000F59A2">
        <w:rPr>
          <w:rStyle w:val="StyleUnderline"/>
        </w:rPr>
        <w:t>one more reading of No Future</w:t>
      </w:r>
      <w:r w:rsidRPr="0040027F">
        <w:rPr>
          <w:sz w:val="16"/>
        </w:rPr>
        <w:t xml:space="preserve">, if you will indulge me, for I </w:t>
      </w:r>
      <w:r w:rsidRPr="000F59A2">
        <w:rPr>
          <w:rStyle w:val="StyleUnderline"/>
        </w:rPr>
        <w:t xml:space="preserve">think a return to that book helps sketch out the stakes of approaching sociality as the center of queer theory versus materiality. </w:t>
      </w:r>
      <w:r w:rsidRPr="0040027F">
        <w:rPr>
          <w:sz w:val="16"/>
        </w:rPr>
        <w:t xml:space="preserve">My work on the gay and transgender child, moreover, cannot escape a detailed engagement with Edelman’s now referential project. In the forthcoming special issue of GLQ I am assembling with Kathryn Bond Stockton and Rebekah Sheldon we have arrived at the title “The Child Now.” It could just as easily be, though, The Child Now, for the now is the crux of our intervention in bringing together new work that aims not to inquire once again into the child as a figure, either a sentimental or lonely memory from childhood past, or else a redemptive or reprehensible cipher of a future-to-come, queer or otherwise. </w:t>
      </w:r>
      <w:r w:rsidRPr="005D6FA2">
        <w:rPr>
          <w:rStyle w:val="Emphasis"/>
        </w:rPr>
        <w:t>We turn to materiality and materialism in order to see the child’s body as a material resource,</w:t>
      </w:r>
      <w:r w:rsidRPr="0040027F">
        <w:rPr>
          <w:sz w:val="16"/>
        </w:rPr>
        <w:t xml:space="preserve"> </w:t>
      </w:r>
      <w:r w:rsidRPr="005D6FA2">
        <w:rPr>
          <w:rStyle w:val="StyleUnderline"/>
        </w:rPr>
        <w:t>a threshold between nature and culture that subsists both as a standing reserve to the nation and yet threatens to grow through runaway vitalities</w:t>
      </w:r>
      <w:r w:rsidRPr="0040027F">
        <w:rPr>
          <w:sz w:val="16"/>
        </w:rPr>
        <w:t xml:space="preserve"> </w:t>
      </w:r>
      <w:r w:rsidRPr="005D6FA2">
        <w:rPr>
          <w:rStyle w:val="StyleUnderline"/>
        </w:rPr>
        <w:t>that exceed even the densest biopolitical arrangements of control</w:t>
      </w:r>
      <w:r w:rsidRPr="0040027F">
        <w:rPr>
          <w:sz w:val="16"/>
        </w:rPr>
        <w:t xml:space="preserve">. As I diffract this matter through the lens of my dissertation, “Queer Theory is Kid Stuff,” </w:t>
      </w:r>
      <w:r w:rsidRPr="005D6FA2">
        <w:rPr>
          <w:rStyle w:val="Emphasis"/>
        </w:rPr>
        <w:t>the queer in queer child,</w:t>
      </w:r>
      <w:r w:rsidRPr="0040027F">
        <w:rPr>
          <w:sz w:val="16"/>
        </w:rPr>
        <w:t xml:space="preserve"> I conclude, </w:t>
      </w:r>
      <w:r w:rsidRPr="005D6FA2">
        <w:rPr>
          <w:rStyle w:val="Emphasis"/>
        </w:rPr>
        <w:t>can no longer designate only the mournful childhood from which adult queer subjectivity maintains its fable of origin</w:t>
      </w:r>
      <w:r w:rsidRPr="0040027F">
        <w:rPr>
          <w:sz w:val="16"/>
        </w:rPr>
        <w:t xml:space="preserve">. </w:t>
      </w:r>
      <w:r w:rsidRPr="005D6FA2">
        <w:rPr>
          <w:rStyle w:val="StyleUnderline"/>
        </w:rPr>
        <w:t>Today the queer child is being activated as a unit in a living population, an increasingly protectable body (politic), and a cherished personality in homonationalist state formations</w:t>
      </w:r>
      <w:r w:rsidRPr="0040027F">
        <w:rPr>
          <w:sz w:val="16"/>
        </w:rPr>
        <w:t xml:space="preserve"> in the United States, Canada and Europe. A shift from thinking of the gay or transgender child as a figure to a material body and population does not, though, exactly amount to a critique of No Future‘s project. After all, Edelman is very clear that “the image of the Child” ought “not to be confused with the lived experiences of any historical children” (11) and, moreover, that “the cult of the Child permits no shrines to the queerness of boys and girls” (19). On this point I have to agree: the Symbolic function of the Child-with-a-capital-C holds hostage our capacity to think otherwise about living populations of children, queer or otherwise (and as Stockton has so eloquently argued about the twentieth century in The Queer Child [2009], there is a queerness to childhood itself as a distinct state of being). In a presentation I am working on for a few conferences this semester, however, I note that the problem is not so much with Edelman’s analysis of the mantle of the Child for reproductive futurism: surely there is no shortage of that kind of work being done by the Child today, as </w:t>
      </w:r>
      <w:r w:rsidRPr="0040027F">
        <w:rPr>
          <w:rStyle w:val="StyleUnderline"/>
        </w:rPr>
        <w:t>the crises in financial capitalism reorganize childhood into a form of chronic and perpetual debt through education, flexible labor practices, and the generation of value through digital and new media</w:t>
      </w:r>
      <w:r w:rsidRPr="0040027F">
        <w:rPr>
          <w:sz w:val="16"/>
        </w:rPr>
        <w:t xml:space="preserve">. As Sheldon points out in the most recent issue of ADA, “reproductive futurism has lost none of its efficacy under neoliberalism.” Yet, </w:t>
      </w:r>
      <w:r w:rsidRPr="0040027F">
        <w:rPr>
          <w:rStyle w:val="StyleUnderline"/>
        </w:rPr>
        <w:t>the figure of the Child that anchors Edelman’s treatment of reproductive futurism also seems to be fading from view under what she terms “somatic capitalism,” a regime under which reproductive futurism works in the shadow of the specter of a runaway vitality and unrestrained growth</w:t>
      </w:r>
      <w:r w:rsidRPr="0040027F">
        <w:rPr>
          <w:sz w:val="16"/>
        </w:rPr>
        <w:t xml:space="preserve">, so “that [reproductive futurism] harnesses the associations of the child with the future to reconsolidate liveliness back into human, at </w:t>
      </w:r>
      <w:r w:rsidRPr="0040027F">
        <w:rPr>
          <w:rStyle w:val="StyleUnderline"/>
        </w:rPr>
        <w:t>the same time that material practices in the life sciences make this sovereign fantasy harder and harder to maintain.”</w:t>
      </w:r>
      <w:r w:rsidRPr="0040027F">
        <w:rPr>
          <w:sz w:val="16"/>
        </w:rPr>
        <w:t xml:space="preserve"> In a similar vein, I note at the outset of this presentation in-progress that Edelman’s privileged punching-bag, the orphan Annie, feels a most estranged character for the Child or the child today, as a generation comes of age in the midst of a financial catastrophe similar in proportions to the Depression, but with a very different political economy. </w:t>
      </w:r>
      <w:r w:rsidRPr="0040027F">
        <w:rPr>
          <w:rStyle w:val="StyleUnderline"/>
        </w:rPr>
        <w:t xml:space="preserve">The generation coming of age today is the first since the post-war fantasy of white national domesticity to have a lower life </w:t>
      </w:r>
      <w:r w:rsidRPr="0040027F">
        <w:rPr>
          <w:rStyle w:val="StyleUnderline"/>
        </w:rPr>
        <w:lastRenderedPageBreak/>
        <w:t>expectancy that its parents, across demographics</w:t>
      </w:r>
      <w:r w:rsidRPr="0040027F">
        <w:rPr>
          <w:sz w:val="16"/>
        </w:rPr>
        <w:t xml:space="preserve">. This is a generation for whom </w:t>
      </w:r>
      <w:r w:rsidRPr="0040027F">
        <w:rPr>
          <w:rStyle w:val="Emphasis"/>
        </w:rPr>
        <w:t>public education is no longer a shelter from the labor marked</w:t>
      </w:r>
      <w:r w:rsidRPr="0040027F">
        <w:rPr>
          <w:sz w:val="16"/>
        </w:rPr>
        <w:t xml:space="preserve"> </w:t>
      </w:r>
      <w:r w:rsidRPr="0040027F">
        <w:rPr>
          <w:rStyle w:val="StyleUnderline"/>
        </w:rPr>
        <w:t>in the delay of sentimental childhood,</w:t>
      </w:r>
      <w:r w:rsidRPr="0040027F">
        <w:rPr>
          <w:sz w:val="16"/>
        </w:rPr>
        <w:t xml:space="preserve"> but rather where value creation has penetrated the most banal everyday activities of children, especially on Facebook, Twitter, and Instagram. Then there are the dwindling job prospects for the heavily unemployed youth of North America and Europe, with even worse economic racism according to local topographies of political economy. Finally, t</w:t>
      </w:r>
      <w:r w:rsidRPr="0040027F">
        <w:rPr>
          <w:rStyle w:val="StyleUnderline"/>
        </w:rPr>
        <w:t>his generation is so thoroughly in debt that it is difficult to imagine anything less than a massive, utterly endemic default as its future.</w:t>
      </w:r>
      <w:r w:rsidRPr="0040027F">
        <w:rPr>
          <w:sz w:val="16"/>
        </w:rPr>
        <w:t xml:space="preserve"> For this reason, “queerness” as Edelman sees the death drive offers rather little in political capital. And </w:t>
      </w:r>
      <w:r w:rsidRPr="005D6FA2">
        <w:rPr>
          <w:rStyle w:val="StyleUnderline"/>
        </w:rPr>
        <w:t>Annie’s infamous lines from “Tomorrow” seem far less relevant than</w:t>
      </w:r>
      <w:r w:rsidRPr="0040027F">
        <w:rPr>
          <w:sz w:val="16"/>
        </w:rPr>
        <w:t xml:space="preserve">, at the very least, </w:t>
      </w:r>
      <w:r w:rsidRPr="005D6FA2">
        <w:rPr>
          <w:rStyle w:val="StyleUnderline"/>
        </w:rPr>
        <w:t>the laboring critique of “It’s a Hard Knock Life.” Here is how Edelman puts it in No Future:</w:t>
      </w:r>
      <w:r>
        <w:rPr>
          <w:rStyle w:val="StyleUnderline"/>
        </w:rPr>
        <w:t xml:space="preserve"> </w:t>
      </w:r>
      <w:r w:rsidRPr="0040027F">
        <w:rPr>
          <w:sz w:val="16"/>
        </w:rPr>
        <w:t>T</w:t>
      </w:r>
      <w:r w:rsidRPr="00020BCD">
        <w:rPr>
          <w:rStyle w:val="StyleUnderline"/>
        </w:rPr>
        <w:t>he Child, in the historical epoch of our current epistemological re­gime, is the figure for this compulsory investment in the misrecognition of figur</w:t>
      </w:r>
      <w:r w:rsidRPr="0040027F">
        <w:rPr>
          <w:sz w:val="16"/>
        </w:rPr>
        <w:t xml:space="preserve">e. It takes its place on the social stage like every adorable Annie gathering her limitless funds of pluck to “stick out [her] chin! And grin! And say: ‘Tomorrow!! Tomorrow!! I love ya! Tomorrow! You’re always! A day! Away.'” And lo and behold, as viewed through the prism of the tears that it always calls forth, the figure of this Child seems to shimmer with the iridescent promise of Noah’s rainbow, serving like the rainbow as the pledge of a covenant that shields us against the persistent threat of apocalypse now-or later (18). Even on Symbolic grounds, this analysis seems maladapted to contemporary modes of childhood. In any case, though, </w:t>
      </w:r>
      <w:r w:rsidRPr="00941429">
        <w:rPr>
          <w:rStyle w:val="StyleUnderline"/>
        </w:rPr>
        <w:t>Annie is not just Symbolic, but material. As the vulnerable white child of Fordism, the plot of Annie is redemptive, the successful recuperation of the child into a sentimental shelter from work</w:t>
      </w:r>
      <w:r w:rsidRPr="0040027F">
        <w:rPr>
          <w:sz w:val="16"/>
        </w:rPr>
        <w:t xml:space="preserve">, even if her virtuosic labor of singing and dancing is permissible. Of course, to hurl Jameson’s dictum “Always historicize!” at Edelman is disingenuous, for as I pointed out, </w:t>
      </w:r>
      <w:r w:rsidRPr="00941429">
        <w:rPr>
          <w:rStyle w:val="StyleUnderline"/>
        </w:rPr>
        <w:t>Edelman is working purely within the Lacanian parameters of the Symbolic, the Imaginary, and the force of the death drive</w:t>
      </w:r>
      <w:r w:rsidRPr="0040027F">
        <w:rPr>
          <w:sz w:val="16"/>
        </w:rPr>
        <w:t>, surging into and from within the Real. Nevertheless, t</w:t>
      </w:r>
      <w:r w:rsidRPr="00941429">
        <w:rPr>
          <w:rStyle w:val="StyleUnderline"/>
        </w:rPr>
        <w:t>he consensus that the child ought to be thought of as a Symbolic figure in the first place is a problematic effect of the centrality of</w:t>
      </w:r>
      <w:r>
        <w:rPr>
          <w:rStyle w:val="StyleUnderline"/>
        </w:rPr>
        <w:t xml:space="preserve"> </w:t>
      </w:r>
      <w:r w:rsidRPr="0040027F">
        <w:rPr>
          <w:sz w:val="16"/>
        </w:rPr>
        <w:t xml:space="preserve">No Future to </w:t>
      </w:r>
      <w:r w:rsidRPr="00941429">
        <w:rPr>
          <w:rStyle w:val="StyleUnderline"/>
        </w:rPr>
        <w:t>queer theory</w:t>
      </w:r>
      <w:r w:rsidRPr="0040027F">
        <w:rPr>
          <w:sz w:val="16"/>
        </w:rPr>
        <w:t xml:space="preserve"> and so considering Annie, for instance, as a material body and a mode of child labor </w:t>
      </w:r>
      <w:r w:rsidRPr="00941429">
        <w:rPr>
          <w:rStyle w:val="StyleUnderline"/>
        </w:rPr>
        <w:t>under a specific era of capitalism opens onto an understanding of how reproductive futurism does and does not hold in the contemporary moment.</w:t>
      </w:r>
      <w:r>
        <w:rPr>
          <w:rStyle w:val="StyleUnderline"/>
        </w:rPr>
        <w:t xml:space="preserve"> </w:t>
      </w:r>
      <w:r w:rsidRPr="00020BCD">
        <w:rPr>
          <w:rStyle w:val="StyleUnderline"/>
        </w:rPr>
        <w:t>In the twenty-first century, in other words, it might not be so profitable to “fuck Annie”</w:t>
      </w:r>
      <w:r w:rsidRPr="0040027F">
        <w:rPr>
          <w:sz w:val="16"/>
        </w:rPr>
        <w:t xml:space="preserve"> (29), </w:t>
      </w:r>
      <w:r w:rsidRPr="00020BCD">
        <w:rPr>
          <w:rStyle w:val="StyleUnderline"/>
        </w:rPr>
        <w:t>as Edelman flourishes in a rhetorical moment that ought not to be taken too seriously</w:t>
      </w:r>
      <w:r w:rsidRPr="0040027F">
        <w:rPr>
          <w:sz w:val="16"/>
        </w:rPr>
        <w:t xml:space="preserve">. More seriously, though, </w:t>
      </w:r>
      <w:r w:rsidRPr="00020BCD">
        <w:rPr>
          <w:rStyle w:val="StyleUnderline"/>
        </w:rPr>
        <w:t>his conclusion that “the Child as futurity’s emblem must die; that the future is mere repetition and just as lethal as the past</w:t>
      </w:r>
      <w:r w:rsidRPr="0040027F">
        <w:rPr>
          <w:sz w:val="16"/>
        </w:rPr>
        <w:t xml:space="preserve">” (31), </w:t>
      </w:r>
      <w:r w:rsidRPr="00941429">
        <w:rPr>
          <w:rStyle w:val="Emphasis"/>
        </w:rPr>
        <w:t>is simply not convincing from the perspective of materialism</w:t>
      </w:r>
      <w:r w:rsidRPr="0040027F">
        <w:rPr>
          <w:sz w:val="16"/>
        </w:rPr>
        <w:t xml:space="preserve">. For, I would argue, that child is dying. A slow death, too, as Berlant might put it. And </w:t>
      </w:r>
      <w:r w:rsidRPr="00941429">
        <w:rPr>
          <w:rStyle w:val="Emphasis"/>
        </w:rPr>
        <w:t>the longer that we maintain the child in queer theory as a figure, the longer we will abet an assemblage of material processes whose valuation of the future cuts us off from its immanent potential to assemble otherwise.</w:t>
      </w:r>
    </w:p>
    <w:p w:rsidR="005A160F" w:rsidRPr="00672790" w:rsidRDefault="005A160F" w:rsidP="005A160F">
      <w:pPr>
        <w:pStyle w:val="Heading3"/>
      </w:pPr>
      <w:bookmarkStart w:id="116" w:name="_Toc489139005"/>
      <w:r>
        <w:lastRenderedPageBreak/>
        <w:t>Turn: Melancholic Attachments</w:t>
      </w:r>
      <w:bookmarkEnd w:id="116"/>
    </w:p>
    <w:p w:rsidR="005A160F" w:rsidRPr="006D692E" w:rsidRDefault="005A160F" w:rsidP="005A160F">
      <w:pPr>
        <w:pStyle w:val="Heading4"/>
        <w:rPr>
          <w:rStyle w:val="Style13ptBold"/>
          <w:b/>
        </w:rPr>
      </w:pPr>
      <w:r>
        <w:rPr>
          <w:rStyle w:val="Style13ptBold"/>
          <w:b/>
        </w:rPr>
        <w:t xml:space="preserve">Queer negativity produces a melancholic attachment to marginality that restricts agency and the possibility of positive affect for producing social transformation </w:t>
      </w:r>
    </w:p>
    <w:p w:rsidR="005A160F" w:rsidRPr="00615385" w:rsidRDefault="005A160F" w:rsidP="005A160F">
      <w:pPr>
        <w:rPr>
          <w:rStyle w:val="Style13ptBold"/>
          <w:b w:val="0"/>
        </w:rPr>
      </w:pPr>
      <w:r>
        <w:rPr>
          <w:rStyle w:val="Style13ptBold"/>
        </w:rPr>
        <w:t xml:space="preserve">Bradway 17 </w:t>
      </w:r>
      <w:r w:rsidRPr="00615385">
        <w:rPr>
          <w:rStyle w:val="Style13ptBold"/>
          <w:b w:val="0"/>
          <w:sz w:val="16"/>
          <w:szCs w:val="16"/>
        </w:rPr>
        <w:t xml:space="preserve">[Tyler. Assistant Professor of English at the State University of New York (SUNY), Cortland. “Queer Exuberance: Visceral Reading and the Politics of Positive Affect.” </w:t>
      </w:r>
      <w:r w:rsidRPr="00615385">
        <w:rPr>
          <w:rStyle w:val="Style13ptBold"/>
          <w:b w:val="0"/>
          <w:i/>
          <w:sz w:val="16"/>
          <w:szCs w:val="16"/>
        </w:rPr>
        <w:t xml:space="preserve">Queer Experimental Literature: The Affective Politics of Bad Reading. </w:t>
      </w:r>
      <w:hyperlink r:id="rId31" w:history="1">
        <w:r w:rsidRPr="00615385">
          <w:rPr>
            <w:rStyle w:val="Hyperlink"/>
            <w:sz w:val="16"/>
            <w:szCs w:val="16"/>
          </w:rPr>
          <w:t>https://link.springer.com/chapter/10.1057/978-1-137-59543-0_4</w:t>
        </w:r>
      </w:hyperlink>
      <w:r w:rsidRPr="00615385">
        <w:rPr>
          <w:rStyle w:val="Style13ptBold"/>
          <w:b w:val="0"/>
          <w:sz w:val="16"/>
          <w:szCs w:val="16"/>
        </w:rPr>
        <w:t>. SH]</w:t>
      </w:r>
    </w:p>
    <w:p w:rsidR="005A160F" w:rsidRPr="006D692E" w:rsidRDefault="005A160F" w:rsidP="005A160F">
      <w:pPr>
        <w:rPr>
          <w:sz w:val="16"/>
        </w:rPr>
      </w:pPr>
      <w:r w:rsidRPr="006D692E">
        <w:rPr>
          <w:sz w:val="16"/>
        </w:rPr>
        <w:t xml:space="preserve">Must exuberance and critique be so stridently opposed? What forms of queer community can be imagined through the idioms of positive affect? Despite recent interest in affect, queer scholars have been reluctant to explore the critical agencies of positive affect.24 Butler’s short essay exemplifies the assumption that “critical politics” demystifies deceptive relations to the social. Invariably, these deceptive relations operate through happiness, love, hope, and pleasure. Eve Kosofsky </w:t>
      </w:r>
      <w:r w:rsidRPr="006D692E">
        <w:rPr>
          <w:rStyle w:val="StyleUnderline"/>
        </w:rPr>
        <w:t>Sedgwick famously challenged this binary between positive and negative affects; she identified the epistemological limitations of defining queer critique as an act of paranoid “exposure,” and</w:t>
      </w:r>
      <w:r w:rsidRPr="006D692E">
        <w:rPr>
          <w:sz w:val="16"/>
        </w:rPr>
        <w:t xml:space="preserve"> she </w:t>
      </w:r>
      <w:r w:rsidRPr="006D692E">
        <w:rPr>
          <w:rStyle w:val="StyleUnderline"/>
        </w:rPr>
        <w:t>urged queer theory to reappraise the latent agencies of reparative affects within queer activism and culture</w:t>
      </w:r>
      <w:r w:rsidRPr="006D692E">
        <w:rPr>
          <w:sz w:val="16"/>
        </w:rPr>
        <w:t xml:space="preserve">.25 Yet some of the most prominent scholars in queer theory continue to identify positive affect as the central threat to queer politics. Thus, Lee </w:t>
      </w:r>
      <w:r w:rsidRPr="006D692E">
        <w:rPr>
          <w:rStyle w:val="StyleUnderline"/>
        </w:rPr>
        <w:t>Edelman positions “compassion” at the core of his scathing critique of reproductive futurity</w:t>
      </w:r>
      <w:r w:rsidRPr="006D692E">
        <w:rPr>
          <w:sz w:val="16"/>
        </w:rPr>
        <w:t xml:space="preserve">.26 Similarly, Sara Ahmed’s The Promise of Happiness targets the rhetorical ruses of happiness that compel subjects toward heteronormative objects.27 </w:t>
      </w:r>
      <w:r w:rsidRPr="006D692E">
        <w:rPr>
          <w:rStyle w:val="StyleUnderline"/>
        </w:rPr>
        <w:t>These critiques overlook contexts in which positive affects might encode critical, political, or life-sustaining possibilities for queer subjects</w:t>
      </w:r>
      <w:r w:rsidRPr="006D692E">
        <w:rPr>
          <w:sz w:val="16"/>
        </w:rPr>
        <w:t xml:space="preserve">. Queer theory has yet to answer Michael D. Snediker’s urgent question in Queer Optimism: “[W]hat if we could … imagine happiness as theoretically mobilizable, as conceptually difficult? Which is to ask, what if happiness weren’t merely, self-reflexively happy, but interesting?”28 </w:t>
      </w:r>
      <w:r w:rsidRPr="006D692E">
        <w:rPr>
          <w:rStyle w:val="StyleUnderline"/>
        </w:rPr>
        <w:t>Queer theory’s interest in positive affect has been obstructed because it continues to represent critical agency through negation and subversion rather than affirmation and becoming.</w:t>
      </w:r>
      <w:r w:rsidRPr="006D692E">
        <w:rPr>
          <w:sz w:val="16"/>
        </w:rPr>
        <w:t xml:space="preserve">29 Undoubtedly, queer studies broke lasting ground by destigmatizing the discursive negativity that labels queer subjects as perverse.30 By recovering denigrated structures of feeling such as melancholy, queer theory articulated a powerful counterdiscourse to the rhetoric of assimilation in lesbian and gay political organizations, exemplified by “gay pride,” military enfranchisement, and marriage equality. For queer scholars, these goals represent homonormativity’s repression of queer relationality in favor of state-sanctioned social forms.31 I do not wish to diminish the drastic commodification of LGBTQ identities in recent years. Yet it is perhaps time to reflect on the consequences of queer theory’s self-positioning as a discourse of radical negativity. What is lost when queer theory opposes a fantasmatically coherent “mainstream” as its primary enemy? </w:t>
      </w:r>
      <w:r w:rsidRPr="006D692E">
        <w:rPr>
          <w:rStyle w:val="StyleUnderline"/>
        </w:rPr>
        <w:t>Queer theory might overlook opportunities to exploit and radically reimagine the partial social recognition of LGBTQ political demands</w:t>
      </w:r>
      <w:r w:rsidRPr="006D692E">
        <w:rPr>
          <w:sz w:val="16"/>
        </w:rPr>
        <w:t xml:space="preserve">. </w:t>
      </w:r>
      <w:r w:rsidRPr="006D692E">
        <w:rPr>
          <w:rStyle w:val="StyleUnderline"/>
        </w:rPr>
        <w:t>The insistence that negativity is the sole idiom for political engagement prohibits a rigorous consideration of the “successes” of LGBTQ politics</w:t>
      </w:r>
      <w:r w:rsidRPr="006D692E">
        <w:rPr>
          <w:sz w:val="16"/>
        </w:rPr>
        <w:t xml:space="preserve">, </w:t>
      </w:r>
      <w:r w:rsidRPr="006D692E">
        <w:rPr>
          <w:rStyle w:val="StyleUnderline"/>
        </w:rPr>
        <w:t>however riven these developments are</w:t>
      </w:r>
      <w:r w:rsidRPr="006D692E">
        <w:rPr>
          <w:sz w:val="16"/>
        </w:rPr>
        <w:t xml:space="preserve">. By depicting those invested in liberal LGBTQ politics as uncritically sentimental and naive, </w:t>
      </w:r>
      <w:r w:rsidRPr="006D692E">
        <w:rPr>
          <w:rStyle w:val="StyleUnderline"/>
        </w:rPr>
        <w:t>queer critics may also miss an opportunity to speak with publics that experience positive affect as complexly related to political imagination</w:t>
      </w:r>
      <w:r w:rsidRPr="006D692E">
        <w:rPr>
          <w:sz w:val="16"/>
        </w:rPr>
        <w:t xml:space="preserve">. Most importantly, </w:t>
      </w:r>
      <w:r w:rsidRPr="006D692E">
        <w:rPr>
          <w:rStyle w:val="StyleUnderline"/>
        </w:rPr>
        <w:t>queer theory overlooks how positive affects can encode desires for queer social relations in historical moments when those relations are under attack</w:t>
      </w:r>
      <w:r w:rsidRPr="006D692E">
        <w:rPr>
          <w:sz w:val="16"/>
        </w:rPr>
        <w:t xml:space="preserve">. To be able to read this complex political imagination, queer theory must pluralize the affects that count as “critical” and the ways in which affect can ignite political imagination. By doing so, queer theory can establish a more dialogic rapport with LGBTQ movements and affirm its own relations as desirable alternatives to the structures of hetero- and homonormativity. Some domains of queer theory have been skeptical about affect offering such possibilities for becoming, because queer critique has been defined as the performative subversion of discursive norms.32 Butler argues, for example, that the “critical promise of drag does not have to do with the proliferation of genders … but rather with the exposure or the failure of heterosexual regimes ever fully to legislate or contain their own ideals.”33 Here queer critique operates through a hyperbolic “allegory” that demystifies the seemingly natural connection between gender performance and biological sex. Butler cautions against imagining drag as a free field for “proliferation” because early readers interpreted her work as naively utopian in its affirmation of performative agency. Yet in the process, Butler annexes queer cultural forms whose “critical promise[s]” may not operate through subversive exposure but through creative becoming. Responding to the “foreclosure” of Deleuzian becoming in Butler’s theorization of performativity, E.L. McCallum and Mikko Tuhkanen argue that Doing away with a stable subject is thus crucial to retooling becoming in a queer way, but it’s only the first step. To imagine the new forms of relationality that queer becoming promises—or, for that matter, to fully imagine a dynamically queer becoming—calls for a reconsideration of the axes of becoming, a rethinking of the modes of temporality queers inhabit, beyond a Hegelian or even a Nietzschean or Deleuzian framework.34 Like McCallum and Tukhanen, I look to queer cultural production as a key locus for this reconsideration, but while they highlight the axis of temporality in queer becoming, I stress the axis of affect—the body’s immanent openness to qualitative change. Affect underscores the openness of the body to becoming as well as the “new forms of relationality” that incipiently emerge through queer experimentations with affect. Yet, following Brian Massumi, </w:t>
      </w:r>
      <w:r w:rsidRPr="006D692E">
        <w:rPr>
          <w:rStyle w:val="StyleUnderline"/>
        </w:rPr>
        <w:t>affect also unsettles the presumption,</w:t>
      </w:r>
      <w:r w:rsidRPr="006D692E">
        <w:rPr>
          <w:sz w:val="16"/>
        </w:rPr>
        <w:t xml:space="preserve"> central to Butlerian queer theory, </w:t>
      </w:r>
      <w:r w:rsidRPr="006D692E">
        <w:rPr>
          <w:rStyle w:val="StyleUnderline"/>
        </w:rPr>
        <w:t>that “signification or coding” precedes bodily “process</w:t>
      </w:r>
      <w:r w:rsidRPr="006D692E">
        <w:rPr>
          <w:sz w:val="16"/>
        </w:rPr>
        <w:t xml:space="preserve">.”35 </w:t>
      </w:r>
      <w:r w:rsidRPr="006D692E">
        <w:rPr>
          <w:rStyle w:val="StyleUnderline"/>
        </w:rPr>
        <w:t xml:space="preserve">By suspending the </w:t>
      </w:r>
      <w:r w:rsidRPr="006D692E">
        <w:rPr>
          <w:rStyle w:val="StyleUnderline"/>
        </w:rPr>
        <w:lastRenderedPageBreak/>
        <w:t>privilege granted to the performativity of signification, we can recover queer cultural forms—and their productions of relationality—that have failed to count as “critical” because of their investment in the creative agencies of affect.</w:t>
      </w:r>
      <w:r>
        <w:rPr>
          <w:rStyle w:val="StyleUnderline"/>
        </w:rPr>
        <w:t xml:space="preserve"> </w:t>
      </w:r>
      <w:r w:rsidRPr="006D692E">
        <w:rPr>
          <w:sz w:val="16"/>
        </w:rPr>
        <w:t xml:space="preserve">However, we cannot begin to re-evaluate the critical politics of queer affect without also suspending the priority granted to ideological critiques of affect.36 Recall, for example, Lauren Berlant’s influential claim that “psychic pain experienced by subordinated populations must be treated as ideology, not as prelapsarian knowledge or a condensed comprehensive social theory.”37 Berlant’s point is that ameliorating affect should not be substituted as the primary goal of politics; moreover, affects are underwritten by ideological attachments and fantasies that compose social relations. While I agree that “sensual experience” must not be mistaken as the endgame of politics, Berlant diminishes how </w:t>
      </w:r>
      <w:r w:rsidRPr="006D692E">
        <w:rPr>
          <w:rStyle w:val="StyleUnderline"/>
        </w:rPr>
        <w:t>affect, prior to its subjectification, has become a terrain of collective bodily struggle in the postmodern political economy</w:t>
      </w:r>
      <w:r w:rsidRPr="006D692E">
        <w:rPr>
          <w:sz w:val="16"/>
        </w:rPr>
        <w:t xml:space="preserve">.38 As Michael Hardt and Antonio Negri argue, </w:t>
      </w:r>
      <w:r w:rsidRPr="006D692E">
        <w:rPr>
          <w:rStyle w:val="StyleUnderline"/>
        </w:rPr>
        <w:t>affect is now a primary locus of value in biopolitical production</w:t>
      </w:r>
      <w:r w:rsidRPr="006D692E">
        <w:rPr>
          <w:sz w:val="16"/>
        </w:rPr>
        <w:t xml:space="preserve">.39 As examples, </w:t>
      </w:r>
      <w:r w:rsidRPr="006D692E">
        <w:rPr>
          <w:rStyle w:val="StyleUnderline"/>
        </w:rPr>
        <w:t>they cite health care workers, flight attendants, and sex workers (and I would add artists, teachers, and customer service workers) as examples of affective laborers</w:t>
      </w:r>
      <w:r w:rsidRPr="006D692E">
        <w:rPr>
          <w:sz w:val="16"/>
        </w:rPr>
        <w:t xml:space="preserve">. In each case, </w:t>
      </w:r>
      <w:r w:rsidRPr="006D692E">
        <w:rPr>
          <w:rStyle w:val="StyleUnderline"/>
        </w:rPr>
        <w:t>a central basis for their labor lies in intangible, non-discursive, and non-subjective structures of feeling</w:t>
      </w:r>
      <w:r w:rsidRPr="006D692E">
        <w:rPr>
          <w:sz w:val="16"/>
        </w:rPr>
        <w:t xml:space="preserve">. If feeling is now a crucial element of exchange, then we must expand the meaning of “political economy” to include this pre-ideological sensual domain. </w:t>
      </w:r>
      <w:r w:rsidRPr="006D692E">
        <w:rPr>
          <w:rStyle w:val="StyleUnderline"/>
        </w:rPr>
        <w:t>The affective field must be seen as a discursively constituted ideological regime, in Berlant’s sense, as well as a field of visceral intensities: the two are mutually implicated with one another; the former threads affects, forces, and bodies with words, values, and commodities</w:t>
      </w:r>
      <w:r w:rsidRPr="006D692E">
        <w:rPr>
          <w:sz w:val="16"/>
        </w:rPr>
        <w:t xml:space="preserve">. Yet the two fields exist in constant friction, with the latter perpetually unleashing its own immanent, uncaptured, and incipiently resistant lines of flight. </w:t>
      </w:r>
      <w:r w:rsidRPr="006D692E">
        <w:rPr>
          <w:rStyle w:val="StyleUnderline"/>
        </w:rPr>
        <w:t>If contemporary biopower cultivates specific associations of feeling and value for profit, then there are political stakes in deforming and realigning these sensual relations</w:t>
      </w:r>
      <w:r w:rsidRPr="006D692E">
        <w:rPr>
          <w:sz w:val="16"/>
        </w:rPr>
        <w:t xml:space="preserve">. As much as cultural production may attack ideological constructions, it also deploys affective forces that, in certain contexts, must be thought as queer modes of aesthetic agency. It may be that the aesthetic forms unleashed by postmodernism’s “waning of affect”—forms that exuberantly embrace the subject’s dispersal—can catalyze relations that counter the prevailing political economy.40 Indeed, the often-mischaracterized notion of the “waning of affect” should be understood as a newly vexed and particularly urgent locus of political struggle. </w:t>
      </w:r>
      <w:r w:rsidRPr="006D692E">
        <w:rPr>
          <w:rStyle w:val="StyleUnderline"/>
        </w:rPr>
        <w:t>The dispersal of affect into pre-subjective intensities creates an opportunity for cultural producers, particularly those who seek to counter or defuse the structures of feeling that consumer capitalism produces and enforces. First, the waning of affect implies that feeling can no longer be mapped in the narrow terms of “the subject.”</w:t>
      </w:r>
      <w:r w:rsidRPr="006D692E">
        <w:rPr>
          <w:sz w:val="16"/>
        </w:rPr>
        <w:t xml:space="preserve"> Not only does affective labor point toward the pre- and non-subjective movements of affect, </w:t>
      </w:r>
      <w:r w:rsidRPr="006D692E">
        <w:rPr>
          <w:rStyle w:val="StyleUnderline"/>
        </w:rPr>
        <w:t>it also understands corporeality itself as irreducibly relational, as queerly exposed to and implicated within the becoming of intensity as it moves among the body politic. Second, the politics of aesthetics must be thought as equally embedded in and responsive to the affective relations of the postmodern cultural economy</w:t>
      </w:r>
      <w:r w:rsidRPr="006D692E">
        <w:rPr>
          <w:sz w:val="16"/>
        </w:rPr>
        <w:t xml:space="preserve">. Art does not transcend or escape the social; it is relationally implicated within their shared ontology of affect. Therefore, queer experimental literature’s reformulation of the affective relations of reading must be thought as </w:t>
      </w:r>
      <w:r w:rsidRPr="006D692E">
        <w:rPr>
          <w:rStyle w:val="StyleUnderline"/>
        </w:rPr>
        <w:t>a micropolitics that utilizes the axis of affect to create new associations of power, desire, and value</w:t>
      </w:r>
      <w:r w:rsidRPr="006D692E">
        <w:rPr>
          <w:sz w:val="16"/>
        </w:rPr>
        <w:t xml:space="preserve">.41 If a politics of affect can enable the creation of new associations, then it is perhaps also time to rethink the affective relations that underwrite and are fostered by queer theory itself.42 For example, </w:t>
      </w:r>
      <w:r w:rsidRPr="006D692E">
        <w:rPr>
          <w:rStyle w:val="StyleUnderline"/>
        </w:rPr>
        <w:t>Wendy Brown expresses concern about the predominance of melancholia as a structure of feeling in leftist political activism and social imagination</w:t>
      </w:r>
      <w:r w:rsidRPr="006D692E">
        <w:rPr>
          <w:sz w:val="16"/>
        </w:rPr>
        <w:t xml:space="preserve">.43 Brown perceives progressives as “caught in </w:t>
      </w:r>
      <w:r w:rsidRPr="006D692E">
        <w:rPr>
          <w:rStyle w:val="StyleUnderline"/>
        </w:rPr>
        <w:t>a structure of melancholic attachment to a certain strain of [their] own dead past,” an attachment which may inadvertently buttress conservative agendas</w:t>
      </w:r>
      <w:r w:rsidRPr="006D692E">
        <w:rPr>
          <w:sz w:val="16"/>
        </w:rPr>
        <w:t xml:space="preserve">.44 To be sure, Brown acknowledges the crushing erosions of liberalism, the welfare state, the labor movement, and the discrediting of viable alternatives to capitalism.45 Yet she nonetheless worries that the feelings and sentiments—including those of sorrow, rage, and anxiety about broken promises and lost compasses—that sustain our attachments to Left analyses and Left projects ought to be examined for what they create in the way of potentially conservative and even self-destructive undersides of putatively progressive political aims.46 As anyone who has ever held a political conviction knows, </w:t>
      </w:r>
      <w:r w:rsidRPr="006D692E">
        <w:rPr>
          <w:rStyle w:val="StyleUnderline"/>
        </w:rPr>
        <w:t>feelings cannot be divorced from the work of politics</w:t>
      </w:r>
      <w:r w:rsidRPr="006D692E">
        <w:rPr>
          <w:sz w:val="16"/>
        </w:rPr>
        <w:t xml:space="preserve">—we feel rage, despair, indignation, hope, or righteous anger, and these emotions can just as easily enable as disable political action. </w:t>
      </w:r>
      <w:r w:rsidRPr="006D692E">
        <w:rPr>
          <w:rStyle w:val="StyleUnderline"/>
        </w:rPr>
        <w:t>Political actions themselves can live or die by the intensity of collective passions, rather than the relative merit of the values and issues at stake</w:t>
      </w:r>
      <w:r w:rsidRPr="006D692E">
        <w:rPr>
          <w:sz w:val="16"/>
        </w:rPr>
        <w:t xml:space="preserve">. As Brown implies, this is because </w:t>
      </w:r>
      <w:r w:rsidRPr="006D692E">
        <w:rPr>
          <w:rStyle w:val="StyleUnderline"/>
        </w:rPr>
        <w:t>emotional sentiments crystallize around and adhere to specific political attachments</w:t>
      </w:r>
      <w:r w:rsidRPr="006D692E">
        <w:rPr>
          <w:sz w:val="16"/>
        </w:rPr>
        <w:t xml:space="preserve">. Concomitantly, emotional dispositions have some, however minor, capacity to incite and sustain political intervention. </w:t>
      </w:r>
      <w:r w:rsidRPr="006D692E">
        <w:rPr>
          <w:rStyle w:val="StyleUnderline"/>
        </w:rPr>
        <w:t xml:space="preserve">If melancholic sentiments have short-circuited more radical desires for social transformation, perhaps new affective relations are required. These affective relations would have to counter a Left that, in Brown’s words, “has become more attached to its impossibility than </w:t>
      </w:r>
      <w:r w:rsidRPr="006D692E">
        <w:rPr>
          <w:rStyle w:val="StyleUnderline"/>
        </w:rPr>
        <w:lastRenderedPageBreak/>
        <w:t>to its potential fruitfulness, a Left that is most at home dwelling not in hopefulness but in its own marginality and failure.”</w:t>
      </w:r>
      <w:r w:rsidRPr="006D692E">
        <w:rPr>
          <w:sz w:val="16"/>
        </w:rPr>
        <w:t xml:space="preserve">47 </w:t>
      </w:r>
      <w:r w:rsidRPr="006D692E">
        <w:rPr>
          <w:rStyle w:val="StyleUnderline"/>
        </w:rPr>
        <w:t>The attachment to impossibility aptly captures one structure of feeling that predominates among academic idioms of queer theory, which often equates queerness itself with negativity. From within these idioms, it</w:t>
      </w:r>
      <w:r w:rsidRPr="006D692E">
        <w:rPr>
          <w:sz w:val="16"/>
        </w:rPr>
        <w:t xml:space="preserve"> sometimes </w:t>
      </w:r>
      <w:r w:rsidRPr="006D692E">
        <w:rPr>
          <w:rStyle w:val="StyleUnderline"/>
        </w:rPr>
        <w:t>seems impossible to talk hopefully and joyfully about the creative fecundity of queerness—of the pleasures, relational horizons, and social imagination that queerness brings into being and preserves against the restriction of the present</w:t>
      </w:r>
      <w:r w:rsidRPr="006D692E">
        <w:rPr>
          <w:sz w:val="16"/>
        </w:rPr>
        <w:t xml:space="preserve">. This is why this chapter and the next focus on explorations of the queerness of affirmation—not, again, to perpetuate a reductive binary between positivity and negativity but to think freshly about how </w:t>
      </w:r>
      <w:r w:rsidRPr="006D692E">
        <w:rPr>
          <w:rStyle w:val="StyleUnderline"/>
        </w:rPr>
        <w:t>the affective relations of queer critique</w:t>
      </w:r>
      <w:r w:rsidRPr="006D692E">
        <w:rPr>
          <w:sz w:val="16"/>
        </w:rPr>
        <w:t xml:space="preserve">, reconceived as also a project of affirmation, </w:t>
      </w:r>
      <w:r w:rsidRPr="006D692E">
        <w:rPr>
          <w:rStyle w:val="StyleUnderline"/>
        </w:rPr>
        <w:t>can foster horizons for queer relationality against the ascendance of homonormativity</w:t>
      </w:r>
      <w:r w:rsidRPr="006D692E">
        <w:rPr>
          <w:sz w:val="16"/>
        </w:rPr>
        <w:t>.</w:t>
      </w:r>
    </w:p>
    <w:p w:rsidR="00FE2E5A" w:rsidRDefault="00076778" w:rsidP="00076778">
      <w:pPr>
        <w:pStyle w:val="Heading3"/>
      </w:pPr>
      <w:bookmarkStart w:id="117" w:name="_Toc489139006"/>
      <w:r>
        <w:lastRenderedPageBreak/>
        <w:t>A2: Death Drive</w:t>
      </w:r>
      <w:bookmarkEnd w:id="117"/>
    </w:p>
    <w:p w:rsidR="00076778" w:rsidRDefault="00076778" w:rsidP="00076778">
      <w:pPr>
        <w:pStyle w:val="Heading4"/>
      </w:pPr>
      <w:r>
        <w:t>The death drive is nonsense---nonverifiable and no lash-out</w:t>
      </w:r>
    </w:p>
    <w:p w:rsidR="00076778" w:rsidRDefault="00076778" w:rsidP="00076778">
      <w:pPr>
        <w:rPr>
          <w:rFonts w:eastAsia="Droid Sans Fallback"/>
        </w:rPr>
      </w:pPr>
      <w:r>
        <w:rPr>
          <w:rFonts w:eastAsia="Droid Sans Fallback"/>
          <w:color w:val="00000A"/>
        </w:rPr>
        <w:t xml:space="preserve">Rob </w:t>
      </w:r>
      <w:r>
        <w:rPr>
          <w:rFonts w:eastAsia="Droid Sans Fallback"/>
          <w:b/>
          <w:bCs/>
          <w:color w:val="00000A"/>
          <w:sz w:val="26"/>
        </w:rPr>
        <w:t>Weatherill 99</w:t>
      </w:r>
      <w:r>
        <w:rPr>
          <w:rFonts w:eastAsia="Droid Sans Fallback"/>
          <w:color w:val="00000A"/>
        </w:rPr>
        <w:t>, Psychotherapist in private practice since 1978, "The Death Drive: New Life for a Dead Subject?", Google Books, p. 126-128</w:t>
      </w:r>
    </w:p>
    <w:p w:rsidR="00076778" w:rsidRPr="00C06B53" w:rsidRDefault="00076778" w:rsidP="00076778">
      <w:pPr>
        <w:ind w:right="288"/>
        <w:rPr>
          <w:rStyle w:val="StyleUnderline"/>
        </w:rPr>
      </w:pPr>
      <w:r w:rsidRPr="00C06B53">
        <w:rPr>
          <w:rFonts w:eastAsia="Times New Roman"/>
          <w:color w:val="00000A"/>
          <w:sz w:val="16"/>
        </w:rPr>
        <w:t xml:space="preserve">Ian </w:t>
      </w:r>
      <w:r w:rsidRPr="00C06B53">
        <w:rPr>
          <w:rStyle w:val="StyleUnderline"/>
        </w:rPr>
        <w:t>Suttie</w:t>
      </w:r>
      <w:r w:rsidRPr="00C06B53">
        <w:rPr>
          <w:rFonts w:eastAsia="Times New Roman"/>
          <w:color w:val="00000A"/>
          <w:sz w:val="16"/>
        </w:rPr>
        <w:t xml:space="preserve"> was the most vociferous opponent of the death instinct. He </w:t>
      </w:r>
      <w:r w:rsidRPr="00C06B53">
        <w:rPr>
          <w:rFonts w:eastAsia="Times New Roman"/>
          <w:b/>
          <w:color w:val="00000A"/>
          <w:u w:val="single"/>
        </w:rPr>
        <w:t xml:space="preserve">severely </w:t>
      </w:r>
      <w:r w:rsidRPr="00C06B53">
        <w:rPr>
          <w:rStyle w:val="StyleUnderline"/>
        </w:rPr>
        <w:t xml:space="preserve">criticised Freudian theory on a number of counts, seeing in it a personal bias, 'an expression </w:t>
      </w:r>
      <w:r w:rsidRPr="00C06B53">
        <w:rPr>
          <w:rFonts w:eastAsia="Times New Roman"/>
          <w:b/>
          <w:color w:val="00000A"/>
          <w:u w:val="single"/>
        </w:rPr>
        <w:t>of subjective antipathy in line with Freud's systematic denial of love'</w:t>
      </w:r>
      <w:r w:rsidRPr="00C06B53">
        <w:rPr>
          <w:rFonts w:eastAsia="Times New Roman"/>
          <w:color w:val="00000A"/>
          <w:sz w:val="16"/>
        </w:rPr>
        <w:t xml:space="preserve"> (Suttie 1935: 213). He viewed this as a stark contrast to psychoanalytic practice which, he argued, heals through love.</w:t>
      </w:r>
      <w:r w:rsidRPr="00C06B53">
        <w:rPr>
          <w:rFonts w:eastAsia="Times New Roman"/>
          <w:color w:val="00000A"/>
          <w:sz w:val="12"/>
        </w:rPr>
        <w:t>¶</w:t>
      </w:r>
      <w:r w:rsidRPr="00C06B53">
        <w:rPr>
          <w:rFonts w:eastAsia="Times New Roman"/>
          <w:color w:val="00000A"/>
          <w:sz w:val="16"/>
        </w:rPr>
        <w:t xml:space="preserve"> Hate, for Suttie (as for Balint, below), was connected with the extreme anxiety aroused by a threat to the child's love of the mother, rather than an end in itself. Hate is the only weapon the child has avail- able against a parent it experiences as more powerful. As Suttie suggests: </w:t>
      </w:r>
      <w:r w:rsidRPr="00C06B53">
        <w:rPr>
          <w:rStyle w:val="StyleUnderline"/>
        </w:rPr>
        <w:t>'Its purpose is not death-seeking</w:t>
      </w:r>
      <w:r w:rsidRPr="00C06B53">
        <w:rPr>
          <w:rFonts w:eastAsia="Times New Roman"/>
          <w:b/>
          <w:color w:val="00000A"/>
          <w:u w:val="single"/>
        </w:rPr>
        <w:t xml:space="preserve"> or death-dealing, </w:t>
      </w:r>
      <w:r w:rsidRPr="00C06B53">
        <w:rPr>
          <w:rStyle w:val="StyleUnderline"/>
        </w:rPr>
        <w:t>but the preservation of the self from the isolation which is</w:t>
      </w:r>
      <w:r w:rsidRPr="00C06B53">
        <w:rPr>
          <w:rFonts w:eastAsia="Times New Roman"/>
          <w:b/>
          <w:color w:val="00000A"/>
          <w:u w:val="single"/>
        </w:rPr>
        <w:t xml:space="preserve"> death'</w:t>
      </w:r>
      <w:r w:rsidRPr="00C06B53">
        <w:rPr>
          <w:rFonts w:eastAsia="Times New Roman"/>
          <w:color w:val="00000A"/>
          <w:sz w:val="16"/>
        </w:rPr>
        <w:t xml:space="preserve"> (Suttie 1935: 44).</w:t>
      </w:r>
      <w:r w:rsidRPr="00C06B53">
        <w:rPr>
          <w:rFonts w:eastAsia="Times New Roman"/>
          <w:color w:val="00000A"/>
          <w:sz w:val="12"/>
        </w:rPr>
        <w:t>¶</w:t>
      </w:r>
      <w:r w:rsidRPr="00C06B53">
        <w:rPr>
          <w:rFonts w:eastAsia="Times New Roman"/>
          <w:color w:val="00000A"/>
          <w:sz w:val="16"/>
        </w:rPr>
        <w:t xml:space="preserve"> </w:t>
      </w:r>
      <w:r w:rsidRPr="00C06B53">
        <w:rPr>
          <w:rStyle w:val="StyleUnderline"/>
        </w:rPr>
        <w:t xml:space="preserve">As a concept, the death instinct is useless, and 'doubly perverse since it is scientifically unjustified' </w:t>
      </w:r>
      <w:r w:rsidRPr="00C06B53">
        <w:rPr>
          <w:rFonts w:eastAsia="Times New Roman"/>
          <w:color w:val="00000A"/>
          <w:sz w:val="16"/>
        </w:rPr>
        <w:t xml:space="preserve">(Suttie 1935: 213). Furthermore, </w:t>
      </w:r>
      <w:r w:rsidRPr="00C06B53">
        <w:rPr>
          <w:rStyle w:val="StyleUnderline"/>
        </w:rPr>
        <w:t>Freud's account of its origin is unempirical; he asks us to imagine, in 'scientific terms', that atoms have an 'anti-social' organisation and attempt to pursue death. The theory flies in the face of evolution, despite its evocation of physiological processes such as catabolism. It makes no sense because</w:t>
      </w:r>
      <w:r w:rsidRPr="00C06B53">
        <w:rPr>
          <w:rFonts w:eastAsia="Times New Roman"/>
          <w:color w:val="00000A"/>
          <w:sz w:val="16"/>
        </w:rPr>
        <w:t>—Suttie repeatedly stressed—</w:t>
      </w:r>
      <w:r w:rsidRPr="00C06B53">
        <w:rPr>
          <w:rStyle w:val="StyleUnderline"/>
        </w:rPr>
        <w:t>love and hate are motivations of a whole organism, not of particles or of physiological</w:t>
      </w:r>
      <w:r w:rsidRPr="00C06B53">
        <w:rPr>
          <w:rFonts w:eastAsia="Times New Roman"/>
          <w:b/>
          <w:color w:val="00000A"/>
          <w:u w:val="single"/>
        </w:rPr>
        <w:t xml:space="preserve"> functions</w:t>
      </w:r>
      <w:r w:rsidRPr="00C06B53">
        <w:rPr>
          <w:rFonts w:eastAsia="Times New Roman"/>
          <w:color w:val="00000A"/>
          <w:sz w:val="16"/>
        </w:rPr>
        <w:t>.</w:t>
      </w:r>
      <w:r w:rsidRPr="00C06B53">
        <w:rPr>
          <w:rFonts w:eastAsia="Times New Roman"/>
          <w:color w:val="00000A"/>
          <w:sz w:val="12"/>
        </w:rPr>
        <w:t>¶</w:t>
      </w:r>
      <w:r w:rsidRPr="00C06B53">
        <w:rPr>
          <w:rFonts w:eastAsia="Times New Roman"/>
          <w:color w:val="00000A"/>
          <w:sz w:val="16"/>
        </w:rPr>
        <w:t xml:space="preserve"> As well as the apparent split between Freudian theory and practice, </w:t>
      </w:r>
      <w:r w:rsidRPr="00C06B53">
        <w:rPr>
          <w:rFonts w:eastAsia="Times New Roman"/>
          <w:b/>
          <w:color w:val="00000A"/>
          <w:u w:val="single"/>
        </w:rPr>
        <w:t xml:space="preserve">Suttie focused </w:t>
      </w:r>
      <w:r w:rsidRPr="00C06B53">
        <w:rPr>
          <w:rStyle w:val="StyleUnderline"/>
        </w:rPr>
        <w:t>on the contradiction inherent in the theory itself. The supposed seeking for a return to an inanimate existence</w:t>
      </w:r>
      <w:r w:rsidRPr="00C06B53">
        <w:rPr>
          <w:rFonts w:eastAsia="Times New Roman"/>
          <w:color w:val="00000A"/>
          <w:sz w:val="16"/>
        </w:rPr>
        <w:t xml:space="preserve">, which Freud postulated, </w:t>
      </w:r>
      <w:r w:rsidRPr="00C06B53">
        <w:rPr>
          <w:rStyle w:val="StyleUnderline"/>
        </w:rPr>
        <w:t>is also assumed to be projected outwards in</w:t>
      </w:r>
      <w:r w:rsidRPr="00C06B53">
        <w:rPr>
          <w:rFonts w:eastAsia="Times New Roman"/>
          <w:b/>
          <w:color w:val="00000A"/>
          <w:u w:val="single"/>
        </w:rPr>
        <w:t xml:space="preserve"> order to protect primary narcissism. The death wish thus 'becomes death-dealing rather than dissolution seeking, i.e. anger rather than desire'</w:t>
      </w:r>
      <w:r w:rsidRPr="00C06B53">
        <w:rPr>
          <w:rFonts w:eastAsia="Times New Roman"/>
          <w:color w:val="00000A"/>
          <w:sz w:val="16"/>
        </w:rPr>
        <w:t xml:space="preserve"> (Suttie 1935:215). Klein's personal response to his attack on the validity of the death instinct, Suttie claims, was to ask 'What does it matter?' (Suttie 1935: 215). This only added fuel to Suttie's suspicion that </w:t>
      </w:r>
      <w:r w:rsidRPr="00C06B53">
        <w:rPr>
          <w:rStyle w:val="StyleUnderline"/>
        </w:rPr>
        <w:t>the death instinct is pure fantasy, a speculation, a meaningless and absurd abstraction.¶ Other commentators, besides Suttie, have noted the gap between theory and practice i</w:t>
      </w:r>
      <w:r w:rsidRPr="00C06B53">
        <w:rPr>
          <w:rFonts w:eastAsia="Times New Roman"/>
          <w:b/>
          <w:color w:val="00000A"/>
          <w:u w:val="single"/>
        </w:rPr>
        <w:t>n relation to the death instinct</w:t>
      </w:r>
      <w:r w:rsidRPr="00C06B53">
        <w:rPr>
          <w:rFonts w:eastAsia="Times New Roman"/>
          <w:color w:val="00000A"/>
          <w:sz w:val="16"/>
        </w:rPr>
        <w:t xml:space="preserve">. It is apparent that </w:t>
      </w:r>
      <w:r w:rsidRPr="00C06B53">
        <w:rPr>
          <w:rFonts w:eastAsia="Times New Roman"/>
          <w:b/>
          <w:color w:val="00000A"/>
          <w:u w:val="single"/>
        </w:rPr>
        <w:t>Freud never made the death instinct a sine qua non in clinical work</w:t>
      </w:r>
      <w:r w:rsidRPr="00C06B53">
        <w:rPr>
          <w:rFonts w:eastAsia="Times New Roman"/>
          <w:color w:val="00000A"/>
          <w:sz w:val="16"/>
        </w:rPr>
        <w:t xml:space="preserve">, as he did with sexuality, the Oedipus Complex, and other mental mechanisms. </w:t>
      </w:r>
      <w:r w:rsidRPr="00C06B53">
        <w:rPr>
          <w:rStyle w:val="StyleUnderline"/>
        </w:rPr>
        <w:t>The death instinct is clinically silent. Freud</w:t>
      </w:r>
      <w:r w:rsidRPr="00C06B53">
        <w:rPr>
          <w:rFonts w:eastAsia="Times New Roman"/>
          <w:b/>
          <w:color w:val="00000A"/>
          <w:u w:val="single"/>
        </w:rPr>
        <w:t xml:space="preserve"> himself acknowledged the uncertainty of his speculations</w:t>
      </w:r>
      <w:r w:rsidRPr="00C06B53">
        <w:rPr>
          <w:rFonts w:eastAsia="Times New Roman"/>
          <w:color w:val="00000A"/>
          <w:sz w:val="16"/>
        </w:rPr>
        <w:t xml:space="preserve">, of his borrowings from biol- ogy, and the possibility of abandoning the hypothesis in the future. Perhaps Freud's isolated position as a pioneer, and therefore vulnera- ble to dissension from his followers, over-determined his need to con- firm drive theories through biological principles. </w:t>
      </w:r>
      <w:r w:rsidRPr="00C06B53">
        <w:rPr>
          <w:rStyle w:val="StyleUnderline"/>
        </w:rPr>
        <w:t>His death instinct theory was more likely determined by his need to maintain a basic dualism of instincts in his theory, by his own fear of death, and his experiences of the horror of aggression in the First World War.</w:t>
      </w:r>
    </w:p>
    <w:p w:rsidR="00076778" w:rsidRPr="00C06B53" w:rsidRDefault="00076778" w:rsidP="00076778">
      <w:pPr>
        <w:pStyle w:val="Heading4"/>
      </w:pPr>
      <w:r w:rsidRPr="00C06B53">
        <w:t>Accepting the death drives obliterates ethics and agency</w:t>
      </w:r>
    </w:p>
    <w:p w:rsidR="00076778" w:rsidRPr="00C06B53" w:rsidRDefault="00076778" w:rsidP="00076778">
      <w:r w:rsidRPr="00C06B53">
        <w:rPr>
          <w:rStyle w:val="Heading4Char"/>
        </w:rPr>
        <w:t>Lear 2000</w:t>
      </w:r>
      <w:r w:rsidRPr="00C06B53">
        <w:rPr>
          <w:b/>
          <w:sz w:val="16"/>
        </w:rPr>
        <w:t xml:space="preserve"> </w:t>
      </w:r>
      <w:r w:rsidRPr="00C06B53">
        <w:rPr>
          <w:sz w:val="16"/>
        </w:rPr>
        <w:t>Jonathan Lear, Philosophy Professor at the University of Chicago, 2000</w:t>
      </w:r>
      <w:r w:rsidRPr="00C06B53">
        <w:t xml:space="preserve">, </w:t>
      </w:r>
      <w:r w:rsidRPr="00C06B53">
        <w:rPr>
          <w:sz w:val="16"/>
        </w:rPr>
        <w:t>Happiness, Death, and the Remainder of Life, Page 131-132</w:t>
      </w:r>
    </w:p>
    <w:p w:rsidR="00076778" w:rsidRPr="00C06B53" w:rsidRDefault="00076778" w:rsidP="00076778">
      <w:r w:rsidRPr="00C06B53">
        <w:rPr>
          <w:sz w:val="16"/>
        </w:rPr>
        <w:t>By 1920 Freud is ready to break up what he has come to see as a fantasized unity of mental functioning. The mind can no longer be understood in terms of the pleasure principle, but instead of living with the gap, he posits a “beyond.”</w:t>
      </w:r>
      <w:r w:rsidRPr="00C06B53">
        <w:rPr>
          <w:sz w:val="16"/>
          <w:shd w:val="clear" w:color="auto" w:fill="FFFF00"/>
        </w:rPr>
        <w:t xml:space="preserve"> </w:t>
      </w:r>
      <w:r w:rsidRPr="00C06B53">
        <w:rPr>
          <w:sz w:val="16"/>
        </w:rPr>
        <w:t>It is in this way that Freud takes himself to be explaining aggression.</w:t>
      </w:r>
      <w:r w:rsidRPr="00C06B53">
        <w:rPr>
          <w:sz w:val="16"/>
          <w:shd w:val="clear" w:color="auto" w:fill="FFFF00"/>
        </w:rPr>
        <w:t xml:space="preserve"> </w:t>
      </w:r>
      <w:r w:rsidRPr="00C06B53">
        <w:rPr>
          <w:rStyle w:val="StyleUnderline"/>
        </w:rPr>
        <w:t>Aggression is now interpreted as the death drive diverted outward. It is precisely this move which locks us into an inescapably negative teleogy.</w:t>
      </w:r>
      <w:r w:rsidRPr="00C06B53">
        <w:rPr>
          <w:sz w:val="16"/>
        </w:rPr>
        <w:t xml:space="preserve"> Let us just assume (for the sake of argument, though I think it true) that humans are aggressive animals, and that dealing with human aggression is a serious psychological and social problem. The question remains: </w:t>
      </w:r>
      <w:r w:rsidRPr="00C06B53">
        <w:rPr>
          <w:rStyle w:val="UnderliningChar"/>
          <w:rFonts w:eastAsia="Cambria"/>
        </w:rPr>
        <w:t>how might one deal with it?</w:t>
      </w:r>
      <w:r w:rsidRPr="00C06B53">
        <w:rPr>
          <w:sz w:val="16"/>
        </w:rPr>
        <w:t xml:space="preserve"> But </w:t>
      </w:r>
      <w:r w:rsidRPr="00C06B53">
        <w:rPr>
          <w:rStyle w:val="UnderliningChar"/>
          <w:rFonts w:eastAsia="Cambria"/>
        </w:rPr>
        <w:t>if</w:t>
      </w:r>
      <w:r w:rsidRPr="00C06B53">
        <w:rPr>
          <w:sz w:val="16"/>
        </w:rPr>
        <w:t xml:space="preserve">, as Freud does, </w:t>
      </w:r>
      <w:r w:rsidRPr="00C06B53">
        <w:rPr>
          <w:rStyle w:val="UnderliningChar"/>
          <w:rFonts w:eastAsia="Cambria"/>
        </w:rPr>
        <w:t>one interprets aggression as the most obvious manifestation of one of the two primordial forces in the universe</w:t>
      </w:r>
      <w:r w:rsidRPr="00C06B53">
        <w:rPr>
          <w:sz w:val="16"/>
        </w:rPr>
        <w:t xml:space="preserve">, the answer would seem to be: </w:t>
      </w:r>
      <w:r w:rsidRPr="00C06B53">
        <w:rPr>
          <w:rStyle w:val="UnderliningChar"/>
          <w:rFonts w:eastAsia="Cambria"/>
        </w:rPr>
        <w:t>there is no successful way</w:t>
      </w:r>
      <w:r w:rsidRPr="00C06B53">
        <w:rPr>
          <w:sz w:val="16"/>
        </w:rPr>
        <w:t xml:space="preserve">. My first inclination is to say that </w:t>
      </w:r>
      <w:r w:rsidRPr="00C06B53">
        <w:rPr>
          <w:rStyle w:val="UnderliningChar"/>
          <w:rFonts w:eastAsia="Cambria"/>
        </w:rPr>
        <w:t>this leads to a pessimistic view of the human condition</w:t>
      </w:r>
      <w:r w:rsidRPr="00C06B53">
        <w:rPr>
          <w:sz w:val="16"/>
        </w:rPr>
        <w:t xml:space="preserve">; but this isn’t really the issue. My second inclination is to say </w:t>
      </w:r>
      <w:r w:rsidRPr="00C06B53">
        <w:rPr>
          <w:rStyle w:val="UnderliningChar"/>
          <w:rFonts w:eastAsia="Cambria"/>
        </w:rPr>
        <w:t>it leads to a limited view of the human condition</w:t>
      </w:r>
      <w:r w:rsidRPr="00C06B53">
        <w:rPr>
          <w:sz w:val="16"/>
        </w:rPr>
        <w:t>; but even this doesn’t get to the heart of the problem</w:t>
      </w:r>
      <w:r w:rsidRPr="00C06B53">
        <w:rPr>
          <w:rStyle w:val="StyleUnderline"/>
        </w:rPr>
        <w:t xml:space="preserve">. The point here is not to endorse an ontic optimism – that if we didn’t adopt this view, we could shape life in nonaggressive ways – but to confront an ontological insight: that Freud’s interpretation is an instance of bad faith. The metaphysical basicness of the death </w:t>
      </w:r>
      <w:r w:rsidRPr="00C06B53">
        <w:rPr>
          <w:rStyle w:val="StyleUnderline"/>
        </w:rPr>
        <w:lastRenderedPageBreak/>
        <w:t>drive implies a kind of metaphysical intractability t</w:t>
      </w:r>
      <w:r w:rsidRPr="00C06B53">
        <w:rPr>
          <w:rStyle w:val="UnderliningChar"/>
          <w:rFonts w:eastAsia="Cambria"/>
        </w:rPr>
        <w:t>o the phenomenon of human aggression.</w:t>
      </w:r>
      <w:r w:rsidRPr="00C06B53">
        <w:rPr>
          <w:sz w:val="16"/>
        </w:rPr>
        <w:t xml:space="preserve"> As a matter of empirical fact, humans may be aggressive animals – and the fact of human aggression may be difficult to deal with. It may be experienced as intractable</w:t>
      </w:r>
      <w:r w:rsidRPr="00C06B53">
        <w:rPr>
          <w:rStyle w:val="UnderliningChar"/>
          <w:rFonts w:eastAsia="Cambria"/>
        </w:rPr>
        <w:t xml:space="preserve">. </w:t>
      </w:r>
      <w:r w:rsidRPr="00C06B53">
        <w:rPr>
          <w:rStyle w:val="StyleUnderline"/>
        </w:rPr>
        <w:t>But to raise this purported intractability to a metaphysical principle is to obliterate the question of responsibility. And it is to cover o</w:t>
      </w:r>
      <w:r w:rsidRPr="00C06B53">
        <w:rPr>
          <w:rStyle w:val="UnderliningChar"/>
          <w:rFonts w:eastAsia="Cambria"/>
        </w:rPr>
        <w:t>ver</w:t>
      </w:r>
      <w:r w:rsidRPr="00C06B53">
        <w:rPr>
          <w:sz w:val="16"/>
        </w:rPr>
        <w:t xml:space="preserve"> – by precluding – </w:t>
      </w:r>
      <w:r w:rsidRPr="00C06B53">
        <w:rPr>
          <w:rStyle w:val="UnderliningChar"/>
          <w:rFonts w:eastAsia="Cambria"/>
        </w:rPr>
        <w:t>what might turn out to be a significant empirical possibilities.</w:t>
      </w:r>
    </w:p>
    <w:p w:rsidR="00076778" w:rsidRPr="00076778" w:rsidRDefault="00076778" w:rsidP="00076778"/>
    <w:p w:rsidR="006506E5" w:rsidRDefault="006506E5" w:rsidP="006506E5">
      <w:pPr>
        <w:pStyle w:val="Heading2"/>
      </w:pPr>
      <w:bookmarkStart w:id="118" w:name="_Toc489139007"/>
      <w:r>
        <w:lastRenderedPageBreak/>
        <w:t>Failure</w:t>
      </w:r>
      <w:bookmarkEnd w:id="118"/>
    </w:p>
    <w:p w:rsidR="006506E5" w:rsidRDefault="006506E5" w:rsidP="006506E5">
      <w:r>
        <w:t xml:space="preserve"> </w:t>
      </w:r>
    </w:p>
    <w:p w:rsidR="00437DF8" w:rsidRPr="00672790" w:rsidRDefault="00437DF8" w:rsidP="00437DF8">
      <w:pPr>
        <w:pStyle w:val="Heading3"/>
      </w:pPr>
      <w:bookmarkStart w:id="119" w:name="_Toc489139008"/>
      <w:r w:rsidRPr="00672790">
        <w:lastRenderedPageBreak/>
        <w:t>Perm</w:t>
      </w:r>
      <w:r w:rsidR="0012172B">
        <w:t xml:space="preserve">: </w:t>
      </w:r>
      <w:r w:rsidRPr="00672790">
        <w:t>Positive Affect</w:t>
      </w:r>
      <w:bookmarkEnd w:id="119"/>
    </w:p>
    <w:p w:rsidR="00437DF8" w:rsidRPr="003F534F" w:rsidRDefault="00437DF8" w:rsidP="00437DF8">
      <w:pPr>
        <w:pStyle w:val="Heading4"/>
        <w:rPr>
          <w:rStyle w:val="Style13ptBold"/>
          <w:b/>
        </w:rPr>
      </w:pPr>
      <w:r w:rsidRPr="003F534F">
        <w:rPr>
          <w:rStyle w:val="Style13ptBold"/>
          <w:b/>
        </w:rPr>
        <w:t xml:space="preserve">Queer negativity locks in a neoliberal present—engaging a combination of positive and negative affects is necessary to open up new forms of relationality </w:t>
      </w:r>
    </w:p>
    <w:p w:rsidR="00437DF8" w:rsidRPr="00615385" w:rsidRDefault="00437DF8" w:rsidP="00437DF8">
      <w:pPr>
        <w:rPr>
          <w:rStyle w:val="Style13ptBold"/>
          <w:b w:val="0"/>
        </w:rPr>
      </w:pPr>
      <w:r>
        <w:rPr>
          <w:rStyle w:val="Style13ptBold"/>
        </w:rPr>
        <w:t xml:space="preserve">Bradway 17 </w:t>
      </w:r>
      <w:r w:rsidRPr="00615385">
        <w:rPr>
          <w:rStyle w:val="Style13ptBold"/>
          <w:b w:val="0"/>
          <w:sz w:val="16"/>
          <w:szCs w:val="16"/>
        </w:rPr>
        <w:t xml:space="preserve">[Tyler. Assistant Professor of English at the State University of New York (SUNY), Cortland. “Queer Exuberance: Visceral Reading and the Politics of Positive Affect.” </w:t>
      </w:r>
      <w:r w:rsidRPr="00615385">
        <w:rPr>
          <w:rStyle w:val="Style13ptBold"/>
          <w:b w:val="0"/>
          <w:i/>
          <w:sz w:val="16"/>
          <w:szCs w:val="16"/>
        </w:rPr>
        <w:t xml:space="preserve">Queer Experimental Literature: The Affective Politics of Bad Reading. </w:t>
      </w:r>
      <w:hyperlink r:id="rId32" w:history="1">
        <w:r w:rsidRPr="00615385">
          <w:rPr>
            <w:rStyle w:val="Hyperlink"/>
            <w:sz w:val="16"/>
            <w:szCs w:val="16"/>
          </w:rPr>
          <w:t>https://link.springer.com/chapter/10.1057/978-1-137-59543-0_4</w:t>
        </w:r>
      </w:hyperlink>
      <w:r w:rsidRPr="00615385">
        <w:rPr>
          <w:rStyle w:val="Style13ptBold"/>
          <w:b w:val="0"/>
          <w:sz w:val="16"/>
          <w:szCs w:val="16"/>
        </w:rPr>
        <w:t>. SH]</w:t>
      </w:r>
    </w:p>
    <w:p w:rsidR="00437DF8" w:rsidRPr="003F534F" w:rsidRDefault="00437DF8" w:rsidP="00437DF8">
      <w:pPr>
        <w:rPr>
          <w:rStyle w:val="StyleUnderline"/>
        </w:rPr>
      </w:pPr>
      <w:r w:rsidRPr="003F534F">
        <w:rPr>
          <w:rStyle w:val="StyleUnderline"/>
        </w:rPr>
        <w:t>Winterson</w:t>
      </w:r>
      <w:r w:rsidRPr="003F534F">
        <w:rPr>
          <w:sz w:val="16"/>
        </w:rPr>
        <w:t xml:space="preserve"> rejects this identitarian foundation for queer literature and </w:t>
      </w:r>
      <w:r w:rsidRPr="003F534F">
        <w:rPr>
          <w:rStyle w:val="StyleUnderline"/>
        </w:rPr>
        <w:t>re-locates</w:t>
      </w:r>
      <w:r w:rsidRPr="003F534F">
        <w:rPr>
          <w:sz w:val="16"/>
        </w:rPr>
        <w:t xml:space="preserve"> its </w:t>
      </w:r>
      <w:r w:rsidRPr="003F534F">
        <w:rPr>
          <w:rStyle w:val="StyleUnderline"/>
        </w:rPr>
        <w:t>queerness in the pre-subjective affective relations that emerge between readers and art objects; these visceral relations compel the emergence of</w:t>
      </w:r>
      <w:r w:rsidRPr="003F534F">
        <w:rPr>
          <w:sz w:val="16"/>
        </w:rPr>
        <w:t xml:space="preserve"> what I call Winterson’s </w:t>
      </w:r>
      <w:r w:rsidRPr="003F534F">
        <w:rPr>
          <w:rStyle w:val="Emphasis"/>
        </w:rPr>
        <w:t>queer exuberance</w:t>
      </w:r>
      <w:r w:rsidRPr="003F534F">
        <w:rPr>
          <w:rStyle w:val="StyleUnderline"/>
        </w:rPr>
        <w:t>: the body’s incipient opening toward social forms of queer relationality that oppose the biopolitical regimentation of sexual identity</w:t>
      </w:r>
      <w:r w:rsidRPr="003F534F">
        <w:rPr>
          <w:sz w:val="16"/>
        </w:rPr>
        <w:t xml:space="preserve">. The personal is therefore not the end point of Winterson’s affective politics. On the contrary, </w:t>
      </w:r>
      <w:r w:rsidRPr="003F534F">
        <w:rPr>
          <w:rStyle w:val="StyleUnderline"/>
        </w:rPr>
        <w:t>the pre-personal realm of affect is the starting point for glimpsing queer relationality in a historical moment otherwise committed to its privatization</w:t>
      </w:r>
      <w:r w:rsidRPr="003F534F">
        <w:rPr>
          <w:sz w:val="16"/>
        </w:rPr>
        <w:t xml:space="preserve">. My approach to queer exuberance breaks, in particular, with theories of political affect that emphasize the inherent “cruelness” of positive affects. In these narratives, positive affects function as deceptively false promises that fuse subjects to hetero- and homonormative ideologies and thereby obstruct a radical queer politics. </w:t>
      </w:r>
      <w:r w:rsidRPr="003F534F">
        <w:rPr>
          <w:rStyle w:val="StyleUnderline"/>
        </w:rPr>
        <w:t>Queer exuberance acknowledges the danger of drawing on idioms of affect that have been so fruitful for homonormativity’s recuperation of the social order, but it also refuses to leave those terms uncontested; to do so reproduces a binary that stigmatizes positivity as a degraded form of subjective knowledge</w:t>
      </w:r>
      <w:r w:rsidRPr="003F534F">
        <w:rPr>
          <w:sz w:val="16"/>
        </w:rPr>
        <w:t>—indeed, as only false consciousness—</w:t>
      </w:r>
      <w:r w:rsidRPr="003F534F">
        <w:rPr>
          <w:rStyle w:val="StyleUnderline"/>
        </w:rPr>
        <w:t>and it ignores that both positive and negative affects are complexly soldered to neoliberalism’s economy of values</w:t>
      </w:r>
      <w:r w:rsidRPr="003F534F">
        <w:rPr>
          <w:sz w:val="16"/>
        </w:rPr>
        <w:t xml:space="preserve">. It is important to remember that Winterson’s audience is primarily a mainstream public that is undoubtedly familiar with—and perhaps even moved by—the idioms of homonormative sentimentality. My claim is that Winterson develops a complex affective relation with these publics, </w:t>
      </w:r>
      <w:r w:rsidRPr="003F534F">
        <w:rPr>
          <w:rStyle w:val="StyleUnderline"/>
        </w:rPr>
        <w:t>speaking in the idiom of positive affect but radically queering its underlying political imaginary</w:t>
      </w:r>
      <w:r w:rsidRPr="003F534F">
        <w:rPr>
          <w:sz w:val="16"/>
        </w:rPr>
        <w:t>. To be sure, queer exuberance doe</w:t>
      </w:r>
      <w:r w:rsidRPr="003F534F">
        <w:rPr>
          <w:rStyle w:val="StyleUnderline"/>
        </w:rPr>
        <w:t xml:space="preserve">s not disavow or attempt to transcend negativity or trauma, as homonormativity does; it maintains an irreducible relationship to queer histories of hurt. </w:t>
      </w:r>
      <w:r w:rsidRPr="003F534F">
        <w:rPr>
          <w:sz w:val="16"/>
        </w:rPr>
        <w:t xml:space="preserve">At the same time, it worries that the </w:t>
      </w:r>
      <w:r w:rsidRPr="003F534F">
        <w:rPr>
          <w:rStyle w:val="StyleUnderline"/>
        </w:rPr>
        <w:t>affirmation of negative affects can fail to adequately combat neoliberalism’s structure of feeling, in which melancholy, depression, anxiety, and fear restrict the desire for queer becoming, for an exuberant social imagination that looks beyond the constricted present</w:t>
      </w:r>
      <w:r w:rsidRPr="003F534F">
        <w:rPr>
          <w:sz w:val="16"/>
        </w:rPr>
        <w:t xml:space="preserve">.14 In my epigraph, taken from Winterson’s science fiction novel The Stone Gods, the narrator hesitates about the possibility of an affective idiom that can contest the forces that reproduce the future as mortifying sameness. To embrace love as an “intervention,” when read literally, smacks of the privatizing sentimentality that many critics disdain. Yet </w:t>
      </w:r>
      <w:r w:rsidRPr="003F534F">
        <w:rPr>
          <w:rStyle w:val="StyleUnderline"/>
        </w:rPr>
        <w:t>the narrator desires an idiom of queer exuberance that breaks from patriarchal romance and consumer sentimentality. Such an idiom would function as more than a signifier—it would intervene as an affective force of becoming itself, making a future for the emergence of queer relationality possible.</w:t>
      </w:r>
    </w:p>
    <w:p w:rsidR="00437DF8" w:rsidRDefault="00437DF8" w:rsidP="00437DF8"/>
    <w:p w:rsidR="00437DF8" w:rsidRDefault="00437DF8" w:rsidP="00437DF8"/>
    <w:p w:rsidR="00437DF8" w:rsidRPr="00672790" w:rsidRDefault="00437DF8" w:rsidP="00437DF8">
      <w:pPr>
        <w:pStyle w:val="Heading3"/>
      </w:pPr>
      <w:bookmarkStart w:id="120" w:name="_Toc489139009"/>
      <w:r w:rsidRPr="00672790">
        <w:lastRenderedPageBreak/>
        <w:t>Link Turn</w:t>
      </w:r>
      <w:r w:rsidR="0012172B">
        <w:t xml:space="preserve">: </w:t>
      </w:r>
      <w:r w:rsidRPr="00672790">
        <w:t>Survivors Aff—Failure</w:t>
      </w:r>
      <w:bookmarkEnd w:id="120"/>
      <w:r w:rsidRPr="00672790">
        <w:t xml:space="preserve"> </w:t>
      </w:r>
    </w:p>
    <w:p w:rsidR="00437DF8" w:rsidRPr="00672790" w:rsidRDefault="00437DF8" w:rsidP="00437DF8">
      <w:pPr>
        <w:pStyle w:val="Heading4"/>
        <w:rPr>
          <w:rStyle w:val="Style13ptBold"/>
          <w:b/>
        </w:rPr>
      </w:pPr>
      <w:r w:rsidRPr="00672790">
        <w:rPr>
          <w:rStyle w:val="Style13ptBold"/>
          <w:b/>
        </w:rPr>
        <w:t>Link turn—the aff opens a new vocabulary of alternatives—your author</w:t>
      </w:r>
    </w:p>
    <w:p w:rsidR="00437DF8" w:rsidRPr="00672790" w:rsidRDefault="00437DF8" w:rsidP="00437DF8">
      <w:pPr>
        <w:rPr>
          <w:rStyle w:val="Style13ptBold"/>
          <w:b w:val="0"/>
        </w:rPr>
      </w:pPr>
      <w:r>
        <w:rPr>
          <w:rStyle w:val="Style13ptBold"/>
        </w:rPr>
        <w:t xml:space="preserve">Halberstam 12 </w:t>
      </w:r>
      <w:r w:rsidRPr="00AE5E87">
        <w:rPr>
          <w:sz w:val="16"/>
          <w:szCs w:val="16"/>
        </w:rPr>
        <w:t>[J. Jack Halberstam, professor of English at the University of Southern California</w:t>
      </w:r>
      <w:r>
        <w:rPr>
          <w:sz w:val="16"/>
          <w:szCs w:val="16"/>
        </w:rPr>
        <w:t xml:space="preserve">. “Losing Hope, Finding Nemo and Dreaming of Alternatives.” </w:t>
      </w:r>
      <w:r>
        <w:rPr>
          <w:i/>
          <w:sz w:val="16"/>
          <w:szCs w:val="16"/>
        </w:rPr>
        <w:t xml:space="preserve">Queer and Subjugated Knowledges: Generating Subversive Imaginaries. </w:t>
      </w:r>
      <w:r>
        <w:rPr>
          <w:sz w:val="16"/>
          <w:szCs w:val="16"/>
        </w:rPr>
        <w:t>Ed. Kerry H. Robinson and Cristyn Davies. Pg. 19. SH]</w:t>
      </w:r>
    </w:p>
    <w:p w:rsidR="00437DF8" w:rsidRDefault="00437DF8" w:rsidP="00437DF8">
      <w:pPr>
        <w:rPr>
          <w:rStyle w:val="Emphasis"/>
        </w:rPr>
      </w:pPr>
      <w:r w:rsidRPr="00672790">
        <w:rPr>
          <w:sz w:val="16"/>
        </w:rPr>
        <w:t xml:space="preserve">Openness: </w:t>
      </w:r>
      <w:r w:rsidRPr="00672790">
        <w:rPr>
          <w:rStyle w:val="StyleUnderline"/>
        </w:rPr>
        <w:t>Another word in our vocabularv of alternatives might be ‘</w:t>
      </w:r>
      <w:r w:rsidRPr="00672790">
        <w:rPr>
          <w:rStyle w:val="Emphasis"/>
        </w:rPr>
        <w:t>openness</w:t>
      </w:r>
      <w:r w:rsidRPr="00672790">
        <w:rPr>
          <w:rStyle w:val="StyleUnderline"/>
        </w:rPr>
        <w:t>.</w:t>
      </w:r>
      <w:r w:rsidRPr="00672790">
        <w:rPr>
          <w:sz w:val="16"/>
        </w:rPr>
        <w:t xml:space="preserve">' Here I add a non neo-libcral understanding of openness to my idea of low theory and again I draw upon the work of Stuart Hall. </w:t>
      </w:r>
      <w:r w:rsidRPr="00672790">
        <w:rPr>
          <w:rStyle w:val="StyleUnderline"/>
        </w:rPr>
        <w:t>Hall</w:t>
      </w:r>
      <w:r w:rsidRPr="00672790">
        <w:rPr>
          <w:sz w:val="16"/>
        </w:rPr>
        <w:t xml:space="preserve"> (1990b) </w:t>
      </w:r>
      <w:r w:rsidRPr="00672790">
        <w:rPr>
          <w:rStyle w:val="StyleUnderline"/>
        </w:rPr>
        <w:t>develops a notion of openness in his idea of a Marxism that cornes without guarantees,' that remains open and improvisational and that can adapt rather than form an orthodoxy</w:t>
      </w:r>
      <w:r w:rsidRPr="00672790">
        <w:rPr>
          <w:sz w:val="16"/>
        </w:rPr>
        <w:t xml:space="preserve">. </w:t>
      </w:r>
      <w:r w:rsidRPr="00672790">
        <w:rPr>
          <w:rStyle w:val="Emphasis"/>
        </w:rPr>
        <w:t>Openness is also a feature of the work of collaborative theonsts J.K. Gibson-Graham</w:t>
      </w:r>
      <w:r w:rsidRPr="00672790">
        <w:rPr>
          <w:sz w:val="16"/>
        </w:rPr>
        <w:t xml:space="preserve"> </w:t>
      </w:r>
      <w:r w:rsidRPr="00672790">
        <w:rPr>
          <w:rStyle w:val="StyleUnderline"/>
        </w:rPr>
        <w:t>who argue that Marxist theorists in particular have participated in the production of capital as a totalizing account of economic activitv that allows for nothing to stand apart from capitalism and admits to no alternatives</w:t>
      </w:r>
      <w:r w:rsidRPr="00672790">
        <w:rPr>
          <w:sz w:val="16"/>
        </w:rPr>
        <w:t xml:space="preserve">—that indeed closes down both the définition of capital and the possibility of opposition (Gibson-Graham. 2006). For Gibson-Graham, </w:t>
      </w:r>
      <w:r w:rsidRPr="00672790">
        <w:rPr>
          <w:rStyle w:val="StyleUnderline"/>
        </w:rPr>
        <w:t>the more we theorize the economy as total, dominant and ubiquitous. the more we make it so—</w:t>
      </w:r>
      <w:r w:rsidRPr="00672790">
        <w:rPr>
          <w:sz w:val="16"/>
        </w:rPr>
        <w:t xml:space="preserve">why? </w:t>
      </w:r>
      <w:r w:rsidRPr="00672790">
        <w:rPr>
          <w:rStyle w:val="StyleUnderline"/>
        </w:rPr>
        <w:t>Because</w:t>
      </w:r>
      <w:r w:rsidRPr="00672790">
        <w:rPr>
          <w:sz w:val="16"/>
        </w:rPr>
        <w:t>, as we know from Foucault</w:t>
      </w:r>
      <w:r w:rsidRPr="00672790">
        <w:rPr>
          <w:rStyle w:val="StyleUnderline"/>
        </w:rPr>
        <w:t>, there is no truth separate from the discursive formations thaï prop up truth claims and so our own discursive productions can, performatively, produce capitalist hegemonv</w:t>
      </w:r>
      <w:r w:rsidRPr="00672790">
        <w:rPr>
          <w:sz w:val="16"/>
        </w:rPr>
        <w:t xml:space="preserve"> just as our own participation in concepts like man, woman. gay and lesbian, can produce thosc as identities. </w:t>
      </w:r>
      <w:r w:rsidRPr="00672790">
        <w:rPr>
          <w:rStyle w:val="StyleUnderline"/>
        </w:rPr>
        <w:t>Openness</w:t>
      </w:r>
      <w:r w:rsidRPr="00672790">
        <w:rPr>
          <w:sz w:val="16"/>
        </w:rPr>
        <w:t xml:space="preserve"> here, as in Agamben, </w:t>
      </w:r>
      <w:r w:rsidRPr="00672790">
        <w:rPr>
          <w:rStyle w:val="StyleUnderline"/>
        </w:rPr>
        <w:t>implies a kind of arena of possibility within which surprising and non-economic relations between things, between humans and things, humans and animals and humans and machines can evolve</w:t>
      </w:r>
      <w:r>
        <w:rPr>
          <w:rStyle w:val="StyleUnderline"/>
        </w:rPr>
        <w:t>.</w:t>
      </w:r>
      <w:r w:rsidRPr="00672790">
        <w:rPr>
          <w:rStyle w:val="StyleUnderline"/>
        </w:rPr>
        <w:t xml:space="preserve"> </w:t>
      </w:r>
      <w:r w:rsidRPr="00672790">
        <w:rPr>
          <w:sz w:val="16"/>
        </w:rPr>
        <w:t xml:space="preserve">For their part. </w:t>
      </w:r>
      <w:r w:rsidRPr="00672790">
        <w:rPr>
          <w:rStyle w:val="Emphasis"/>
        </w:rPr>
        <w:t>Gibson-Graham propose that instead of resigning ourselves to capitalist hegemonv we should began to pay attention to the multiple wavs that people engage in non-capitalist and non-corporative behaviors</w:t>
      </w:r>
    </w:p>
    <w:p w:rsidR="00437DF8" w:rsidRDefault="00437DF8" w:rsidP="00437DF8">
      <w:pPr>
        <w:rPr>
          <w:rStyle w:val="Emphasis"/>
        </w:rPr>
      </w:pPr>
    </w:p>
    <w:p w:rsidR="00637D6C" w:rsidRDefault="00637D6C" w:rsidP="00637D6C">
      <w:pPr>
        <w:pStyle w:val="Heading3"/>
      </w:pPr>
      <w:bookmarkStart w:id="121" w:name="_Toc489139010"/>
      <w:r>
        <w:lastRenderedPageBreak/>
        <w:t>Turn: Degenerational Unremembering</w:t>
      </w:r>
      <w:bookmarkEnd w:id="121"/>
      <w:r>
        <w:t xml:space="preserve"> </w:t>
      </w:r>
    </w:p>
    <w:p w:rsidR="00637D6C" w:rsidRPr="00B8646B" w:rsidRDefault="00637D6C" w:rsidP="00637D6C">
      <w:pPr>
        <w:pStyle w:val="Heading4"/>
        <w:rPr>
          <w:rFonts w:eastAsia="Times New Roman"/>
        </w:rPr>
      </w:pPr>
      <w:r>
        <w:rPr>
          <w:rFonts w:eastAsia="Times New Roman"/>
        </w:rPr>
        <w:t xml:space="preserve">Alt alone is a degenerational unremebering that forgets the hopeful affects and transformative agendas of the past – the perm is a critical idealism that uses memory to create a new past  </w:t>
      </w:r>
    </w:p>
    <w:p w:rsidR="00637D6C" w:rsidRPr="00BD76B6" w:rsidRDefault="00637D6C" w:rsidP="00637D6C">
      <w:pPr>
        <w:spacing w:after="0" w:line="240" w:lineRule="auto"/>
        <w:rPr>
          <w:rFonts w:eastAsia="Times New Roman"/>
          <w:sz w:val="24"/>
          <w:szCs w:val="24"/>
        </w:rPr>
      </w:pPr>
      <w:r w:rsidRPr="00BD76B6">
        <w:rPr>
          <w:rFonts w:eastAsia="Times New Roman"/>
          <w:b/>
          <w:sz w:val="24"/>
          <w:szCs w:val="24"/>
        </w:rPr>
        <w:t>Nishant</w:t>
      </w:r>
      <w:r>
        <w:rPr>
          <w:rFonts w:eastAsia="Times New Roman"/>
          <w:b/>
          <w:sz w:val="24"/>
          <w:szCs w:val="24"/>
        </w:rPr>
        <w:t xml:space="preserve"> 14 </w:t>
      </w:r>
      <w:r>
        <w:rPr>
          <w:rFonts w:eastAsia="Times New Roman"/>
          <w:sz w:val="24"/>
          <w:szCs w:val="24"/>
        </w:rPr>
        <w:t>(</w:t>
      </w:r>
      <w:r w:rsidRPr="00BD76B6">
        <w:rPr>
          <w:rFonts w:eastAsia="Times New Roman"/>
          <w:sz w:val="24"/>
          <w:szCs w:val="24"/>
        </w:rPr>
        <w:t>Shahani</w:t>
      </w:r>
      <w:r>
        <w:rPr>
          <w:rFonts w:eastAsia="Times New Roman"/>
          <w:sz w:val="24"/>
          <w:szCs w:val="24"/>
        </w:rPr>
        <w:t xml:space="preserve"> Nishant is Associate Professor in the Department of Critical Culture, Gender, and Race Studies and American Studies Graduate Program at Washington State University</w:t>
      </w:r>
      <w:r w:rsidRPr="00BD76B6">
        <w:rPr>
          <w:rFonts w:eastAsia="Times New Roman"/>
          <w:sz w:val="24"/>
          <w:szCs w:val="24"/>
        </w:rPr>
        <w:t>,</w:t>
      </w:r>
      <w:r>
        <w:rPr>
          <w:rFonts w:eastAsia="Times New Roman"/>
          <w:sz w:val="24"/>
          <w:szCs w:val="24"/>
        </w:rPr>
        <w:t>)</w:t>
      </w:r>
      <w:r w:rsidRPr="00BD76B6">
        <w:rPr>
          <w:rFonts w:eastAsia="Times New Roman"/>
          <w:b/>
          <w:sz w:val="24"/>
          <w:szCs w:val="24"/>
        </w:rPr>
        <w:t xml:space="preserve"> </w:t>
      </w:r>
      <w:r w:rsidRPr="00BD76B6">
        <w:rPr>
          <w:rFonts w:eastAsia="Times New Roman"/>
          <w:sz w:val="24"/>
          <w:szCs w:val="24"/>
        </w:rPr>
        <w:t xml:space="preserve">"The Future Is Queer Stuff Critical Utopianism and Its Discontents." </w:t>
      </w:r>
      <w:r w:rsidRPr="00BD76B6">
        <w:rPr>
          <w:rFonts w:eastAsia="Times New Roman"/>
          <w:i/>
          <w:iCs/>
          <w:sz w:val="24"/>
          <w:szCs w:val="24"/>
        </w:rPr>
        <w:t>GLQ: A Journal of Lesbian and Gay Studies</w:t>
      </w:r>
      <w:r w:rsidRPr="00BD76B6">
        <w:rPr>
          <w:rFonts w:eastAsia="Times New Roman"/>
          <w:sz w:val="24"/>
          <w:szCs w:val="24"/>
        </w:rPr>
        <w:t xml:space="preserve"> 19.4 (2013): 545-558.</w:t>
      </w:r>
    </w:p>
    <w:p w:rsidR="00637D6C" w:rsidRDefault="00637D6C" w:rsidP="00637D6C"/>
    <w:p w:rsidR="00637D6C" w:rsidRDefault="00637D6C" w:rsidP="00637D6C">
      <w:pPr>
        <w:rPr>
          <w:rStyle w:val="StyleUnderline"/>
        </w:rPr>
      </w:pPr>
      <w:r>
        <w:t xml:space="preserve">While refusing </w:t>
      </w:r>
      <w:r w:rsidRPr="008F059F">
        <w:rPr>
          <w:rStyle w:val="StyleUnderline"/>
        </w:rPr>
        <w:t>to prescribe failure as a mode of political success, Halberstam is still invested in politicizing negative affect</w:t>
      </w:r>
      <w:r>
        <w:t xml:space="preserve"> (unlike the antipolitics of Edelman’s negativity). For example, </w:t>
      </w:r>
      <w:r w:rsidRPr="008F059F">
        <w:rPr>
          <w:rStyle w:val="StyleUnderline"/>
        </w:rPr>
        <w:t>stupidity becomes a “relaxed relation to knowing</w:t>
      </w:r>
      <w:r>
        <w:t xml:space="preserve">” (63) that allows for alternative knowledge productions, </w:t>
      </w:r>
      <w:r w:rsidRPr="008F059F">
        <w:rPr>
          <w:rStyle w:val="StyleUnderline"/>
        </w:rPr>
        <w:t>and forgetting performs a “rupture with the eternally self-generating present”</w:t>
      </w:r>
      <w:r>
        <w:t xml:space="preserve"> (70) </w:t>
      </w:r>
      <w:r w:rsidRPr="008F059F">
        <w:rPr>
          <w:rStyle w:val="StyleUnderline"/>
        </w:rPr>
        <w:t>that challenges the linear temporalities of generational repetition.</w:t>
      </w:r>
      <w:r>
        <w:t xml:space="preserve"> Thus </w:t>
      </w:r>
      <w:r w:rsidRPr="008F059F">
        <w:rPr>
          <w:rStyle w:val="StyleUnderline"/>
        </w:rPr>
        <w:t>Halberstam provocatively asks, “Can we recognize the new without discarding the old?”</w:t>
      </w:r>
      <w:r>
        <w:t xml:space="preserve"> (71). </w:t>
      </w:r>
      <w:r w:rsidRPr="008F059F">
        <w:rPr>
          <w:rStyle w:val="StyleUnderline"/>
        </w:rPr>
        <w:t>A different version of this question is posed by Christopher Castiglia and Christopher Reed in If Memory Serves</w:t>
      </w:r>
      <w:r>
        <w:t xml:space="preserve">: Gay Men, AIDS, and the Promise of the Queer Past: </w:t>
      </w:r>
      <w:r w:rsidRPr="008F059F">
        <w:rPr>
          <w:rStyle w:val="Emphasis"/>
        </w:rPr>
        <w:t>Can we remember the old in order to recognize the new</w:t>
      </w:r>
      <w:r>
        <w:t xml:space="preserve">? If </w:t>
      </w:r>
      <w:r w:rsidRPr="008F059F">
        <w:rPr>
          <w:rStyle w:val="StyleUnderline"/>
        </w:rPr>
        <w:t>Halberstam encourages a</w:t>
      </w:r>
      <w:r>
        <w:t xml:space="preserve"> politics of </w:t>
      </w:r>
      <w:r w:rsidRPr="008F059F">
        <w:rPr>
          <w:rStyle w:val="StyleUnderline"/>
        </w:rPr>
        <w:t>forgetfulness to move past mother-daughter models of feminism and oedipal dynamics, Castiglia and Reed challenge queer theory’s “traumatic turning-away” (11) from the past in its insistence on queer futurity.</w:t>
      </w:r>
      <w:r>
        <w:t xml:space="preserve"> In addition to offering valuable critiques of queer theory (including Muñoz and Halberstam), </w:t>
      </w:r>
      <w:r w:rsidRPr="00825AF8">
        <w:rPr>
          <w:rStyle w:val="StyleUnderline"/>
        </w:rPr>
        <w:t>Castiglia and Reed make a case for the political power of memory to counter what they call</w:t>
      </w:r>
      <w:r>
        <w:t xml:space="preserve"> </w:t>
      </w:r>
      <w:r w:rsidRPr="00825AF8">
        <w:rPr>
          <w:rStyle w:val="StyleUnderline"/>
        </w:rPr>
        <w:t>“degenerational unremembering”</w:t>
      </w:r>
      <w:r>
        <w:t xml:space="preserve"> (40) in If Memory Serves. </w:t>
      </w:r>
      <w:r w:rsidRPr="00825AF8">
        <w:rPr>
          <w:rStyle w:val="StyleUnderline"/>
        </w:rPr>
        <w:t>The authors</w:t>
      </w:r>
      <w:r>
        <w:t xml:space="preserve"> do not declare the postness or demise of queer theory, but c</w:t>
      </w:r>
      <w:r w:rsidRPr="00825AF8">
        <w:rPr>
          <w:rStyle w:val="StyleUnderline"/>
        </w:rPr>
        <w:t>ontextualize how it might have participated in a “prophylactic protection of the future”</w:t>
      </w:r>
      <w:r>
        <w:t xml:space="preserve"> (9) </w:t>
      </w:r>
      <w:r w:rsidRPr="00825AF8">
        <w:rPr>
          <w:rStyle w:val="StyleUnderline"/>
        </w:rPr>
        <w:t>exacerbated by the onset of AIDS. Memory and “inventive idealism”</w:t>
      </w:r>
      <w:r>
        <w:t xml:space="preserve"> (10) </w:t>
      </w:r>
      <w:r w:rsidRPr="00825AF8">
        <w:rPr>
          <w:rStyle w:val="StyleUnderline"/>
        </w:rPr>
        <w:t>become the reparative antidotes for the collective amnesia that informs the erasure of pre-AIDS gay collectivities and revolutionary countercultures</w:t>
      </w:r>
      <w:r>
        <w:t xml:space="preserve">. Thus the authors remark: </w:t>
      </w:r>
      <w:r w:rsidRPr="00825AF8">
        <w:rPr>
          <w:rStyle w:val="Emphasis"/>
        </w:rPr>
        <w:t xml:space="preserve">“Remembering the ‘sexual revolution,’ </w:t>
      </w:r>
      <w:r>
        <w:t xml:space="preserve">we suggest, </w:t>
      </w:r>
      <w:r w:rsidRPr="00825AF8">
        <w:rPr>
          <w:rStyle w:val="StyleUnderline"/>
        </w:rPr>
        <w:t>offers models of critiquing and creating pleasureable alternatives to the normative and traumatized present”</w:t>
      </w:r>
      <w:r>
        <w:t xml:space="preserve"> (11</w:t>
      </w:r>
      <w:r w:rsidRPr="00825AF8">
        <w:rPr>
          <w:rStyle w:val="StyleUnderline"/>
        </w:rPr>
        <w:t xml:space="preserve">). Castiglia and Reed, like Muñoz and Halberstam, are </w:t>
      </w:r>
      <w:r w:rsidRPr="00825AF8">
        <w:rPr>
          <w:rStyle w:val="Emphasis"/>
        </w:rPr>
        <w:t>invested in mapping ameliorative political and intellectual traditions as alternatives to queer theories of negation</w:t>
      </w:r>
      <w:r>
        <w:t xml:space="preserve">; however, </w:t>
      </w:r>
      <w:r w:rsidRPr="00825AF8">
        <w:rPr>
          <w:rStyle w:val="StyleUnderline"/>
        </w:rPr>
        <w:t>If Memory Serves offers not just a critique of antirelational logic but an analytically different alternative to the politics of critical utopianism</w:t>
      </w:r>
      <w:r>
        <w:t xml:space="preserve">. In fact, the authors argue that despite the queer critique that utopian thinkers have made of antirelational thinking, there exists an implicit relation between the two. Thus Castiglia and Reed point out: </w:t>
      </w:r>
      <w:r w:rsidRPr="00825AF8">
        <w:rPr>
          <w:rStyle w:val="StyleUnderline"/>
        </w:rPr>
        <w:t xml:space="preserve">“The dehistoricizing effect of </w:t>
      </w:r>
      <w:r>
        <w:t xml:space="preserve">(although not all) </w:t>
      </w:r>
      <w:r w:rsidRPr="00825AF8">
        <w:rPr>
          <w:rStyle w:val="StyleUnderline"/>
        </w:rPr>
        <w:t xml:space="preserve">psychoanalytical-based queer theory was to push out of critical view </w:t>
      </w:r>
      <w:r w:rsidRPr="00825AF8">
        <w:rPr>
          <w:rStyle w:val="Emphasis"/>
        </w:rPr>
        <w:t>the hopeful affects and transformative agendas of an earlier generation</w:t>
      </w:r>
      <w:r w:rsidRPr="00825AF8">
        <w:rPr>
          <w:rStyle w:val="StyleUnderline"/>
        </w:rPr>
        <w:t>,</w:t>
      </w:r>
      <w:r>
        <w:t xml:space="preserve"> </w:t>
      </w:r>
      <w:r w:rsidRPr="00825AF8">
        <w:rPr>
          <w:rStyle w:val="StyleUnderline"/>
        </w:rPr>
        <w:t xml:space="preserve">with the result that younger critics began calling for those very social and affective states in the future, </w:t>
      </w:r>
      <w:r w:rsidRPr="00825AF8">
        <w:rPr>
          <w:rStyle w:val="Emphasis"/>
        </w:rPr>
        <w:t>making futurity the displaced location of the past</w:t>
      </w:r>
      <w:r w:rsidRPr="00825AF8">
        <w:rPr>
          <w:rStyle w:val="StyleUnderline"/>
        </w:rPr>
        <w:t>”</w:t>
      </w:r>
      <w:r>
        <w:t xml:space="preserve"> (8</w:t>
      </w:r>
      <w:r w:rsidRPr="00825AF8">
        <w:rPr>
          <w:rStyle w:val="StyleUnderline"/>
        </w:rPr>
        <w:t>). Utopianism, in this context, functions like a permanently deferred replacement system, in which the activism and ideals of the sexual revolution</w:t>
      </w:r>
      <w:r>
        <w:t xml:space="preserve"> between the late 1960s and 1970s — for example, the work of Gayle Rubin, the Radical Fairies, Harry Hay, S&amp;M activists, Cherríe Moraga, Gay Liberation, Pat Califia among others — </w:t>
      </w:r>
      <w:r w:rsidRPr="00825AF8">
        <w:rPr>
          <w:rStyle w:val="StyleUnderline"/>
        </w:rPr>
        <w:t>are not only lost to the trauma of AIDS but also erased in the politics of unremembering</w:t>
      </w:r>
      <w:r>
        <w:t xml:space="preserve">. Castiglia and Reed point to the emphasis on coalitional alliances that informed the politics of the Gay Liberation Front of Los Angeles in 1969, the critiques of monogamy and family made by the Third World Gay Revolution in the early 1970s, and the connections forged between sexual </w:t>
      </w:r>
      <w:r>
        <w:lastRenderedPageBreak/>
        <w:t xml:space="preserve">normativity and private property in the writings of Radically Gay and Fag Rag. But </w:t>
      </w:r>
      <w:r w:rsidRPr="00825AF8">
        <w:rPr>
          <w:rStyle w:val="StyleUnderline"/>
        </w:rPr>
        <w:t xml:space="preserve">with the turn to pessimism that informed what the authors characterize as “first-wave queer theory” </w:t>
      </w:r>
      <w:r>
        <w:t xml:space="preserve">(155), </w:t>
      </w:r>
      <w:r w:rsidRPr="00825AF8">
        <w:rPr>
          <w:rStyle w:val="StyleUnderline"/>
        </w:rPr>
        <w:t>the political history of the sexual revolution was dismissed “as reductive, naïve, outdated, [and] tossed out with a discredited identity politics”</w:t>
      </w:r>
      <w:r>
        <w:t xml:space="preserve"> (173). </w:t>
      </w:r>
      <w:r w:rsidRPr="00825AF8">
        <w:rPr>
          <w:rStyle w:val="StyleUnderline"/>
        </w:rPr>
        <w:t>If Memory Serves</w:t>
      </w:r>
      <w:r>
        <w:t>, then</w:t>
      </w:r>
      <w:r w:rsidRPr="00825AF8">
        <w:rPr>
          <w:rStyle w:val="Emphasis"/>
        </w:rPr>
        <w:t>, returns to the pastness of the past to cull its memories for a different “now</w:t>
      </w:r>
      <w:r>
        <w:t xml:space="preserve">” — </w:t>
      </w:r>
      <w:r w:rsidRPr="00825AF8">
        <w:rPr>
          <w:rStyle w:val="Emphasis"/>
        </w:rPr>
        <w:t>a radically new present enabled by memory’s inventive and performative potential</w:t>
      </w:r>
      <w:r>
        <w:t xml:space="preserve">. </w:t>
      </w:r>
      <w:r w:rsidRPr="00825AF8">
        <w:rPr>
          <w:rStyle w:val="StyleUnderline"/>
        </w:rPr>
        <w:t xml:space="preserve">This shift away from promising a deferred future becomes </w:t>
      </w:r>
      <w:r w:rsidRPr="00825AF8">
        <w:rPr>
          <w:rStyle w:val="Emphasis"/>
        </w:rPr>
        <w:t>the crucial analytic difference between critical utopianism and a critical idealism</w:t>
      </w:r>
      <w:r w:rsidRPr="00825AF8">
        <w:rPr>
          <w:rStyle w:val="StyleUnderline"/>
        </w:rPr>
        <w:t xml:space="preserve"> through which memory is mobilized, invented, revised</w:t>
      </w:r>
      <w:r>
        <w:t xml:space="preserve">. These scenes of memory are articulated and analyzed in the book through cultural and textual sites as varied as AIDS memorials, chat rooms, sitcoms, art installations, activist pamphlets, interior designs of houses, and exterior landscapes of gay neighborhoods. Even while the framework of critical idealism departs from utopian queer theories in significant ways, Castiglia and Reed, like Muñoz, are committed to “surpassing the binary between ideality and actuality” (Muñoz, 43) in their theorization of critical idealism. If Memory Serves thus furthers the critical tradition of queer historiography that is invested in alternative models of doing the history of homosexuality. For the authors, </w:t>
      </w:r>
      <w:r w:rsidRPr="00825AF8">
        <w:rPr>
          <w:rStyle w:val="StyleUnderline"/>
        </w:rPr>
        <w:t>memory can never be a recuperative historical tool, but a profoundly creative and inventive one that exploits the productive tensions between materiality and immateriality. Castiglia and Reed insist that their mobilization of memory is not invested in the official archive of history; critical idealism does not merely “re-create the past exactly and transparently as it was” (154) but produces hybrid historiographies that fuse imagined and inventive histories in the service of the present.</w:t>
      </w:r>
    </w:p>
    <w:p w:rsidR="00637D6C" w:rsidRPr="00637D6C" w:rsidRDefault="00637D6C" w:rsidP="00637D6C"/>
    <w:p w:rsidR="00F061FE" w:rsidRDefault="006506E5" w:rsidP="008B7620">
      <w:pPr>
        <w:pStyle w:val="Heading3"/>
      </w:pPr>
      <w:bookmarkStart w:id="122" w:name="_Toc489139011"/>
      <w:r>
        <w:lastRenderedPageBreak/>
        <w:t>Turn</w:t>
      </w:r>
      <w:r w:rsidR="0012172B">
        <w:t xml:space="preserve">: </w:t>
      </w:r>
      <w:r>
        <w:t>Conservatism</w:t>
      </w:r>
      <w:bookmarkEnd w:id="122"/>
      <w:r>
        <w:t xml:space="preserve"> </w:t>
      </w:r>
    </w:p>
    <w:p w:rsidR="008B7620" w:rsidRPr="000A7007" w:rsidRDefault="008B7620" w:rsidP="008B7620">
      <w:pPr>
        <w:pStyle w:val="Heading4"/>
        <w:rPr>
          <w:rStyle w:val="Style13ptBold"/>
          <w:b/>
        </w:rPr>
      </w:pPr>
      <w:r w:rsidRPr="000A7007">
        <w:rPr>
          <w:rStyle w:val="Style13ptBold"/>
          <w:b/>
        </w:rPr>
        <w:t xml:space="preserve">Halberstam’s </w:t>
      </w:r>
      <w:r>
        <w:rPr>
          <w:rStyle w:val="Style13ptBold"/>
          <w:b/>
        </w:rPr>
        <w:t>reading of failure reinvests in conservative tropes and displaces material violence</w:t>
      </w:r>
    </w:p>
    <w:p w:rsidR="008B7620" w:rsidRPr="000A7007" w:rsidRDefault="008B7620" w:rsidP="008B7620">
      <w:pPr>
        <w:rPr>
          <w:rStyle w:val="Style13ptBold"/>
          <w:b w:val="0"/>
        </w:rPr>
      </w:pPr>
      <w:r>
        <w:rPr>
          <w:rStyle w:val="Style13ptBold"/>
        </w:rPr>
        <w:t xml:space="preserve">Brager 11 </w:t>
      </w:r>
      <w:r w:rsidRPr="000A7007">
        <w:rPr>
          <w:rStyle w:val="Style13ptBold"/>
          <w:b w:val="0"/>
          <w:sz w:val="16"/>
          <w:szCs w:val="16"/>
        </w:rPr>
        <w:t xml:space="preserve">[Jenna B. Brager. PhD candidate at Rutgers University in Women's &amp; Gender Studies. August 3, 2011. “Epic Fail.” </w:t>
      </w:r>
      <w:r w:rsidRPr="000A7007">
        <w:rPr>
          <w:rStyle w:val="Style13ptBold"/>
          <w:b w:val="0"/>
          <w:i/>
          <w:sz w:val="16"/>
          <w:szCs w:val="16"/>
        </w:rPr>
        <w:t xml:space="preserve">The New Inquiry. </w:t>
      </w:r>
      <w:hyperlink r:id="rId33" w:history="1">
        <w:r w:rsidRPr="000A7007">
          <w:rPr>
            <w:rStyle w:val="Hyperlink"/>
            <w:sz w:val="16"/>
            <w:szCs w:val="16"/>
          </w:rPr>
          <w:t>https://thenewinquiry.com/epic-fail/</w:t>
        </w:r>
      </w:hyperlink>
      <w:r w:rsidRPr="000A7007">
        <w:rPr>
          <w:rStyle w:val="Style13ptBold"/>
          <w:b w:val="0"/>
          <w:sz w:val="16"/>
          <w:szCs w:val="16"/>
        </w:rPr>
        <w:t>. SH]</w:t>
      </w:r>
    </w:p>
    <w:p w:rsidR="00E63062" w:rsidRPr="006506E5" w:rsidRDefault="008B7620" w:rsidP="00E63062">
      <w:pPr>
        <w:rPr>
          <w:sz w:val="16"/>
        </w:rPr>
      </w:pPr>
      <w:r w:rsidRPr="00EA098F">
        <w:rPr>
          <w:rStyle w:val="StyleUnderline"/>
        </w:rPr>
        <w:t>Many of the readings</w:t>
      </w:r>
      <w:r w:rsidRPr="000A7007">
        <w:rPr>
          <w:sz w:val="16"/>
        </w:rPr>
        <w:t xml:space="preserve"> out </w:t>
      </w:r>
      <w:r w:rsidRPr="00EA098F">
        <w:rPr>
          <w:rStyle w:val="StyleUnderline"/>
        </w:rPr>
        <w:t>of Halberstam’s “silly archive” are overly hopeful</w:t>
      </w:r>
      <w:r w:rsidRPr="000A7007">
        <w:rPr>
          <w:sz w:val="16"/>
        </w:rPr>
        <w:t>—</w:t>
      </w:r>
      <w:r w:rsidRPr="00EA098F">
        <w:rPr>
          <w:rStyle w:val="StyleUnderline"/>
        </w:rPr>
        <w:t>the monster-proletarians</w:t>
      </w:r>
      <w:r w:rsidRPr="000A7007">
        <w:rPr>
          <w:sz w:val="16"/>
        </w:rPr>
        <w:t xml:space="preserve"> in Monsters Inc. </w:t>
      </w:r>
      <w:r w:rsidRPr="00EA098F">
        <w:rPr>
          <w:rStyle w:val="StyleUnderline"/>
        </w:rPr>
        <w:t>may find an affinity with the children they are paid to scare, but the transition from scream factory to laugh factory is a liberal vision at best, with alternative energy pacifying the desire for alternative futures. Halberstam</w:t>
      </w:r>
      <w:r w:rsidRPr="000A7007">
        <w:rPr>
          <w:sz w:val="16"/>
        </w:rPr>
        <w:t xml:space="preserve"> asserts that the stupidity of Jesse and Chester </w:t>
      </w:r>
      <w:r w:rsidRPr="00EA098F">
        <w:rPr>
          <w:rStyle w:val="StyleUnderline"/>
        </w:rPr>
        <w:t>in Dude, Where’s My Car</w:t>
      </w:r>
      <w:r w:rsidRPr="000A7007">
        <w:rPr>
          <w:sz w:val="16"/>
        </w:rPr>
        <w:t xml:space="preserve">? represents a space of unknowing that allows for queerness—Fabio-goaded make-out sessions and transsexual strippers—but </w:t>
      </w:r>
      <w:r w:rsidRPr="00EA098F">
        <w:rPr>
          <w:rStyle w:val="StyleUnderline"/>
        </w:rPr>
        <w:t>doesn’t account for the domestic mediating presence of “the twins,” or the extended gross-out scene upon the revelation that hot stripper Tania is a “gender-challenged male,” in the character’s own words. Halberstam advocates a praxis of negativity</w:t>
      </w:r>
      <w:r w:rsidRPr="000A7007">
        <w:rPr>
          <w:sz w:val="16"/>
        </w:rPr>
        <w:t xml:space="preserve">, argues for the utility of forgetting, and valorizes self-destruction of the colonized subject and a feminine masochistic fantasy which transfers punishments “onto the body of the oppressor,” </w:t>
      </w:r>
      <w:r w:rsidRPr="00EA098F">
        <w:rPr>
          <w:rStyle w:val="StyleUnderline"/>
        </w:rPr>
        <w:t xml:space="preserve">while failing to acknowledge that there is </w:t>
      </w:r>
      <w:r w:rsidRPr="00EA098F">
        <w:rPr>
          <w:rStyle w:val="Emphasis"/>
        </w:rPr>
        <w:t>actual corporeal suffering at stake</w:t>
      </w:r>
      <w:r w:rsidRPr="000A7007">
        <w:rPr>
          <w:sz w:val="16"/>
        </w:rPr>
        <w:t>. As E. Patrick Johnson asks, “</w:t>
      </w:r>
      <w:r w:rsidRPr="00EA098F">
        <w:rPr>
          <w:rStyle w:val="StyleUnderline"/>
        </w:rPr>
        <w:t xml:space="preserve">What is the utility of queer theory on </w:t>
      </w:r>
      <w:r w:rsidRPr="00EA098F">
        <w:rPr>
          <w:rStyle w:val="Emphasis"/>
        </w:rPr>
        <w:t>the front lines, in the trenches, on the street,</w:t>
      </w:r>
      <w:r w:rsidRPr="00EA098F">
        <w:rPr>
          <w:rStyle w:val="StyleUnderline"/>
        </w:rPr>
        <w:t xml:space="preserve"> or anyplace where the racialized and sexualized body is beaten, starved, fired, cursed—indeed, </w:t>
      </w:r>
      <w:r w:rsidRPr="00EA098F">
        <w:rPr>
          <w:rStyle w:val="Emphasis"/>
        </w:rPr>
        <w:t>when the body is the site of trauma</w:t>
      </w:r>
      <w:r w:rsidRPr="00EA098F">
        <w:rPr>
          <w:rStyle w:val="StyleUnderline"/>
        </w:rPr>
        <w:t xml:space="preserve">?” Where is the radical possibility in unbecoming when you are </w:t>
      </w:r>
      <w:r w:rsidRPr="00EA098F">
        <w:rPr>
          <w:rStyle w:val="Emphasis"/>
        </w:rPr>
        <w:t>already being unmade</w:t>
      </w:r>
      <w:r w:rsidRPr="00EA098F">
        <w:rPr>
          <w:rStyle w:val="StyleUnderline"/>
        </w:rPr>
        <w:t>?</w:t>
      </w:r>
      <w:r>
        <w:rPr>
          <w:rStyle w:val="StyleUnderline"/>
        </w:rPr>
        <w:t xml:space="preserve"> </w:t>
      </w:r>
      <w:r w:rsidRPr="000A7007">
        <w:rPr>
          <w:sz w:val="16"/>
        </w:rPr>
        <w:t xml:space="preserve">Halberstam goes so far as to declare that “cutting is a feminist aesthetic proper to the project of female unbecoming.” Cutting here refers to a set of dissections that includes self-harm but also collage (an art form based on not only cutting but the act of assemblage to create a new whole). Operating from a psychoanalytic understanding and responding to the Freudian assertion of femininity as failed masculinity, </w:t>
      </w:r>
      <w:r w:rsidRPr="00EA098F">
        <w:rPr>
          <w:rStyle w:val="StyleUnderline"/>
        </w:rPr>
        <w:t>the exploration of radical passivity sets up an oddly essentialist gender dichotomy that omits an analysis of male femininity while lauding female disappearance. The dismissal of male masochism</w:t>
      </w:r>
      <w:r w:rsidRPr="000A7007">
        <w:rPr>
          <w:sz w:val="16"/>
        </w:rPr>
        <w:t xml:space="preserve"> as “a kind of heroic antiheroism” </w:t>
      </w:r>
      <w:r w:rsidRPr="00EA098F">
        <w:rPr>
          <w:rStyle w:val="StyleUnderline"/>
        </w:rPr>
        <w:t xml:space="preserve">while setting up cutting as a proper feminine aesthetic has almost </w:t>
      </w:r>
      <w:r w:rsidRPr="00EA098F">
        <w:rPr>
          <w:rStyle w:val="Emphasis"/>
        </w:rPr>
        <w:t>conservative implications</w:t>
      </w:r>
      <w:r w:rsidRPr="000A7007">
        <w:rPr>
          <w:rStyle w:val="StyleUnderline"/>
        </w:rPr>
        <w:t>. Following a certain line of popular psychology, women and girls are considered statistically more likely to engage in self-harm, while men are more likely to lash out towards an outside target; an essentialist distinction of supposedly active versus passive violence</w:t>
      </w:r>
      <w:r w:rsidRPr="000A7007">
        <w:rPr>
          <w:sz w:val="16"/>
        </w:rPr>
        <w:t xml:space="preserve">. </w:t>
      </w:r>
      <w:r w:rsidRPr="000A7007">
        <w:rPr>
          <w:rStyle w:val="StyleUnderline"/>
        </w:rPr>
        <w:t>But there is a statistically much higher rate of male self-injury in incarcerated populations</w:t>
      </w:r>
      <w:r w:rsidRPr="000A7007">
        <w:rPr>
          <w:sz w:val="16"/>
        </w:rPr>
        <w:t xml:space="preserve">, a correlation </w:t>
      </w:r>
      <w:r w:rsidRPr="000A7007">
        <w:rPr>
          <w:rStyle w:val="StyleUnderline"/>
        </w:rPr>
        <w:t>that evokes, again, the idea of “weapons of the weak” and a sort of willfully necropolitical resistance to social death rather than Halberstam’s heroic anti-heroism</w:t>
      </w:r>
      <w:r w:rsidRPr="000A7007">
        <w:rPr>
          <w:sz w:val="16"/>
        </w:rPr>
        <w:t xml:space="preserve">—operating itself from a (racialized) masculine place of powerlessness within the structure. Rather than dismissing masculine “martyrdom,” </w:t>
      </w:r>
      <w:r w:rsidRPr="000A7007">
        <w:rPr>
          <w:rStyle w:val="StyleUnderline"/>
        </w:rPr>
        <w:t>one can draw a distinction between performatively “giving up” social power and already operating from a place of powerlessness</w:t>
      </w:r>
      <w:r w:rsidRPr="000A7007">
        <w:rPr>
          <w:sz w:val="16"/>
        </w:rPr>
        <w:t>. The proper aesthetic of (feminine) self-destruction, when performed offstage, can also engage a darker failure, such as the emotional splintering under the weight of oppression—as Audre Lorde attests in the poem Who Said It Was Simple: “sometimes the branches shatter before they bear.”</w:t>
      </w:r>
    </w:p>
    <w:p w:rsidR="00E63062" w:rsidRPr="00EA098F" w:rsidRDefault="00E63062" w:rsidP="00E63062"/>
    <w:sectPr w:rsidR="00E63062" w:rsidRPr="00EA098F">
      <w:headerReference w:type="even" r:id="rId34"/>
      <w:headerReference w:type="default" r:id="rId35"/>
      <w:footerReference w:type="even" r:id="rId36"/>
      <w:footerReference w:type="default" r:id="rId37"/>
      <w:headerReference w:type="first" r:id="rId38"/>
      <w:footerReference w:type="firs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63465" w:rsidRDefault="00563465">
      <w:pPr>
        <w:spacing w:after="0" w:line="240" w:lineRule="auto"/>
      </w:pPr>
      <w:r>
        <w:separator/>
      </w:r>
    </w:p>
  </w:endnote>
  <w:endnote w:type="continuationSeparator" w:id="0">
    <w:p w:rsidR="00563465" w:rsidRDefault="005634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dobe Garamond Pro">
    <w:altName w:val="Times New Roman"/>
    <w:panose1 w:val="00000000000000000000"/>
    <w:charset w:val="00"/>
    <w:family w:val="roman"/>
    <w:notTrueType/>
    <w:pitch w:val="variable"/>
    <w:sig w:usb0="00000001" w:usb1="00000001" w:usb2="00000000" w:usb3="00000000" w:csb0="00000093"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Quadraat-t-text">
    <w:panose1 w:val="00000000000000000000"/>
    <w:charset w:val="00"/>
    <w:family w:val="roman"/>
    <w:notTrueType/>
    <w:pitch w:val="default"/>
  </w:font>
  <w:font w:name="Quadraat-ttextitalic">
    <w:panose1 w:val="00000000000000000000"/>
    <w:charset w:val="00"/>
    <w:family w:val="roman"/>
    <w:notTrueType/>
    <w:pitch w:val="default"/>
  </w:font>
  <w:font w:name="Droid Sans Fallback">
    <w:altName w:val="MS Mincho"/>
    <w:charset w:val="80"/>
    <w:family w:val="auto"/>
    <w:pitch w:val="variable"/>
  </w:font>
  <w:font w:name="Cambria">
    <w:panose1 w:val="02040503050406030204"/>
    <w:charset w:val="00"/>
    <w:family w:val="roman"/>
    <w:pitch w:val="variable"/>
    <w:sig w:usb0="E00002FF" w:usb1="400004FF" w:usb2="00000000" w:usb3="00000000" w:csb0="0000019F" w:csb1="00000000"/>
  </w:font>
  <w:font w:name="Arial Unicode MS">
    <w:altName w:val="Arial"/>
    <w:panose1 w:val="020B0604020202020204"/>
    <w:charset w:val="00"/>
    <w:family w:val="auto"/>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3D5F" w:rsidRDefault="00503D5F">
    <w:pPr>
      <w:rPr>
        <w:sz w:val="2"/>
        <w:szCs w:val="2"/>
      </w:rPr>
    </w:pPr>
    <w:r>
      <w:rPr>
        <w:noProof/>
      </w:rPr>
      <mc:AlternateContent>
        <mc:Choice Requires="wps">
          <w:drawing>
            <wp:anchor distT="0" distB="0" distL="63500" distR="63500" simplePos="0" relativeHeight="251661312" behindDoc="1" locked="0" layoutInCell="1" allowOverlap="1" wp14:anchorId="35FC2E71" wp14:editId="268E78D3">
              <wp:simplePos x="0" y="0"/>
              <wp:positionH relativeFrom="page">
                <wp:posOffset>58420</wp:posOffset>
              </wp:positionH>
              <wp:positionV relativeFrom="page">
                <wp:posOffset>16980535</wp:posOffset>
              </wp:positionV>
              <wp:extent cx="7031990" cy="309880"/>
              <wp:effectExtent l="1270" t="0" r="0" b="3175"/>
              <wp:wrapNone/>
              <wp:docPr id="2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1990"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3D5F" w:rsidRDefault="00503D5F">
                          <w:pPr>
                            <w:spacing w:line="240" w:lineRule="auto"/>
                          </w:pPr>
                          <w:r>
                            <w:t>Pasha, Mustapha Kamal, ed. Interventions : Globalization, Difference, and Human Security. Florence, KY, USA: Taylor and Francis, 2013. ProQuest ebrary. Web. 23 August 2015.</w:t>
                          </w:r>
                        </w:p>
                        <w:p w:rsidR="00503D5F" w:rsidRDefault="00503D5F">
                          <w:pPr>
                            <w:spacing w:line="240" w:lineRule="auto"/>
                          </w:pPr>
                          <w:r>
                            <w:t>Copyright © 2013. Taylor and Francis. All rights reserved.</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5FC2E71" id="_x0000_t202" coordsize="21600,21600" o:spt="202" path="m,l,21600r21600,l21600,xe">
              <v:stroke joinstyle="miter"/>
              <v:path gradientshapeok="t" o:connecttype="rect"/>
            </v:shapetype>
            <v:shape id="Text Box 6" o:spid="_x0000_s1027" type="#_x0000_t202" style="position:absolute;margin-left:4.6pt;margin-top:1337.05pt;width:553.7pt;height:24.4pt;z-index:-251655168;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" filled="f" stroked="f">
              <v:textbox style="mso-fit-shape-to-text:t" inset="0,0,0,0">
                <w:txbxContent>
                  <w:p w:rsidR="00503D5F" w:rsidRDefault="00503D5F">
                    <w:pPr>
                      <w:spacing w:line="240" w:lineRule="auto"/>
                    </w:pPr>
                    <w:r>
                      <w:t>Pasha, Mustapha Kamal, ed. Interventions : Globalization, Difference, and Human Security. Florence, KY, USA: Taylor and Francis, 2013. ProQuest ebrary. Web. 23 August 2015.</w:t>
                    </w:r>
                  </w:p>
                  <w:p w:rsidR="00503D5F" w:rsidRDefault="00503D5F">
                    <w:pPr>
                      <w:spacing w:line="240" w:lineRule="auto"/>
                    </w:pPr>
                    <w:r>
                      <w:t>Copyright © 2013. Taylor and Francis. All rights reserved.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3D5F" w:rsidRDefault="00503D5F">
    <w:pPr>
      <w:rPr>
        <w:sz w:val="2"/>
        <w:szCs w:val="2"/>
      </w:rPr>
    </w:pPr>
    <w:r>
      <w:rPr>
        <w:noProof/>
      </w:rPr>
      <mc:AlternateContent>
        <mc:Choice Requires="wps">
          <w:drawing>
            <wp:anchor distT="0" distB="0" distL="63500" distR="63500" simplePos="0" relativeHeight="251662336" behindDoc="1" locked="0" layoutInCell="1" allowOverlap="1" wp14:anchorId="42BDECFA" wp14:editId="0B3900C0">
              <wp:simplePos x="0" y="0"/>
              <wp:positionH relativeFrom="page">
                <wp:posOffset>73660</wp:posOffset>
              </wp:positionH>
              <wp:positionV relativeFrom="page">
                <wp:posOffset>16980535</wp:posOffset>
              </wp:positionV>
              <wp:extent cx="7031990" cy="309880"/>
              <wp:effectExtent l="0" t="0" r="0" b="3175"/>
              <wp:wrapNone/>
              <wp:docPr id="2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1990"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3D5F" w:rsidRDefault="00503D5F">
                          <w:pPr>
                            <w:spacing w:line="240" w:lineRule="auto"/>
                          </w:pPr>
                          <w:r>
                            <w:t>Pasha, Mustapha Kamal, ed. Interventions : Globalization, Difference, and Human Security. Florence, KY, USA: Taylor and Francis, 2013. ProQuest ebrary. Web. 23 August 2015.</w:t>
                          </w:r>
                        </w:p>
                        <w:p w:rsidR="00503D5F" w:rsidRDefault="00503D5F">
                          <w:pPr>
                            <w:spacing w:line="240" w:lineRule="auto"/>
                          </w:pPr>
                          <w:r>
                            <w:t>Copyright © 2013. Taylor and Francis. All rights reserved.</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2BDECFA" id="_x0000_t202" coordsize="21600,21600" o:spt="202" path="m,l,21600r21600,l21600,xe">
              <v:stroke joinstyle="miter"/>
              <v:path gradientshapeok="t" o:connecttype="rect"/>
            </v:shapetype>
            <v:shape id="Text Box 7" o:spid="_x0000_s1028" type="#_x0000_t202" style="position:absolute;margin-left:5.8pt;margin-top:1337.05pt;width:553.7pt;height:24.4pt;z-index:-251654144;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" filled="f" stroked="f">
              <v:textbox style="mso-fit-shape-to-text:t" inset="0,0,0,0">
                <w:txbxContent>
                  <w:p w:rsidR="00503D5F" w:rsidRDefault="00503D5F">
                    <w:pPr>
                      <w:spacing w:line="240" w:lineRule="auto"/>
                    </w:pPr>
                    <w:r>
                      <w:t>Pasha, Mustapha Kamal, ed. Interventions : Globalization, Difference, and Human Security. Florence, KY, USA: Taylor and Francis, 2013. ProQuest ebrary. Web. 23 August 2015.</w:t>
                    </w:r>
                  </w:p>
                  <w:p w:rsidR="00503D5F" w:rsidRDefault="00503D5F">
                    <w:pPr>
                      <w:spacing w:line="240" w:lineRule="auto"/>
                    </w:pPr>
                    <w:r>
                      <w:t>Copyright © 2013. Taylor and Francis. All rights reserved.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3D5F" w:rsidRDefault="00503D5F">
    <w:pPr>
      <w:rPr>
        <w:sz w:val="2"/>
        <w:szCs w:val="2"/>
      </w:rPr>
    </w:pPr>
    <w:r>
      <w:rPr>
        <w:noProof/>
      </w:rPr>
      <mc:AlternateContent>
        <mc:Choice Requires="wps">
          <w:drawing>
            <wp:anchor distT="0" distB="0" distL="63500" distR="63500" simplePos="0" relativeHeight="251664384" behindDoc="1" locked="0" layoutInCell="1" allowOverlap="1" wp14:anchorId="6F13B2A9" wp14:editId="61B9E000">
              <wp:simplePos x="0" y="0"/>
              <wp:positionH relativeFrom="page">
                <wp:posOffset>70485</wp:posOffset>
              </wp:positionH>
              <wp:positionV relativeFrom="page">
                <wp:posOffset>16980535</wp:posOffset>
              </wp:positionV>
              <wp:extent cx="7031990" cy="309880"/>
              <wp:effectExtent l="3810" t="0" r="3175" b="3175"/>
              <wp:wrapNone/>
              <wp:docPr id="1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1990"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3D5F" w:rsidRDefault="00503D5F">
                          <w:pPr>
                            <w:spacing w:line="240" w:lineRule="auto"/>
                          </w:pPr>
                          <w:r>
                            <w:t>Pasha, Mustapha Kamal, ed. Interventions : Globalization, Difference, and Human Security. Florence, KY, USA: Taylor and Francis, 2013. ProQuest ebrary. Web. 23 August 2015.</w:t>
                          </w:r>
                        </w:p>
                        <w:p w:rsidR="00503D5F" w:rsidRDefault="00503D5F">
                          <w:pPr>
                            <w:spacing w:line="240" w:lineRule="auto"/>
                          </w:pPr>
                          <w:r>
                            <w:t>Copyright © 2013. Taylor and Francis. All rights reserved.</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F13B2A9" id="_x0000_t202" coordsize="21600,21600" o:spt="202" path="m,l,21600r21600,l21600,xe">
              <v:stroke joinstyle="miter"/>
              <v:path gradientshapeok="t" o:connecttype="rect"/>
            </v:shapetype>
            <v:shape id="Text Box 9" o:spid="_x0000_s1030" type="#_x0000_t202" style="position:absolute;margin-left:5.55pt;margin-top:1337.05pt;width:553.7pt;height:24.4pt;z-index:-251652096;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" filled="f" stroked="f">
              <v:textbox style="mso-fit-shape-to-text:t" inset="0,0,0,0">
                <w:txbxContent>
                  <w:p w:rsidR="00503D5F" w:rsidRDefault="00503D5F">
                    <w:pPr>
                      <w:spacing w:line="240" w:lineRule="auto"/>
                    </w:pPr>
                    <w:r>
                      <w:t>Pasha, Mustapha Kamal, ed. Interventions : Globalization, Difference, and Human Security. Florence, KY, USA: Taylor and Francis, 2013. ProQuest ebrary. Web. 23 August 2015.</w:t>
                    </w:r>
                  </w:p>
                  <w:p w:rsidR="00503D5F" w:rsidRDefault="00503D5F">
                    <w:pPr>
                      <w:spacing w:line="240" w:lineRule="auto"/>
                    </w:pPr>
                    <w:r>
                      <w:t>Copyright © 2013. Taylor and Francis. All rights reserved.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63465" w:rsidRDefault="00563465">
      <w:pPr>
        <w:spacing w:after="0" w:line="240" w:lineRule="auto"/>
      </w:pPr>
      <w:r>
        <w:separator/>
      </w:r>
    </w:p>
  </w:footnote>
  <w:footnote w:type="continuationSeparator" w:id="0">
    <w:p w:rsidR="00563465" w:rsidRDefault="00563465">
      <w:pPr>
        <w:spacing w:after="0" w:line="240" w:lineRule="auto"/>
      </w:pPr>
      <w:r>
        <w:continuationSeparator/>
      </w:r>
    </w:p>
  </w:footnote>
  <w:footnote w:id="1">
    <w:p w:rsidR="005A160F" w:rsidRDefault="005A160F" w:rsidP="005A160F">
      <w:pPr>
        <w:pStyle w:val="footnotedescription"/>
        <w:ind w:left="12" w:right="7" w:firstLine="298"/>
      </w:pPr>
      <w:r>
        <w:rPr>
          <w:rStyle w:val="footnotemark"/>
        </w:rPr>
        <w:footnoteRef/>
      </w:r>
      <w:r>
        <w:t xml:space="preserve"> Identification is the process of realizing oneself. Not recognizing but realizing because identification positions itself against the logic of procreationism that the subjectivity is made (being) by positing as subjectivity as a process of realization (becoming). Becoming is one of the postmodern theorist’s central concerns. The popular term ‘self-identification’ is thus a redundancy. The popular form of identity in the era of (positive) queer theory is the selfrealized identity, the one that imposes itself in opposition to, amendment of, or spectacular ‘reclamation’ of one’s ‘sociallyimposed’ identity (‘sociallyimposed,’ ‘assigned,’ or ‘sociallyconstructed’ because self-realization is always understood as a process of becoming, not construction, even though the selfimposed identity can itself arise only from the structures and impositions of society). One is not born, but becomes, a woman.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3D5F" w:rsidRDefault="00503D5F">
    <w:pPr>
      <w:rPr>
        <w:sz w:val="2"/>
        <w:szCs w:val="2"/>
      </w:rPr>
    </w:pPr>
    <w:r>
      <w:rPr>
        <w:noProof/>
      </w:rPr>
      <mc:AlternateContent>
        <mc:Choice Requires="wps">
          <w:drawing>
            <wp:anchor distT="0" distB="0" distL="63500" distR="63500" simplePos="0" relativeHeight="251659264" behindDoc="1" locked="0" layoutInCell="1" allowOverlap="1" wp14:anchorId="345B9DDC" wp14:editId="39C3D0CC">
              <wp:simplePos x="0" y="0"/>
              <wp:positionH relativeFrom="page">
                <wp:posOffset>1463040</wp:posOffset>
              </wp:positionH>
              <wp:positionV relativeFrom="page">
                <wp:posOffset>850265</wp:posOffset>
              </wp:positionV>
              <wp:extent cx="2402205" cy="277495"/>
              <wp:effectExtent l="0" t="2540" r="0" b="0"/>
              <wp:wrapNone/>
              <wp:docPr id="2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205" cy="277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3D5F" w:rsidRDefault="00503D5F">
                          <w:pPr>
                            <w:spacing w:line="240" w:lineRule="auto"/>
                          </w:pPr>
                          <w:r>
                            <w:rPr>
                              <w:rFonts w:ascii="Arial Unicode MS" w:hAnsi="Arial Unicode MS" w:cs="Arial Unicode MS"/>
                              <w:sz w:val="14"/>
                              <w:szCs w:val="14"/>
                            </w:rPr>
                            <w:fldChar w:fldCharType="begin"/>
                          </w:r>
                          <w:r>
                            <w:instrText xml:space="preserve"> PAGE \* MERGEFORMAT </w:instrText>
                          </w:r>
                          <w:r>
                            <w:rPr>
                              <w:rFonts w:ascii="Arial Unicode MS" w:hAnsi="Arial Unicode MS" w:cs="Arial Unicode MS"/>
                              <w:sz w:val="14"/>
                              <w:szCs w:val="14"/>
                            </w:rPr>
                            <w:fldChar w:fldCharType="separate"/>
                          </w:r>
                          <w:r w:rsidRPr="006A6812">
                            <w:rPr>
                              <w:rFonts w:eastAsia="Arial Unicode MS"/>
                              <w:noProof/>
                            </w:rPr>
                            <w:t>154</w:t>
                          </w:r>
                          <w:r>
                            <w:rPr>
                              <w:rFonts w:eastAsia="Arial Unicode MS"/>
                            </w:rPr>
                            <w:fldChar w:fldCharType="end"/>
                          </w:r>
                          <w:r>
                            <w:rPr>
                              <w:rFonts w:eastAsia="Arial Unicode MS"/>
                            </w:rPr>
                            <w:t xml:space="preserve"> Anna Agatlmngelou</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45B9DDC" id="_x0000_t202" coordsize="21600,21600" o:spt="202" path="m,l,21600r21600,l21600,xe">
              <v:stroke joinstyle="miter"/>
              <v:path gradientshapeok="t" o:connecttype="rect"/>
            </v:shapetype>
            <v:shape id="Text Box 4" o:spid="_x0000_s1026" type="#_x0000_t202" style="position:absolute;margin-left:115.2pt;margin-top:66.95pt;width:189.15pt;height:21.85pt;z-index:-251657216;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" filled="f" stroked="f">
              <v:textbox style="mso-fit-shape-to-text:t" inset="0,0,0,0">
                <w:txbxContent>
                  <w:p w:rsidR="00503D5F" w:rsidRDefault="00503D5F">
                    <w:pPr>
                      <w:spacing w:line="240" w:lineRule="auto"/>
                    </w:pPr>
                    <w:r>
                      <w:rPr>
                        <w:rFonts w:ascii="Arial Unicode MS" w:hAnsi="Arial Unicode MS" w:cs="Arial Unicode MS"/>
                        <w:sz w:val="14"/>
                        <w:szCs w:val="14"/>
                      </w:rPr>
                      <w:fldChar w:fldCharType="begin"/>
                    </w:r>
                    <w:r>
                      <w:instrText xml:space="preserve"> PAGE \* MERGEFORMAT </w:instrText>
                    </w:r>
                    <w:r>
                      <w:rPr>
                        <w:rFonts w:ascii="Arial Unicode MS" w:hAnsi="Arial Unicode MS" w:cs="Arial Unicode MS"/>
                        <w:sz w:val="14"/>
                        <w:szCs w:val="14"/>
                      </w:rPr>
                      <w:fldChar w:fldCharType="separate"/>
                    </w:r>
                    <w:r w:rsidRPr="006A6812">
                      <w:rPr>
                        <w:rFonts w:eastAsia="Arial Unicode MS"/>
                        <w:noProof/>
                      </w:rPr>
                      <w:t>154</w:t>
                    </w:r>
                    <w:r>
                      <w:rPr>
                        <w:rFonts w:eastAsia="Arial Unicode MS"/>
                      </w:rPr>
                      <w:fldChar w:fldCharType="end"/>
                    </w:r>
                    <w:r>
                      <w:rPr>
                        <w:rFonts w:eastAsia="Arial Unicode MS"/>
                      </w:rPr>
                      <w:t xml:space="preserve"> Anna Agatlmngelou</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23349969"/>
      <w:docPartObj>
        <w:docPartGallery w:val="Page Numbers (Top of Page)"/>
        <w:docPartUnique/>
      </w:docPartObj>
    </w:sdtPr>
    <w:sdtEndPr>
      <w:rPr>
        <w:noProof/>
      </w:rPr>
    </w:sdtEndPr>
    <w:sdtContent>
      <w:p w:rsidR="009E3486" w:rsidRDefault="009E3486">
        <w:pPr>
          <w:pStyle w:val="Header"/>
          <w:jc w:val="right"/>
        </w:pPr>
        <w:r>
          <w:fldChar w:fldCharType="begin"/>
        </w:r>
        <w:r>
          <w:instrText xml:space="preserve"> PAGE   \* MERGEFORMAT </w:instrText>
        </w:r>
        <w:r>
          <w:fldChar w:fldCharType="separate"/>
        </w:r>
        <w:r w:rsidR="00EE1C33">
          <w:rPr>
            <w:noProof/>
          </w:rPr>
          <w:t>1</w:t>
        </w:r>
        <w:r>
          <w:rPr>
            <w:noProof/>
          </w:rPr>
          <w:fldChar w:fldCharType="end"/>
        </w:r>
      </w:p>
    </w:sdtContent>
  </w:sdt>
  <w:p w:rsidR="00503D5F" w:rsidRDefault="00503D5F">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3D5F" w:rsidRDefault="00503D5F">
    <w:pPr>
      <w:rPr>
        <w:sz w:val="2"/>
        <w:szCs w:val="2"/>
      </w:rPr>
    </w:pPr>
    <w:r>
      <w:rPr>
        <w:noProof/>
      </w:rPr>
      <mc:AlternateContent>
        <mc:Choice Requires="wps">
          <w:drawing>
            <wp:anchor distT="0" distB="0" distL="63500" distR="63500" simplePos="0" relativeHeight="251663360" behindDoc="1" locked="0" layoutInCell="1" allowOverlap="1" wp14:anchorId="24DE75A2" wp14:editId="05537DF4">
              <wp:simplePos x="0" y="0"/>
              <wp:positionH relativeFrom="page">
                <wp:posOffset>4270375</wp:posOffset>
              </wp:positionH>
              <wp:positionV relativeFrom="page">
                <wp:posOffset>850265</wp:posOffset>
              </wp:positionV>
              <wp:extent cx="4958715" cy="277495"/>
              <wp:effectExtent l="3175" t="2540" r="3810" b="0"/>
              <wp:wrapNone/>
              <wp:docPr id="2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8715" cy="277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3D5F" w:rsidRDefault="00503D5F">
                          <w:pPr>
                            <w:spacing w:line="240" w:lineRule="auto"/>
                          </w:pPr>
                          <w:r>
                            <w:rPr>
                              <w:rFonts w:eastAsia="Arial Unicode MS"/>
                            </w:rPr>
                            <w:t xml:space="preserve">Slavery remains in recomivuctionidevelopment </w:t>
                          </w:r>
                          <w:r>
                            <w:rPr>
                              <w:rFonts w:ascii="Arial Unicode MS" w:hAnsi="Arial Unicode MS" w:cs="Arial Unicode MS"/>
                              <w:sz w:val="14"/>
                              <w:szCs w:val="14"/>
                            </w:rPr>
                            <w:fldChar w:fldCharType="begin"/>
                          </w:r>
                          <w:r>
                            <w:instrText xml:space="preserve"> PAGE \* MERGEFORMAT </w:instrText>
                          </w:r>
                          <w:r>
                            <w:rPr>
                              <w:rFonts w:ascii="Arial Unicode MS" w:hAnsi="Arial Unicode MS" w:cs="Arial Unicode MS"/>
                              <w:sz w:val="14"/>
                              <w:szCs w:val="14"/>
                            </w:rPr>
                            <w:fldChar w:fldCharType="separate"/>
                          </w:r>
                          <w:r w:rsidRPr="006A6812">
                            <w:rPr>
                              <w:rFonts w:eastAsia="Arial Unicode MS"/>
                              <w:noProof/>
                            </w:rPr>
                            <w:t>153</w:t>
                          </w:r>
                          <w:r>
                            <w:rPr>
                              <w:rFonts w:eastAsia="Arial Unicode MS"/>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4DE75A2" id="_x0000_t202" coordsize="21600,21600" o:spt="202" path="m,l,21600r21600,l21600,xe">
              <v:stroke joinstyle="miter"/>
              <v:path gradientshapeok="t" o:connecttype="rect"/>
            </v:shapetype>
            <v:shape id="Text Box 8" o:spid="_x0000_s1029" type="#_x0000_t202" style="position:absolute;margin-left:336.25pt;margin-top:66.95pt;width:390.45pt;height:21.85pt;z-index:-251653120;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" filled="f" stroked="f">
              <v:textbox style="mso-fit-shape-to-text:t" inset="0,0,0,0">
                <w:txbxContent>
                  <w:p w:rsidR="00503D5F" w:rsidRDefault="00503D5F">
                    <w:pPr>
                      <w:spacing w:line="240" w:lineRule="auto"/>
                    </w:pPr>
                    <w:r>
                      <w:rPr>
                        <w:rFonts w:eastAsia="Arial Unicode MS"/>
                      </w:rPr>
                      <w:t xml:space="preserve">Slavery remains in recomivuctionidevelopment </w:t>
                    </w:r>
                    <w:r>
                      <w:rPr>
                        <w:rFonts w:ascii="Arial Unicode MS" w:hAnsi="Arial Unicode MS" w:cs="Arial Unicode MS"/>
                        <w:sz w:val="14"/>
                        <w:szCs w:val="14"/>
                      </w:rPr>
                      <w:fldChar w:fldCharType="begin"/>
                    </w:r>
                    <w:r>
                      <w:instrText xml:space="preserve"> PAGE \* MERGEFORMAT </w:instrText>
                    </w:r>
                    <w:r>
                      <w:rPr>
                        <w:rFonts w:ascii="Arial Unicode MS" w:hAnsi="Arial Unicode MS" w:cs="Arial Unicode MS"/>
                        <w:sz w:val="14"/>
                        <w:szCs w:val="14"/>
                      </w:rPr>
                      <w:fldChar w:fldCharType="separate"/>
                    </w:r>
                    <w:r w:rsidRPr="006A6812">
                      <w:rPr>
                        <w:rFonts w:eastAsia="Arial Unicode MS"/>
                        <w:noProof/>
                      </w:rPr>
                      <w:t>153</w:t>
                    </w:r>
                    <w:r>
                      <w:rPr>
                        <w:rFonts w:eastAsia="Arial Unicode MS"/>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95A2D56"/>
    <w:multiLevelType w:val="hybridMultilevel"/>
    <w:tmpl w:val="56DB0A11"/>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CC44165"/>
    <w:multiLevelType w:val="hybridMultilevel"/>
    <w:tmpl w:val="01945EFB"/>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8F2EB70"/>
    <w:multiLevelType w:val="hybridMultilevel"/>
    <w:tmpl w:val="9EBB038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B608074"/>
    <w:multiLevelType w:val="hybridMultilevel"/>
    <w:tmpl w:val="1A83DABB"/>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AC7F2172"/>
    <w:multiLevelType w:val="hybridMultilevel"/>
    <w:tmpl w:val="F394A50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ADE2D52E"/>
    <w:multiLevelType w:val="hybridMultilevel"/>
    <w:tmpl w:val="DD3D1929"/>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B5DCEF2B"/>
    <w:multiLevelType w:val="hybridMultilevel"/>
    <w:tmpl w:val="087B2BB7"/>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D8943470"/>
    <w:multiLevelType w:val="hybridMultilevel"/>
    <w:tmpl w:val="78E6DB6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E1CA11D6"/>
    <w:multiLevelType w:val="hybridMultilevel"/>
    <w:tmpl w:val="2846150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EF3AB486"/>
    <w:multiLevelType w:val="hybridMultilevel"/>
    <w:tmpl w:val="23FED7B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1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1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1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1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1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1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1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0C16AACF"/>
    <w:multiLevelType w:val="hybridMultilevel"/>
    <w:tmpl w:val="1680DAB7"/>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128A72D8"/>
    <w:multiLevelType w:val="hybridMultilevel"/>
    <w:tmpl w:val="A21456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02B4EB7"/>
    <w:multiLevelType w:val="multilevel"/>
    <w:tmpl w:val="188A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831A1EB"/>
    <w:multiLevelType w:val="hybridMultilevel"/>
    <w:tmpl w:val="1A726705"/>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40682583"/>
    <w:multiLevelType w:val="hybridMultilevel"/>
    <w:tmpl w:val="DF707810"/>
    <w:lvl w:ilvl="0" w:tplc="6B7866EC">
      <w:start w:val="2"/>
      <w:numFmt w:val="bullet"/>
      <w:lvlText w:val="-"/>
      <w:lvlJc w:val="left"/>
      <w:pPr>
        <w:ind w:left="720" w:hanging="360"/>
      </w:pPr>
      <w:rPr>
        <w:rFonts w:ascii="Segoe UI" w:eastAsiaTheme="min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B0357"/>
    <w:multiLevelType w:val="hybridMultilevel"/>
    <w:tmpl w:val="218EC0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7EAFBE"/>
    <w:multiLevelType w:val="hybridMultilevel"/>
    <w:tmpl w:val="C13619E6"/>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4F075FE2"/>
    <w:multiLevelType w:val="hybridMultilevel"/>
    <w:tmpl w:val="67204EB9"/>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5AF13D87"/>
    <w:multiLevelType w:val="hybridMultilevel"/>
    <w:tmpl w:val="D3CF7706"/>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60CDBAF3"/>
    <w:multiLevelType w:val="hybridMultilevel"/>
    <w:tmpl w:val="8D7B0B55"/>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66E814A1"/>
    <w:multiLevelType w:val="hybridMultilevel"/>
    <w:tmpl w:val="7F6CB41A"/>
    <w:lvl w:ilvl="0" w:tplc="75FA984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7A4F94"/>
    <w:multiLevelType w:val="hybridMultilevel"/>
    <w:tmpl w:val="4C41E6CC"/>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776A6205"/>
    <w:multiLevelType w:val="hybridMultilevel"/>
    <w:tmpl w:val="2D3812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7"/>
  </w:num>
  <w:num w:numId="3">
    <w:abstractNumId w:val="16"/>
  </w:num>
  <w:num w:numId="4">
    <w:abstractNumId w:val="15"/>
  </w:num>
  <w:num w:numId="5">
    <w:abstractNumId w:val="14"/>
  </w:num>
  <w:num w:numId="6">
    <w:abstractNumId w:val="18"/>
  </w:num>
  <w:num w:numId="7">
    <w:abstractNumId w:val="13"/>
  </w:num>
  <w:num w:numId="8">
    <w:abstractNumId w:val="12"/>
  </w:num>
  <w:num w:numId="9">
    <w:abstractNumId w:val="11"/>
  </w:num>
  <w:num w:numId="10">
    <w:abstractNumId w:val="10"/>
  </w:num>
  <w:num w:numId="11">
    <w:abstractNumId w:val="8"/>
  </w:num>
  <w:num w:numId="12">
    <w:abstractNumId w:val="6"/>
  </w:num>
  <w:num w:numId="13">
    <w:abstractNumId w:val="23"/>
  </w:num>
  <w:num w:numId="14">
    <w:abstractNumId w:val="20"/>
  </w:num>
  <w:num w:numId="15">
    <w:abstractNumId w:val="0"/>
  </w:num>
  <w:num w:numId="16">
    <w:abstractNumId w:val="27"/>
  </w:num>
  <w:num w:numId="17">
    <w:abstractNumId w:val="26"/>
  </w:num>
  <w:num w:numId="18">
    <w:abstractNumId w:val="9"/>
  </w:num>
  <w:num w:numId="19">
    <w:abstractNumId w:val="29"/>
  </w:num>
  <w:num w:numId="20">
    <w:abstractNumId w:val="5"/>
  </w:num>
  <w:num w:numId="21">
    <w:abstractNumId w:val="1"/>
  </w:num>
  <w:num w:numId="22">
    <w:abstractNumId w:val="3"/>
  </w:num>
  <w:num w:numId="23">
    <w:abstractNumId w:val="31"/>
  </w:num>
  <w:num w:numId="24">
    <w:abstractNumId w:val="7"/>
  </w:num>
  <w:num w:numId="25">
    <w:abstractNumId w:val="28"/>
  </w:num>
  <w:num w:numId="26">
    <w:abstractNumId w:val="4"/>
  </w:num>
  <w:num w:numId="27">
    <w:abstractNumId w:val="2"/>
  </w:num>
  <w:num w:numId="28">
    <w:abstractNumId w:val="22"/>
  </w:num>
  <w:num w:numId="29">
    <w:abstractNumId w:val="25"/>
  </w:num>
  <w:num w:numId="30">
    <w:abstractNumId w:val="32"/>
  </w:num>
  <w:num w:numId="31">
    <w:abstractNumId w:val="21"/>
  </w:num>
  <w:num w:numId="32">
    <w:abstractNumId w:val="30"/>
  </w:num>
  <w:num w:numId="3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05611968"/>
    <w:docVar w:name="VerbatimVersion" w:val="5.1"/>
  </w:docVars>
  <w:rsids>
    <w:rsidRoot w:val="00895FD8"/>
    <w:rsid w:val="00007A32"/>
    <w:rsid w:val="00010C36"/>
    <w:rsid w:val="000139A3"/>
    <w:rsid w:val="00014256"/>
    <w:rsid w:val="000175AE"/>
    <w:rsid w:val="00032C6F"/>
    <w:rsid w:val="00042978"/>
    <w:rsid w:val="00052138"/>
    <w:rsid w:val="00052729"/>
    <w:rsid w:val="0005372F"/>
    <w:rsid w:val="000538B9"/>
    <w:rsid w:val="00060A40"/>
    <w:rsid w:val="00063EFF"/>
    <w:rsid w:val="00070968"/>
    <w:rsid w:val="000721C2"/>
    <w:rsid w:val="00074F88"/>
    <w:rsid w:val="00076778"/>
    <w:rsid w:val="00085065"/>
    <w:rsid w:val="00087E66"/>
    <w:rsid w:val="000A088B"/>
    <w:rsid w:val="000A3332"/>
    <w:rsid w:val="000A3D59"/>
    <w:rsid w:val="000A4951"/>
    <w:rsid w:val="000B3945"/>
    <w:rsid w:val="000B3C80"/>
    <w:rsid w:val="000B5178"/>
    <w:rsid w:val="000B6A59"/>
    <w:rsid w:val="000B7636"/>
    <w:rsid w:val="000C0A43"/>
    <w:rsid w:val="000C0AC4"/>
    <w:rsid w:val="000C1692"/>
    <w:rsid w:val="000C322C"/>
    <w:rsid w:val="000C4FF4"/>
    <w:rsid w:val="000C7904"/>
    <w:rsid w:val="000D3F1C"/>
    <w:rsid w:val="000D6F0E"/>
    <w:rsid w:val="000E687B"/>
    <w:rsid w:val="00100833"/>
    <w:rsid w:val="00102D96"/>
    <w:rsid w:val="001031CF"/>
    <w:rsid w:val="00103E7D"/>
    <w:rsid w:val="00104529"/>
    <w:rsid w:val="00104D8C"/>
    <w:rsid w:val="00105942"/>
    <w:rsid w:val="00107396"/>
    <w:rsid w:val="0012172B"/>
    <w:rsid w:val="00124A13"/>
    <w:rsid w:val="00125EA9"/>
    <w:rsid w:val="001373B0"/>
    <w:rsid w:val="00144A4C"/>
    <w:rsid w:val="00146FE0"/>
    <w:rsid w:val="00150166"/>
    <w:rsid w:val="00150C4C"/>
    <w:rsid w:val="0015258B"/>
    <w:rsid w:val="00155491"/>
    <w:rsid w:val="00155D2B"/>
    <w:rsid w:val="0015793D"/>
    <w:rsid w:val="00160E82"/>
    <w:rsid w:val="001622FA"/>
    <w:rsid w:val="00162C2D"/>
    <w:rsid w:val="001630A0"/>
    <w:rsid w:val="00164D54"/>
    <w:rsid w:val="0016537D"/>
    <w:rsid w:val="0017109A"/>
    <w:rsid w:val="001719EE"/>
    <w:rsid w:val="00173A08"/>
    <w:rsid w:val="00173B98"/>
    <w:rsid w:val="00173EC9"/>
    <w:rsid w:val="00174208"/>
    <w:rsid w:val="00176AB0"/>
    <w:rsid w:val="00177B7D"/>
    <w:rsid w:val="00182B0C"/>
    <w:rsid w:val="0018322D"/>
    <w:rsid w:val="00184808"/>
    <w:rsid w:val="0018528B"/>
    <w:rsid w:val="00193028"/>
    <w:rsid w:val="00193EF6"/>
    <w:rsid w:val="001967C0"/>
    <w:rsid w:val="001A074E"/>
    <w:rsid w:val="001A37E9"/>
    <w:rsid w:val="001A48BB"/>
    <w:rsid w:val="001B0DA5"/>
    <w:rsid w:val="001B274F"/>
    <w:rsid w:val="001B37B6"/>
    <w:rsid w:val="001B5776"/>
    <w:rsid w:val="001B5871"/>
    <w:rsid w:val="001B7CCC"/>
    <w:rsid w:val="001C021E"/>
    <w:rsid w:val="001D09F5"/>
    <w:rsid w:val="001D2937"/>
    <w:rsid w:val="001D300A"/>
    <w:rsid w:val="001D3B30"/>
    <w:rsid w:val="001D48F2"/>
    <w:rsid w:val="001D781E"/>
    <w:rsid w:val="001E1333"/>
    <w:rsid w:val="001E2E45"/>
    <w:rsid w:val="001E527A"/>
    <w:rsid w:val="001E60C3"/>
    <w:rsid w:val="001F062C"/>
    <w:rsid w:val="001F6BB1"/>
    <w:rsid w:val="001F78CE"/>
    <w:rsid w:val="00201345"/>
    <w:rsid w:val="00206ADF"/>
    <w:rsid w:val="002106E8"/>
    <w:rsid w:val="00212431"/>
    <w:rsid w:val="002149E7"/>
    <w:rsid w:val="002171D5"/>
    <w:rsid w:val="00222934"/>
    <w:rsid w:val="00231CCB"/>
    <w:rsid w:val="00234A77"/>
    <w:rsid w:val="00237746"/>
    <w:rsid w:val="002403F7"/>
    <w:rsid w:val="00240A62"/>
    <w:rsid w:val="00240F0D"/>
    <w:rsid w:val="00242B77"/>
    <w:rsid w:val="002440B4"/>
    <w:rsid w:val="002504CA"/>
    <w:rsid w:val="00251FC7"/>
    <w:rsid w:val="002527CB"/>
    <w:rsid w:val="00252A99"/>
    <w:rsid w:val="002534A8"/>
    <w:rsid w:val="002705B0"/>
    <w:rsid w:val="00270AFF"/>
    <w:rsid w:val="002717BC"/>
    <w:rsid w:val="00275A4B"/>
    <w:rsid w:val="00277F26"/>
    <w:rsid w:val="002836D2"/>
    <w:rsid w:val="002855A7"/>
    <w:rsid w:val="0029008B"/>
    <w:rsid w:val="00296098"/>
    <w:rsid w:val="002A3EC6"/>
    <w:rsid w:val="002A5B93"/>
    <w:rsid w:val="002B146A"/>
    <w:rsid w:val="002B20D5"/>
    <w:rsid w:val="002B5261"/>
    <w:rsid w:val="002B5E17"/>
    <w:rsid w:val="002C1565"/>
    <w:rsid w:val="002C1E1C"/>
    <w:rsid w:val="002C3220"/>
    <w:rsid w:val="002C341B"/>
    <w:rsid w:val="002C3BFD"/>
    <w:rsid w:val="002C4EE4"/>
    <w:rsid w:val="002C5560"/>
    <w:rsid w:val="002C66A3"/>
    <w:rsid w:val="002C7067"/>
    <w:rsid w:val="002D3123"/>
    <w:rsid w:val="002D33CD"/>
    <w:rsid w:val="002D34A2"/>
    <w:rsid w:val="002D5DE4"/>
    <w:rsid w:val="002D6BF1"/>
    <w:rsid w:val="002E09EC"/>
    <w:rsid w:val="002E13F8"/>
    <w:rsid w:val="002E40DD"/>
    <w:rsid w:val="002E7686"/>
    <w:rsid w:val="002F1438"/>
    <w:rsid w:val="002F3242"/>
    <w:rsid w:val="002F4777"/>
    <w:rsid w:val="002F6A22"/>
    <w:rsid w:val="00301920"/>
    <w:rsid w:val="00304DDF"/>
    <w:rsid w:val="00312C28"/>
    <w:rsid w:val="00312E13"/>
    <w:rsid w:val="003143EC"/>
    <w:rsid w:val="00314537"/>
    <w:rsid w:val="00315690"/>
    <w:rsid w:val="00316B75"/>
    <w:rsid w:val="00323D7C"/>
    <w:rsid w:val="00325646"/>
    <w:rsid w:val="00343A0B"/>
    <w:rsid w:val="0034428D"/>
    <w:rsid w:val="0034581D"/>
    <w:rsid w:val="003460F2"/>
    <w:rsid w:val="003461BE"/>
    <w:rsid w:val="0034721F"/>
    <w:rsid w:val="00357723"/>
    <w:rsid w:val="00364C26"/>
    <w:rsid w:val="00370B24"/>
    <w:rsid w:val="00370F21"/>
    <w:rsid w:val="00374B46"/>
    <w:rsid w:val="0037617D"/>
    <w:rsid w:val="00380B88"/>
    <w:rsid w:val="0038158C"/>
    <w:rsid w:val="003902BA"/>
    <w:rsid w:val="0039085A"/>
    <w:rsid w:val="00395CD9"/>
    <w:rsid w:val="00397C5A"/>
    <w:rsid w:val="003A09E2"/>
    <w:rsid w:val="003A30D6"/>
    <w:rsid w:val="003A3EE5"/>
    <w:rsid w:val="003A553C"/>
    <w:rsid w:val="003A707A"/>
    <w:rsid w:val="003B3113"/>
    <w:rsid w:val="003B4759"/>
    <w:rsid w:val="003B620F"/>
    <w:rsid w:val="003B6B43"/>
    <w:rsid w:val="003B7098"/>
    <w:rsid w:val="003C1FA5"/>
    <w:rsid w:val="003C244E"/>
    <w:rsid w:val="003C2D4A"/>
    <w:rsid w:val="003C4362"/>
    <w:rsid w:val="003D5883"/>
    <w:rsid w:val="003E0AE5"/>
    <w:rsid w:val="003E398D"/>
    <w:rsid w:val="003E7044"/>
    <w:rsid w:val="003F0FB9"/>
    <w:rsid w:val="003F1098"/>
    <w:rsid w:val="004004F4"/>
    <w:rsid w:val="00407037"/>
    <w:rsid w:val="00407E5C"/>
    <w:rsid w:val="00410288"/>
    <w:rsid w:val="004143C4"/>
    <w:rsid w:val="004156C8"/>
    <w:rsid w:val="0042015C"/>
    <w:rsid w:val="00420D33"/>
    <w:rsid w:val="004210E2"/>
    <w:rsid w:val="00422F07"/>
    <w:rsid w:val="00431DB1"/>
    <w:rsid w:val="00436CBE"/>
    <w:rsid w:val="00437DF8"/>
    <w:rsid w:val="004419C2"/>
    <w:rsid w:val="00441E5B"/>
    <w:rsid w:val="004428F7"/>
    <w:rsid w:val="00450009"/>
    <w:rsid w:val="004503F1"/>
    <w:rsid w:val="00451342"/>
    <w:rsid w:val="004605D6"/>
    <w:rsid w:val="004679CC"/>
    <w:rsid w:val="00470246"/>
    <w:rsid w:val="00475240"/>
    <w:rsid w:val="004779D6"/>
    <w:rsid w:val="004824EA"/>
    <w:rsid w:val="00485519"/>
    <w:rsid w:val="00486F55"/>
    <w:rsid w:val="00491C3E"/>
    <w:rsid w:val="004927D7"/>
    <w:rsid w:val="004946AF"/>
    <w:rsid w:val="00496343"/>
    <w:rsid w:val="004A35D1"/>
    <w:rsid w:val="004A6902"/>
    <w:rsid w:val="004C1960"/>
    <w:rsid w:val="004C1B26"/>
    <w:rsid w:val="004C30C0"/>
    <w:rsid w:val="004C60E8"/>
    <w:rsid w:val="004D3244"/>
    <w:rsid w:val="004D7A2E"/>
    <w:rsid w:val="004E2B61"/>
    <w:rsid w:val="004E3579"/>
    <w:rsid w:val="004E494C"/>
    <w:rsid w:val="004E4BBF"/>
    <w:rsid w:val="004E728B"/>
    <w:rsid w:val="004F038D"/>
    <w:rsid w:val="004F1F28"/>
    <w:rsid w:val="004F38FE"/>
    <w:rsid w:val="004F39E0"/>
    <w:rsid w:val="004F41A8"/>
    <w:rsid w:val="004F7A3C"/>
    <w:rsid w:val="00503D5F"/>
    <w:rsid w:val="00517023"/>
    <w:rsid w:val="00517096"/>
    <w:rsid w:val="005224B2"/>
    <w:rsid w:val="00524775"/>
    <w:rsid w:val="005264BB"/>
    <w:rsid w:val="0052729D"/>
    <w:rsid w:val="00533079"/>
    <w:rsid w:val="00536938"/>
    <w:rsid w:val="00537BD5"/>
    <w:rsid w:val="0054125A"/>
    <w:rsid w:val="00544D42"/>
    <w:rsid w:val="0055597D"/>
    <w:rsid w:val="00555C16"/>
    <w:rsid w:val="00555C61"/>
    <w:rsid w:val="00560C76"/>
    <w:rsid w:val="00563465"/>
    <w:rsid w:val="005721E1"/>
    <w:rsid w:val="0057268A"/>
    <w:rsid w:val="00573F0E"/>
    <w:rsid w:val="0057525A"/>
    <w:rsid w:val="00580B3B"/>
    <w:rsid w:val="00580CBF"/>
    <w:rsid w:val="005837B9"/>
    <w:rsid w:val="005847B4"/>
    <w:rsid w:val="00591EF5"/>
    <w:rsid w:val="00593A03"/>
    <w:rsid w:val="00593DB8"/>
    <w:rsid w:val="00594B53"/>
    <w:rsid w:val="00595920"/>
    <w:rsid w:val="005A160F"/>
    <w:rsid w:val="005A18BC"/>
    <w:rsid w:val="005A5291"/>
    <w:rsid w:val="005A723F"/>
    <w:rsid w:val="005B3D63"/>
    <w:rsid w:val="005C0687"/>
    <w:rsid w:val="005C6007"/>
    <w:rsid w:val="005D016C"/>
    <w:rsid w:val="005D2912"/>
    <w:rsid w:val="005D2B02"/>
    <w:rsid w:val="005D4B7A"/>
    <w:rsid w:val="005D6F99"/>
    <w:rsid w:val="005D6FE5"/>
    <w:rsid w:val="006065BD"/>
    <w:rsid w:val="00613F2C"/>
    <w:rsid w:val="0061490D"/>
    <w:rsid w:val="00615E70"/>
    <w:rsid w:val="00620CCA"/>
    <w:rsid w:val="0062164B"/>
    <w:rsid w:val="00622942"/>
    <w:rsid w:val="00623601"/>
    <w:rsid w:val="0062382A"/>
    <w:rsid w:val="00636699"/>
    <w:rsid w:val="006370BD"/>
    <w:rsid w:val="006375DF"/>
    <w:rsid w:val="00637D6C"/>
    <w:rsid w:val="00640307"/>
    <w:rsid w:val="00645FA9"/>
    <w:rsid w:val="00645FE0"/>
    <w:rsid w:val="00647866"/>
    <w:rsid w:val="006479B5"/>
    <w:rsid w:val="006506E5"/>
    <w:rsid w:val="00651266"/>
    <w:rsid w:val="006554CE"/>
    <w:rsid w:val="00660FA1"/>
    <w:rsid w:val="00661F4A"/>
    <w:rsid w:val="00663626"/>
    <w:rsid w:val="00665003"/>
    <w:rsid w:val="00667B41"/>
    <w:rsid w:val="00667C20"/>
    <w:rsid w:val="006718EE"/>
    <w:rsid w:val="006728F8"/>
    <w:rsid w:val="0067569D"/>
    <w:rsid w:val="00683615"/>
    <w:rsid w:val="0068456E"/>
    <w:rsid w:val="0068462F"/>
    <w:rsid w:val="006849CE"/>
    <w:rsid w:val="006855FB"/>
    <w:rsid w:val="00690250"/>
    <w:rsid w:val="00690B46"/>
    <w:rsid w:val="00695AA7"/>
    <w:rsid w:val="006A05C6"/>
    <w:rsid w:val="006A0DBF"/>
    <w:rsid w:val="006A1C51"/>
    <w:rsid w:val="006A298A"/>
    <w:rsid w:val="006A2AD0"/>
    <w:rsid w:val="006B74A2"/>
    <w:rsid w:val="006C2375"/>
    <w:rsid w:val="006C2C1D"/>
    <w:rsid w:val="006C2FA9"/>
    <w:rsid w:val="006C3871"/>
    <w:rsid w:val="006C4AB4"/>
    <w:rsid w:val="006C679B"/>
    <w:rsid w:val="006D4ECC"/>
    <w:rsid w:val="006D7B72"/>
    <w:rsid w:val="006E6AE4"/>
    <w:rsid w:val="006E7188"/>
    <w:rsid w:val="006F4F17"/>
    <w:rsid w:val="006F5686"/>
    <w:rsid w:val="006F5DCC"/>
    <w:rsid w:val="00702E78"/>
    <w:rsid w:val="0070317A"/>
    <w:rsid w:val="007069F9"/>
    <w:rsid w:val="0071317D"/>
    <w:rsid w:val="007166F0"/>
    <w:rsid w:val="00716B30"/>
    <w:rsid w:val="00722258"/>
    <w:rsid w:val="007243E5"/>
    <w:rsid w:val="00724741"/>
    <w:rsid w:val="00727D51"/>
    <w:rsid w:val="00731921"/>
    <w:rsid w:val="0073329F"/>
    <w:rsid w:val="00735F9D"/>
    <w:rsid w:val="00743A62"/>
    <w:rsid w:val="00752694"/>
    <w:rsid w:val="007577E4"/>
    <w:rsid w:val="0076349A"/>
    <w:rsid w:val="00763BED"/>
    <w:rsid w:val="00764514"/>
    <w:rsid w:val="00766EA0"/>
    <w:rsid w:val="00781416"/>
    <w:rsid w:val="00782084"/>
    <w:rsid w:val="00783A3C"/>
    <w:rsid w:val="00783F85"/>
    <w:rsid w:val="007852C0"/>
    <w:rsid w:val="00793E09"/>
    <w:rsid w:val="0079405E"/>
    <w:rsid w:val="007946F1"/>
    <w:rsid w:val="007A2226"/>
    <w:rsid w:val="007B3223"/>
    <w:rsid w:val="007B59F7"/>
    <w:rsid w:val="007C0EB4"/>
    <w:rsid w:val="007C1E20"/>
    <w:rsid w:val="007C4004"/>
    <w:rsid w:val="007C7E5A"/>
    <w:rsid w:val="007D0384"/>
    <w:rsid w:val="007D3730"/>
    <w:rsid w:val="007E2C9B"/>
    <w:rsid w:val="007E3C0D"/>
    <w:rsid w:val="007E3CF2"/>
    <w:rsid w:val="007E5A48"/>
    <w:rsid w:val="007F018C"/>
    <w:rsid w:val="007F5B66"/>
    <w:rsid w:val="00800BF9"/>
    <w:rsid w:val="00801856"/>
    <w:rsid w:val="00801B68"/>
    <w:rsid w:val="00804B1F"/>
    <w:rsid w:val="00805A8D"/>
    <w:rsid w:val="00807E49"/>
    <w:rsid w:val="00813E66"/>
    <w:rsid w:val="00814C9D"/>
    <w:rsid w:val="00816CBD"/>
    <w:rsid w:val="00817CA4"/>
    <w:rsid w:val="0082177E"/>
    <w:rsid w:val="00822080"/>
    <w:rsid w:val="00822E23"/>
    <w:rsid w:val="00823A1C"/>
    <w:rsid w:val="00825CA1"/>
    <w:rsid w:val="008310FB"/>
    <w:rsid w:val="00832694"/>
    <w:rsid w:val="008424C3"/>
    <w:rsid w:val="00844856"/>
    <w:rsid w:val="00845B9D"/>
    <w:rsid w:val="008470B2"/>
    <w:rsid w:val="00850BA6"/>
    <w:rsid w:val="008525EC"/>
    <w:rsid w:val="00853A72"/>
    <w:rsid w:val="00855240"/>
    <w:rsid w:val="00856804"/>
    <w:rsid w:val="00860984"/>
    <w:rsid w:val="00864F89"/>
    <w:rsid w:val="0087169C"/>
    <w:rsid w:val="00875B71"/>
    <w:rsid w:val="00877563"/>
    <w:rsid w:val="00882F9F"/>
    <w:rsid w:val="00882FC6"/>
    <w:rsid w:val="00886466"/>
    <w:rsid w:val="00887FEE"/>
    <w:rsid w:val="008919DE"/>
    <w:rsid w:val="00895FD8"/>
    <w:rsid w:val="00897224"/>
    <w:rsid w:val="008A186E"/>
    <w:rsid w:val="008A3767"/>
    <w:rsid w:val="008A75C1"/>
    <w:rsid w:val="008B3ECB"/>
    <w:rsid w:val="008B4E85"/>
    <w:rsid w:val="008B65B6"/>
    <w:rsid w:val="008B7620"/>
    <w:rsid w:val="008C030A"/>
    <w:rsid w:val="008C1B2E"/>
    <w:rsid w:val="008C28BC"/>
    <w:rsid w:val="008D1B69"/>
    <w:rsid w:val="008D21FB"/>
    <w:rsid w:val="008D6FDB"/>
    <w:rsid w:val="008D78B1"/>
    <w:rsid w:val="008E03F6"/>
    <w:rsid w:val="008E2A5A"/>
    <w:rsid w:val="008E3518"/>
    <w:rsid w:val="008E4774"/>
    <w:rsid w:val="008E494F"/>
    <w:rsid w:val="008F63D4"/>
    <w:rsid w:val="008F6DCD"/>
    <w:rsid w:val="0090145D"/>
    <w:rsid w:val="0090548A"/>
    <w:rsid w:val="0091439D"/>
    <w:rsid w:val="0091627E"/>
    <w:rsid w:val="0092094C"/>
    <w:rsid w:val="00921170"/>
    <w:rsid w:val="00921625"/>
    <w:rsid w:val="00921824"/>
    <w:rsid w:val="00924D23"/>
    <w:rsid w:val="00932854"/>
    <w:rsid w:val="00933EFE"/>
    <w:rsid w:val="009363CD"/>
    <w:rsid w:val="009507D5"/>
    <w:rsid w:val="00951011"/>
    <w:rsid w:val="00952402"/>
    <w:rsid w:val="00952CEC"/>
    <w:rsid w:val="0096204B"/>
    <w:rsid w:val="00962326"/>
    <w:rsid w:val="009633C4"/>
    <w:rsid w:val="009639B3"/>
    <w:rsid w:val="009644A4"/>
    <w:rsid w:val="00965F76"/>
    <w:rsid w:val="0097032B"/>
    <w:rsid w:val="00976DFD"/>
    <w:rsid w:val="00983D43"/>
    <w:rsid w:val="0098479A"/>
    <w:rsid w:val="00986407"/>
    <w:rsid w:val="00990515"/>
    <w:rsid w:val="00993CAD"/>
    <w:rsid w:val="009A02A4"/>
    <w:rsid w:val="009A1DC4"/>
    <w:rsid w:val="009A52DA"/>
    <w:rsid w:val="009A59E2"/>
    <w:rsid w:val="009A6725"/>
    <w:rsid w:val="009A677C"/>
    <w:rsid w:val="009A6805"/>
    <w:rsid w:val="009B3B58"/>
    <w:rsid w:val="009B61B3"/>
    <w:rsid w:val="009C00BE"/>
    <w:rsid w:val="009D14BE"/>
    <w:rsid w:val="009D2EAD"/>
    <w:rsid w:val="009D4FCD"/>
    <w:rsid w:val="009D54B2"/>
    <w:rsid w:val="009D7756"/>
    <w:rsid w:val="009E1922"/>
    <w:rsid w:val="009E1937"/>
    <w:rsid w:val="009E30C9"/>
    <w:rsid w:val="009E3486"/>
    <w:rsid w:val="009E4765"/>
    <w:rsid w:val="009E4799"/>
    <w:rsid w:val="009E762A"/>
    <w:rsid w:val="009E781F"/>
    <w:rsid w:val="009F320E"/>
    <w:rsid w:val="009F7ED2"/>
    <w:rsid w:val="00A013DA"/>
    <w:rsid w:val="00A0156F"/>
    <w:rsid w:val="00A02F27"/>
    <w:rsid w:val="00A0411A"/>
    <w:rsid w:val="00A11DB7"/>
    <w:rsid w:val="00A13A61"/>
    <w:rsid w:val="00A2404C"/>
    <w:rsid w:val="00A24660"/>
    <w:rsid w:val="00A24A2A"/>
    <w:rsid w:val="00A26A37"/>
    <w:rsid w:val="00A311B3"/>
    <w:rsid w:val="00A3403E"/>
    <w:rsid w:val="00A35E49"/>
    <w:rsid w:val="00A362D2"/>
    <w:rsid w:val="00A37C65"/>
    <w:rsid w:val="00A500C8"/>
    <w:rsid w:val="00A7076D"/>
    <w:rsid w:val="00A71B72"/>
    <w:rsid w:val="00A72BAB"/>
    <w:rsid w:val="00A73217"/>
    <w:rsid w:val="00A76BC3"/>
    <w:rsid w:val="00A76EEC"/>
    <w:rsid w:val="00A811B1"/>
    <w:rsid w:val="00A825E0"/>
    <w:rsid w:val="00A87FCF"/>
    <w:rsid w:val="00A9097D"/>
    <w:rsid w:val="00A91337"/>
    <w:rsid w:val="00A93068"/>
    <w:rsid w:val="00A93661"/>
    <w:rsid w:val="00A93B2E"/>
    <w:rsid w:val="00A9420D"/>
    <w:rsid w:val="00A95652"/>
    <w:rsid w:val="00A97807"/>
    <w:rsid w:val="00AA099B"/>
    <w:rsid w:val="00AB0410"/>
    <w:rsid w:val="00AC0528"/>
    <w:rsid w:val="00AC0AB8"/>
    <w:rsid w:val="00AC5C5A"/>
    <w:rsid w:val="00AC69C6"/>
    <w:rsid w:val="00AC7396"/>
    <w:rsid w:val="00AC7EEA"/>
    <w:rsid w:val="00AD3536"/>
    <w:rsid w:val="00AD4748"/>
    <w:rsid w:val="00AD5611"/>
    <w:rsid w:val="00AD5C69"/>
    <w:rsid w:val="00AD772A"/>
    <w:rsid w:val="00AE7DFE"/>
    <w:rsid w:val="00AF0A13"/>
    <w:rsid w:val="00AF1B9B"/>
    <w:rsid w:val="00AF4AA6"/>
    <w:rsid w:val="00AF56F5"/>
    <w:rsid w:val="00AF77AA"/>
    <w:rsid w:val="00B01229"/>
    <w:rsid w:val="00B01D7A"/>
    <w:rsid w:val="00B05705"/>
    <w:rsid w:val="00B06EC6"/>
    <w:rsid w:val="00B06F84"/>
    <w:rsid w:val="00B0786A"/>
    <w:rsid w:val="00B10843"/>
    <w:rsid w:val="00B122B7"/>
    <w:rsid w:val="00B2040C"/>
    <w:rsid w:val="00B236EC"/>
    <w:rsid w:val="00B25E91"/>
    <w:rsid w:val="00B33C6D"/>
    <w:rsid w:val="00B35227"/>
    <w:rsid w:val="00B37923"/>
    <w:rsid w:val="00B4508F"/>
    <w:rsid w:val="00B47A2A"/>
    <w:rsid w:val="00B50BBD"/>
    <w:rsid w:val="00B51387"/>
    <w:rsid w:val="00B5308E"/>
    <w:rsid w:val="00B55AD5"/>
    <w:rsid w:val="00B6642B"/>
    <w:rsid w:val="00B6746A"/>
    <w:rsid w:val="00B67A73"/>
    <w:rsid w:val="00B75B01"/>
    <w:rsid w:val="00B8057C"/>
    <w:rsid w:val="00B8129A"/>
    <w:rsid w:val="00B86B78"/>
    <w:rsid w:val="00B86BD0"/>
    <w:rsid w:val="00B87086"/>
    <w:rsid w:val="00B950AF"/>
    <w:rsid w:val="00B96213"/>
    <w:rsid w:val="00BA1973"/>
    <w:rsid w:val="00BB3098"/>
    <w:rsid w:val="00BB7ABE"/>
    <w:rsid w:val="00BC231D"/>
    <w:rsid w:val="00BC2C9D"/>
    <w:rsid w:val="00BC76AA"/>
    <w:rsid w:val="00BD6238"/>
    <w:rsid w:val="00BD638B"/>
    <w:rsid w:val="00BE3931"/>
    <w:rsid w:val="00BE6405"/>
    <w:rsid w:val="00BE7FAB"/>
    <w:rsid w:val="00BF593B"/>
    <w:rsid w:val="00BF5F4D"/>
    <w:rsid w:val="00BF773A"/>
    <w:rsid w:val="00BF7E81"/>
    <w:rsid w:val="00C0061A"/>
    <w:rsid w:val="00C04EC7"/>
    <w:rsid w:val="00C102EA"/>
    <w:rsid w:val="00C13773"/>
    <w:rsid w:val="00C14404"/>
    <w:rsid w:val="00C14DD7"/>
    <w:rsid w:val="00C17CC8"/>
    <w:rsid w:val="00C17FE6"/>
    <w:rsid w:val="00C22AD3"/>
    <w:rsid w:val="00C24DC0"/>
    <w:rsid w:val="00C25C34"/>
    <w:rsid w:val="00C26133"/>
    <w:rsid w:val="00C26D5A"/>
    <w:rsid w:val="00C30AFD"/>
    <w:rsid w:val="00C36182"/>
    <w:rsid w:val="00C40FAB"/>
    <w:rsid w:val="00C42A3B"/>
    <w:rsid w:val="00C50218"/>
    <w:rsid w:val="00C5265C"/>
    <w:rsid w:val="00C54D46"/>
    <w:rsid w:val="00C54F4F"/>
    <w:rsid w:val="00C72A84"/>
    <w:rsid w:val="00C74E6A"/>
    <w:rsid w:val="00C83417"/>
    <w:rsid w:val="00C83440"/>
    <w:rsid w:val="00C86597"/>
    <w:rsid w:val="00C933F3"/>
    <w:rsid w:val="00C9604F"/>
    <w:rsid w:val="00C969FE"/>
    <w:rsid w:val="00CA0E0C"/>
    <w:rsid w:val="00CA0E52"/>
    <w:rsid w:val="00CA19AA"/>
    <w:rsid w:val="00CA37E6"/>
    <w:rsid w:val="00CA5FB6"/>
    <w:rsid w:val="00CA6904"/>
    <w:rsid w:val="00CA7491"/>
    <w:rsid w:val="00CB05A4"/>
    <w:rsid w:val="00CB23B0"/>
    <w:rsid w:val="00CB3C66"/>
    <w:rsid w:val="00CC0693"/>
    <w:rsid w:val="00CC1834"/>
    <w:rsid w:val="00CC5298"/>
    <w:rsid w:val="00CC56C8"/>
    <w:rsid w:val="00CD0C16"/>
    <w:rsid w:val="00CD29F8"/>
    <w:rsid w:val="00CD6618"/>
    <w:rsid w:val="00CD736E"/>
    <w:rsid w:val="00CD798D"/>
    <w:rsid w:val="00CE103D"/>
    <w:rsid w:val="00CE161E"/>
    <w:rsid w:val="00CE328D"/>
    <w:rsid w:val="00CE6F1D"/>
    <w:rsid w:val="00CF0F9F"/>
    <w:rsid w:val="00CF2263"/>
    <w:rsid w:val="00CF2B13"/>
    <w:rsid w:val="00CF59A8"/>
    <w:rsid w:val="00D0167A"/>
    <w:rsid w:val="00D01B95"/>
    <w:rsid w:val="00D05753"/>
    <w:rsid w:val="00D05C44"/>
    <w:rsid w:val="00D062C3"/>
    <w:rsid w:val="00D100F8"/>
    <w:rsid w:val="00D134BE"/>
    <w:rsid w:val="00D1512D"/>
    <w:rsid w:val="00D17BC5"/>
    <w:rsid w:val="00D22805"/>
    <w:rsid w:val="00D26701"/>
    <w:rsid w:val="00D325A9"/>
    <w:rsid w:val="00D36A8A"/>
    <w:rsid w:val="00D377B1"/>
    <w:rsid w:val="00D41B52"/>
    <w:rsid w:val="00D468A8"/>
    <w:rsid w:val="00D47F4C"/>
    <w:rsid w:val="00D50676"/>
    <w:rsid w:val="00D50ED2"/>
    <w:rsid w:val="00D51CD3"/>
    <w:rsid w:val="00D55F05"/>
    <w:rsid w:val="00D61409"/>
    <w:rsid w:val="00D622CD"/>
    <w:rsid w:val="00D6691E"/>
    <w:rsid w:val="00D70510"/>
    <w:rsid w:val="00D71170"/>
    <w:rsid w:val="00D72EB5"/>
    <w:rsid w:val="00D74239"/>
    <w:rsid w:val="00D74F45"/>
    <w:rsid w:val="00D762F2"/>
    <w:rsid w:val="00D76E30"/>
    <w:rsid w:val="00D77125"/>
    <w:rsid w:val="00D772F0"/>
    <w:rsid w:val="00D80C14"/>
    <w:rsid w:val="00D80D39"/>
    <w:rsid w:val="00D8586F"/>
    <w:rsid w:val="00D87292"/>
    <w:rsid w:val="00DA1C92"/>
    <w:rsid w:val="00DA25D4"/>
    <w:rsid w:val="00DA280C"/>
    <w:rsid w:val="00DA5D81"/>
    <w:rsid w:val="00DA6519"/>
    <w:rsid w:val="00DA6538"/>
    <w:rsid w:val="00DA7FC5"/>
    <w:rsid w:val="00DB221B"/>
    <w:rsid w:val="00DB2CBA"/>
    <w:rsid w:val="00DB78EB"/>
    <w:rsid w:val="00DD1C68"/>
    <w:rsid w:val="00DD2175"/>
    <w:rsid w:val="00DD5062"/>
    <w:rsid w:val="00DE0EA3"/>
    <w:rsid w:val="00DE5E47"/>
    <w:rsid w:val="00DF54EA"/>
    <w:rsid w:val="00DF76C4"/>
    <w:rsid w:val="00E02734"/>
    <w:rsid w:val="00E04C0B"/>
    <w:rsid w:val="00E10148"/>
    <w:rsid w:val="00E13A66"/>
    <w:rsid w:val="00E14E01"/>
    <w:rsid w:val="00E15E75"/>
    <w:rsid w:val="00E16714"/>
    <w:rsid w:val="00E24D0B"/>
    <w:rsid w:val="00E25EEE"/>
    <w:rsid w:val="00E2645F"/>
    <w:rsid w:val="00E26B46"/>
    <w:rsid w:val="00E30406"/>
    <w:rsid w:val="00E34153"/>
    <w:rsid w:val="00E375FB"/>
    <w:rsid w:val="00E42060"/>
    <w:rsid w:val="00E5262C"/>
    <w:rsid w:val="00E5287B"/>
    <w:rsid w:val="00E53BCC"/>
    <w:rsid w:val="00E543EC"/>
    <w:rsid w:val="00E54B2C"/>
    <w:rsid w:val="00E55187"/>
    <w:rsid w:val="00E556DA"/>
    <w:rsid w:val="00E57EF6"/>
    <w:rsid w:val="00E61862"/>
    <w:rsid w:val="00E61B33"/>
    <w:rsid w:val="00E63062"/>
    <w:rsid w:val="00E64C45"/>
    <w:rsid w:val="00E65C5F"/>
    <w:rsid w:val="00E6600F"/>
    <w:rsid w:val="00E722F9"/>
    <w:rsid w:val="00E75BB7"/>
    <w:rsid w:val="00E80FEB"/>
    <w:rsid w:val="00E86A46"/>
    <w:rsid w:val="00E93DC1"/>
    <w:rsid w:val="00E97488"/>
    <w:rsid w:val="00EA338F"/>
    <w:rsid w:val="00EA52A6"/>
    <w:rsid w:val="00EB60A1"/>
    <w:rsid w:val="00EB728B"/>
    <w:rsid w:val="00EB770F"/>
    <w:rsid w:val="00EB78F4"/>
    <w:rsid w:val="00EB79A6"/>
    <w:rsid w:val="00EC283F"/>
    <w:rsid w:val="00EC730F"/>
    <w:rsid w:val="00EC7DC4"/>
    <w:rsid w:val="00ED30CF"/>
    <w:rsid w:val="00ED60DF"/>
    <w:rsid w:val="00ED6767"/>
    <w:rsid w:val="00EE0DC1"/>
    <w:rsid w:val="00EE14F5"/>
    <w:rsid w:val="00EE1C33"/>
    <w:rsid w:val="00EE468A"/>
    <w:rsid w:val="00EE7EFF"/>
    <w:rsid w:val="00EF0B1E"/>
    <w:rsid w:val="00EF3B62"/>
    <w:rsid w:val="00EF3EE9"/>
    <w:rsid w:val="00EF747A"/>
    <w:rsid w:val="00F05227"/>
    <w:rsid w:val="00F061FE"/>
    <w:rsid w:val="00F100D5"/>
    <w:rsid w:val="00F15161"/>
    <w:rsid w:val="00F157D3"/>
    <w:rsid w:val="00F176EF"/>
    <w:rsid w:val="00F274D8"/>
    <w:rsid w:val="00F40BDC"/>
    <w:rsid w:val="00F41BA4"/>
    <w:rsid w:val="00F45E10"/>
    <w:rsid w:val="00F5204C"/>
    <w:rsid w:val="00F5296B"/>
    <w:rsid w:val="00F567B5"/>
    <w:rsid w:val="00F56864"/>
    <w:rsid w:val="00F61932"/>
    <w:rsid w:val="00F632E7"/>
    <w:rsid w:val="00F6364A"/>
    <w:rsid w:val="00F63B13"/>
    <w:rsid w:val="00F642C1"/>
    <w:rsid w:val="00F735D3"/>
    <w:rsid w:val="00F80C4A"/>
    <w:rsid w:val="00F81CC9"/>
    <w:rsid w:val="00F82712"/>
    <w:rsid w:val="00F83145"/>
    <w:rsid w:val="00F9113A"/>
    <w:rsid w:val="00F977AE"/>
    <w:rsid w:val="00FA13F6"/>
    <w:rsid w:val="00FA3FAB"/>
    <w:rsid w:val="00FA4C34"/>
    <w:rsid w:val="00FA5188"/>
    <w:rsid w:val="00FA6901"/>
    <w:rsid w:val="00FB14EB"/>
    <w:rsid w:val="00FB4AC8"/>
    <w:rsid w:val="00FB7A62"/>
    <w:rsid w:val="00FC5563"/>
    <w:rsid w:val="00FC5ADC"/>
    <w:rsid w:val="00FC7025"/>
    <w:rsid w:val="00FC790C"/>
    <w:rsid w:val="00FD0D60"/>
    <w:rsid w:val="00FD3B89"/>
    <w:rsid w:val="00FD52DC"/>
    <w:rsid w:val="00FE02FE"/>
    <w:rsid w:val="00FE2546"/>
    <w:rsid w:val="00FE2BCA"/>
    <w:rsid w:val="00FE2E5A"/>
    <w:rsid w:val="00FE618D"/>
    <w:rsid w:val="00FE723D"/>
    <w:rsid w:val="00FF53A6"/>
    <w:rsid w:val="00FF6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C5031E"/>
  <w15:docId w15:val="{A0482393-C367-4069-B793-7939BD5D2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16537D"/>
    <w:rPr>
      <w:rFonts w:ascii="Times New Roman" w:hAnsi="Times New Roman" w:cs="Times New Roman"/>
    </w:rPr>
  </w:style>
  <w:style w:type="paragraph" w:styleId="Heading1">
    <w:name w:val="heading 1"/>
    <w:aliases w:val="Pocket"/>
    <w:basedOn w:val="Normal"/>
    <w:next w:val="Normal"/>
    <w:link w:val="Heading1Char"/>
    <w:qFormat/>
    <w:rsid w:val="001653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Tag / cite,Heading 2 Char Char Char Char,Heading 2 Char Char Char Char Char Char Char,Heading 2 Char Char Char Char Char Char,Tags and Cites,Heading 2 - Tags"/>
    <w:basedOn w:val="Normal"/>
    <w:next w:val="Normal"/>
    <w:link w:val="Heading2Char"/>
    <w:uiPriority w:val="1"/>
    <w:unhideWhenUsed/>
    <w:qFormat/>
    <w:rsid w:val="001653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Underline Style,Heading 3 - Citation,Char Char Char Char Char Char Char,Heading 3 Char Char, Char Char, Char Char Char Char Char Char Char,Char Char,3: Cite,Index Headers,Bold Cite,Citation Char Char,Heading 3 Char1 Char Char,Text 7,Char"/>
    <w:basedOn w:val="Normal"/>
    <w:next w:val="Normal"/>
    <w:link w:val="Heading3Char"/>
    <w:uiPriority w:val="2"/>
    <w:unhideWhenUsed/>
    <w:qFormat/>
    <w:rsid w:val="001653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Underlined,Big card,body,small text,Normal Tag,heading 2,Heading 2 Char2 Char,Heading 2 Char1 Char Char,TAG, Ch,Ch,no read,No Spacing211,No Spacing12,No Spacing2111,No Spacing111111,No Spacing4,No Spacing11111,ta,No Spacing5,No Spacing21,t"/>
    <w:basedOn w:val="Normal"/>
    <w:next w:val="Normal"/>
    <w:link w:val="Heading4Char"/>
    <w:uiPriority w:val="3"/>
    <w:unhideWhenUsed/>
    <w:qFormat/>
    <w:rsid w:val="0016537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653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537D"/>
  </w:style>
  <w:style w:type="character" w:customStyle="1" w:styleId="Heading1Char">
    <w:name w:val="Heading 1 Char"/>
    <w:aliases w:val="Pocket Char"/>
    <w:basedOn w:val="DefaultParagraphFont"/>
    <w:link w:val="Heading1"/>
    <w:rsid w:val="0016537D"/>
    <w:rPr>
      <w:rFonts w:ascii="Times New Roman" w:eastAsiaTheme="majorEastAsia" w:hAnsi="Times New Roman" w:cstheme="majorBidi"/>
      <w:b/>
      <w:sz w:val="52"/>
      <w:szCs w:val="32"/>
    </w:rPr>
  </w:style>
  <w:style w:type="character" w:customStyle="1" w:styleId="Heading2Char">
    <w:name w:val="Heading 2 Char"/>
    <w:aliases w:val="Hat Char,Tag / cite Char,Heading 2 Char Char Char Char Char,Heading 2 Char Char Char Char Char Char Char Char,Heading 2 Char Char Char Char Char Char Char1,Tags and Cites Char,Heading 2 - Tags Char"/>
    <w:basedOn w:val="DefaultParagraphFont"/>
    <w:link w:val="Heading2"/>
    <w:uiPriority w:val="1"/>
    <w:rsid w:val="0016537D"/>
    <w:rPr>
      <w:rFonts w:ascii="Times New Roman" w:eastAsiaTheme="majorEastAsia" w:hAnsi="Times New Roman" w:cstheme="majorBidi"/>
      <w:b/>
      <w:sz w:val="44"/>
      <w:szCs w:val="26"/>
      <w:u w:val="double"/>
    </w:rPr>
  </w:style>
  <w:style w:type="character" w:customStyle="1" w:styleId="Heading3Char">
    <w:name w:val="Heading 3 Char"/>
    <w:aliases w:val="Block Char,Underline Style Char,Heading 3 - Citation Char,Char Char Char Char Char Char Char Char,Heading 3 Char Char Char, Char Char Char, Char Char Char Char Char Char Char Char,Char Char Char,3: Cite Char,Index Headers Char,Text 7 Char"/>
    <w:basedOn w:val="DefaultParagraphFont"/>
    <w:link w:val="Heading3"/>
    <w:uiPriority w:val="2"/>
    <w:rsid w:val="0016537D"/>
    <w:rPr>
      <w:rFonts w:ascii="Times New Roman" w:eastAsiaTheme="majorEastAsia" w:hAnsi="Times New Roman" w:cstheme="majorBidi"/>
      <w:b/>
      <w:sz w:val="32"/>
      <w:szCs w:val="24"/>
      <w:u w:val="single"/>
    </w:rPr>
  </w:style>
  <w:style w:type="character" w:customStyle="1" w:styleId="Heading4Char">
    <w:name w:val="Heading 4 Char"/>
    <w:aliases w:val="Tag Char,Underlined Char,Big card Char,body Char,small text Char,Normal Tag Char,heading 2 Char,Heading 2 Char2 Char Char,Heading 2 Char1 Char Char Char,TAG Char, Ch Char,Ch Char,no read Char,No Spacing211 Char,No Spacing12 Char,ta Char"/>
    <w:basedOn w:val="DefaultParagraphFont"/>
    <w:link w:val="Heading4"/>
    <w:uiPriority w:val="3"/>
    <w:rsid w:val="0016537D"/>
    <w:rPr>
      <w:rFonts w:ascii="Times New Roman" w:eastAsiaTheme="majorEastAsia" w:hAnsi="Times New Roman" w:cstheme="majorBidi"/>
      <w:b/>
      <w:iCs/>
      <w:sz w:val="26"/>
    </w:rPr>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
    <w:basedOn w:val="DefaultParagraphFont"/>
    <w:link w:val="textbold"/>
    <w:uiPriority w:val="7"/>
    <w:qFormat/>
    <w:rsid w:val="0016537D"/>
    <w:rPr>
      <w:rFonts w:ascii="Times New Roman" w:hAnsi="Times New Roman" w:cs="Times New Roman"/>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6537D"/>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
    <w:basedOn w:val="DefaultParagraphFont"/>
    <w:uiPriority w:val="6"/>
    <w:qFormat/>
    <w:rsid w:val="0016537D"/>
    <w:rPr>
      <w:b/>
      <w:sz w:val="22"/>
      <w:u w:val="single"/>
    </w:rPr>
  </w:style>
  <w:style w:type="character" w:styleId="Hyperlink">
    <w:name w:val="Hyperlink"/>
    <w:aliases w:val="heading 1 (block title),Important,Read,Card Text,Internet Link,Analytic Text,Internet link,Char Char1"/>
    <w:basedOn w:val="DefaultParagraphFont"/>
    <w:uiPriority w:val="99"/>
    <w:unhideWhenUsed/>
    <w:rsid w:val="0016537D"/>
    <w:rPr>
      <w:color w:val="auto"/>
      <w:u w:val="none"/>
    </w:rPr>
  </w:style>
  <w:style w:type="character" w:styleId="FollowedHyperlink">
    <w:name w:val="FollowedHyperlink"/>
    <w:basedOn w:val="DefaultParagraphFont"/>
    <w:uiPriority w:val="99"/>
    <w:semiHidden/>
    <w:unhideWhenUsed/>
    <w:rsid w:val="0016537D"/>
    <w:rPr>
      <w:color w:val="auto"/>
      <w:u w:val="none"/>
    </w:rPr>
  </w:style>
  <w:style w:type="paragraph" w:styleId="NormalWeb">
    <w:name w:val="Normal (Web)"/>
    <w:basedOn w:val="Normal"/>
    <w:uiPriority w:val="99"/>
    <w:unhideWhenUsed/>
    <w:rsid w:val="00410288"/>
    <w:rPr>
      <w:szCs w:val="24"/>
    </w:rPr>
  </w:style>
  <w:style w:type="paragraph" w:customStyle="1" w:styleId="Analytic">
    <w:name w:val="Analytic"/>
    <w:basedOn w:val="Heading4"/>
    <w:uiPriority w:val="4"/>
    <w:qFormat/>
    <w:rsid w:val="008B7620"/>
    <w:pPr>
      <w:keepNext w:val="0"/>
      <w:keepLines w:val="0"/>
      <w:spacing w:before="0" w:after="160"/>
      <w:outlineLvl w:val="9"/>
    </w:pPr>
    <w:rPr>
      <w:rFonts w:eastAsia="Times New Roman" w:cs="Times New Roman"/>
      <w:iCs w:val="0"/>
      <w:color w:val="4472C4" w:themeColor="accent5"/>
      <w:szCs w:val="20"/>
    </w:rPr>
  </w:style>
  <w:style w:type="character" w:customStyle="1" w:styleId="A6">
    <w:name w:val="A6"/>
    <w:uiPriority w:val="99"/>
    <w:rsid w:val="00D50ED2"/>
    <w:rPr>
      <w:rFonts w:cs="Adobe Garamond Pro"/>
      <w:color w:val="211D1E"/>
      <w:sz w:val="26"/>
      <w:szCs w:val="26"/>
    </w:rPr>
  </w:style>
  <w:style w:type="paragraph" w:customStyle="1" w:styleId="Pa8">
    <w:name w:val="Pa8"/>
    <w:basedOn w:val="Normal"/>
    <w:next w:val="Normal"/>
    <w:uiPriority w:val="99"/>
    <w:qFormat/>
    <w:rsid w:val="00D50ED2"/>
    <w:pPr>
      <w:autoSpaceDE w:val="0"/>
      <w:autoSpaceDN w:val="0"/>
      <w:adjustRightInd w:val="0"/>
      <w:spacing w:after="0" w:line="241" w:lineRule="atLeast"/>
    </w:pPr>
    <w:rPr>
      <w:rFonts w:ascii="Adobe Garamond Pro" w:hAnsi="Adobe Garamond Pro" w:cstheme="minorBidi"/>
      <w:szCs w:val="24"/>
    </w:rPr>
  </w:style>
  <w:style w:type="paragraph" w:customStyle="1" w:styleId="Nothing">
    <w:name w:val="Nothing"/>
    <w:link w:val="NothingChar"/>
    <w:qFormat/>
    <w:rsid w:val="00822E23"/>
    <w:pPr>
      <w:spacing w:after="0" w:line="240" w:lineRule="auto"/>
      <w:jc w:val="both"/>
    </w:pPr>
    <w:rPr>
      <w:rFonts w:ascii="Times New Roman" w:eastAsia="Times New Roman" w:hAnsi="Times New Roman" w:cs="Times New Roman"/>
      <w:sz w:val="24"/>
      <w:szCs w:val="24"/>
    </w:rPr>
  </w:style>
  <w:style w:type="paragraph" w:customStyle="1" w:styleId="Cards">
    <w:name w:val="Cards"/>
    <w:basedOn w:val="Normal"/>
    <w:link w:val="CardsChar1"/>
    <w:qFormat/>
    <w:rsid w:val="00822E23"/>
    <w:pPr>
      <w:autoSpaceDE w:val="0"/>
      <w:autoSpaceDN w:val="0"/>
      <w:adjustRightInd w:val="0"/>
      <w:ind w:left="432" w:right="432"/>
      <w:jc w:val="both"/>
    </w:pPr>
    <w:rPr>
      <w:rFonts w:eastAsia="Times New Roman"/>
      <w:szCs w:val="20"/>
    </w:rPr>
  </w:style>
  <w:style w:type="character" w:customStyle="1" w:styleId="CardsChar1">
    <w:name w:val="Cards Char1"/>
    <w:basedOn w:val="DefaultParagraphFont"/>
    <w:link w:val="Cards"/>
    <w:rsid w:val="00822E23"/>
    <w:rPr>
      <w:rFonts w:ascii="Times New Roman" w:eastAsia="Times New Roman" w:hAnsi="Times New Roman" w:cs="Times New Roman"/>
      <w:sz w:val="20"/>
      <w:szCs w:val="20"/>
    </w:rPr>
  </w:style>
  <w:style w:type="character" w:customStyle="1" w:styleId="Author-Date">
    <w:name w:val="Author-Date"/>
    <w:qFormat/>
    <w:rsid w:val="00822E23"/>
    <w:rPr>
      <w:b/>
      <w:sz w:val="24"/>
    </w:rPr>
  </w:style>
  <w:style w:type="character" w:customStyle="1" w:styleId="NothingChar">
    <w:name w:val="Nothing Char"/>
    <w:link w:val="Nothing"/>
    <w:rsid w:val="00822E23"/>
    <w:rPr>
      <w:rFonts w:ascii="Times New Roman" w:eastAsia="Times New Roman" w:hAnsi="Times New Roman" w:cs="Times New Roman"/>
      <w:sz w:val="24"/>
      <w:szCs w:val="24"/>
    </w:rPr>
  </w:style>
  <w:style w:type="paragraph" w:customStyle="1" w:styleId="textbold">
    <w:name w:val="text bold"/>
    <w:basedOn w:val="Normal"/>
    <w:link w:val="Emphasis"/>
    <w:uiPriority w:val="7"/>
    <w:qFormat/>
    <w:rsid w:val="00822E23"/>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card">
    <w:name w:val="card"/>
    <w:basedOn w:val="Normal"/>
    <w:link w:val="cardChar"/>
    <w:qFormat/>
    <w:rsid w:val="00314537"/>
    <w:pPr>
      <w:ind w:left="400"/>
    </w:pPr>
    <w:rPr>
      <w:rFonts w:eastAsia="Times New Roman"/>
      <w:szCs w:val="24"/>
    </w:rPr>
  </w:style>
  <w:style w:type="character" w:customStyle="1" w:styleId="cardChar">
    <w:name w:val="card Char"/>
    <w:basedOn w:val="DefaultParagraphFont"/>
    <w:link w:val="card"/>
    <w:rsid w:val="00314537"/>
    <w:rPr>
      <w:rFonts w:ascii="Times New Roman" w:eastAsia="Times New Roman" w:hAnsi="Times New Roman" w:cs="Times New Roman"/>
      <w:sz w:val="20"/>
      <w:szCs w:val="24"/>
    </w:rPr>
  </w:style>
  <w:style w:type="character" w:customStyle="1" w:styleId="apple-converted-space">
    <w:name w:val="apple-converted-space"/>
    <w:basedOn w:val="DefaultParagraphFont"/>
    <w:rsid w:val="006C679B"/>
  </w:style>
  <w:style w:type="character" w:styleId="Strong">
    <w:name w:val="Strong"/>
    <w:basedOn w:val="DefaultParagraphFont"/>
    <w:uiPriority w:val="22"/>
    <w:qFormat/>
    <w:rsid w:val="000B3C80"/>
    <w:rPr>
      <w:b/>
      <w:bCs/>
    </w:rPr>
  </w:style>
  <w:style w:type="character" w:customStyle="1" w:styleId="wikiexternallink">
    <w:name w:val="wikiexternallink"/>
    <w:basedOn w:val="DefaultParagraphFont"/>
    <w:rsid w:val="000B3C80"/>
  </w:style>
  <w:style w:type="character" w:customStyle="1" w:styleId="wikigeneratedlinkcontent">
    <w:name w:val="wikigeneratedlinkcontent"/>
    <w:basedOn w:val="DefaultParagraphFont"/>
    <w:rsid w:val="000B3C80"/>
  </w:style>
  <w:style w:type="character" w:customStyle="1" w:styleId="Emph">
    <w:name w:val="Emph"/>
    <w:uiPriority w:val="1"/>
    <w:qFormat/>
    <w:rsid w:val="00D772F0"/>
    <w:rPr>
      <w:rFonts w:ascii="Arial" w:hAnsi="Arial"/>
      <w:b/>
      <w:sz w:val="20"/>
      <w:u w:val="single"/>
      <w:bdr w:val="single" w:sz="8" w:space="0" w:color="auto"/>
    </w:rPr>
  </w:style>
  <w:style w:type="character" w:customStyle="1" w:styleId="UnresolvedMention1">
    <w:name w:val="Unresolved Mention1"/>
    <w:basedOn w:val="DefaultParagraphFont"/>
    <w:uiPriority w:val="99"/>
    <w:semiHidden/>
    <w:unhideWhenUsed/>
    <w:rsid w:val="00D062C3"/>
    <w:rPr>
      <w:color w:val="808080"/>
      <w:shd w:val="clear" w:color="auto" w:fill="E6E6E6"/>
    </w:rPr>
  </w:style>
  <w:style w:type="paragraph" w:styleId="ListParagraph">
    <w:name w:val="List Paragraph"/>
    <w:basedOn w:val="Normal"/>
    <w:uiPriority w:val="34"/>
    <w:qFormat/>
    <w:rsid w:val="00A02F27"/>
    <w:pPr>
      <w:ind w:left="720"/>
      <w:contextualSpacing/>
    </w:pPr>
  </w:style>
  <w:style w:type="paragraph" w:customStyle="1" w:styleId="footnotedescription">
    <w:name w:val="footnote description"/>
    <w:next w:val="Normal"/>
    <w:link w:val="footnotedescriptionChar"/>
    <w:hidden/>
    <w:rsid w:val="001B274F"/>
    <w:pPr>
      <w:spacing w:after="0" w:line="260" w:lineRule="auto"/>
      <w:ind w:left="15" w:right="20" w:firstLine="296"/>
      <w:jc w:val="both"/>
    </w:pPr>
    <w:rPr>
      <w:rFonts w:ascii="Times New Roman" w:eastAsia="Times New Roman" w:hAnsi="Times New Roman" w:cs="Times New Roman"/>
      <w:color w:val="000000"/>
      <w:sz w:val="18"/>
      <w:lang w:eastAsia="zh-CN"/>
    </w:rPr>
  </w:style>
  <w:style w:type="character" w:customStyle="1" w:styleId="footnotedescriptionChar">
    <w:name w:val="footnote description Char"/>
    <w:link w:val="footnotedescription"/>
    <w:rsid w:val="001B274F"/>
    <w:rPr>
      <w:rFonts w:ascii="Times New Roman" w:eastAsia="Times New Roman" w:hAnsi="Times New Roman" w:cs="Times New Roman"/>
      <w:color w:val="000000"/>
      <w:sz w:val="18"/>
      <w:lang w:eastAsia="zh-CN"/>
    </w:rPr>
  </w:style>
  <w:style w:type="character" w:customStyle="1" w:styleId="footnotemark">
    <w:name w:val="footnote mark"/>
    <w:hidden/>
    <w:rsid w:val="001B274F"/>
    <w:rPr>
      <w:rFonts w:ascii="Times New Roman" w:eastAsia="Times New Roman" w:hAnsi="Times New Roman" w:cs="Times New Roman"/>
      <w:color w:val="000000"/>
      <w:sz w:val="18"/>
      <w:vertAlign w:val="superscript"/>
    </w:rPr>
  </w:style>
  <w:style w:type="paragraph" w:customStyle="1" w:styleId="Analytics">
    <w:name w:val="Analytics"/>
    <w:basedOn w:val="Heading4"/>
    <w:link w:val="AnalyticsChar"/>
    <w:autoRedefine/>
    <w:uiPriority w:val="4"/>
    <w:qFormat/>
    <w:rsid w:val="008B7620"/>
    <w:rPr>
      <w:color w:val="171717" w:themeColor="background2" w:themeShade="1A"/>
    </w:rPr>
  </w:style>
  <w:style w:type="character" w:customStyle="1" w:styleId="AnalyticsChar">
    <w:name w:val="Analytics Char"/>
    <w:basedOn w:val="DefaultParagraphFont"/>
    <w:link w:val="Analytics"/>
    <w:uiPriority w:val="4"/>
    <w:rsid w:val="008B7620"/>
    <w:rPr>
      <w:rFonts w:ascii="Times New Roman" w:eastAsiaTheme="majorEastAsia" w:hAnsi="Times New Roman" w:cstheme="majorBidi"/>
      <w:b/>
      <w:iCs/>
      <w:color w:val="171717" w:themeColor="background2" w:themeShade="1A"/>
      <w:sz w:val="24"/>
    </w:rPr>
  </w:style>
  <w:style w:type="character" w:customStyle="1" w:styleId="UnderliningChar">
    <w:name w:val="Underlining Char"/>
    <w:qFormat/>
    <w:rsid w:val="00076778"/>
    <w:rPr>
      <w:rFonts w:ascii="Georgia" w:eastAsia="Times New Roman" w:hAnsi="Georgia"/>
      <w:szCs w:val="24"/>
      <w:u w:val="single"/>
    </w:rPr>
  </w:style>
  <w:style w:type="paragraph" w:styleId="Header">
    <w:name w:val="header"/>
    <w:basedOn w:val="Normal"/>
    <w:link w:val="HeaderChar"/>
    <w:uiPriority w:val="99"/>
    <w:unhideWhenUsed/>
    <w:rsid w:val="009E3486"/>
    <w:pPr>
      <w:tabs>
        <w:tab w:val="center" w:pos="4680"/>
        <w:tab w:val="right" w:pos="9360"/>
      </w:tabs>
      <w:spacing w:after="0" w:line="240" w:lineRule="auto"/>
    </w:pPr>
    <w:rPr>
      <w:rFonts w:asciiTheme="minorHAnsi" w:eastAsiaTheme="minorEastAsia" w:hAnsiTheme="minorHAnsi"/>
    </w:rPr>
  </w:style>
  <w:style w:type="character" w:customStyle="1" w:styleId="HeaderChar">
    <w:name w:val="Header Char"/>
    <w:basedOn w:val="DefaultParagraphFont"/>
    <w:link w:val="Header"/>
    <w:uiPriority w:val="99"/>
    <w:rsid w:val="009E3486"/>
    <w:rPr>
      <w:rFonts w:eastAsiaTheme="minorEastAsia" w:cs="Times New Roman"/>
    </w:rPr>
  </w:style>
  <w:style w:type="paragraph" w:styleId="TOC1">
    <w:name w:val="toc 1"/>
    <w:basedOn w:val="Normal"/>
    <w:next w:val="Normal"/>
    <w:autoRedefine/>
    <w:uiPriority w:val="39"/>
    <w:unhideWhenUsed/>
    <w:rsid w:val="009E3486"/>
    <w:pPr>
      <w:spacing w:after="100"/>
    </w:pPr>
  </w:style>
  <w:style w:type="paragraph" w:styleId="TOC2">
    <w:name w:val="toc 2"/>
    <w:basedOn w:val="Normal"/>
    <w:next w:val="Normal"/>
    <w:autoRedefine/>
    <w:uiPriority w:val="39"/>
    <w:unhideWhenUsed/>
    <w:rsid w:val="009E3486"/>
    <w:pPr>
      <w:spacing w:after="100"/>
      <w:ind w:left="220"/>
    </w:pPr>
  </w:style>
  <w:style w:type="paragraph" w:styleId="TOC3">
    <w:name w:val="toc 3"/>
    <w:basedOn w:val="Normal"/>
    <w:next w:val="Normal"/>
    <w:autoRedefine/>
    <w:uiPriority w:val="39"/>
    <w:unhideWhenUsed/>
    <w:rsid w:val="009E3486"/>
    <w:pPr>
      <w:spacing w:after="100"/>
      <w:ind w:left="440"/>
    </w:pPr>
  </w:style>
  <w:style w:type="paragraph" w:styleId="TOC4">
    <w:name w:val="toc 4"/>
    <w:basedOn w:val="Normal"/>
    <w:next w:val="Normal"/>
    <w:autoRedefine/>
    <w:uiPriority w:val="39"/>
    <w:unhideWhenUsed/>
    <w:rsid w:val="009E3486"/>
    <w:pPr>
      <w:spacing w:after="100"/>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9E3486"/>
    <w:pPr>
      <w:spacing w:after="100"/>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9E3486"/>
    <w:pPr>
      <w:spacing w:after="100"/>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9E3486"/>
    <w:pPr>
      <w:spacing w:after="100"/>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9E3486"/>
    <w:pPr>
      <w:spacing w:after="100"/>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9E3486"/>
    <w:pPr>
      <w:spacing w:after="100"/>
      <w:ind w:left="1760"/>
    </w:pPr>
    <w:rPr>
      <w:rFonts w:asciiTheme="minorHAnsi" w:eastAsiaTheme="minorEastAsia" w:hAnsiTheme="minorHAnsi" w:cstheme="minorBidi"/>
    </w:rPr>
  </w:style>
  <w:style w:type="character" w:styleId="UnresolvedMention">
    <w:name w:val="Unresolved Mention"/>
    <w:basedOn w:val="DefaultParagraphFont"/>
    <w:uiPriority w:val="99"/>
    <w:semiHidden/>
    <w:unhideWhenUsed/>
    <w:rsid w:val="009E3486"/>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85809">
      <w:bodyDiv w:val="1"/>
      <w:marLeft w:val="0"/>
      <w:marRight w:val="0"/>
      <w:marTop w:val="0"/>
      <w:marBottom w:val="0"/>
      <w:divBdr>
        <w:top w:val="none" w:sz="0" w:space="0" w:color="auto"/>
        <w:left w:val="none" w:sz="0" w:space="0" w:color="auto"/>
        <w:bottom w:val="none" w:sz="0" w:space="0" w:color="auto"/>
        <w:right w:val="none" w:sz="0" w:space="0" w:color="auto"/>
      </w:divBdr>
    </w:div>
    <w:div w:id="114712691">
      <w:bodyDiv w:val="1"/>
      <w:marLeft w:val="0"/>
      <w:marRight w:val="0"/>
      <w:marTop w:val="0"/>
      <w:marBottom w:val="0"/>
      <w:divBdr>
        <w:top w:val="none" w:sz="0" w:space="0" w:color="auto"/>
        <w:left w:val="none" w:sz="0" w:space="0" w:color="auto"/>
        <w:bottom w:val="none" w:sz="0" w:space="0" w:color="auto"/>
        <w:right w:val="none" w:sz="0" w:space="0" w:color="auto"/>
      </w:divBdr>
    </w:div>
    <w:div w:id="157578680">
      <w:bodyDiv w:val="1"/>
      <w:marLeft w:val="0"/>
      <w:marRight w:val="0"/>
      <w:marTop w:val="0"/>
      <w:marBottom w:val="0"/>
      <w:divBdr>
        <w:top w:val="none" w:sz="0" w:space="0" w:color="auto"/>
        <w:left w:val="none" w:sz="0" w:space="0" w:color="auto"/>
        <w:bottom w:val="none" w:sz="0" w:space="0" w:color="auto"/>
        <w:right w:val="none" w:sz="0" w:space="0" w:color="auto"/>
      </w:divBdr>
      <w:divsChild>
        <w:div w:id="1283151036">
          <w:blockQuote w:val="1"/>
          <w:marLeft w:val="0"/>
          <w:marRight w:val="0"/>
          <w:marTop w:val="0"/>
          <w:marBottom w:val="210"/>
          <w:divBdr>
            <w:top w:val="none" w:sz="0" w:space="0" w:color="auto"/>
            <w:left w:val="none" w:sz="0" w:space="16" w:color="auto"/>
            <w:bottom w:val="none" w:sz="0" w:space="0" w:color="auto"/>
            <w:right w:val="none" w:sz="0" w:space="0" w:color="auto"/>
          </w:divBdr>
        </w:div>
        <w:div w:id="1433698069">
          <w:blockQuote w:val="1"/>
          <w:marLeft w:val="0"/>
          <w:marRight w:val="0"/>
          <w:marTop w:val="0"/>
          <w:marBottom w:val="210"/>
          <w:divBdr>
            <w:top w:val="none" w:sz="0" w:space="0" w:color="auto"/>
            <w:left w:val="none" w:sz="0" w:space="16" w:color="auto"/>
            <w:bottom w:val="none" w:sz="0" w:space="0" w:color="auto"/>
            <w:right w:val="none" w:sz="0" w:space="0" w:color="auto"/>
          </w:divBdr>
        </w:div>
        <w:div w:id="1479617427">
          <w:blockQuote w:val="1"/>
          <w:marLeft w:val="0"/>
          <w:marRight w:val="0"/>
          <w:marTop w:val="0"/>
          <w:marBottom w:val="210"/>
          <w:divBdr>
            <w:top w:val="none" w:sz="0" w:space="0" w:color="auto"/>
            <w:left w:val="none" w:sz="0" w:space="16" w:color="auto"/>
            <w:bottom w:val="none" w:sz="0" w:space="0" w:color="auto"/>
            <w:right w:val="none" w:sz="0" w:space="0" w:color="auto"/>
          </w:divBdr>
        </w:div>
        <w:div w:id="1778718945">
          <w:blockQuote w:val="1"/>
          <w:marLeft w:val="0"/>
          <w:marRight w:val="0"/>
          <w:marTop w:val="0"/>
          <w:marBottom w:val="210"/>
          <w:divBdr>
            <w:top w:val="none" w:sz="0" w:space="0" w:color="auto"/>
            <w:left w:val="none" w:sz="0" w:space="16" w:color="auto"/>
            <w:bottom w:val="none" w:sz="0" w:space="0" w:color="auto"/>
            <w:right w:val="none" w:sz="0" w:space="0" w:color="auto"/>
          </w:divBdr>
        </w:div>
        <w:div w:id="1977563746">
          <w:blockQuote w:val="1"/>
          <w:marLeft w:val="0"/>
          <w:marRight w:val="0"/>
          <w:marTop w:val="0"/>
          <w:marBottom w:val="210"/>
          <w:divBdr>
            <w:top w:val="none" w:sz="0" w:space="0" w:color="auto"/>
            <w:left w:val="none" w:sz="0" w:space="16" w:color="auto"/>
            <w:bottom w:val="none" w:sz="0" w:space="0" w:color="auto"/>
            <w:right w:val="none" w:sz="0" w:space="0" w:color="auto"/>
          </w:divBdr>
        </w:div>
      </w:divsChild>
    </w:div>
    <w:div w:id="200021246">
      <w:bodyDiv w:val="1"/>
      <w:marLeft w:val="0"/>
      <w:marRight w:val="0"/>
      <w:marTop w:val="0"/>
      <w:marBottom w:val="0"/>
      <w:divBdr>
        <w:top w:val="none" w:sz="0" w:space="0" w:color="auto"/>
        <w:left w:val="none" w:sz="0" w:space="0" w:color="auto"/>
        <w:bottom w:val="none" w:sz="0" w:space="0" w:color="auto"/>
        <w:right w:val="none" w:sz="0" w:space="0" w:color="auto"/>
      </w:divBdr>
      <w:divsChild>
        <w:div w:id="388379096">
          <w:marLeft w:val="0"/>
          <w:marRight w:val="0"/>
          <w:marTop w:val="0"/>
          <w:marBottom w:val="0"/>
          <w:divBdr>
            <w:top w:val="none" w:sz="0" w:space="0" w:color="auto"/>
            <w:left w:val="none" w:sz="0" w:space="0" w:color="auto"/>
            <w:bottom w:val="none" w:sz="0" w:space="0" w:color="auto"/>
            <w:right w:val="none" w:sz="0" w:space="0" w:color="auto"/>
          </w:divBdr>
        </w:div>
        <w:div w:id="553200600">
          <w:marLeft w:val="0"/>
          <w:marRight w:val="0"/>
          <w:marTop w:val="0"/>
          <w:marBottom w:val="0"/>
          <w:divBdr>
            <w:top w:val="none" w:sz="0" w:space="0" w:color="auto"/>
            <w:left w:val="none" w:sz="0" w:space="0" w:color="auto"/>
            <w:bottom w:val="none" w:sz="0" w:space="0" w:color="auto"/>
            <w:right w:val="none" w:sz="0" w:space="0" w:color="auto"/>
          </w:divBdr>
          <w:divsChild>
            <w:div w:id="102775599">
              <w:blockQuote w:val="1"/>
              <w:marLeft w:val="0"/>
              <w:marRight w:val="0"/>
              <w:marTop w:val="0"/>
              <w:marBottom w:val="240"/>
              <w:divBdr>
                <w:top w:val="none" w:sz="0" w:space="0" w:color="auto"/>
                <w:left w:val="none" w:sz="0" w:space="0" w:color="auto"/>
                <w:bottom w:val="none" w:sz="0" w:space="0" w:color="auto"/>
                <w:right w:val="none" w:sz="0" w:space="0" w:color="auto"/>
              </w:divBdr>
              <w:divsChild>
                <w:div w:id="33411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323344">
          <w:marLeft w:val="0"/>
          <w:marRight w:val="0"/>
          <w:marTop w:val="0"/>
          <w:marBottom w:val="0"/>
          <w:divBdr>
            <w:top w:val="none" w:sz="0" w:space="0" w:color="auto"/>
            <w:left w:val="none" w:sz="0" w:space="0" w:color="auto"/>
            <w:bottom w:val="none" w:sz="0" w:space="0" w:color="auto"/>
            <w:right w:val="none" w:sz="0" w:space="0" w:color="auto"/>
          </w:divBdr>
        </w:div>
        <w:div w:id="657001981">
          <w:marLeft w:val="0"/>
          <w:marRight w:val="0"/>
          <w:marTop w:val="0"/>
          <w:marBottom w:val="0"/>
          <w:divBdr>
            <w:top w:val="none" w:sz="0" w:space="0" w:color="auto"/>
            <w:left w:val="none" w:sz="0" w:space="0" w:color="auto"/>
            <w:bottom w:val="none" w:sz="0" w:space="0" w:color="auto"/>
            <w:right w:val="none" w:sz="0" w:space="0" w:color="auto"/>
          </w:divBdr>
        </w:div>
        <w:div w:id="728844156">
          <w:marLeft w:val="0"/>
          <w:marRight w:val="0"/>
          <w:marTop w:val="0"/>
          <w:marBottom w:val="0"/>
          <w:divBdr>
            <w:top w:val="none" w:sz="0" w:space="0" w:color="auto"/>
            <w:left w:val="none" w:sz="0" w:space="0" w:color="auto"/>
            <w:bottom w:val="none" w:sz="0" w:space="0" w:color="auto"/>
            <w:right w:val="none" w:sz="0" w:space="0" w:color="auto"/>
          </w:divBdr>
        </w:div>
        <w:div w:id="853499924">
          <w:marLeft w:val="0"/>
          <w:marRight w:val="0"/>
          <w:marTop w:val="0"/>
          <w:marBottom w:val="0"/>
          <w:divBdr>
            <w:top w:val="none" w:sz="0" w:space="0" w:color="auto"/>
            <w:left w:val="none" w:sz="0" w:space="0" w:color="auto"/>
            <w:bottom w:val="none" w:sz="0" w:space="0" w:color="auto"/>
            <w:right w:val="none" w:sz="0" w:space="0" w:color="auto"/>
          </w:divBdr>
        </w:div>
        <w:div w:id="2106805514">
          <w:marLeft w:val="0"/>
          <w:marRight w:val="0"/>
          <w:marTop w:val="0"/>
          <w:marBottom w:val="0"/>
          <w:divBdr>
            <w:top w:val="none" w:sz="0" w:space="0" w:color="auto"/>
            <w:left w:val="none" w:sz="0" w:space="0" w:color="auto"/>
            <w:bottom w:val="none" w:sz="0" w:space="0" w:color="auto"/>
            <w:right w:val="none" w:sz="0" w:space="0" w:color="auto"/>
          </w:divBdr>
        </w:div>
      </w:divsChild>
    </w:div>
    <w:div w:id="201016690">
      <w:bodyDiv w:val="1"/>
      <w:marLeft w:val="0"/>
      <w:marRight w:val="0"/>
      <w:marTop w:val="0"/>
      <w:marBottom w:val="0"/>
      <w:divBdr>
        <w:top w:val="none" w:sz="0" w:space="0" w:color="auto"/>
        <w:left w:val="none" w:sz="0" w:space="0" w:color="auto"/>
        <w:bottom w:val="none" w:sz="0" w:space="0" w:color="auto"/>
        <w:right w:val="none" w:sz="0" w:space="0" w:color="auto"/>
      </w:divBdr>
    </w:div>
    <w:div w:id="238292800">
      <w:bodyDiv w:val="1"/>
      <w:marLeft w:val="0"/>
      <w:marRight w:val="0"/>
      <w:marTop w:val="0"/>
      <w:marBottom w:val="0"/>
      <w:divBdr>
        <w:top w:val="none" w:sz="0" w:space="0" w:color="auto"/>
        <w:left w:val="none" w:sz="0" w:space="0" w:color="auto"/>
        <w:bottom w:val="none" w:sz="0" w:space="0" w:color="auto"/>
        <w:right w:val="none" w:sz="0" w:space="0" w:color="auto"/>
      </w:divBdr>
    </w:div>
    <w:div w:id="324599881">
      <w:bodyDiv w:val="1"/>
      <w:marLeft w:val="0"/>
      <w:marRight w:val="0"/>
      <w:marTop w:val="0"/>
      <w:marBottom w:val="0"/>
      <w:divBdr>
        <w:top w:val="none" w:sz="0" w:space="0" w:color="auto"/>
        <w:left w:val="none" w:sz="0" w:space="0" w:color="auto"/>
        <w:bottom w:val="none" w:sz="0" w:space="0" w:color="auto"/>
        <w:right w:val="none" w:sz="0" w:space="0" w:color="auto"/>
      </w:divBdr>
    </w:div>
    <w:div w:id="338510512">
      <w:bodyDiv w:val="1"/>
      <w:marLeft w:val="0"/>
      <w:marRight w:val="0"/>
      <w:marTop w:val="0"/>
      <w:marBottom w:val="0"/>
      <w:divBdr>
        <w:top w:val="none" w:sz="0" w:space="0" w:color="auto"/>
        <w:left w:val="none" w:sz="0" w:space="0" w:color="auto"/>
        <w:bottom w:val="none" w:sz="0" w:space="0" w:color="auto"/>
        <w:right w:val="none" w:sz="0" w:space="0" w:color="auto"/>
      </w:divBdr>
    </w:div>
    <w:div w:id="438985144">
      <w:bodyDiv w:val="1"/>
      <w:marLeft w:val="0"/>
      <w:marRight w:val="0"/>
      <w:marTop w:val="0"/>
      <w:marBottom w:val="0"/>
      <w:divBdr>
        <w:top w:val="none" w:sz="0" w:space="0" w:color="auto"/>
        <w:left w:val="none" w:sz="0" w:space="0" w:color="auto"/>
        <w:bottom w:val="none" w:sz="0" w:space="0" w:color="auto"/>
        <w:right w:val="none" w:sz="0" w:space="0" w:color="auto"/>
      </w:divBdr>
    </w:div>
    <w:div w:id="443501287">
      <w:bodyDiv w:val="1"/>
      <w:marLeft w:val="0"/>
      <w:marRight w:val="0"/>
      <w:marTop w:val="0"/>
      <w:marBottom w:val="0"/>
      <w:divBdr>
        <w:top w:val="none" w:sz="0" w:space="0" w:color="auto"/>
        <w:left w:val="none" w:sz="0" w:space="0" w:color="auto"/>
        <w:bottom w:val="none" w:sz="0" w:space="0" w:color="auto"/>
        <w:right w:val="none" w:sz="0" w:space="0" w:color="auto"/>
      </w:divBdr>
      <w:divsChild>
        <w:div w:id="38632639">
          <w:marLeft w:val="0"/>
          <w:marRight w:val="0"/>
          <w:marTop w:val="0"/>
          <w:marBottom w:val="0"/>
          <w:divBdr>
            <w:top w:val="none" w:sz="0" w:space="0" w:color="auto"/>
            <w:left w:val="none" w:sz="0" w:space="0" w:color="auto"/>
            <w:bottom w:val="none" w:sz="0" w:space="0" w:color="auto"/>
            <w:right w:val="none" w:sz="0" w:space="0" w:color="auto"/>
          </w:divBdr>
        </w:div>
        <w:div w:id="115368840">
          <w:marLeft w:val="0"/>
          <w:marRight w:val="0"/>
          <w:marTop w:val="0"/>
          <w:marBottom w:val="0"/>
          <w:divBdr>
            <w:top w:val="none" w:sz="0" w:space="0" w:color="auto"/>
            <w:left w:val="none" w:sz="0" w:space="0" w:color="auto"/>
            <w:bottom w:val="none" w:sz="0" w:space="0" w:color="auto"/>
            <w:right w:val="none" w:sz="0" w:space="0" w:color="auto"/>
          </w:divBdr>
        </w:div>
        <w:div w:id="255552534">
          <w:marLeft w:val="0"/>
          <w:marRight w:val="0"/>
          <w:marTop w:val="0"/>
          <w:marBottom w:val="0"/>
          <w:divBdr>
            <w:top w:val="none" w:sz="0" w:space="0" w:color="auto"/>
            <w:left w:val="none" w:sz="0" w:space="0" w:color="auto"/>
            <w:bottom w:val="none" w:sz="0" w:space="0" w:color="auto"/>
            <w:right w:val="none" w:sz="0" w:space="0" w:color="auto"/>
          </w:divBdr>
        </w:div>
        <w:div w:id="881017591">
          <w:marLeft w:val="0"/>
          <w:marRight w:val="0"/>
          <w:marTop w:val="0"/>
          <w:marBottom w:val="0"/>
          <w:divBdr>
            <w:top w:val="none" w:sz="0" w:space="0" w:color="auto"/>
            <w:left w:val="none" w:sz="0" w:space="0" w:color="auto"/>
            <w:bottom w:val="none" w:sz="0" w:space="0" w:color="auto"/>
            <w:right w:val="none" w:sz="0" w:space="0" w:color="auto"/>
          </w:divBdr>
        </w:div>
        <w:div w:id="1660111304">
          <w:marLeft w:val="0"/>
          <w:marRight w:val="0"/>
          <w:marTop w:val="0"/>
          <w:marBottom w:val="0"/>
          <w:divBdr>
            <w:top w:val="none" w:sz="0" w:space="0" w:color="auto"/>
            <w:left w:val="none" w:sz="0" w:space="0" w:color="auto"/>
            <w:bottom w:val="none" w:sz="0" w:space="0" w:color="auto"/>
            <w:right w:val="none" w:sz="0" w:space="0" w:color="auto"/>
          </w:divBdr>
        </w:div>
      </w:divsChild>
    </w:div>
    <w:div w:id="487284028">
      <w:bodyDiv w:val="1"/>
      <w:marLeft w:val="0"/>
      <w:marRight w:val="0"/>
      <w:marTop w:val="0"/>
      <w:marBottom w:val="0"/>
      <w:divBdr>
        <w:top w:val="none" w:sz="0" w:space="0" w:color="auto"/>
        <w:left w:val="none" w:sz="0" w:space="0" w:color="auto"/>
        <w:bottom w:val="none" w:sz="0" w:space="0" w:color="auto"/>
        <w:right w:val="none" w:sz="0" w:space="0" w:color="auto"/>
      </w:divBdr>
    </w:div>
    <w:div w:id="555360687">
      <w:bodyDiv w:val="1"/>
      <w:marLeft w:val="0"/>
      <w:marRight w:val="0"/>
      <w:marTop w:val="0"/>
      <w:marBottom w:val="0"/>
      <w:divBdr>
        <w:top w:val="none" w:sz="0" w:space="0" w:color="auto"/>
        <w:left w:val="none" w:sz="0" w:space="0" w:color="auto"/>
        <w:bottom w:val="none" w:sz="0" w:space="0" w:color="auto"/>
        <w:right w:val="none" w:sz="0" w:space="0" w:color="auto"/>
      </w:divBdr>
      <w:divsChild>
        <w:div w:id="192815097">
          <w:marLeft w:val="0"/>
          <w:marRight w:val="0"/>
          <w:marTop w:val="0"/>
          <w:marBottom w:val="0"/>
          <w:divBdr>
            <w:top w:val="none" w:sz="0" w:space="0" w:color="auto"/>
            <w:left w:val="none" w:sz="0" w:space="0" w:color="auto"/>
            <w:bottom w:val="none" w:sz="0" w:space="0" w:color="auto"/>
            <w:right w:val="none" w:sz="0" w:space="0" w:color="auto"/>
          </w:divBdr>
        </w:div>
        <w:div w:id="716054248">
          <w:marLeft w:val="0"/>
          <w:marRight w:val="0"/>
          <w:marTop w:val="0"/>
          <w:marBottom w:val="0"/>
          <w:divBdr>
            <w:top w:val="none" w:sz="0" w:space="0" w:color="auto"/>
            <w:left w:val="none" w:sz="0" w:space="0" w:color="auto"/>
            <w:bottom w:val="none" w:sz="0" w:space="0" w:color="auto"/>
            <w:right w:val="none" w:sz="0" w:space="0" w:color="auto"/>
          </w:divBdr>
        </w:div>
        <w:div w:id="875898083">
          <w:marLeft w:val="0"/>
          <w:marRight w:val="0"/>
          <w:marTop w:val="0"/>
          <w:marBottom w:val="0"/>
          <w:divBdr>
            <w:top w:val="none" w:sz="0" w:space="0" w:color="auto"/>
            <w:left w:val="none" w:sz="0" w:space="0" w:color="auto"/>
            <w:bottom w:val="none" w:sz="0" w:space="0" w:color="auto"/>
            <w:right w:val="none" w:sz="0" w:space="0" w:color="auto"/>
          </w:divBdr>
        </w:div>
        <w:div w:id="879629183">
          <w:marLeft w:val="0"/>
          <w:marRight w:val="0"/>
          <w:marTop w:val="0"/>
          <w:marBottom w:val="0"/>
          <w:divBdr>
            <w:top w:val="none" w:sz="0" w:space="0" w:color="auto"/>
            <w:left w:val="none" w:sz="0" w:space="0" w:color="auto"/>
            <w:bottom w:val="none" w:sz="0" w:space="0" w:color="auto"/>
            <w:right w:val="none" w:sz="0" w:space="0" w:color="auto"/>
          </w:divBdr>
        </w:div>
        <w:div w:id="1593127222">
          <w:marLeft w:val="0"/>
          <w:marRight w:val="0"/>
          <w:marTop w:val="0"/>
          <w:marBottom w:val="0"/>
          <w:divBdr>
            <w:top w:val="none" w:sz="0" w:space="0" w:color="auto"/>
            <w:left w:val="none" w:sz="0" w:space="0" w:color="auto"/>
            <w:bottom w:val="none" w:sz="0" w:space="0" w:color="auto"/>
            <w:right w:val="none" w:sz="0" w:space="0" w:color="auto"/>
          </w:divBdr>
        </w:div>
        <w:div w:id="1839802882">
          <w:marLeft w:val="0"/>
          <w:marRight w:val="0"/>
          <w:marTop w:val="0"/>
          <w:marBottom w:val="0"/>
          <w:divBdr>
            <w:top w:val="none" w:sz="0" w:space="0" w:color="auto"/>
            <w:left w:val="none" w:sz="0" w:space="0" w:color="auto"/>
            <w:bottom w:val="none" w:sz="0" w:space="0" w:color="auto"/>
            <w:right w:val="none" w:sz="0" w:space="0" w:color="auto"/>
          </w:divBdr>
          <w:divsChild>
            <w:div w:id="939414950">
              <w:blockQuote w:val="1"/>
              <w:marLeft w:val="0"/>
              <w:marRight w:val="0"/>
              <w:marTop w:val="0"/>
              <w:marBottom w:val="240"/>
              <w:divBdr>
                <w:top w:val="none" w:sz="0" w:space="0" w:color="auto"/>
                <w:left w:val="none" w:sz="0" w:space="0" w:color="auto"/>
                <w:bottom w:val="none" w:sz="0" w:space="0" w:color="auto"/>
                <w:right w:val="none" w:sz="0" w:space="0" w:color="auto"/>
              </w:divBdr>
              <w:divsChild>
                <w:div w:id="201113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762635">
          <w:marLeft w:val="0"/>
          <w:marRight w:val="0"/>
          <w:marTop w:val="0"/>
          <w:marBottom w:val="0"/>
          <w:divBdr>
            <w:top w:val="none" w:sz="0" w:space="0" w:color="auto"/>
            <w:left w:val="none" w:sz="0" w:space="0" w:color="auto"/>
            <w:bottom w:val="none" w:sz="0" w:space="0" w:color="auto"/>
            <w:right w:val="none" w:sz="0" w:space="0" w:color="auto"/>
          </w:divBdr>
        </w:div>
      </w:divsChild>
    </w:div>
    <w:div w:id="555553856">
      <w:bodyDiv w:val="1"/>
      <w:marLeft w:val="0"/>
      <w:marRight w:val="0"/>
      <w:marTop w:val="0"/>
      <w:marBottom w:val="0"/>
      <w:divBdr>
        <w:top w:val="none" w:sz="0" w:space="0" w:color="auto"/>
        <w:left w:val="none" w:sz="0" w:space="0" w:color="auto"/>
        <w:bottom w:val="none" w:sz="0" w:space="0" w:color="auto"/>
        <w:right w:val="none" w:sz="0" w:space="0" w:color="auto"/>
      </w:divBdr>
    </w:div>
    <w:div w:id="569510646">
      <w:bodyDiv w:val="1"/>
      <w:marLeft w:val="0"/>
      <w:marRight w:val="0"/>
      <w:marTop w:val="0"/>
      <w:marBottom w:val="0"/>
      <w:divBdr>
        <w:top w:val="none" w:sz="0" w:space="0" w:color="auto"/>
        <w:left w:val="none" w:sz="0" w:space="0" w:color="auto"/>
        <w:bottom w:val="none" w:sz="0" w:space="0" w:color="auto"/>
        <w:right w:val="none" w:sz="0" w:space="0" w:color="auto"/>
      </w:divBdr>
      <w:divsChild>
        <w:div w:id="423258863">
          <w:marLeft w:val="0"/>
          <w:marRight w:val="0"/>
          <w:marTop w:val="0"/>
          <w:marBottom w:val="0"/>
          <w:divBdr>
            <w:top w:val="none" w:sz="0" w:space="0" w:color="auto"/>
            <w:left w:val="none" w:sz="0" w:space="0" w:color="auto"/>
            <w:bottom w:val="none" w:sz="0" w:space="0" w:color="auto"/>
            <w:right w:val="none" w:sz="0" w:space="0" w:color="auto"/>
          </w:divBdr>
          <w:divsChild>
            <w:div w:id="1975255157">
              <w:blockQuote w:val="1"/>
              <w:marLeft w:val="0"/>
              <w:marRight w:val="0"/>
              <w:marTop w:val="0"/>
              <w:marBottom w:val="240"/>
              <w:divBdr>
                <w:top w:val="none" w:sz="0" w:space="0" w:color="auto"/>
                <w:left w:val="none" w:sz="0" w:space="0" w:color="auto"/>
                <w:bottom w:val="none" w:sz="0" w:space="0" w:color="auto"/>
                <w:right w:val="none" w:sz="0" w:space="0" w:color="auto"/>
              </w:divBdr>
              <w:divsChild>
                <w:div w:id="81553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86804">
          <w:marLeft w:val="0"/>
          <w:marRight w:val="0"/>
          <w:marTop w:val="0"/>
          <w:marBottom w:val="0"/>
          <w:divBdr>
            <w:top w:val="none" w:sz="0" w:space="0" w:color="auto"/>
            <w:left w:val="none" w:sz="0" w:space="0" w:color="auto"/>
            <w:bottom w:val="none" w:sz="0" w:space="0" w:color="auto"/>
            <w:right w:val="none" w:sz="0" w:space="0" w:color="auto"/>
          </w:divBdr>
        </w:div>
        <w:div w:id="1973947273">
          <w:marLeft w:val="0"/>
          <w:marRight w:val="0"/>
          <w:marTop w:val="0"/>
          <w:marBottom w:val="0"/>
          <w:divBdr>
            <w:top w:val="none" w:sz="0" w:space="0" w:color="auto"/>
            <w:left w:val="none" w:sz="0" w:space="0" w:color="auto"/>
            <w:bottom w:val="none" w:sz="0" w:space="0" w:color="auto"/>
            <w:right w:val="none" w:sz="0" w:space="0" w:color="auto"/>
          </w:divBdr>
        </w:div>
        <w:div w:id="2098355252">
          <w:marLeft w:val="0"/>
          <w:marRight w:val="0"/>
          <w:marTop w:val="0"/>
          <w:marBottom w:val="0"/>
          <w:divBdr>
            <w:top w:val="none" w:sz="0" w:space="0" w:color="auto"/>
            <w:left w:val="none" w:sz="0" w:space="0" w:color="auto"/>
            <w:bottom w:val="none" w:sz="0" w:space="0" w:color="auto"/>
            <w:right w:val="none" w:sz="0" w:space="0" w:color="auto"/>
          </w:divBdr>
          <w:divsChild>
            <w:div w:id="1529948640">
              <w:blockQuote w:val="1"/>
              <w:marLeft w:val="0"/>
              <w:marRight w:val="0"/>
              <w:marTop w:val="0"/>
              <w:marBottom w:val="240"/>
              <w:divBdr>
                <w:top w:val="none" w:sz="0" w:space="0" w:color="auto"/>
                <w:left w:val="none" w:sz="0" w:space="0" w:color="auto"/>
                <w:bottom w:val="none" w:sz="0" w:space="0" w:color="auto"/>
                <w:right w:val="none" w:sz="0" w:space="0" w:color="auto"/>
              </w:divBdr>
              <w:divsChild>
                <w:div w:id="123018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741485">
      <w:bodyDiv w:val="1"/>
      <w:marLeft w:val="0"/>
      <w:marRight w:val="0"/>
      <w:marTop w:val="0"/>
      <w:marBottom w:val="0"/>
      <w:divBdr>
        <w:top w:val="none" w:sz="0" w:space="0" w:color="auto"/>
        <w:left w:val="none" w:sz="0" w:space="0" w:color="auto"/>
        <w:bottom w:val="none" w:sz="0" w:space="0" w:color="auto"/>
        <w:right w:val="none" w:sz="0" w:space="0" w:color="auto"/>
      </w:divBdr>
    </w:div>
    <w:div w:id="612246824">
      <w:bodyDiv w:val="1"/>
      <w:marLeft w:val="0"/>
      <w:marRight w:val="0"/>
      <w:marTop w:val="0"/>
      <w:marBottom w:val="0"/>
      <w:divBdr>
        <w:top w:val="none" w:sz="0" w:space="0" w:color="auto"/>
        <w:left w:val="none" w:sz="0" w:space="0" w:color="auto"/>
        <w:bottom w:val="none" w:sz="0" w:space="0" w:color="auto"/>
        <w:right w:val="none" w:sz="0" w:space="0" w:color="auto"/>
      </w:divBdr>
    </w:div>
    <w:div w:id="661540534">
      <w:bodyDiv w:val="1"/>
      <w:marLeft w:val="0"/>
      <w:marRight w:val="0"/>
      <w:marTop w:val="0"/>
      <w:marBottom w:val="0"/>
      <w:divBdr>
        <w:top w:val="none" w:sz="0" w:space="0" w:color="auto"/>
        <w:left w:val="none" w:sz="0" w:space="0" w:color="auto"/>
        <w:bottom w:val="none" w:sz="0" w:space="0" w:color="auto"/>
        <w:right w:val="none" w:sz="0" w:space="0" w:color="auto"/>
      </w:divBdr>
    </w:div>
    <w:div w:id="731080683">
      <w:bodyDiv w:val="1"/>
      <w:marLeft w:val="0"/>
      <w:marRight w:val="0"/>
      <w:marTop w:val="0"/>
      <w:marBottom w:val="0"/>
      <w:divBdr>
        <w:top w:val="none" w:sz="0" w:space="0" w:color="auto"/>
        <w:left w:val="none" w:sz="0" w:space="0" w:color="auto"/>
        <w:bottom w:val="none" w:sz="0" w:space="0" w:color="auto"/>
        <w:right w:val="none" w:sz="0" w:space="0" w:color="auto"/>
      </w:divBdr>
    </w:div>
    <w:div w:id="749695254">
      <w:bodyDiv w:val="1"/>
      <w:marLeft w:val="0"/>
      <w:marRight w:val="0"/>
      <w:marTop w:val="0"/>
      <w:marBottom w:val="0"/>
      <w:divBdr>
        <w:top w:val="none" w:sz="0" w:space="0" w:color="auto"/>
        <w:left w:val="none" w:sz="0" w:space="0" w:color="auto"/>
        <w:bottom w:val="none" w:sz="0" w:space="0" w:color="auto"/>
        <w:right w:val="none" w:sz="0" w:space="0" w:color="auto"/>
      </w:divBdr>
    </w:div>
    <w:div w:id="1020400581">
      <w:bodyDiv w:val="1"/>
      <w:marLeft w:val="0"/>
      <w:marRight w:val="0"/>
      <w:marTop w:val="0"/>
      <w:marBottom w:val="0"/>
      <w:divBdr>
        <w:top w:val="none" w:sz="0" w:space="0" w:color="auto"/>
        <w:left w:val="none" w:sz="0" w:space="0" w:color="auto"/>
        <w:bottom w:val="none" w:sz="0" w:space="0" w:color="auto"/>
        <w:right w:val="none" w:sz="0" w:space="0" w:color="auto"/>
      </w:divBdr>
    </w:div>
    <w:div w:id="1022584531">
      <w:bodyDiv w:val="1"/>
      <w:marLeft w:val="0"/>
      <w:marRight w:val="0"/>
      <w:marTop w:val="0"/>
      <w:marBottom w:val="0"/>
      <w:divBdr>
        <w:top w:val="none" w:sz="0" w:space="0" w:color="auto"/>
        <w:left w:val="none" w:sz="0" w:space="0" w:color="auto"/>
        <w:bottom w:val="none" w:sz="0" w:space="0" w:color="auto"/>
        <w:right w:val="none" w:sz="0" w:space="0" w:color="auto"/>
      </w:divBdr>
    </w:div>
    <w:div w:id="1051147875">
      <w:bodyDiv w:val="1"/>
      <w:marLeft w:val="0"/>
      <w:marRight w:val="0"/>
      <w:marTop w:val="0"/>
      <w:marBottom w:val="0"/>
      <w:divBdr>
        <w:top w:val="none" w:sz="0" w:space="0" w:color="auto"/>
        <w:left w:val="none" w:sz="0" w:space="0" w:color="auto"/>
        <w:bottom w:val="none" w:sz="0" w:space="0" w:color="auto"/>
        <w:right w:val="none" w:sz="0" w:space="0" w:color="auto"/>
      </w:divBdr>
    </w:div>
    <w:div w:id="1065030099">
      <w:bodyDiv w:val="1"/>
      <w:marLeft w:val="0"/>
      <w:marRight w:val="0"/>
      <w:marTop w:val="0"/>
      <w:marBottom w:val="0"/>
      <w:divBdr>
        <w:top w:val="none" w:sz="0" w:space="0" w:color="auto"/>
        <w:left w:val="none" w:sz="0" w:space="0" w:color="auto"/>
        <w:bottom w:val="none" w:sz="0" w:space="0" w:color="auto"/>
        <w:right w:val="none" w:sz="0" w:space="0" w:color="auto"/>
      </w:divBdr>
    </w:div>
    <w:div w:id="1096711128">
      <w:bodyDiv w:val="1"/>
      <w:marLeft w:val="0"/>
      <w:marRight w:val="0"/>
      <w:marTop w:val="0"/>
      <w:marBottom w:val="0"/>
      <w:divBdr>
        <w:top w:val="none" w:sz="0" w:space="0" w:color="auto"/>
        <w:left w:val="none" w:sz="0" w:space="0" w:color="auto"/>
        <w:bottom w:val="none" w:sz="0" w:space="0" w:color="auto"/>
        <w:right w:val="none" w:sz="0" w:space="0" w:color="auto"/>
      </w:divBdr>
    </w:div>
    <w:div w:id="1115717022">
      <w:bodyDiv w:val="1"/>
      <w:marLeft w:val="0"/>
      <w:marRight w:val="0"/>
      <w:marTop w:val="0"/>
      <w:marBottom w:val="0"/>
      <w:divBdr>
        <w:top w:val="none" w:sz="0" w:space="0" w:color="auto"/>
        <w:left w:val="none" w:sz="0" w:space="0" w:color="auto"/>
        <w:bottom w:val="none" w:sz="0" w:space="0" w:color="auto"/>
        <w:right w:val="none" w:sz="0" w:space="0" w:color="auto"/>
      </w:divBdr>
      <w:divsChild>
        <w:div w:id="74281523">
          <w:marLeft w:val="0"/>
          <w:marRight w:val="0"/>
          <w:marTop w:val="0"/>
          <w:marBottom w:val="0"/>
          <w:divBdr>
            <w:top w:val="none" w:sz="0" w:space="0" w:color="auto"/>
            <w:left w:val="none" w:sz="0" w:space="0" w:color="auto"/>
            <w:bottom w:val="none" w:sz="0" w:space="0" w:color="auto"/>
            <w:right w:val="none" w:sz="0" w:space="0" w:color="auto"/>
          </w:divBdr>
          <w:divsChild>
            <w:div w:id="331761872">
              <w:marLeft w:val="0"/>
              <w:marRight w:val="0"/>
              <w:marTop w:val="0"/>
              <w:marBottom w:val="0"/>
              <w:divBdr>
                <w:top w:val="none" w:sz="0" w:space="0" w:color="auto"/>
                <w:left w:val="none" w:sz="0" w:space="0" w:color="auto"/>
                <w:bottom w:val="none" w:sz="0" w:space="0" w:color="auto"/>
                <w:right w:val="none" w:sz="0" w:space="0" w:color="auto"/>
              </w:divBdr>
            </w:div>
            <w:div w:id="477570295">
              <w:marLeft w:val="0"/>
              <w:marRight w:val="0"/>
              <w:marTop w:val="0"/>
              <w:marBottom w:val="0"/>
              <w:divBdr>
                <w:top w:val="none" w:sz="0" w:space="0" w:color="auto"/>
                <w:left w:val="none" w:sz="0" w:space="0" w:color="auto"/>
                <w:bottom w:val="none" w:sz="0" w:space="0" w:color="auto"/>
                <w:right w:val="none" w:sz="0" w:space="0" w:color="auto"/>
              </w:divBdr>
            </w:div>
            <w:div w:id="749080808">
              <w:marLeft w:val="0"/>
              <w:marRight w:val="0"/>
              <w:marTop w:val="0"/>
              <w:marBottom w:val="0"/>
              <w:divBdr>
                <w:top w:val="none" w:sz="0" w:space="0" w:color="auto"/>
                <w:left w:val="none" w:sz="0" w:space="0" w:color="auto"/>
                <w:bottom w:val="none" w:sz="0" w:space="0" w:color="auto"/>
                <w:right w:val="none" w:sz="0" w:space="0" w:color="auto"/>
              </w:divBdr>
            </w:div>
            <w:div w:id="790517934">
              <w:marLeft w:val="0"/>
              <w:marRight w:val="0"/>
              <w:marTop w:val="0"/>
              <w:marBottom w:val="0"/>
              <w:divBdr>
                <w:top w:val="none" w:sz="0" w:space="0" w:color="auto"/>
                <w:left w:val="none" w:sz="0" w:space="0" w:color="auto"/>
                <w:bottom w:val="none" w:sz="0" w:space="0" w:color="auto"/>
                <w:right w:val="none" w:sz="0" w:space="0" w:color="auto"/>
              </w:divBdr>
            </w:div>
            <w:div w:id="937248248">
              <w:marLeft w:val="0"/>
              <w:marRight w:val="0"/>
              <w:marTop w:val="0"/>
              <w:marBottom w:val="0"/>
              <w:divBdr>
                <w:top w:val="none" w:sz="0" w:space="0" w:color="auto"/>
                <w:left w:val="none" w:sz="0" w:space="0" w:color="auto"/>
                <w:bottom w:val="none" w:sz="0" w:space="0" w:color="auto"/>
                <w:right w:val="none" w:sz="0" w:space="0" w:color="auto"/>
              </w:divBdr>
            </w:div>
            <w:div w:id="966205420">
              <w:marLeft w:val="0"/>
              <w:marRight w:val="0"/>
              <w:marTop w:val="0"/>
              <w:marBottom w:val="0"/>
              <w:divBdr>
                <w:top w:val="none" w:sz="0" w:space="0" w:color="auto"/>
                <w:left w:val="none" w:sz="0" w:space="0" w:color="auto"/>
                <w:bottom w:val="none" w:sz="0" w:space="0" w:color="auto"/>
                <w:right w:val="none" w:sz="0" w:space="0" w:color="auto"/>
              </w:divBdr>
            </w:div>
            <w:div w:id="1306735100">
              <w:marLeft w:val="0"/>
              <w:marRight w:val="0"/>
              <w:marTop w:val="0"/>
              <w:marBottom w:val="0"/>
              <w:divBdr>
                <w:top w:val="none" w:sz="0" w:space="0" w:color="auto"/>
                <w:left w:val="none" w:sz="0" w:space="0" w:color="auto"/>
                <w:bottom w:val="none" w:sz="0" w:space="0" w:color="auto"/>
                <w:right w:val="none" w:sz="0" w:space="0" w:color="auto"/>
              </w:divBdr>
            </w:div>
            <w:div w:id="1350597447">
              <w:marLeft w:val="0"/>
              <w:marRight w:val="0"/>
              <w:marTop w:val="0"/>
              <w:marBottom w:val="0"/>
              <w:divBdr>
                <w:top w:val="none" w:sz="0" w:space="0" w:color="auto"/>
                <w:left w:val="none" w:sz="0" w:space="0" w:color="auto"/>
                <w:bottom w:val="none" w:sz="0" w:space="0" w:color="auto"/>
                <w:right w:val="none" w:sz="0" w:space="0" w:color="auto"/>
              </w:divBdr>
            </w:div>
            <w:div w:id="1505626131">
              <w:marLeft w:val="0"/>
              <w:marRight w:val="0"/>
              <w:marTop w:val="0"/>
              <w:marBottom w:val="0"/>
              <w:divBdr>
                <w:top w:val="none" w:sz="0" w:space="0" w:color="auto"/>
                <w:left w:val="none" w:sz="0" w:space="0" w:color="auto"/>
                <w:bottom w:val="none" w:sz="0" w:space="0" w:color="auto"/>
                <w:right w:val="none" w:sz="0" w:space="0" w:color="auto"/>
              </w:divBdr>
            </w:div>
            <w:div w:id="1993370830">
              <w:marLeft w:val="0"/>
              <w:marRight w:val="0"/>
              <w:marTop w:val="0"/>
              <w:marBottom w:val="0"/>
              <w:divBdr>
                <w:top w:val="none" w:sz="0" w:space="0" w:color="auto"/>
                <w:left w:val="none" w:sz="0" w:space="0" w:color="auto"/>
                <w:bottom w:val="none" w:sz="0" w:space="0" w:color="auto"/>
                <w:right w:val="none" w:sz="0" w:space="0" w:color="auto"/>
              </w:divBdr>
            </w:div>
          </w:divsChild>
        </w:div>
        <w:div w:id="345404488">
          <w:marLeft w:val="0"/>
          <w:marRight w:val="0"/>
          <w:marTop w:val="0"/>
          <w:marBottom w:val="0"/>
          <w:divBdr>
            <w:top w:val="none" w:sz="0" w:space="0" w:color="auto"/>
            <w:left w:val="none" w:sz="0" w:space="0" w:color="auto"/>
            <w:bottom w:val="none" w:sz="0" w:space="0" w:color="auto"/>
            <w:right w:val="none" w:sz="0" w:space="0" w:color="auto"/>
          </w:divBdr>
          <w:divsChild>
            <w:div w:id="223181848">
              <w:marLeft w:val="0"/>
              <w:marRight w:val="0"/>
              <w:marTop w:val="0"/>
              <w:marBottom w:val="0"/>
              <w:divBdr>
                <w:top w:val="none" w:sz="0" w:space="0" w:color="auto"/>
                <w:left w:val="none" w:sz="0" w:space="0" w:color="auto"/>
                <w:bottom w:val="none" w:sz="0" w:space="0" w:color="auto"/>
                <w:right w:val="none" w:sz="0" w:space="0" w:color="auto"/>
              </w:divBdr>
            </w:div>
            <w:div w:id="280957013">
              <w:marLeft w:val="0"/>
              <w:marRight w:val="0"/>
              <w:marTop w:val="0"/>
              <w:marBottom w:val="0"/>
              <w:divBdr>
                <w:top w:val="none" w:sz="0" w:space="0" w:color="auto"/>
                <w:left w:val="none" w:sz="0" w:space="0" w:color="auto"/>
                <w:bottom w:val="none" w:sz="0" w:space="0" w:color="auto"/>
                <w:right w:val="none" w:sz="0" w:space="0" w:color="auto"/>
              </w:divBdr>
            </w:div>
            <w:div w:id="368803139">
              <w:marLeft w:val="0"/>
              <w:marRight w:val="0"/>
              <w:marTop w:val="0"/>
              <w:marBottom w:val="0"/>
              <w:divBdr>
                <w:top w:val="none" w:sz="0" w:space="0" w:color="auto"/>
                <w:left w:val="none" w:sz="0" w:space="0" w:color="auto"/>
                <w:bottom w:val="none" w:sz="0" w:space="0" w:color="auto"/>
                <w:right w:val="none" w:sz="0" w:space="0" w:color="auto"/>
              </w:divBdr>
            </w:div>
            <w:div w:id="396829296">
              <w:marLeft w:val="0"/>
              <w:marRight w:val="0"/>
              <w:marTop w:val="0"/>
              <w:marBottom w:val="0"/>
              <w:divBdr>
                <w:top w:val="none" w:sz="0" w:space="0" w:color="auto"/>
                <w:left w:val="none" w:sz="0" w:space="0" w:color="auto"/>
                <w:bottom w:val="none" w:sz="0" w:space="0" w:color="auto"/>
                <w:right w:val="none" w:sz="0" w:space="0" w:color="auto"/>
              </w:divBdr>
            </w:div>
            <w:div w:id="576670816">
              <w:marLeft w:val="0"/>
              <w:marRight w:val="0"/>
              <w:marTop w:val="0"/>
              <w:marBottom w:val="0"/>
              <w:divBdr>
                <w:top w:val="none" w:sz="0" w:space="0" w:color="auto"/>
                <w:left w:val="none" w:sz="0" w:space="0" w:color="auto"/>
                <w:bottom w:val="none" w:sz="0" w:space="0" w:color="auto"/>
                <w:right w:val="none" w:sz="0" w:space="0" w:color="auto"/>
              </w:divBdr>
            </w:div>
            <w:div w:id="759175786">
              <w:marLeft w:val="0"/>
              <w:marRight w:val="0"/>
              <w:marTop w:val="0"/>
              <w:marBottom w:val="0"/>
              <w:divBdr>
                <w:top w:val="none" w:sz="0" w:space="0" w:color="auto"/>
                <w:left w:val="none" w:sz="0" w:space="0" w:color="auto"/>
                <w:bottom w:val="none" w:sz="0" w:space="0" w:color="auto"/>
                <w:right w:val="none" w:sz="0" w:space="0" w:color="auto"/>
              </w:divBdr>
            </w:div>
            <w:div w:id="1378775647">
              <w:marLeft w:val="0"/>
              <w:marRight w:val="0"/>
              <w:marTop w:val="0"/>
              <w:marBottom w:val="0"/>
              <w:divBdr>
                <w:top w:val="none" w:sz="0" w:space="0" w:color="auto"/>
                <w:left w:val="none" w:sz="0" w:space="0" w:color="auto"/>
                <w:bottom w:val="none" w:sz="0" w:space="0" w:color="auto"/>
                <w:right w:val="none" w:sz="0" w:space="0" w:color="auto"/>
              </w:divBdr>
            </w:div>
            <w:div w:id="1388380904">
              <w:marLeft w:val="0"/>
              <w:marRight w:val="0"/>
              <w:marTop w:val="0"/>
              <w:marBottom w:val="0"/>
              <w:divBdr>
                <w:top w:val="none" w:sz="0" w:space="0" w:color="auto"/>
                <w:left w:val="none" w:sz="0" w:space="0" w:color="auto"/>
                <w:bottom w:val="none" w:sz="0" w:space="0" w:color="auto"/>
                <w:right w:val="none" w:sz="0" w:space="0" w:color="auto"/>
              </w:divBdr>
            </w:div>
            <w:div w:id="149995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8531">
      <w:bodyDiv w:val="1"/>
      <w:marLeft w:val="0"/>
      <w:marRight w:val="0"/>
      <w:marTop w:val="0"/>
      <w:marBottom w:val="0"/>
      <w:divBdr>
        <w:top w:val="none" w:sz="0" w:space="0" w:color="auto"/>
        <w:left w:val="none" w:sz="0" w:space="0" w:color="auto"/>
        <w:bottom w:val="none" w:sz="0" w:space="0" w:color="auto"/>
        <w:right w:val="none" w:sz="0" w:space="0" w:color="auto"/>
      </w:divBdr>
      <w:divsChild>
        <w:div w:id="138229140">
          <w:marLeft w:val="75"/>
          <w:marRight w:val="0"/>
          <w:marTop w:val="0"/>
          <w:marBottom w:val="0"/>
          <w:divBdr>
            <w:top w:val="none" w:sz="0" w:space="0" w:color="auto"/>
            <w:left w:val="none" w:sz="0" w:space="0" w:color="auto"/>
            <w:bottom w:val="none" w:sz="0" w:space="0" w:color="auto"/>
            <w:right w:val="none" w:sz="0" w:space="0" w:color="auto"/>
          </w:divBdr>
          <w:divsChild>
            <w:div w:id="684016618">
              <w:marLeft w:val="0"/>
              <w:marRight w:val="0"/>
              <w:marTop w:val="0"/>
              <w:marBottom w:val="0"/>
              <w:divBdr>
                <w:top w:val="none" w:sz="0" w:space="0" w:color="auto"/>
                <w:left w:val="none" w:sz="0" w:space="0" w:color="auto"/>
                <w:bottom w:val="none" w:sz="0" w:space="0" w:color="auto"/>
                <w:right w:val="none" w:sz="0" w:space="0" w:color="auto"/>
              </w:divBdr>
              <w:divsChild>
                <w:div w:id="963192667">
                  <w:marLeft w:val="0"/>
                  <w:marRight w:val="0"/>
                  <w:marTop w:val="0"/>
                  <w:marBottom w:val="0"/>
                  <w:divBdr>
                    <w:top w:val="none" w:sz="0" w:space="0" w:color="auto"/>
                    <w:left w:val="none" w:sz="0" w:space="0" w:color="auto"/>
                    <w:bottom w:val="none" w:sz="0" w:space="0" w:color="auto"/>
                    <w:right w:val="none" w:sz="0" w:space="0" w:color="auto"/>
                  </w:divBdr>
                </w:div>
                <w:div w:id="183733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049409">
          <w:marLeft w:val="75"/>
          <w:marRight w:val="0"/>
          <w:marTop w:val="0"/>
          <w:marBottom w:val="0"/>
          <w:divBdr>
            <w:top w:val="none" w:sz="0" w:space="0" w:color="auto"/>
            <w:left w:val="none" w:sz="0" w:space="0" w:color="auto"/>
            <w:bottom w:val="none" w:sz="0" w:space="0" w:color="auto"/>
            <w:right w:val="none" w:sz="0" w:space="0" w:color="auto"/>
          </w:divBdr>
          <w:divsChild>
            <w:div w:id="63527474">
              <w:marLeft w:val="0"/>
              <w:marRight w:val="0"/>
              <w:marTop w:val="0"/>
              <w:marBottom w:val="0"/>
              <w:divBdr>
                <w:top w:val="none" w:sz="0" w:space="0" w:color="auto"/>
                <w:left w:val="none" w:sz="0" w:space="0" w:color="auto"/>
                <w:bottom w:val="none" w:sz="0" w:space="0" w:color="auto"/>
                <w:right w:val="none" w:sz="0" w:space="0" w:color="auto"/>
              </w:divBdr>
              <w:divsChild>
                <w:div w:id="275144327">
                  <w:marLeft w:val="0"/>
                  <w:marRight w:val="0"/>
                  <w:marTop w:val="0"/>
                  <w:marBottom w:val="0"/>
                  <w:divBdr>
                    <w:top w:val="none" w:sz="0" w:space="0" w:color="auto"/>
                    <w:left w:val="none" w:sz="0" w:space="0" w:color="auto"/>
                    <w:bottom w:val="none" w:sz="0" w:space="0" w:color="auto"/>
                    <w:right w:val="none" w:sz="0" w:space="0" w:color="auto"/>
                  </w:divBdr>
                </w:div>
                <w:div w:id="209939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586084">
      <w:bodyDiv w:val="1"/>
      <w:marLeft w:val="0"/>
      <w:marRight w:val="0"/>
      <w:marTop w:val="0"/>
      <w:marBottom w:val="0"/>
      <w:divBdr>
        <w:top w:val="none" w:sz="0" w:space="0" w:color="auto"/>
        <w:left w:val="none" w:sz="0" w:space="0" w:color="auto"/>
        <w:bottom w:val="none" w:sz="0" w:space="0" w:color="auto"/>
        <w:right w:val="none" w:sz="0" w:space="0" w:color="auto"/>
      </w:divBdr>
    </w:div>
    <w:div w:id="1209226634">
      <w:bodyDiv w:val="1"/>
      <w:marLeft w:val="0"/>
      <w:marRight w:val="0"/>
      <w:marTop w:val="0"/>
      <w:marBottom w:val="0"/>
      <w:divBdr>
        <w:top w:val="none" w:sz="0" w:space="0" w:color="auto"/>
        <w:left w:val="none" w:sz="0" w:space="0" w:color="auto"/>
        <w:bottom w:val="none" w:sz="0" w:space="0" w:color="auto"/>
        <w:right w:val="none" w:sz="0" w:space="0" w:color="auto"/>
      </w:divBdr>
      <w:divsChild>
        <w:div w:id="54015571">
          <w:marLeft w:val="0"/>
          <w:marRight w:val="0"/>
          <w:marTop w:val="0"/>
          <w:marBottom w:val="0"/>
          <w:divBdr>
            <w:top w:val="none" w:sz="0" w:space="0" w:color="auto"/>
            <w:left w:val="none" w:sz="0" w:space="0" w:color="auto"/>
            <w:bottom w:val="none" w:sz="0" w:space="0" w:color="auto"/>
            <w:right w:val="none" w:sz="0" w:space="0" w:color="auto"/>
          </w:divBdr>
        </w:div>
        <w:div w:id="188180128">
          <w:marLeft w:val="0"/>
          <w:marRight w:val="0"/>
          <w:marTop w:val="0"/>
          <w:marBottom w:val="0"/>
          <w:divBdr>
            <w:top w:val="none" w:sz="0" w:space="0" w:color="auto"/>
            <w:left w:val="none" w:sz="0" w:space="0" w:color="auto"/>
            <w:bottom w:val="none" w:sz="0" w:space="0" w:color="auto"/>
            <w:right w:val="none" w:sz="0" w:space="0" w:color="auto"/>
          </w:divBdr>
        </w:div>
        <w:div w:id="266084234">
          <w:marLeft w:val="0"/>
          <w:marRight w:val="0"/>
          <w:marTop w:val="0"/>
          <w:marBottom w:val="0"/>
          <w:divBdr>
            <w:top w:val="none" w:sz="0" w:space="0" w:color="auto"/>
            <w:left w:val="none" w:sz="0" w:space="0" w:color="auto"/>
            <w:bottom w:val="none" w:sz="0" w:space="0" w:color="auto"/>
            <w:right w:val="none" w:sz="0" w:space="0" w:color="auto"/>
          </w:divBdr>
        </w:div>
        <w:div w:id="324632510">
          <w:marLeft w:val="0"/>
          <w:marRight w:val="0"/>
          <w:marTop w:val="0"/>
          <w:marBottom w:val="0"/>
          <w:divBdr>
            <w:top w:val="none" w:sz="0" w:space="0" w:color="auto"/>
            <w:left w:val="none" w:sz="0" w:space="0" w:color="auto"/>
            <w:bottom w:val="none" w:sz="0" w:space="0" w:color="auto"/>
            <w:right w:val="none" w:sz="0" w:space="0" w:color="auto"/>
          </w:divBdr>
        </w:div>
        <w:div w:id="419372631">
          <w:marLeft w:val="0"/>
          <w:marRight w:val="0"/>
          <w:marTop w:val="0"/>
          <w:marBottom w:val="0"/>
          <w:divBdr>
            <w:top w:val="none" w:sz="0" w:space="0" w:color="auto"/>
            <w:left w:val="none" w:sz="0" w:space="0" w:color="auto"/>
            <w:bottom w:val="none" w:sz="0" w:space="0" w:color="auto"/>
            <w:right w:val="none" w:sz="0" w:space="0" w:color="auto"/>
          </w:divBdr>
          <w:divsChild>
            <w:div w:id="1900894985">
              <w:blockQuote w:val="1"/>
              <w:marLeft w:val="0"/>
              <w:marRight w:val="0"/>
              <w:marTop w:val="0"/>
              <w:marBottom w:val="240"/>
              <w:divBdr>
                <w:top w:val="none" w:sz="0" w:space="0" w:color="auto"/>
                <w:left w:val="none" w:sz="0" w:space="0" w:color="auto"/>
                <w:bottom w:val="none" w:sz="0" w:space="0" w:color="auto"/>
                <w:right w:val="none" w:sz="0" w:space="0" w:color="auto"/>
              </w:divBdr>
              <w:divsChild>
                <w:div w:id="18677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09504">
          <w:marLeft w:val="0"/>
          <w:marRight w:val="0"/>
          <w:marTop w:val="0"/>
          <w:marBottom w:val="0"/>
          <w:divBdr>
            <w:top w:val="none" w:sz="0" w:space="0" w:color="auto"/>
            <w:left w:val="none" w:sz="0" w:space="0" w:color="auto"/>
            <w:bottom w:val="none" w:sz="0" w:space="0" w:color="auto"/>
            <w:right w:val="none" w:sz="0" w:space="0" w:color="auto"/>
          </w:divBdr>
        </w:div>
        <w:div w:id="638805469">
          <w:marLeft w:val="0"/>
          <w:marRight w:val="0"/>
          <w:marTop w:val="0"/>
          <w:marBottom w:val="0"/>
          <w:divBdr>
            <w:top w:val="none" w:sz="0" w:space="0" w:color="auto"/>
            <w:left w:val="none" w:sz="0" w:space="0" w:color="auto"/>
            <w:bottom w:val="none" w:sz="0" w:space="0" w:color="auto"/>
            <w:right w:val="none" w:sz="0" w:space="0" w:color="auto"/>
          </w:divBdr>
        </w:div>
        <w:div w:id="977954219">
          <w:marLeft w:val="0"/>
          <w:marRight w:val="0"/>
          <w:marTop w:val="0"/>
          <w:marBottom w:val="0"/>
          <w:divBdr>
            <w:top w:val="none" w:sz="0" w:space="0" w:color="auto"/>
            <w:left w:val="none" w:sz="0" w:space="0" w:color="auto"/>
            <w:bottom w:val="none" w:sz="0" w:space="0" w:color="auto"/>
            <w:right w:val="none" w:sz="0" w:space="0" w:color="auto"/>
          </w:divBdr>
        </w:div>
        <w:div w:id="1205365767">
          <w:marLeft w:val="0"/>
          <w:marRight w:val="0"/>
          <w:marTop w:val="0"/>
          <w:marBottom w:val="0"/>
          <w:divBdr>
            <w:top w:val="none" w:sz="0" w:space="0" w:color="auto"/>
            <w:left w:val="none" w:sz="0" w:space="0" w:color="auto"/>
            <w:bottom w:val="none" w:sz="0" w:space="0" w:color="auto"/>
            <w:right w:val="none" w:sz="0" w:space="0" w:color="auto"/>
          </w:divBdr>
          <w:divsChild>
            <w:div w:id="770274250">
              <w:blockQuote w:val="1"/>
              <w:marLeft w:val="0"/>
              <w:marRight w:val="0"/>
              <w:marTop w:val="0"/>
              <w:marBottom w:val="240"/>
              <w:divBdr>
                <w:top w:val="none" w:sz="0" w:space="0" w:color="auto"/>
                <w:left w:val="none" w:sz="0" w:space="0" w:color="auto"/>
                <w:bottom w:val="none" w:sz="0" w:space="0" w:color="auto"/>
                <w:right w:val="none" w:sz="0" w:space="0" w:color="auto"/>
              </w:divBdr>
              <w:divsChild>
                <w:div w:id="67577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14277">
          <w:marLeft w:val="0"/>
          <w:marRight w:val="0"/>
          <w:marTop w:val="0"/>
          <w:marBottom w:val="0"/>
          <w:divBdr>
            <w:top w:val="none" w:sz="0" w:space="0" w:color="auto"/>
            <w:left w:val="none" w:sz="0" w:space="0" w:color="auto"/>
            <w:bottom w:val="none" w:sz="0" w:space="0" w:color="auto"/>
            <w:right w:val="none" w:sz="0" w:space="0" w:color="auto"/>
          </w:divBdr>
        </w:div>
        <w:div w:id="1481652948">
          <w:marLeft w:val="0"/>
          <w:marRight w:val="0"/>
          <w:marTop w:val="0"/>
          <w:marBottom w:val="0"/>
          <w:divBdr>
            <w:top w:val="none" w:sz="0" w:space="0" w:color="auto"/>
            <w:left w:val="none" w:sz="0" w:space="0" w:color="auto"/>
            <w:bottom w:val="none" w:sz="0" w:space="0" w:color="auto"/>
            <w:right w:val="none" w:sz="0" w:space="0" w:color="auto"/>
          </w:divBdr>
        </w:div>
        <w:div w:id="1752702712">
          <w:marLeft w:val="0"/>
          <w:marRight w:val="0"/>
          <w:marTop w:val="0"/>
          <w:marBottom w:val="0"/>
          <w:divBdr>
            <w:top w:val="none" w:sz="0" w:space="0" w:color="auto"/>
            <w:left w:val="none" w:sz="0" w:space="0" w:color="auto"/>
            <w:bottom w:val="none" w:sz="0" w:space="0" w:color="auto"/>
            <w:right w:val="none" w:sz="0" w:space="0" w:color="auto"/>
          </w:divBdr>
        </w:div>
        <w:div w:id="1867057893">
          <w:marLeft w:val="0"/>
          <w:marRight w:val="0"/>
          <w:marTop w:val="0"/>
          <w:marBottom w:val="0"/>
          <w:divBdr>
            <w:top w:val="none" w:sz="0" w:space="0" w:color="auto"/>
            <w:left w:val="none" w:sz="0" w:space="0" w:color="auto"/>
            <w:bottom w:val="none" w:sz="0" w:space="0" w:color="auto"/>
            <w:right w:val="none" w:sz="0" w:space="0" w:color="auto"/>
          </w:divBdr>
          <w:divsChild>
            <w:div w:id="514619043">
              <w:blockQuote w:val="1"/>
              <w:marLeft w:val="0"/>
              <w:marRight w:val="0"/>
              <w:marTop w:val="0"/>
              <w:marBottom w:val="240"/>
              <w:divBdr>
                <w:top w:val="none" w:sz="0" w:space="0" w:color="auto"/>
                <w:left w:val="none" w:sz="0" w:space="0" w:color="auto"/>
                <w:bottom w:val="none" w:sz="0" w:space="0" w:color="auto"/>
                <w:right w:val="none" w:sz="0" w:space="0" w:color="auto"/>
              </w:divBdr>
              <w:divsChild>
                <w:div w:id="27486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971752">
          <w:marLeft w:val="0"/>
          <w:marRight w:val="0"/>
          <w:marTop w:val="0"/>
          <w:marBottom w:val="0"/>
          <w:divBdr>
            <w:top w:val="none" w:sz="0" w:space="0" w:color="auto"/>
            <w:left w:val="none" w:sz="0" w:space="0" w:color="auto"/>
            <w:bottom w:val="none" w:sz="0" w:space="0" w:color="auto"/>
            <w:right w:val="none" w:sz="0" w:space="0" w:color="auto"/>
          </w:divBdr>
        </w:div>
      </w:divsChild>
    </w:div>
    <w:div w:id="1222522372">
      <w:bodyDiv w:val="1"/>
      <w:marLeft w:val="0"/>
      <w:marRight w:val="0"/>
      <w:marTop w:val="0"/>
      <w:marBottom w:val="0"/>
      <w:divBdr>
        <w:top w:val="none" w:sz="0" w:space="0" w:color="auto"/>
        <w:left w:val="none" w:sz="0" w:space="0" w:color="auto"/>
        <w:bottom w:val="none" w:sz="0" w:space="0" w:color="auto"/>
        <w:right w:val="none" w:sz="0" w:space="0" w:color="auto"/>
      </w:divBdr>
    </w:div>
    <w:div w:id="1262030902">
      <w:bodyDiv w:val="1"/>
      <w:marLeft w:val="0"/>
      <w:marRight w:val="0"/>
      <w:marTop w:val="0"/>
      <w:marBottom w:val="0"/>
      <w:divBdr>
        <w:top w:val="none" w:sz="0" w:space="0" w:color="auto"/>
        <w:left w:val="none" w:sz="0" w:space="0" w:color="auto"/>
        <w:bottom w:val="none" w:sz="0" w:space="0" w:color="auto"/>
        <w:right w:val="none" w:sz="0" w:space="0" w:color="auto"/>
      </w:divBdr>
    </w:div>
    <w:div w:id="1306009537">
      <w:bodyDiv w:val="1"/>
      <w:marLeft w:val="0"/>
      <w:marRight w:val="0"/>
      <w:marTop w:val="0"/>
      <w:marBottom w:val="0"/>
      <w:divBdr>
        <w:top w:val="none" w:sz="0" w:space="0" w:color="auto"/>
        <w:left w:val="none" w:sz="0" w:space="0" w:color="auto"/>
        <w:bottom w:val="none" w:sz="0" w:space="0" w:color="auto"/>
        <w:right w:val="none" w:sz="0" w:space="0" w:color="auto"/>
      </w:divBdr>
    </w:div>
    <w:div w:id="1316688448">
      <w:bodyDiv w:val="1"/>
      <w:marLeft w:val="0"/>
      <w:marRight w:val="0"/>
      <w:marTop w:val="0"/>
      <w:marBottom w:val="0"/>
      <w:divBdr>
        <w:top w:val="none" w:sz="0" w:space="0" w:color="auto"/>
        <w:left w:val="none" w:sz="0" w:space="0" w:color="auto"/>
        <w:bottom w:val="none" w:sz="0" w:space="0" w:color="auto"/>
        <w:right w:val="none" w:sz="0" w:space="0" w:color="auto"/>
      </w:divBdr>
      <w:divsChild>
        <w:div w:id="182745140">
          <w:marLeft w:val="0"/>
          <w:marRight w:val="0"/>
          <w:marTop w:val="0"/>
          <w:marBottom w:val="0"/>
          <w:divBdr>
            <w:top w:val="none" w:sz="0" w:space="0" w:color="auto"/>
            <w:left w:val="none" w:sz="0" w:space="0" w:color="auto"/>
            <w:bottom w:val="none" w:sz="0" w:space="0" w:color="auto"/>
            <w:right w:val="none" w:sz="0" w:space="0" w:color="auto"/>
          </w:divBdr>
        </w:div>
        <w:div w:id="209998736">
          <w:marLeft w:val="0"/>
          <w:marRight w:val="0"/>
          <w:marTop w:val="0"/>
          <w:marBottom w:val="0"/>
          <w:divBdr>
            <w:top w:val="none" w:sz="0" w:space="0" w:color="auto"/>
            <w:left w:val="none" w:sz="0" w:space="0" w:color="auto"/>
            <w:bottom w:val="none" w:sz="0" w:space="0" w:color="auto"/>
            <w:right w:val="none" w:sz="0" w:space="0" w:color="auto"/>
          </w:divBdr>
          <w:divsChild>
            <w:div w:id="1967659380">
              <w:blockQuote w:val="1"/>
              <w:marLeft w:val="0"/>
              <w:marRight w:val="0"/>
              <w:marTop w:val="0"/>
              <w:marBottom w:val="240"/>
              <w:divBdr>
                <w:top w:val="none" w:sz="0" w:space="0" w:color="auto"/>
                <w:left w:val="none" w:sz="0" w:space="0" w:color="auto"/>
                <w:bottom w:val="none" w:sz="0" w:space="0" w:color="auto"/>
                <w:right w:val="none" w:sz="0" w:space="0" w:color="auto"/>
              </w:divBdr>
              <w:divsChild>
                <w:div w:id="26689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82614">
          <w:marLeft w:val="0"/>
          <w:marRight w:val="0"/>
          <w:marTop w:val="0"/>
          <w:marBottom w:val="0"/>
          <w:divBdr>
            <w:top w:val="none" w:sz="0" w:space="0" w:color="auto"/>
            <w:left w:val="none" w:sz="0" w:space="0" w:color="auto"/>
            <w:bottom w:val="none" w:sz="0" w:space="0" w:color="auto"/>
            <w:right w:val="none" w:sz="0" w:space="0" w:color="auto"/>
          </w:divBdr>
        </w:div>
        <w:div w:id="542327564">
          <w:marLeft w:val="0"/>
          <w:marRight w:val="0"/>
          <w:marTop w:val="0"/>
          <w:marBottom w:val="0"/>
          <w:divBdr>
            <w:top w:val="none" w:sz="0" w:space="0" w:color="auto"/>
            <w:left w:val="none" w:sz="0" w:space="0" w:color="auto"/>
            <w:bottom w:val="none" w:sz="0" w:space="0" w:color="auto"/>
            <w:right w:val="none" w:sz="0" w:space="0" w:color="auto"/>
          </w:divBdr>
        </w:div>
        <w:div w:id="591669430">
          <w:marLeft w:val="0"/>
          <w:marRight w:val="0"/>
          <w:marTop w:val="0"/>
          <w:marBottom w:val="0"/>
          <w:divBdr>
            <w:top w:val="none" w:sz="0" w:space="0" w:color="auto"/>
            <w:left w:val="none" w:sz="0" w:space="0" w:color="auto"/>
            <w:bottom w:val="none" w:sz="0" w:space="0" w:color="auto"/>
            <w:right w:val="none" w:sz="0" w:space="0" w:color="auto"/>
          </w:divBdr>
        </w:div>
        <w:div w:id="671643199">
          <w:marLeft w:val="0"/>
          <w:marRight w:val="0"/>
          <w:marTop w:val="0"/>
          <w:marBottom w:val="0"/>
          <w:divBdr>
            <w:top w:val="none" w:sz="0" w:space="0" w:color="auto"/>
            <w:left w:val="none" w:sz="0" w:space="0" w:color="auto"/>
            <w:bottom w:val="none" w:sz="0" w:space="0" w:color="auto"/>
            <w:right w:val="none" w:sz="0" w:space="0" w:color="auto"/>
          </w:divBdr>
        </w:div>
        <w:div w:id="796410475">
          <w:marLeft w:val="0"/>
          <w:marRight w:val="0"/>
          <w:marTop w:val="0"/>
          <w:marBottom w:val="0"/>
          <w:divBdr>
            <w:top w:val="none" w:sz="0" w:space="0" w:color="auto"/>
            <w:left w:val="none" w:sz="0" w:space="0" w:color="auto"/>
            <w:bottom w:val="none" w:sz="0" w:space="0" w:color="auto"/>
            <w:right w:val="none" w:sz="0" w:space="0" w:color="auto"/>
          </w:divBdr>
        </w:div>
        <w:div w:id="886724605">
          <w:marLeft w:val="0"/>
          <w:marRight w:val="0"/>
          <w:marTop w:val="0"/>
          <w:marBottom w:val="0"/>
          <w:divBdr>
            <w:top w:val="none" w:sz="0" w:space="0" w:color="auto"/>
            <w:left w:val="none" w:sz="0" w:space="0" w:color="auto"/>
            <w:bottom w:val="none" w:sz="0" w:space="0" w:color="auto"/>
            <w:right w:val="none" w:sz="0" w:space="0" w:color="auto"/>
          </w:divBdr>
        </w:div>
        <w:div w:id="943269041">
          <w:marLeft w:val="0"/>
          <w:marRight w:val="0"/>
          <w:marTop w:val="0"/>
          <w:marBottom w:val="0"/>
          <w:divBdr>
            <w:top w:val="none" w:sz="0" w:space="0" w:color="auto"/>
            <w:left w:val="none" w:sz="0" w:space="0" w:color="auto"/>
            <w:bottom w:val="none" w:sz="0" w:space="0" w:color="auto"/>
            <w:right w:val="none" w:sz="0" w:space="0" w:color="auto"/>
          </w:divBdr>
          <w:divsChild>
            <w:div w:id="1537739204">
              <w:blockQuote w:val="1"/>
              <w:marLeft w:val="0"/>
              <w:marRight w:val="0"/>
              <w:marTop w:val="0"/>
              <w:marBottom w:val="240"/>
              <w:divBdr>
                <w:top w:val="none" w:sz="0" w:space="0" w:color="auto"/>
                <w:left w:val="none" w:sz="0" w:space="0" w:color="auto"/>
                <w:bottom w:val="none" w:sz="0" w:space="0" w:color="auto"/>
                <w:right w:val="none" w:sz="0" w:space="0" w:color="auto"/>
              </w:divBdr>
              <w:divsChild>
                <w:div w:id="41741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756497">
          <w:marLeft w:val="0"/>
          <w:marRight w:val="0"/>
          <w:marTop w:val="0"/>
          <w:marBottom w:val="0"/>
          <w:divBdr>
            <w:top w:val="none" w:sz="0" w:space="0" w:color="auto"/>
            <w:left w:val="none" w:sz="0" w:space="0" w:color="auto"/>
            <w:bottom w:val="none" w:sz="0" w:space="0" w:color="auto"/>
            <w:right w:val="none" w:sz="0" w:space="0" w:color="auto"/>
          </w:divBdr>
        </w:div>
        <w:div w:id="1232692280">
          <w:marLeft w:val="0"/>
          <w:marRight w:val="0"/>
          <w:marTop w:val="0"/>
          <w:marBottom w:val="0"/>
          <w:divBdr>
            <w:top w:val="none" w:sz="0" w:space="0" w:color="auto"/>
            <w:left w:val="none" w:sz="0" w:space="0" w:color="auto"/>
            <w:bottom w:val="none" w:sz="0" w:space="0" w:color="auto"/>
            <w:right w:val="none" w:sz="0" w:space="0" w:color="auto"/>
          </w:divBdr>
          <w:divsChild>
            <w:div w:id="1108114980">
              <w:blockQuote w:val="1"/>
              <w:marLeft w:val="0"/>
              <w:marRight w:val="0"/>
              <w:marTop w:val="0"/>
              <w:marBottom w:val="240"/>
              <w:divBdr>
                <w:top w:val="none" w:sz="0" w:space="0" w:color="auto"/>
                <w:left w:val="none" w:sz="0" w:space="0" w:color="auto"/>
                <w:bottom w:val="none" w:sz="0" w:space="0" w:color="auto"/>
                <w:right w:val="none" w:sz="0" w:space="0" w:color="auto"/>
              </w:divBdr>
              <w:divsChild>
                <w:div w:id="21338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17081">
          <w:marLeft w:val="0"/>
          <w:marRight w:val="0"/>
          <w:marTop w:val="0"/>
          <w:marBottom w:val="0"/>
          <w:divBdr>
            <w:top w:val="none" w:sz="0" w:space="0" w:color="auto"/>
            <w:left w:val="none" w:sz="0" w:space="0" w:color="auto"/>
            <w:bottom w:val="none" w:sz="0" w:space="0" w:color="auto"/>
            <w:right w:val="none" w:sz="0" w:space="0" w:color="auto"/>
          </w:divBdr>
        </w:div>
        <w:div w:id="1483501614">
          <w:marLeft w:val="0"/>
          <w:marRight w:val="0"/>
          <w:marTop w:val="0"/>
          <w:marBottom w:val="0"/>
          <w:divBdr>
            <w:top w:val="none" w:sz="0" w:space="0" w:color="auto"/>
            <w:left w:val="none" w:sz="0" w:space="0" w:color="auto"/>
            <w:bottom w:val="none" w:sz="0" w:space="0" w:color="auto"/>
            <w:right w:val="none" w:sz="0" w:space="0" w:color="auto"/>
          </w:divBdr>
        </w:div>
        <w:div w:id="1486966593">
          <w:marLeft w:val="0"/>
          <w:marRight w:val="0"/>
          <w:marTop w:val="0"/>
          <w:marBottom w:val="0"/>
          <w:divBdr>
            <w:top w:val="none" w:sz="0" w:space="0" w:color="auto"/>
            <w:left w:val="none" w:sz="0" w:space="0" w:color="auto"/>
            <w:bottom w:val="none" w:sz="0" w:space="0" w:color="auto"/>
            <w:right w:val="none" w:sz="0" w:space="0" w:color="auto"/>
          </w:divBdr>
        </w:div>
        <w:div w:id="1809862337">
          <w:marLeft w:val="0"/>
          <w:marRight w:val="0"/>
          <w:marTop w:val="0"/>
          <w:marBottom w:val="0"/>
          <w:divBdr>
            <w:top w:val="none" w:sz="0" w:space="0" w:color="auto"/>
            <w:left w:val="none" w:sz="0" w:space="0" w:color="auto"/>
            <w:bottom w:val="none" w:sz="0" w:space="0" w:color="auto"/>
            <w:right w:val="none" w:sz="0" w:space="0" w:color="auto"/>
          </w:divBdr>
        </w:div>
        <w:div w:id="1918057312">
          <w:marLeft w:val="0"/>
          <w:marRight w:val="0"/>
          <w:marTop w:val="0"/>
          <w:marBottom w:val="0"/>
          <w:divBdr>
            <w:top w:val="none" w:sz="0" w:space="0" w:color="auto"/>
            <w:left w:val="none" w:sz="0" w:space="0" w:color="auto"/>
            <w:bottom w:val="none" w:sz="0" w:space="0" w:color="auto"/>
            <w:right w:val="none" w:sz="0" w:space="0" w:color="auto"/>
          </w:divBdr>
        </w:div>
        <w:div w:id="1978338959">
          <w:marLeft w:val="0"/>
          <w:marRight w:val="0"/>
          <w:marTop w:val="0"/>
          <w:marBottom w:val="0"/>
          <w:divBdr>
            <w:top w:val="none" w:sz="0" w:space="0" w:color="auto"/>
            <w:left w:val="none" w:sz="0" w:space="0" w:color="auto"/>
            <w:bottom w:val="none" w:sz="0" w:space="0" w:color="auto"/>
            <w:right w:val="none" w:sz="0" w:space="0" w:color="auto"/>
          </w:divBdr>
        </w:div>
        <w:div w:id="1995834835">
          <w:marLeft w:val="0"/>
          <w:marRight w:val="0"/>
          <w:marTop w:val="0"/>
          <w:marBottom w:val="0"/>
          <w:divBdr>
            <w:top w:val="none" w:sz="0" w:space="0" w:color="auto"/>
            <w:left w:val="none" w:sz="0" w:space="0" w:color="auto"/>
            <w:bottom w:val="none" w:sz="0" w:space="0" w:color="auto"/>
            <w:right w:val="none" w:sz="0" w:space="0" w:color="auto"/>
          </w:divBdr>
          <w:divsChild>
            <w:div w:id="1126848668">
              <w:blockQuote w:val="1"/>
              <w:marLeft w:val="0"/>
              <w:marRight w:val="0"/>
              <w:marTop w:val="0"/>
              <w:marBottom w:val="240"/>
              <w:divBdr>
                <w:top w:val="none" w:sz="0" w:space="0" w:color="auto"/>
                <w:left w:val="none" w:sz="0" w:space="0" w:color="auto"/>
                <w:bottom w:val="none" w:sz="0" w:space="0" w:color="auto"/>
                <w:right w:val="none" w:sz="0" w:space="0" w:color="auto"/>
              </w:divBdr>
              <w:divsChild>
                <w:div w:id="128045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57803">
          <w:marLeft w:val="0"/>
          <w:marRight w:val="0"/>
          <w:marTop w:val="0"/>
          <w:marBottom w:val="0"/>
          <w:divBdr>
            <w:top w:val="none" w:sz="0" w:space="0" w:color="auto"/>
            <w:left w:val="none" w:sz="0" w:space="0" w:color="auto"/>
            <w:bottom w:val="none" w:sz="0" w:space="0" w:color="auto"/>
            <w:right w:val="none" w:sz="0" w:space="0" w:color="auto"/>
          </w:divBdr>
          <w:divsChild>
            <w:div w:id="1860200822">
              <w:blockQuote w:val="1"/>
              <w:marLeft w:val="0"/>
              <w:marRight w:val="0"/>
              <w:marTop w:val="0"/>
              <w:marBottom w:val="240"/>
              <w:divBdr>
                <w:top w:val="none" w:sz="0" w:space="0" w:color="auto"/>
                <w:left w:val="none" w:sz="0" w:space="0" w:color="auto"/>
                <w:bottom w:val="none" w:sz="0" w:space="0" w:color="auto"/>
                <w:right w:val="none" w:sz="0" w:space="0" w:color="auto"/>
              </w:divBdr>
              <w:divsChild>
                <w:div w:id="11043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25039">
          <w:marLeft w:val="0"/>
          <w:marRight w:val="0"/>
          <w:marTop w:val="0"/>
          <w:marBottom w:val="0"/>
          <w:divBdr>
            <w:top w:val="none" w:sz="0" w:space="0" w:color="auto"/>
            <w:left w:val="none" w:sz="0" w:space="0" w:color="auto"/>
            <w:bottom w:val="none" w:sz="0" w:space="0" w:color="auto"/>
            <w:right w:val="none" w:sz="0" w:space="0" w:color="auto"/>
          </w:divBdr>
        </w:div>
      </w:divsChild>
    </w:div>
    <w:div w:id="1327587734">
      <w:bodyDiv w:val="1"/>
      <w:marLeft w:val="0"/>
      <w:marRight w:val="0"/>
      <w:marTop w:val="0"/>
      <w:marBottom w:val="0"/>
      <w:divBdr>
        <w:top w:val="none" w:sz="0" w:space="0" w:color="auto"/>
        <w:left w:val="none" w:sz="0" w:space="0" w:color="auto"/>
        <w:bottom w:val="none" w:sz="0" w:space="0" w:color="auto"/>
        <w:right w:val="none" w:sz="0" w:space="0" w:color="auto"/>
      </w:divBdr>
    </w:div>
    <w:div w:id="1453475025">
      <w:bodyDiv w:val="1"/>
      <w:marLeft w:val="0"/>
      <w:marRight w:val="0"/>
      <w:marTop w:val="0"/>
      <w:marBottom w:val="0"/>
      <w:divBdr>
        <w:top w:val="none" w:sz="0" w:space="0" w:color="auto"/>
        <w:left w:val="none" w:sz="0" w:space="0" w:color="auto"/>
        <w:bottom w:val="none" w:sz="0" w:space="0" w:color="auto"/>
        <w:right w:val="none" w:sz="0" w:space="0" w:color="auto"/>
      </w:divBdr>
    </w:div>
    <w:div w:id="1639917203">
      <w:bodyDiv w:val="1"/>
      <w:marLeft w:val="0"/>
      <w:marRight w:val="0"/>
      <w:marTop w:val="0"/>
      <w:marBottom w:val="0"/>
      <w:divBdr>
        <w:top w:val="none" w:sz="0" w:space="0" w:color="auto"/>
        <w:left w:val="none" w:sz="0" w:space="0" w:color="auto"/>
        <w:bottom w:val="none" w:sz="0" w:space="0" w:color="auto"/>
        <w:right w:val="none" w:sz="0" w:space="0" w:color="auto"/>
      </w:divBdr>
    </w:div>
    <w:div w:id="1640258301">
      <w:bodyDiv w:val="1"/>
      <w:marLeft w:val="0"/>
      <w:marRight w:val="0"/>
      <w:marTop w:val="0"/>
      <w:marBottom w:val="0"/>
      <w:divBdr>
        <w:top w:val="none" w:sz="0" w:space="0" w:color="auto"/>
        <w:left w:val="none" w:sz="0" w:space="0" w:color="auto"/>
        <w:bottom w:val="none" w:sz="0" w:space="0" w:color="auto"/>
        <w:right w:val="none" w:sz="0" w:space="0" w:color="auto"/>
      </w:divBdr>
    </w:div>
    <w:div w:id="1753425551">
      <w:bodyDiv w:val="1"/>
      <w:marLeft w:val="0"/>
      <w:marRight w:val="0"/>
      <w:marTop w:val="0"/>
      <w:marBottom w:val="0"/>
      <w:divBdr>
        <w:top w:val="none" w:sz="0" w:space="0" w:color="auto"/>
        <w:left w:val="none" w:sz="0" w:space="0" w:color="auto"/>
        <w:bottom w:val="none" w:sz="0" w:space="0" w:color="auto"/>
        <w:right w:val="none" w:sz="0" w:space="0" w:color="auto"/>
      </w:divBdr>
      <w:divsChild>
        <w:div w:id="378746078">
          <w:marLeft w:val="0"/>
          <w:marRight w:val="0"/>
          <w:marTop w:val="0"/>
          <w:marBottom w:val="0"/>
          <w:divBdr>
            <w:top w:val="none" w:sz="0" w:space="0" w:color="auto"/>
            <w:left w:val="none" w:sz="0" w:space="0" w:color="auto"/>
            <w:bottom w:val="none" w:sz="0" w:space="0" w:color="auto"/>
            <w:right w:val="none" w:sz="0" w:space="0" w:color="auto"/>
          </w:divBdr>
        </w:div>
        <w:div w:id="726995602">
          <w:marLeft w:val="0"/>
          <w:marRight w:val="0"/>
          <w:marTop w:val="0"/>
          <w:marBottom w:val="0"/>
          <w:divBdr>
            <w:top w:val="none" w:sz="0" w:space="0" w:color="auto"/>
            <w:left w:val="none" w:sz="0" w:space="0" w:color="auto"/>
            <w:bottom w:val="none" w:sz="0" w:space="0" w:color="auto"/>
            <w:right w:val="none" w:sz="0" w:space="0" w:color="auto"/>
          </w:divBdr>
        </w:div>
        <w:div w:id="859243425">
          <w:marLeft w:val="0"/>
          <w:marRight w:val="0"/>
          <w:marTop w:val="0"/>
          <w:marBottom w:val="0"/>
          <w:divBdr>
            <w:top w:val="none" w:sz="0" w:space="0" w:color="auto"/>
            <w:left w:val="none" w:sz="0" w:space="0" w:color="auto"/>
            <w:bottom w:val="none" w:sz="0" w:space="0" w:color="auto"/>
            <w:right w:val="none" w:sz="0" w:space="0" w:color="auto"/>
          </w:divBdr>
        </w:div>
        <w:div w:id="915090747">
          <w:marLeft w:val="0"/>
          <w:marRight w:val="0"/>
          <w:marTop w:val="0"/>
          <w:marBottom w:val="0"/>
          <w:divBdr>
            <w:top w:val="none" w:sz="0" w:space="0" w:color="auto"/>
            <w:left w:val="none" w:sz="0" w:space="0" w:color="auto"/>
            <w:bottom w:val="none" w:sz="0" w:space="0" w:color="auto"/>
            <w:right w:val="none" w:sz="0" w:space="0" w:color="auto"/>
          </w:divBdr>
          <w:divsChild>
            <w:div w:id="175732532">
              <w:blockQuote w:val="1"/>
              <w:marLeft w:val="0"/>
              <w:marRight w:val="0"/>
              <w:marTop w:val="0"/>
              <w:marBottom w:val="240"/>
              <w:divBdr>
                <w:top w:val="none" w:sz="0" w:space="0" w:color="auto"/>
                <w:left w:val="none" w:sz="0" w:space="0" w:color="auto"/>
                <w:bottom w:val="none" w:sz="0" w:space="0" w:color="auto"/>
                <w:right w:val="none" w:sz="0" w:space="0" w:color="auto"/>
              </w:divBdr>
              <w:divsChild>
                <w:div w:id="2787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5799">
          <w:marLeft w:val="0"/>
          <w:marRight w:val="0"/>
          <w:marTop w:val="0"/>
          <w:marBottom w:val="0"/>
          <w:divBdr>
            <w:top w:val="none" w:sz="0" w:space="0" w:color="auto"/>
            <w:left w:val="none" w:sz="0" w:space="0" w:color="auto"/>
            <w:bottom w:val="none" w:sz="0" w:space="0" w:color="auto"/>
            <w:right w:val="none" w:sz="0" w:space="0" w:color="auto"/>
          </w:divBdr>
        </w:div>
        <w:div w:id="1038239108">
          <w:marLeft w:val="0"/>
          <w:marRight w:val="0"/>
          <w:marTop w:val="0"/>
          <w:marBottom w:val="0"/>
          <w:divBdr>
            <w:top w:val="none" w:sz="0" w:space="0" w:color="auto"/>
            <w:left w:val="none" w:sz="0" w:space="0" w:color="auto"/>
            <w:bottom w:val="none" w:sz="0" w:space="0" w:color="auto"/>
            <w:right w:val="none" w:sz="0" w:space="0" w:color="auto"/>
          </w:divBdr>
        </w:div>
        <w:div w:id="1200052785">
          <w:marLeft w:val="0"/>
          <w:marRight w:val="0"/>
          <w:marTop w:val="0"/>
          <w:marBottom w:val="0"/>
          <w:divBdr>
            <w:top w:val="none" w:sz="0" w:space="0" w:color="auto"/>
            <w:left w:val="none" w:sz="0" w:space="0" w:color="auto"/>
            <w:bottom w:val="none" w:sz="0" w:space="0" w:color="auto"/>
            <w:right w:val="none" w:sz="0" w:space="0" w:color="auto"/>
          </w:divBdr>
        </w:div>
        <w:div w:id="1304239833">
          <w:marLeft w:val="0"/>
          <w:marRight w:val="0"/>
          <w:marTop w:val="0"/>
          <w:marBottom w:val="0"/>
          <w:divBdr>
            <w:top w:val="none" w:sz="0" w:space="0" w:color="auto"/>
            <w:left w:val="none" w:sz="0" w:space="0" w:color="auto"/>
            <w:bottom w:val="none" w:sz="0" w:space="0" w:color="auto"/>
            <w:right w:val="none" w:sz="0" w:space="0" w:color="auto"/>
          </w:divBdr>
        </w:div>
        <w:div w:id="1679188507">
          <w:marLeft w:val="0"/>
          <w:marRight w:val="0"/>
          <w:marTop w:val="0"/>
          <w:marBottom w:val="0"/>
          <w:divBdr>
            <w:top w:val="none" w:sz="0" w:space="0" w:color="auto"/>
            <w:left w:val="none" w:sz="0" w:space="0" w:color="auto"/>
            <w:bottom w:val="none" w:sz="0" w:space="0" w:color="auto"/>
            <w:right w:val="none" w:sz="0" w:space="0" w:color="auto"/>
          </w:divBdr>
        </w:div>
        <w:div w:id="1803965088">
          <w:marLeft w:val="0"/>
          <w:marRight w:val="0"/>
          <w:marTop w:val="0"/>
          <w:marBottom w:val="0"/>
          <w:divBdr>
            <w:top w:val="none" w:sz="0" w:space="0" w:color="auto"/>
            <w:left w:val="none" w:sz="0" w:space="0" w:color="auto"/>
            <w:bottom w:val="none" w:sz="0" w:space="0" w:color="auto"/>
            <w:right w:val="none" w:sz="0" w:space="0" w:color="auto"/>
          </w:divBdr>
        </w:div>
        <w:div w:id="1850832290">
          <w:marLeft w:val="0"/>
          <w:marRight w:val="0"/>
          <w:marTop w:val="0"/>
          <w:marBottom w:val="0"/>
          <w:divBdr>
            <w:top w:val="none" w:sz="0" w:space="0" w:color="auto"/>
            <w:left w:val="none" w:sz="0" w:space="0" w:color="auto"/>
            <w:bottom w:val="none" w:sz="0" w:space="0" w:color="auto"/>
            <w:right w:val="none" w:sz="0" w:space="0" w:color="auto"/>
          </w:divBdr>
          <w:divsChild>
            <w:div w:id="693306431">
              <w:blockQuote w:val="1"/>
              <w:marLeft w:val="0"/>
              <w:marRight w:val="0"/>
              <w:marTop w:val="0"/>
              <w:marBottom w:val="240"/>
              <w:divBdr>
                <w:top w:val="none" w:sz="0" w:space="0" w:color="auto"/>
                <w:left w:val="none" w:sz="0" w:space="0" w:color="auto"/>
                <w:bottom w:val="none" w:sz="0" w:space="0" w:color="auto"/>
                <w:right w:val="none" w:sz="0" w:space="0" w:color="auto"/>
              </w:divBdr>
              <w:divsChild>
                <w:div w:id="143321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20249">
          <w:marLeft w:val="0"/>
          <w:marRight w:val="0"/>
          <w:marTop w:val="0"/>
          <w:marBottom w:val="0"/>
          <w:divBdr>
            <w:top w:val="none" w:sz="0" w:space="0" w:color="auto"/>
            <w:left w:val="none" w:sz="0" w:space="0" w:color="auto"/>
            <w:bottom w:val="none" w:sz="0" w:space="0" w:color="auto"/>
            <w:right w:val="none" w:sz="0" w:space="0" w:color="auto"/>
          </w:divBdr>
          <w:divsChild>
            <w:div w:id="2021660563">
              <w:blockQuote w:val="1"/>
              <w:marLeft w:val="0"/>
              <w:marRight w:val="0"/>
              <w:marTop w:val="0"/>
              <w:marBottom w:val="240"/>
              <w:divBdr>
                <w:top w:val="none" w:sz="0" w:space="0" w:color="auto"/>
                <w:left w:val="none" w:sz="0" w:space="0" w:color="auto"/>
                <w:bottom w:val="none" w:sz="0" w:space="0" w:color="auto"/>
                <w:right w:val="none" w:sz="0" w:space="0" w:color="auto"/>
              </w:divBdr>
              <w:divsChild>
                <w:div w:id="188606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945656">
          <w:marLeft w:val="0"/>
          <w:marRight w:val="0"/>
          <w:marTop w:val="0"/>
          <w:marBottom w:val="0"/>
          <w:divBdr>
            <w:top w:val="none" w:sz="0" w:space="0" w:color="auto"/>
            <w:left w:val="none" w:sz="0" w:space="0" w:color="auto"/>
            <w:bottom w:val="none" w:sz="0" w:space="0" w:color="auto"/>
            <w:right w:val="none" w:sz="0" w:space="0" w:color="auto"/>
          </w:divBdr>
          <w:divsChild>
            <w:div w:id="1362124443">
              <w:blockQuote w:val="1"/>
              <w:marLeft w:val="0"/>
              <w:marRight w:val="0"/>
              <w:marTop w:val="0"/>
              <w:marBottom w:val="240"/>
              <w:divBdr>
                <w:top w:val="none" w:sz="0" w:space="0" w:color="auto"/>
                <w:left w:val="none" w:sz="0" w:space="0" w:color="auto"/>
                <w:bottom w:val="none" w:sz="0" w:space="0" w:color="auto"/>
                <w:right w:val="none" w:sz="0" w:space="0" w:color="auto"/>
              </w:divBdr>
              <w:divsChild>
                <w:div w:id="15517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166107">
      <w:bodyDiv w:val="1"/>
      <w:marLeft w:val="0"/>
      <w:marRight w:val="0"/>
      <w:marTop w:val="0"/>
      <w:marBottom w:val="0"/>
      <w:divBdr>
        <w:top w:val="none" w:sz="0" w:space="0" w:color="auto"/>
        <w:left w:val="none" w:sz="0" w:space="0" w:color="auto"/>
        <w:bottom w:val="none" w:sz="0" w:space="0" w:color="auto"/>
        <w:right w:val="none" w:sz="0" w:space="0" w:color="auto"/>
      </w:divBdr>
    </w:div>
    <w:div w:id="1981184541">
      <w:bodyDiv w:val="1"/>
      <w:marLeft w:val="0"/>
      <w:marRight w:val="0"/>
      <w:marTop w:val="0"/>
      <w:marBottom w:val="0"/>
      <w:divBdr>
        <w:top w:val="none" w:sz="0" w:space="0" w:color="auto"/>
        <w:left w:val="none" w:sz="0" w:space="0" w:color="auto"/>
        <w:bottom w:val="none" w:sz="0" w:space="0" w:color="auto"/>
        <w:right w:val="none" w:sz="0" w:space="0" w:color="auto"/>
      </w:divBdr>
    </w:div>
    <w:div w:id="2050646983">
      <w:bodyDiv w:val="1"/>
      <w:marLeft w:val="0"/>
      <w:marRight w:val="0"/>
      <w:marTop w:val="0"/>
      <w:marBottom w:val="0"/>
      <w:divBdr>
        <w:top w:val="none" w:sz="0" w:space="0" w:color="auto"/>
        <w:left w:val="none" w:sz="0" w:space="0" w:color="auto"/>
        <w:bottom w:val="none" w:sz="0" w:space="0" w:color="auto"/>
        <w:right w:val="none" w:sz="0" w:space="0" w:color="auto"/>
      </w:divBdr>
      <w:divsChild>
        <w:div w:id="104735549">
          <w:marLeft w:val="75"/>
          <w:marRight w:val="0"/>
          <w:marTop w:val="0"/>
          <w:marBottom w:val="0"/>
          <w:divBdr>
            <w:top w:val="none" w:sz="0" w:space="0" w:color="auto"/>
            <w:left w:val="none" w:sz="0" w:space="0" w:color="auto"/>
            <w:bottom w:val="none" w:sz="0" w:space="0" w:color="auto"/>
            <w:right w:val="none" w:sz="0" w:space="0" w:color="auto"/>
          </w:divBdr>
          <w:divsChild>
            <w:div w:id="643655844">
              <w:marLeft w:val="0"/>
              <w:marRight w:val="0"/>
              <w:marTop w:val="0"/>
              <w:marBottom w:val="0"/>
              <w:divBdr>
                <w:top w:val="single" w:sz="6" w:space="4" w:color="666666"/>
                <w:left w:val="none" w:sz="0" w:space="0" w:color="auto"/>
                <w:bottom w:val="single" w:sz="6" w:space="4" w:color="666666"/>
                <w:right w:val="single" w:sz="6" w:space="5" w:color="666666"/>
              </w:divBdr>
              <w:divsChild>
                <w:div w:id="4593924">
                  <w:marLeft w:val="0"/>
                  <w:marRight w:val="0"/>
                  <w:marTop w:val="0"/>
                  <w:marBottom w:val="0"/>
                  <w:divBdr>
                    <w:top w:val="none" w:sz="0" w:space="0" w:color="auto"/>
                    <w:left w:val="none" w:sz="0" w:space="0" w:color="auto"/>
                    <w:bottom w:val="none" w:sz="0" w:space="0" w:color="auto"/>
                    <w:right w:val="none" w:sz="0" w:space="0" w:color="auto"/>
                  </w:divBdr>
                </w:div>
                <w:div w:id="561447800">
                  <w:marLeft w:val="0"/>
                  <w:marRight w:val="0"/>
                  <w:marTop w:val="0"/>
                  <w:marBottom w:val="0"/>
                  <w:divBdr>
                    <w:top w:val="none" w:sz="0" w:space="0" w:color="auto"/>
                    <w:left w:val="none" w:sz="0" w:space="0" w:color="auto"/>
                    <w:bottom w:val="none" w:sz="0" w:space="0" w:color="auto"/>
                    <w:right w:val="none" w:sz="0" w:space="0" w:color="auto"/>
                  </w:divBdr>
                </w:div>
                <w:div w:id="1925720491">
                  <w:marLeft w:val="0"/>
                  <w:marRight w:val="75"/>
                  <w:marTop w:val="0"/>
                  <w:marBottom w:val="0"/>
                  <w:divBdr>
                    <w:top w:val="none" w:sz="0" w:space="0" w:color="auto"/>
                    <w:left w:val="none" w:sz="0" w:space="0" w:color="auto"/>
                    <w:bottom w:val="none" w:sz="0" w:space="0" w:color="auto"/>
                    <w:right w:val="none" w:sz="0" w:space="0" w:color="auto"/>
                  </w:divBdr>
                  <w:divsChild>
                    <w:div w:id="114053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536917">
      <w:bodyDiv w:val="1"/>
      <w:marLeft w:val="0"/>
      <w:marRight w:val="0"/>
      <w:marTop w:val="0"/>
      <w:marBottom w:val="0"/>
      <w:divBdr>
        <w:top w:val="none" w:sz="0" w:space="0" w:color="auto"/>
        <w:left w:val="none" w:sz="0" w:space="0" w:color="auto"/>
        <w:bottom w:val="none" w:sz="0" w:space="0" w:color="auto"/>
        <w:right w:val="none" w:sz="0" w:space="0" w:color="auto"/>
      </w:divBdr>
    </w:div>
    <w:div w:id="2098356395">
      <w:bodyDiv w:val="1"/>
      <w:marLeft w:val="0"/>
      <w:marRight w:val="0"/>
      <w:marTop w:val="0"/>
      <w:marBottom w:val="0"/>
      <w:divBdr>
        <w:top w:val="none" w:sz="0" w:space="0" w:color="auto"/>
        <w:left w:val="none" w:sz="0" w:space="0" w:color="auto"/>
        <w:bottom w:val="none" w:sz="0" w:space="0" w:color="auto"/>
        <w:right w:val="none" w:sz="0" w:space="0" w:color="auto"/>
      </w:divBdr>
      <w:divsChild>
        <w:div w:id="546721526">
          <w:marLeft w:val="0"/>
          <w:marRight w:val="0"/>
          <w:marTop w:val="0"/>
          <w:marBottom w:val="0"/>
          <w:divBdr>
            <w:top w:val="none" w:sz="0" w:space="0" w:color="auto"/>
            <w:left w:val="none" w:sz="0" w:space="0" w:color="auto"/>
            <w:bottom w:val="none" w:sz="0" w:space="0" w:color="auto"/>
            <w:right w:val="none" w:sz="0" w:space="0" w:color="auto"/>
          </w:divBdr>
        </w:div>
        <w:div w:id="1431776185">
          <w:marLeft w:val="0"/>
          <w:marRight w:val="0"/>
          <w:marTop w:val="0"/>
          <w:marBottom w:val="0"/>
          <w:divBdr>
            <w:top w:val="none" w:sz="0" w:space="0" w:color="auto"/>
            <w:left w:val="none" w:sz="0" w:space="0" w:color="auto"/>
            <w:bottom w:val="none" w:sz="0" w:space="0" w:color="auto"/>
            <w:right w:val="none" w:sz="0" w:space="0" w:color="auto"/>
          </w:divBdr>
        </w:div>
        <w:div w:id="1649818470">
          <w:marLeft w:val="0"/>
          <w:marRight w:val="0"/>
          <w:marTop w:val="0"/>
          <w:marBottom w:val="0"/>
          <w:divBdr>
            <w:top w:val="none" w:sz="0" w:space="0" w:color="auto"/>
            <w:left w:val="none" w:sz="0" w:space="0" w:color="auto"/>
            <w:bottom w:val="none" w:sz="0" w:space="0" w:color="auto"/>
            <w:right w:val="none" w:sz="0" w:space="0" w:color="auto"/>
          </w:divBdr>
        </w:div>
      </w:divsChild>
    </w:div>
    <w:div w:id="2137603722">
      <w:bodyDiv w:val="1"/>
      <w:marLeft w:val="0"/>
      <w:marRight w:val="0"/>
      <w:marTop w:val="0"/>
      <w:marBottom w:val="0"/>
      <w:divBdr>
        <w:top w:val="none" w:sz="0" w:space="0" w:color="auto"/>
        <w:left w:val="none" w:sz="0" w:space="0" w:color="auto"/>
        <w:bottom w:val="none" w:sz="0" w:space="0" w:color="auto"/>
        <w:right w:val="none" w:sz="0" w:space="0" w:color="auto"/>
      </w:divBdr>
      <w:divsChild>
        <w:div w:id="1978483797">
          <w:marLeft w:val="0"/>
          <w:marRight w:val="0"/>
          <w:marTop w:val="0"/>
          <w:marBottom w:val="0"/>
          <w:divBdr>
            <w:top w:val="none" w:sz="0" w:space="0" w:color="auto"/>
            <w:left w:val="none" w:sz="0" w:space="0" w:color="auto"/>
            <w:bottom w:val="none" w:sz="0" w:space="0" w:color="auto"/>
            <w:right w:val="none" w:sz="0" w:space="0" w:color="auto"/>
          </w:divBdr>
        </w:div>
      </w:divsChild>
    </w:div>
    <w:div w:id="2141343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x.doi.org/10.1080/10462937.2016.1230678" TargetMode="External"/><Relationship Id="rId13" Type="http://schemas.openxmlformats.org/officeDocument/2006/relationships/hyperlink" Target="https://curve.carleton.ca/system/files/etd/40421c8c-6530-423e-b2e3-8e8808dad749/etd_pdf/2338d8f1db0686069b3b97fee616e6ee/balogh-queerquarantineconceptualizingstateanddominant.pdf" TargetMode="External"/><Relationship Id="rId18" Type="http://schemas.openxmlformats.org/officeDocument/2006/relationships/hyperlink" Target="https://theanarchistlibrary.org/library/baedan-baedan" TargetMode="External"/><Relationship Id="rId26" Type="http://schemas.openxmlformats.org/officeDocument/2006/relationships/hyperlink" Target="http://digitalscholarship.unlv.edu/cgi/viewcontent.cgi?article=2929&amp;context=thesesdissertations" TargetMode="External"/><Relationship Id="rId39" Type="http://schemas.openxmlformats.org/officeDocument/2006/relationships/footer" Target="footer3.xml"/><Relationship Id="rId3" Type="http://schemas.openxmlformats.org/officeDocument/2006/relationships/styles" Target="styles.xml"/><Relationship Id="rId21" Type="http://schemas.openxmlformats.org/officeDocument/2006/relationships/hyperlink" Target="https://libcom.org/blog/do-something-critique-activism-28052012"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www.jstor.org/stable/25746442?seq=1" TargetMode="External"/><Relationship Id="rId17" Type="http://schemas.openxmlformats.org/officeDocument/2006/relationships/hyperlink" Target="https://theanarchistlibrary.org/library/baedan-baedan" TargetMode="External"/><Relationship Id="rId25" Type="http://schemas.openxmlformats.org/officeDocument/2006/relationships/hyperlink" Target="http://www.decolonize.org/wp-content/uploads/2015/06/queeranticap.pdf" TargetMode="External"/><Relationship Id="rId33" Type="http://schemas.openxmlformats.org/officeDocument/2006/relationships/hyperlink" Target="https://thenewinquiry.com/epic-fail/" TargetMode="External"/><Relationship Id="rId38"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genderidentitywatch.files.wordpress.com/2014/07/paba6.pdf" TargetMode="External"/><Relationship Id="rId20" Type="http://schemas.openxmlformats.org/officeDocument/2006/relationships/hyperlink" Target="http://www.crimethinc.com/texts/selected/asfuck.php" TargetMode="External"/><Relationship Id="rId29" Type="http://schemas.openxmlformats.org/officeDocument/2006/relationships/hyperlink" Target="http://dx.doi.org/10.1080/07350198.2016.1142851"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x.doi.org/10.1080/09518398.2014.916009" TargetMode="External"/><Relationship Id="rId24" Type="http://schemas.openxmlformats.org/officeDocument/2006/relationships/hyperlink" Target="http://dx.doi.org/10.1080/09518398.2014.916009" TargetMode="External"/><Relationship Id="rId32" Type="http://schemas.openxmlformats.org/officeDocument/2006/relationships/hyperlink" Target="https://link.springer.com/chapter/10.1057/978-1-137-59543-0_4"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theanarchistlibrary.org/library/baedan-baedan" TargetMode="External"/><Relationship Id="rId23" Type="http://schemas.openxmlformats.org/officeDocument/2006/relationships/hyperlink" Target="http://www.decolonize.org/wp-content/uploads/2015/06/queeranticap.pdf" TargetMode="External"/><Relationship Id="rId28" Type="http://schemas.openxmlformats.org/officeDocument/2006/relationships/hyperlink" Target="http://www.decolonize.org/wp-content/uploads/2015/06/queeranticap.pdf" TargetMode="External"/><Relationship Id="rId36" Type="http://schemas.openxmlformats.org/officeDocument/2006/relationships/footer" Target="footer1.xml"/><Relationship Id="rId10" Type="http://schemas.openxmlformats.org/officeDocument/2006/relationships/hyperlink" Target="http://ed618.pbworks.com/f/Loutzenheiser,+L.W.+%26+MacIntosh,+L.B.+Citizenshups,+Sexualities,+%26+Education.pdf" TargetMode="External"/><Relationship Id="rId19" Type="http://schemas.openxmlformats.org/officeDocument/2006/relationships/hyperlink" Target="http://returnthegayze.com/2013/12/20/we-are-nothing-and-that-is-beautiful-full-text/" TargetMode="External"/><Relationship Id="rId31" Type="http://schemas.openxmlformats.org/officeDocument/2006/relationships/hyperlink" Target="https://link.springer.com/chapter/10.1057/978-1-137-59543-0_4" TargetMode="External"/><Relationship Id="rId4" Type="http://schemas.openxmlformats.org/officeDocument/2006/relationships/settings" Target="settings.xml"/><Relationship Id="rId9" Type="http://schemas.openxmlformats.org/officeDocument/2006/relationships/hyperlink" Target="http://jadtjournal.org/2015/03/06/refusing-the-reproductive-imperative-sex-death-and-the-queer-future-in-peter-sinn-nachtriebs-boom/" TargetMode="External"/><Relationship Id="rId14" Type="http://schemas.openxmlformats.org/officeDocument/2006/relationships/hyperlink" Target="http://www.decolonize.org/wp-content/uploads/2015/06/queeranticap.pdf" TargetMode="External"/><Relationship Id="rId22" Type="http://schemas.openxmlformats.org/officeDocument/2006/relationships/hyperlink" Target="http://avidly.lareviewofbooks.org/2012/11/20/silly-theory/" TargetMode="External"/><Relationship Id="rId27" Type="http://schemas.openxmlformats.org/officeDocument/2006/relationships/hyperlink" Target="http://digitalscholarship.unlv.edu/thesesdissertations/1928/" TargetMode="External"/><Relationship Id="rId30" Type="http://schemas.openxmlformats.org/officeDocument/2006/relationships/hyperlink" Target="http://dx.doi.org/10.1080/07350198.2016.1142851" TargetMode="External"/><Relationship Id="rId35"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ru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FF3724-1369-47C6-A04B-9073898A8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321</Pages>
  <Words>218041</Words>
  <Characters>1242836</Characters>
  <Application>Microsoft Office Word</Application>
  <DocSecurity>0</DocSecurity>
  <Lines>10356</Lines>
  <Paragraphs>2915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 Chowdhury</dc:creator>
  <cp:keywords>5.1.1</cp:keywords>
  <dc:description/>
  <cp:lastModifiedBy>Chowdhury, Amrut</cp:lastModifiedBy>
  <cp:revision>2</cp:revision>
  <dcterms:created xsi:type="dcterms:W3CDTF">2017-07-30T05:48:00Z</dcterms:created>
  <dcterms:modified xsi:type="dcterms:W3CDTF">2017-07-30T05:48:00Z</dcterms:modified>
</cp:coreProperties>
</file>