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56AA" w:rsidRPr="00280039" w:rsidRDefault="001856AA" w:rsidP="00280039">
      <w:pPr>
        <w:pStyle w:val="Heading4"/>
      </w:pPr>
      <w:r w:rsidRPr="00280039">
        <w:t>The law is never a solution for anti-queer violence in prisons</w:t>
      </w:r>
    </w:p>
    <w:p w:rsidR="001856AA" w:rsidRPr="007C4D94" w:rsidRDefault="00280039" w:rsidP="001856AA">
      <w:pPr>
        <w:rPr>
          <w:rFonts w:eastAsia="Calibri" w:cs="Times New Roman"/>
          <w:bCs/>
          <w:sz w:val="20"/>
        </w:rPr>
      </w:pPr>
      <w:r w:rsidRPr="00280039">
        <w:rPr>
          <w:rFonts w:eastAsia="Calibri" w:cs="Times New Roman"/>
          <w:b/>
          <w:bCs/>
        </w:rPr>
        <w:t xml:space="preserve">Rasheed </w:t>
      </w:r>
      <w:r w:rsidR="001856AA" w:rsidRPr="00280039">
        <w:rPr>
          <w:rFonts w:eastAsia="Calibri" w:cs="Times New Roman"/>
          <w:b/>
          <w:bCs/>
        </w:rPr>
        <w:t>14</w:t>
      </w:r>
      <w:r w:rsidR="001856AA" w:rsidRPr="007C4D94">
        <w:rPr>
          <w:rFonts w:eastAsia="Calibri" w:cs="Times New Roman"/>
          <w:b/>
          <w:bCs/>
          <w:sz w:val="26"/>
        </w:rPr>
        <w:t xml:space="preserve"> </w:t>
      </w:r>
      <w:r w:rsidR="00FD018C" w:rsidRPr="00280039">
        <w:rPr>
          <w:rFonts w:eastAsia="Calibri" w:cs="Times New Roman"/>
          <w:bCs/>
          <w:sz w:val="18"/>
          <w:szCs w:val="18"/>
        </w:rPr>
        <w:t>(</w:t>
      </w:r>
      <w:r w:rsidR="001856AA" w:rsidRPr="00280039">
        <w:rPr>
          <w:rFonts w:eastAsia="Calibri" w:cs="Times New Roman"/>
          <w:bCs/>
          <w:sz w:val="18"/>
          <w:szCs w:val="18"/>
        </w:rPr>
        <w:t xml:space="preserve">KAMEELAH JANAN RASHEED, Brooklyn-based conceptual artist working primarily with photography, installation, and texts. She is Arts Editor for Spook Magazine and Eric Stanley (cited internally) has a – Ph.D. in History of Consciousness, UC Santa Cruz, UC President's Postdoctoral Fellow at UCSD, “The Carceral State,” November 12 2014, via The New Inquiry, </w:t>
      </w:r>
      <w:hyperlink r:id="rId6" w:history="1">
        <w:r w:rsidR="001856AA" w:rsidRPr="00280039">
          <w:rPr>
            <w:rFonts w:eastAsia="Calibri" w:cs="Times New Roman"/>
            <w:sz w:val="18"/>
            <w:szCs w:val="18"/>
          </w:rPr>
          <w:t>http://thenewinquiry.com/features/the-carceral-state/</w:t>
        </w:r>
      </w:hyperlink>
      <w:r w:rsidR="00FD018C" w:rsidRPr="00280039">
        <w:rPr>
          <w:rFonts w:eastAsia="Calibri" w:cs="Times New Roman"/>
          <w:bCs/>
          <w:sz w:val="18"/>
          <w:szCs w:val="18"/>
        </w:rPr>
        <w:t>, AKL)</w:t>
      </w:r>
    </w:p>
    <w:p w:rsidR="001856AA" w:rsidRPr="007C4D94" w:rsidRDefault="001856AA" w:rsidP="001856AA">
      <w:pPr>
        <w:rPr>
          <w:rStyle w:val="StyleUnderline"/>
        </w:rPr>
      </w:pPr>
      <w:r w:rsidRPr="007C4D94">
        <w:rPr>
          <w:rStyle w:val="StyleUnderline"/>
        </w:rPr>
        <w:t xml:space="preserve">In an essay called “Near Life, Queer Death,” you address the privatizing of violence. In thinking about the landscape of Californian incarceration, in ways does the “privatization [of] the enormity of antiqueer violence” collude with the privatization of the enormity of mass incarceration and policing in California? I would perhaps think about the different ways privatization is working in each of these scenes. Much </w:t>
      </w:r>
      <w:proofErr w:type="spellStart"/>
      <w:r w:rsidRPr="007C4D94">
        <w:rPr>
          <w:rStyle w:val="StyleUnderline"/>
        </w:rPr>
        <w:t>antiprison</w:t>
      </w:r>
      <w:proofErr w:type="spellEnd"/>
      <w:r w:rsidRPr="007C4D94">
        <w:rPr>
          <w:rStyle w:val="StyleUnderline"/>
        </w:rPr>
        <w:t xml:space="preserve"> organizing for the past 15 to 20 years has centered around critiquing the ways private prisons produce wealth through the business of captivity</w:t>
      </w:r>
      <w:r w:rsidRPr="007C4D94">
        <w:rPr>
          <w:rFonts w:eastAsia="Calibri" w:cs="Times New Roman"/>
        </w:rPr>
        <w:t xml:space="preserve">. I remember organizing in the 1990s at Cabrillo Community College in Santa Cruz where I was a student because our cafeteria contracted with Sodexho Marriott, which then had stakes in CCA, a private prison firm. That work was and continues to be necessary, but only as a way to open up conversations beyond the private-prisons argument. If we end there, </w:t>
      </w:r>
      <w:r w:rsidRPr="007C4D94">
        <w:rPr>
          <w:rStyle w:val="StyleUnderline"/>
        </w:rPr>
        <w:t>it can seem as if we think prisons run by the state are “better” and that prisons are only troublesome if they produce surplus value. Again, this is where an abolitionist analysis becomes necessary to push us through the private prisons argument and toward a more general critique</w:t>
      </w:r>
      <w:r w:rsidRPr="007C4D94">
        <w:rPr>
          <w:rFonts w:eastAsia="Calibri" w:cs="Times New Roman"/>
        </w:rPr>
        <w:t xml:space="preserve">. In “Near Life, Queer Death,” </w:t>
      </w:r>
      <w:r w:rsidRPr="007C4D94">
        <w:rPr>
          <w:rStyle w:val="StyleUnderline"/>
        </w:rPr>
        <w:t xml:space="preserve">I was trying to think about how structural violence (like racist and anti-trans violence) is rewritten as individual acts against specific people. The legal system is one of the primary ways the systemic is transformed into the discrete or personal. This happens, in part, through the substitution of the idea that justice has been done with a conviction by the state. </w:t>
      </w:r>
      <w:r w:rsidRPr="007C4D94">
        <w:rPr>
          <w:rFonts w:eastAsia="Calibri" w:cs="Times New Roman"/>
        </w:rPr>
        <w:t xml:space="preserve">We might look at the recent attack against Sasha, an agender youth who was riding a bus in Alameda when their skirt was lit on fire by another 16-year-old. Sasha sustained second and third degree burns in yet another attack against a gender-nonconforming person. Seeking an easy conviction, the district attorney decided to charge the defendant as an adult and forced them to take a plea deal, which could now place them in prison for seven years. Sasha and their family asked the DA to not charge the person as an adult and also asked for restorative justice for the defendant and not prison time. </w:t>
      </w:r>
      <w:r w:rsidRPr="007C4D94">
        <w:rPr>
          <w:rStyle w:val="StyleUnderline"/>
        </w:rPr>
        <w:t>Against the desires of the survivor, the DA refused and sought the conviction by way of a plea. The histories and futures of anti-trans violence become substituted with the “justice” of another conviction, while all those involved are left as collateral damage.</w:t>
      </w:r>
    </w:p>
    <w:p w:rsidR="00B668EF" w:rsidRPr="00280039" w:rsidRDefault="00B668EF" w:rsidP="00B668EF">
      <w:pPr>
        <w:pStyle w:val="Heading4"/>
      </w:pPr>
      <w:r w:rsidRPr="00280039">
        <w:t>The PIC is inherently antiqueer and racist – reform doesn’t work</w:t>
      </w:r>
    </w:p>
    <w:p w:rsidR="00B668EF" w:rsidRPr="007C4D94" w:rsidRDefault="00B668EF" w:rsidP="00B668EF">
      <w:pPr>
        <w:rPr>
          <w:rFonts w:eastAsia="Calibri" w:cs="Times New Roman"/>
          <w:bCs/>
          <w:sz w:val="20"/>
        </w:rPr>
      </w:pPr>
      <w:r>
        <w:rPr>
          <w:rFonts w:eastAsia="Calibri" w:cs="Times New Roman"/>
          <w:b/>
          <w:bCs/>
        </w:rPr>
        <w:t xml:space="preserve">Rasheed </w:t>
      </w:r>
      <w:r w:rsidRPr="00280039">
        <w:rPr>
          <w:rFonts w:eastAsia="Calibri" w:cs="Times New Roman"/>
          <w:b/>
          <w:bCs/>
        </w:rPr>
        <w:t>14</w:t>
      </w:r>
      <w:r w:rsidRPr="007C4D94">
        <w:rPr>
          <w:rFonts w:eastAsia="Calibri" w:cs="Times New Roman"/>
          <w:b/>
          <w:bCs/>
          <w:sz w:val="26"/>
        </w:rPr>
        <w:t xml:space="preserve"> </w:t>
      </w:r>
      <w:r w:rsidRPr="00280039">
        <w:rPr>
          <w:rFonts w:eastAsia="Calibri" w:cs="Times New Roman"/>
          <w:bCs/>
          <w:sz w:val="18"/>
          <w:szCs w:val="18"/>
        </w:rPr>
        <w:t xml:space="preserve">(KAMEELAH JANAN RASHEED, </w:t>
      </w:r>
      <w:proofErr w:type="spellStart"/>
      <w:r w:rsidRPr="00280039">
        <w:rPr>
          <w:rFonts w:eastAsia="Calibri" w:cs="Times New Roman"/>
          <w:bCs/>
          <w:sz w:val="18"/>
          <w:szCs w:val="18"/>
        </w:rPr>
        <w:t>brooklyn</w:t>
      </w:r>
      <w:proofErr w:type="spellEnd"/>
      <w:r w:rsidRPr="00280039">
        <w:rPr>
          <w:rFonts w:eastAsia="Calibri" w:cs="Times New Roman"/>
          <w:bCs/>
          <w:sz w:val="18"/>
          <w:szCs w:val="18"/>
        </w:rPr>
        <w:t xml:space="preserve">-based conceptual artist working primarily with photography, installation, and texts. She is Arts Editor for Spook Magazine and Eric Stanley (cited internally) has a – Ph.D. in History of Consciousness, UC Santa Cruz, UC President's Postdoctoral Fellow at UCSD, “The Carceral State,” November 12 2014, via The New Inquiry, </w:t>
      </w:r>
      <w:hyperlink r:id="rId7" w:history="1">
        <w:r w:rsidRPr="00280039">
          <w:rPr>
            <w:rFonts w:eastAsia="Calibri" w:cs="Times New Roman"/>
            <w:sz w:val="18"/>
            <w:szCs w:val="18"/>
          </w:rPr>
          <w:t>http://thenewinquiry.com/features/the-carceral-state/</w:t>
        </w:r>
      </w:hyperlink>
      <w:r w:rsidRPr="00280039">
        <w:rPr>
          <w:rFonts w:eastAsia="Calibri" w:cs="Times New Roman"/>
          <w:bCs/>
          <w:sz w:val="18"/>
          <w:szCs w:val="18"/>
        </w:rPr>
        <w:t>, AKL)</w:t>
      </w:r>
    </w:p>
    <w:p w:rsidR="00B668EF" w:rsidRPr="007C4D94" w:rsidRDefault="00B668EF" w:rsidP="00B668EF">
      <w:pPr>
        <w:rPr>
          <w:rFonts w:eastAsia="Calibri" w:cs="Times New Roman"/>
        </w:rPr>
      </w:pPr>
      <w:r w:rsidRPr="007C4D94">
        <w:rPr>
          <w:rStyle w:val="StyleUnderline"/>
        </w:rPr>
        <w:t>California gets called “progressive” despite operating one of the world’s largest prison systems. “Abolition is not simply a reaction to the [prison-industrial complex</w:t>
      </w:r>
      <w:r w:rsidRPr="007C4D94">
        <w:rPr>
          <w:rFonts w:eastAsia="Calibri" w:cs="Times New Roman"/>
          <w:iCs/>
          <w:sz w:val="14"/>
          <w:u w:val="single"/>
          <w:bdr w:val="single" w:sz="8" w:space="0" w:color="auto"/>
        </w:rPr>
        <w:t>]</w:t>
      </w:r>
      <w:r w:rsidRPr="007C4D94">
        <w:rPr>
          <w:rStyle w:val="StyleUnderline"/>
        </w:rPr>
        <w:t xml:space="preserve"> but a political commitment that makes the PIC impossible”</w:t>
      </w:r>
      <w:r w:rsidRPr="007C4D94">
        <w:rPr>
          <w:rFonts w:eastAsia="Calibri" w:cs="Times New Roman"/>
        </w:rPr>
        <w:t xml:space="preserve"> writes Eric A. Stanley in the introduction to Captive Genders: Trans Embodiment and the Prison Industrial Complex. </w:t>
      </w:r>
      <w:r w:rsidRPr="007C4D94">
        <w:rPr>
          <w:rStyle w:val="StyleUnderline"/>
        </w:rPr>
        <w:t>Nourishing these possibilities to create a future in which incarceration and policing are not normalized features of our society has been at the core of Stanley’s academic writing and activist work</w:t>
      </w:r>
      <w:r w:rsidRPr="007C4D94">
        <w:rPr>
          <w:rFonts w:eastAsia="Calibri" w:cs="Times New Roman"/>
        </w:rPr>
        <w:t xml:space="preserve">. A president postdoctoral fellow in the departments of communication and critical gender studies at the University of California, San Diego, Stanley works at the intersections of radical trans/queer politics and prison abolition. Stanley has directed the films </w:t>
      </w:r>
      <w:proofErr w:type="spellStart"/>
      <w:r w:rsidRPr="007C4D94">
        <w:rPr>
          <w:rFonts w:eastAsia="Calibri" w:cs="Times New Roman"/>
        </w:rPr>
        <w:t>Homotopia</w:t>
      </w:r>
      <w:proofErr w:type="spellEnd"/>
      <w:r w:rsidRPr="007C4D94">
        <w:rPr>
          <w:rFonts w:eastAsia="Calibri" w:cs="Times New Roman"/>
        </w:rPr>
        <w:t xml:space="preserve"> (2006) and Criminal Queers (2013) along with Chris Vargas. Stanley talks to the New Inquiry about California’s incarceration culture and those who resist it, </w:t>
      </w:r>
      <w:r w:rsidRPr="007C4D94">
        <w:rPr>
          <w:rStyle w:val="StyleUnderline"/>
        </w:rPr>
        <w:t>how language shapes our imagining of a post-incarceration world and the importance of queering our conversations around the prison-­industrial complex.</w:t>
      </w:r>
      <w:r w:rsidRPr="007C4D94">
        <w:rPr>
          <w:rFonts w:eastAsia="Calibri" w:cs="Times New Roman"/>
        </w:rPr>
        <w:t xml:space="preserve"> What is unique about the Californian narrative of incarceration and policing? How has the history of California been shaped by the prison-industrial complex? </w:t>
      </w:r>
      <w:r w:rsidRPr="007C4D94">
        <w:rPr>
          <w:rStyle w:val="StyleUnderline"/>
        </w:rPr>
        <w:t>California is in many ways emblematic of our current moment of U.S. empire. Our stage of late liberalism allows California to proclaim itself both the most “progressive” state while simultaneously producing among the most brutal carceral practices. We can look to California and the California Department of Corrections and Rehabilitation (CDCR) as a cautionary tale of how even well-meaning prison reform almost always produces more violence,</w:t>
      </w:r>
      <w:r w:rsidRPr="007C4D94">
        <w:rPr>
          <w:rFonts w:eastAsia="Calibri" w:cs="Times New Roman"/>
        </w:rPr>
        <w:t xml:space="preserve"> rather than stopping it. To understand how </w:t>
      </w:r>
      <w:r w:rsidRPr="007C4D94">
        <w:rPr>
          <w:rStyle w:val="StyleUnderline"/>
        </w:rPr>
        <w:t>“progressive California” became the way we talk about the operators of one of the largest prison systems in the world, we could look to the recent Proposition 47,</w:t>
      </w:r>
      <w:r w:rsidRPr="007C4D94">
        <w:rPr>
          <w:rFonts w:eastAsia="Calibri" w:cs="Times New Roman"/>
        </w:rPr>
        <w:t xml:space="preserve"> the “Safe Neighborhoods and Schools Act,” </w:t>
      </w:r>
      <w:r w:rsidRPr="007C4D94">
        <w:rPr>
          <w:rStyle w:val="StyleUnderline"/>
        </w:rPr>
        <w:t>for an example. It is championed by many state prison-­reform groups because it claims it will help pull some people out of prisons and jails through resentencing of what the legislation calls “</w:t>
      </w:r>
      <w:proofErr w:type="spellStart"/>
      <w:r w:rsidRPr="007C4D94">
        <w:rPr>
          <w:rStyle w:val="StyleUnderline"/>
        </w:rPr>
        <w:t>nonserious</w:t>
      </w:r>
      <w:proofErr w:type="spellEnd"/>
      <w:r w:rsidRPr="007C4D94">
        <w:rPr>
          <w:rStyle w:val="StyleUnderline"/>
        </w:rPr>
        <w:t xml:space="preserve"> nonviolent” inmates</w:t>
      </w:r>
      <w:r w:rsidRPr="007C4D94">
        <w:rPr>
          <w:rFonts w:eastAsia="Calibri" w:cs="Times New Roman"/>
        </w:rPr>
        <w:t xml:space="preserve">. </w:t>
      </w:r>
      <w:r w:rsidRPr="007C4D94">
        <w:rPr>
          <w:rStyle w:val="StyleUnderline"/>
        </w:rPr>
        <w:t xml:space="preserve">And it might! At first glance, this seems like something that all of us fighting against the prison-industrial complex (PIC) could support. We know that </w:t>
      </w:r>
      <w:proofErr w:type="spellStart"/>
      <w:r w:rsidRPr="007C4D94">
        <w:rPr>
          <w:rStyle w:val="StyleUnderline"/>
        </w:rPr>
        <w:t>decarceration</w:t>
      </w:r>
      <w:proofErr w:type="spellEnd"/>
      <w:r w:rsidRPr="007C4D94">
        <w:rPr>
          <w:rStyle w:val="StyleUnderline"/>
        </w:rPr>
        <w:t xml:space="preserve"> is one strategy in the long vision that is abolition. However, written into the proposition is a provision that would mandate all the “savings” from releasing people be placed into a fund that would increase police presence in schools and mandate harsher truancy discipline. What looks like a victory in our struggle would actually build up rather than dismantle the PIC. </w:t>
      </w:r>
      <w:r w:rsidRPr="007C4D94">
        <w:rPr>
          <w:rFonts w:eastAsia="Calibri" w:cs="Times New Roman"/>
        </w:rPr>
        <w:t>As a response to the infamous overcrowding of California’s prisons, this is something we know would ­</w:t>
      </w:r>
      <w:proofErr w:type="spellStart"/>
      <w:r w:rsidRPr="007C4D94">
        <w:rPr>
          <w:rFonts w:eastAsia="Calibri" w:cs="Times New Roman"/>
        </w:rPr>
        <w:t>reimprison</w:t>
      </w:r>
      <w:proofErr w:type="spellEnd"/>
      <w:r w:rsidRPr="007C4D94">
        <w:rPr>
          <w:rFonts w:eastAsia="Calibri" w:cs="Times New Roman"/>
        </w:rPr>
        <w:t xml:space="preserve"> 10,000 people, even if 10,000 people are released. </w:t>
      </w:r>
      <w:r w:rsidRPr="007C4D94">
        <w:rPr>
          <w:rStyle w:val="StyleUnderline"/>
        </w:rPr>
        <w:t xml:space="preserve">Overcrowding is not a malfunction of the prison-­industrial complex, it’s how it’s designed. </w:t>
      </w:r>
      <w:r w:rsidRPr="007C4D94">
        <w:rPr>
          <w:rFonts w:eastAsia="Calibri" w:cs="Times New Roman"/>
        </w:rPr>
        <w:t>For a more exacting account of California’s carceral topography, I would defer to Ruthie Gilmore’s amazing book, Golden Gulag: Prisons, Surplus, Crisis, and Opposition in Globalizing California. There, Ruthie helps us understand how labor and land are central to California’s prison growth but often overlooked. While it seems obvious that capitalism is a big part of the story of imprisonment, Golden Gulag helps push against the understanding that it is only important at the level of a defendant’s ability to fight charges. Identifying a structuring logic of the prison-industrial complex, Ruthie suggests her book is about “class war,” and it is. I am interested in “exacting accounts</w:t>
      </w:r>
      <w:r w:rsidRPr="007C4D94">
        <w:rPr>
          <w:rStyle w:val="StyleUnderline"/>
        </w:rPr>
        <w:t>.” I think about the prison-industrial complex especially in considering who collects and distributes information about it, and the specificity required in describing what it is. How does this enumeration, calculation, and collecting further serve the prison-industrial complex?</w:t>
      </w:r>
      <w:r w:rsidRPr="007C4D94">
        <w:rPr>
          <w:rFonts w:eastAsia="Calibri" w:cs="Times New Roman"/>
        </w:rPr>
        <w:t xml:space="preserve"> As example we might look at the National Crime Victim Survey, a database funneled through the Bureau of Justice, is currently the only space where national “biased” violence is aggregated. While having some important information, the database is little more than a misrecognition of the forms of structural abandonment and direct attack many people face everyday. Some have argued that if the reporting or vectors could be corrected we would have a more accurate representation of who is targeted for these kinds of harm. But </w:t>
      </w:r>
      <w:r w:rsidRPr="007C4D94">
        <w:rPr>
          <w:rStyle w:val="StyleUnderline"/>
        </w:rPr>
        <w:t xml:space="preserve">I want us to undo the argument that more information or research necessarily produces more liberation. We have elaborate data on incarceration rates for black people in the U.S., and we know that this research has done nothing to curtail the reality that the prison-industrial complex functions as antiblackness. Even if statistics show how the prison-industrial complex is constitutively anti-trans and anti-black, they don’t halt it. </w:t>
      </w:r>
      <w:r w:rsidRPr="007C4D94">
        <w:rPr>
          <w:rFonts w:eastAsia="Calibri" w:cs="Times New Roman"/>
        </w:rPr>
        <w:t xml:space="preserve">I think you’re right. We’ve always known this information, </w:t>
      </w:r>
      <w:r w:rsidRPr="007C4D94">
        <w:rPr>
          <w:rStyle w:val="StyleUnderline"/>
        </w:rPr>
        <w:t xml:space="preserve">but that information by itself is not </w:t>
      </w:r>
      <w:proofErr w:type="spellStart"/>
      <w:r w:rsidRPr="007C4D94">
        <w:rPr>
          <w:rStyle w:val="StyleUnderline"/>
        </w:rPr>
        <w:t>liberatory</w:t>
      </w:r>
      <w:proofErr w:type="spellEnd"/>
      <w:r w:rsidRPr="007C4D94">
        <w:rPr>
          <w:rStyle w:val="StyleUnderline"/>
        </w:rPr>
        <w:t>. Beyond the information we have about the functioning of the PIC, I am also interested in the information we have about movements challenging the PIC.</w:t>
      </w:r>
      <w:r w:rsidRPr="007C4D94">
        <w:rPr>
          <w:rFonts w:eastAsia="Calibri" w:cs="Times New Roman"/>
        </w:rPr>
        <w:t xml:space="preserve"> I think it is easy to conflate the myriad of struggles against the PIC and this conflation can obscure the work of distinct activist organizations. I spent a little over a year with Critical Resistance, where I learned about the distinction between a ­prison-reform movement and a prison-abolition movement. For those who conceptualize prison reform in terms of more rehabilitation programs or the ending of mandatory minimums, how does your work for prison abolition differ from prison reform? What’s the difference between asserting that the prison system is broken versus the assertion that is working as it is designed to function? </w:t>
      </w:r>
      <w:r w:rsidRPr="007C4D94">
        <w:rPr>
          <w:rStyle w:val="StyleUnderline"/>
        </w:rPr>
        <w:t xml:space="preserve">While usually suspicious of the work of binary oppositions, I think the distinction between reform and abolition is vital. When they become confused, we end up with people arguing that Prop 47 is going to “solve the problem of mass incarceration.” If we say that the prison system is working as designed, that is, as a set of </w:t>
      </w:r>
      <w:proofErr w:type="spellStart"/>
      <w:r w:rsidRPr="007C4D94">
        <w:rPr>
          <w:rStyle w:val="StyleUnderline"/>
        </w:rPr>
        <w:t>antiblack</w:t>
      </w:r>
      <w:proofErr w:type="spellEnd"/>
      <w:r w:rsidRPr="007C4D94">
        <w:rPr>
          <w:rStyle w:val="StyleUnderline"/>
        </w:rPr>
        <w:t xml:space="preserve">, ableist, and ­gender-normative practices used to constrict, and at times liquidate, people and communities under the empty signifiers of “justice” and “safety,” then we can more adequately assess what something like Prop 47 will actually do: Trade a few of the prison system’s current hostages for an expansion into schools. We often arrive at the idea that the system is “broken” not because we have such a strong attachment to the state, but because we have a scarcity of language around the intensity of its violence. One of the ways its common sense remains entrenched is in our collective inability to articulate the enormity of our current conditions. </w:t>
      </w:r>
      <w:r w:rsidRPr="007C4D94">
        <w:rPr>
          <w:rFonts w:eastAsia="Calibri" w:cs="Times New Roman"/>
        </w:rPr>
        <w:t xml:space="preserve">Instead we—myself included—most often use language that is readily available, helping sabotage our own chances of living otherwise. In concrete terms, what does it mean to continue believing that the prison system is “broken”? </w:t>
      </w:r>
      <w:r w:rsidRPr="007C4D94">
        <w:rPr>
          <w:rFonts w:eastAsia="Calibri" w:cs="Times New Roman"/>
        </w:rPr>
        <w:br/>
      </w:r>
      <w:r w:rsidRPr="007C4D94">
        <w:rPr>
          <w:rStyle w:val="StyleUnderline"/>
        </w:rPr>
        <w:t>If we believe that the prison system is broken, then we must also believe in its ability to be fixed. Here we can see how the PIC keeps functioning through the rehearsal of the “broken system” narrative</w:t>
      </w:r>
      <w:r w:rsidRPr="007C4D94">
        <w:rPr>
          <w:rFonts w:eastAsia="Calibri" w:cs="Times New Roman"/>
        </w:rPr>
        <w:t>. As Angela Davis and many others have argued,</w:t>
      </w:r>
      <w:r w:rsidRPr="007C4D94">
        <w:rPr>
          <w:rStyle w:val="StyleUnderline"/>
        </w:rPr>
        <w:t xml:space="preserve"> it is precisely through reform that the ­prison-industrial complex expands. We can see the materiality of this expansion through the mandatory increase in police in schools through Proposition 47</w:t>
      </w:r>
      <w:r w:rsidRPr="007C4D94">
        <w:rPr>
          <w:rFonts w:eastAsia="Calibri" w:cs="Times New Roman"/>
        </w:rPr>
        <w:t>. I was born and raised in California and I know this proposition would affect my old students and family members so let’s talk about Prop 47. It is on the November 4 ballot. If it is approved by the state’s voters, it would reduce the classification of most “</w:t>
      </w:r>
      <w:proofErr w:type="spellStart"/>
      <w:r w:rsidRPr="007C4D94">
        <w:rPr>
          <w:rFonts w:eastAsia="Calibri" w:cs="Times New Roman"/>
        </w:rPr>
        <w:t>nonserious</w:t>
      </w:r>
      <w:proofErr w:type="spellEnd"/>
      <w:r w:rsidRPr="007C4D94">
        <w:rPr>
          <w:rFonts w:eastAsia="Calibri" w:cs="Times New Roman"/>
        </w:rPr>
        <w:t xml:space="preserve"> and nonviolent property and drug crimes” from a felony to a misdemeanor. How do you respond to people who say this reform, however small, is better than nothing at all? </w:t>
      </w:r>
      <w:r w:rsidRPr="007C4D94">
        <w:rPr>
          <w:rStyle w:val="StyleUnderline"/>
        </w:rPr>
        <w:t xml:space="preserve">In abolitionist work we sometimes talk about </w:t>
      </w:r>
      <w:proofErr w:type="spellStart"/>
      <w:r w:rsidRPr="007C4D94">
        <w:rPr>
          <w:rStyle w:val="StyleUnderline"/>
        </w:rPr>
        <w:t>nonreformist</w:t>
      </w:r>
      <w:proofErr w:type="spellEnd"/>
      <w:r w:rsidRPr="007C4D94">
        <w:rPr>
          <w:rStyle w:val="StyleUnderline"/>
        </w:rPr>
        <w:t xml:space="preserve"> reforms to think about the distance between people getting their immediate needs met, or their conditions made less unlivable, and the political worlds we want. Under our regime of racial capitalism, perhaps all we can inhabit is a set of shifting contradictions. Given this, one of the questions we try to continually ask is, “Will this reform be something we have to fight against in five years?”</w:t>
      </w:r>
      <w:r w:rsidRPr="007C4D94">
        <w:rPr>
          <w:rFonts w:eastAsia="Calibri" w:cs="Times New Roman"/>
        </w:rPr>
        <w:t xml:space="preserve"> For me, this is how I determine if the compromise is too dangerous. In the case of California’s Proposition 47, I’m not convinced it will actually lead to the release of people and will instead further involve schools as punitive practices. </w:t>
      </w:r>
      <w:r w:rsidRPr="007C4D94">
        <w:rPr>
          <w:rStyle w:val="StyleUnderline"/>
        </w:rPr>
        <w:t xml:space="preserve">Focusing our efforts only on, and in the name of “nonviolent and </w:t>
      </w:r>
      <w:proofErr w:type="spellStart"/>
      <w:r w:rsidRPr="007C4D94">
        <w:rPr>
          <w:rStyle w:val="StyleUnderline"/>
        </w:rPr>
        <w:t>nonserious</w:t>
      </w:r>
      <w:proofErr w:type="spellEnd"/>
      <w:r w:rsidRPr="007C4D94">
        <w:rPr>
          <w:rStyle w:val="StyleUnderline"/>
        </w:rPr>
        <w:t>” incarcerated people can also work to reaffirm the assumed serious and inescapable violence of those still inside. Are we willing to always allow the state to decide what constitutes the limits of “violence”?</w:t>
      </w:r>
      <w:r w:rsidRPr="007C4D94">
        <w:rPr>
          <w:rFonts w:eastAsia="Calibri" w:cs="Times New Roman"/>
        </w:rPr>
        <w:t xml:space="preserve"> Under Proposition 47, </w:t>
      </w:r>
      <w:r w:rsidRPr="007C4D94">
        <w:rPr>
          <w:rStyle w:val="StyleUnderline"/>
        </w:rPr>
        <w:t xml:space="preserve">someone who defrauds an entire community out of their homes may be considered “nonviolent,” while someone who blocks their own home from being foreclosed could remain imprisoned as a violent offender. </w:t>
      </w:r>
      <w:r w:rsidRPr="007C4D94">
        <w:rPr>
          <w:rFonts w:eastAsia="Calibri" w:cs="Times New Roman"/>
        </w:rPr>
        <w:t xml:space="preserve">I want to talk more about the abolitionist vision and the construction of the “violent” and “nonviolent” offenders, as well as accountability. </w:t>
      </w:r>
      <w:r w:rsidRPr="007C4D94">
        <w:rPr>
          <w:rStyle w:val="StyleUnderline"/>
        </w:rPr>
        <w:t>A tiring critique of prison abolition that can make even a self-identified radical sound like a mouthpiece for the right is that if we abolish the PIC, we will all be subject to greater risks of harm.</w:t>
      </w:r>
      <w:r w:rsidRPr="007C4D94">
        <w:rPr>
          <w:rFonts w:eastAsia="Calibri" w:cs="Times New Roman"/>
        </w:rPr>
        <w:t xml:space="preserve"> In response to this assertion, it is important to note at least two related points. q2 </w:t>
      </w:r>
      <w:r w:rsidRPr="007C4D94">
        <w:rPr>
          <w:rStyle w:val="StyleUnderline"/>
        </w:rPr>
        <w:t>First, the most dangerous, violent people in our society are not in prison, but are running our military, government, prisons, and banks. Secondly, what we have now, even for people who have caused harm, is a form of nonaccountability where the survivors of a violation are often harmed again through the desires of a district attorney whose only interest is conviction rates. Anyone who has been deposed or been through a trial can attest to this. Abolition is not simply about letting everyone out of prison, as our critics like to suggest, although that would be an important component. It is forged in the work of daring to ask what true accountability, justice, and safety might look and feel like and what are the ways we might build our world now so violence in all its forms is decreased, rather than something that we only attend to post-infraction.</w:t>
      </w:r>
      <w:r w:rsidRPr="007C4D94">
        <w:rPr>
          <w:rStyle w:val="StyleUnderline"/>
        </w:rPr>
        <w:br/>
      </w:r>
    </w:p>
    <w:p w:rsidR="00B668EF" w:rsidRPr="007C4D94" w:rsidRDefault="00B668EF" w:rsidP="00B668EF"/>
    <w:p w:rsidR="001856AA" w:rsidRPr="00127D4C" w:rsidRDefault="00127D4C" w:rsidP="001856AA">
      <w:pPr>
        <w:pStyle w:val="Heading4"/>
      </w:pPr>
      <w:r>
        <w:t xml:space="preserve">Just reforming the prison system will </w:t>
      </w:r>
      <w:r>
        <w:rPr>
          <w:u w:val="single"/>
        </w:rPr>
        <w:t>never work</w:t>
      </w:r>
      <w:r>
        <w:t xml:space="preserve"> in resolving the inherent anti-queer violence of the </w:t>
      </w:r>
      <w:proofErr w:type="spellStart"/>
      <w:r>
        <w:t>pIC</w:t>
      </w:r>
      <w:proofErr w:type="spellEnd"/>
    </w:p>
    <w:p w:rsidR="001856AA" w:rsidRPr="00280039" w:rsidRDefault="001856AA" w:rsidP="001856AA">
      <w:pPr>
        <w:rPr>
          <w:sz w:val="18"/>
          <w:szCs w:val="18"/>
        </w:rPr>
      </w:pPr>
      <w:r w:rsidRPr="007C4D94">
        <w:rPr>
          <w:rStyle w:val="Style13ptBold"/>
        </w:rPr>
        <w:t>Stevens 11</w:t>
      </w:r>
      <w:r w:rsidR="00FD018C">
        <w:t xml:space="preserve"> </w:t>
      </w:r>
      <w:r w:rsidR="00FD018C" w:rsidRPr="00280039">
        <w:rPr>
          <w:sz w:val="18"/>
          <w:szCs w:val="18"/>
        </w:rPr>
        <w:t>(</w:t>
      </w:r>
      <w:r w:rsidRPr="00280039">
        <w:rPr>
          <w:sz w:val="18"/>
          <w:szCs w:val="18"/>
        </w:rPr>
        <w:t xml:space="preserve">Eric, </w:t>
      </w:r>
      <w:r w:rsidRPr="00280039">
        <w:rPr>
          <w:i/>
          <w:sz w:val="18"/>
          <w:szCs w:val="18"/>
        </w:rPr>
        <w:t>Fugitive Flesh: Gender Self-Determination, Queer Abolition, and Trans Resistance</w:t>
      </w:r>
      <w:r w:rsidRPr="00280039">
        <w:rPr>
          <w:sz w:val="18"/>
          <w:szCs w:val="18"/>
        </w:rPr>
        <w:t xml:space="preserve"> in “Captive Genders: Trans Embodiment and the Prison-Industrial Complex” ed. Eri</w:t>
      </w:r>
      <w:r w:rsidR="00FD018C" w:rsidRPr="00280039">
        <w:rPr>
          <w:sz w:val="18"/>
          <w:szCs w:val="18"/>
        </w:rPr>
        <w:t>c Stanley and Dean Spade Pp 8-9, AKL)</w:t>
      </w:r>
    </w:p>
    <w:p w:rsidR="001856AA" w:rsidRPr="007C4D94" w:rsidRDefault="001856AA" w:rsidP="00127D4C">
      <w:pPr>
        <w:rPr>
          <w:rStyle w:val="StyleUnderline"/>
        </w:rPr>
      </w:pPr>
      <w:r w:rsidRPr="007C4D94">
        <w:rPr>
          <w:rStyle w:val="StyleUnderline"/>
        </w:rPr>
        <w:t>Living through these forms of domination are also moments of devastating resistance where people working together are building joy, tearing down the walls of normative culture, and opening space for a more beautiful, more lively, safer place for all</w:t>
      </w:r>
      <w:r w:rsidRPr="007C4D94">
        <w:t>. Captive Genders remembers these</w:t>
      </w:r>
      <w:r w:rsidRPr="007C4D94">
        <w:rPr>
          <w:sz w:val="12"/>
        </w:rPr>
        <w:t xml:space="preserve"> </w:t>
      </w:r>
      <w:r w:rsidRPr="007C4D94">
        <w:t>radical histories and movements as evidence that our legacies are fiercely</w:t>
      </w:r>
      <w:r w:rsidRPr="007C4D94">
        <w:rPr>
          <w:sz w:val="12"/>
        </w:rPr>
        <w:t xml:space="preserve"> </w:t>
      </w:r>
      <w:r w:rsidRPr="007C4D94">
        <w:t>imaginative and that our collective abilities can, and have, offered freedom</w:t>
      </w:r>
      <w:r w:rsidRPr="007C4D94">
        <w:rPr>
          <w:sz w:val="12"/>
        </w:rPr>
        <w:t xml:space="preserve"> </w:t>
      </w:r>
      <w:r w:rsidRPr="007C4D94">
        <w:t>even in the most destitute of times.11</w:t>
      </w:r>
      <w:r w:rsidRPr="007C4D94">
        <w:rPr>
          <w:sz w:val="12"/>
        </w:rPr>
        <w:t xml:space="preserve"> </w:t>
      </w:r>
      <w:r w:rsidRPr="007C4D94">
        <w:rPr>
          <w:rStyle w:val="StyleUnderline"/>
        </w:rPr>
        <w:t>In the face of the overwhelming violence of the PIC, abolition—and specifically a trans/queer abolition—is one example of this vital defiance. An abolitionist politic does not believe that the prison system is “broken” and in need of reform; indeed, it is, according to its own logic, working quite well</w:t>
      </w:r>
      <w:r w:rsidRPr="007C4D94">
        <w:t xml:space="preserve">. </w:t>
      </w:r>
      <w:r w:rsidRPr="007C4D94">
        <w:rPr>
          <w:rStyle w:val="StyleUnderline"/>
        </w:rPr>
        <w:t>Abolition necessarily moves us away from attempting to “fix” the PIC and helps us imagine an entirely different world—one that is not built upon the historical and contemporary legacies of the racial and gendered brutality that maintain the power of the PIC</w:t>
      </w:r>
      <w:r w:rsidRPr="007C4D94">
        <w:t xml:space="preserve">. What </w:t>
      </w:r>
      <w:r w:rsidRPr="007C4D94">
        <w:rPr>
          <w:rStyle w:val="StyleUnderline"/>
        </w:rPr>
        <w:t>this means is that abolition is not a response to the belief that the PIC is so horrible that reform would not be enough. Although we do believe that the PIC is horrible and that reform is not enough, abolition radically restages our conversations and our ways of living and understanding as to undo our reliance on the PIC and its cultural logics</w:t>
      </w:r>
      <w:r w:rsidRPr="007C4D94">
        <w:t xml:space="preserve">. For us, </w:t>
      </w:r>
      <w:r w:rsidRPr="007C4D94">
        <w:rPr>
          <w:rStyle w:val="StyleUnderline"/>
        </w:rPr>
        <w:t>abolition is</w:t>
      </w:r>
      <w:r w:rsidRPr="007C4D94">
        <w:t xml:space="preserve"> not simply</w:t>
      </w:r>
      <w:r w:rsidRPr="007C4D94">
        <w:rPr>
          <w:sz w:val="12"/>
        </w:rPr>
        <w:t xml:space="preserve"> </w:t>
      </w:r>
      <w:r w:rsidRPr="007C4D94">
        <w:t xml:space="preserve">a reaction to the PIC but </w:t>
      </w:r>
      <w:r w:rsidRPr="007C4D94">
        <w:rPr>
          <w:rStyle w:val="StyleUnderline"/>
        </w:rPr>
        <w:t>a political commitment that makes the PIC impossible</w:t>
      </w:r>
      <w:r w:rsidRPr="007C4D94">
        <w:t xml:space="preserve">. To this end, </w:t>
      </w:r>
      <w:r w:rsidRPr="007C4D94">
        <w:rPr>
          <w:rStyle w:val="StyleUnderline"/>
        </w:rPr>
        <w:t>the time of abolition is</w:t>
      </w:r>
      <w:r w:rsidRPr="007C4D94">
        <w:t xml:space="preserve"> both yet to come and </w:t>
      </w:r>
      <w:r w:rsidRPr="007C4D94">
        <w:rPr>
          <w:rStyle w:val="StyleUnderline"/>
        </w:rPr>
        <w:t>already here</w:t>
      </w:r>
      <w:r w:rsidRPr="007C4D94">
        <w:t>. In other words, while we hold on to abolition as a politics for</w:t>
      </w:r>
      <w:r w:rsidRPr="007C4D94">
        <w:rPr>
          <w:sz w:val="12"/>
        </w:rPr>
        <w:t xml:space="preserve"> </w:t>
      </w:r>
      <w:r w:rsidRPr="007C4D94">
        <w:t>doing anti-PIC work, we also acknowledge there are countless ways that</w:t>
      </w:r>
      <w:r w:rsidRPr="007C4D94">
        <w:rPr>
          <w:sz w:val="12"/>
        </w:rPr>
        <w:t xml:space="preserve"> </w:t>
      </w:r>
      <w:r w:rsidRPr="007C4D94">
        <w:t xml:space="preserve">abolition has been and continues to be here now. </w:t>
      </w:r>
      <w:r w:rsidRPr="007C4D94">
        <w:rPr>
          <w:rStyle w:val="StyleUnderline"/>
        </w:rPr>
        <w:t>As a project dedicated to radical deconstruction, abolition must also include at its center a reworking of gender and sexuality that displaces both heterosexuality and gender normativity as measures of worth.</w:t>
      </w:r>
      <w:r w:rsidRPr="007C4D94">
        <w:t xml:space="preserve">12 The </w:t>
      </w:r>
      <w:r w:rsidRPr="007C4D94">
        <w:rPr>
          <w:rStyle w:val="StyleUnderline"/>
        </w:rPr>
        <w:t>Stonewall</w:t>
      </w:r>
      <w:r w:rsidRPr="007C4D94">
        <w:t xml:space="preserve"> uprising itself </w:t>
      </w:r>
      <w:r w:rsidRPr="007C4D94">
        <w:rPr>
          <w:rStyle w:val="StyleUnderline"/>
        </w:rPr>
        <w:t>must be remembered and celebrated as a moment of a radical trans/queer abolitionist politic that built, in those three nights, the materiality of this vision. As both a dream of the future and a practice of history, we strategize for a world without the multiple ways that our bodies, genders, and sexualities are disciplined.</w:t>
      </w:r>
      <w:r w:rsidRPr="007C4D94">
        <w:t xml:space="preserve"> Captive</w:t>
      </w:r>
      <w:r w:rsidRPr="007C4D94">
        <w:rPr>
          <w:sz w:val="12"/>
        </w:rPr>
        <w:t xml:space="preserve"> </w:t>
      </w:r>
      <w:r w:rsidRPr="007C4D94">
        <w:t>Genders is also a telling of a rich history of trans/queer struggle against the</w:t>
      </w:r>
      <w:r w:rsidRPr="007C4D94">
        <w:rPr>
          <w:sz w:val="12"/>
        </w:rPr>
        <w:t xml:space="preserve"> </w:t>
      </w:r>
      <w:r w:rsidRPr="007C4D94">
        <w:t xml:space="preserve">PIC, still in the making. </w:t>
      </w:r>
      <w:r w:rsidRPr="007C4D94">
        <w:rPr>
          <w:rStyle w:val="StyleUnderline"/>
        </w:rPr>
        <w:t>This is an invitation to remember these radical legacies of abolition and to continue the struggle to make this dream of the future, lived today</w:t>
      </w:r>
      <w:r w:rsidRPr="007C4D94">
        <w:t>.</w:t>
      </w:r>
    </w:p>
    <w:p w:rsidR="001856AA" w:rsidRPr="007C4D94" w:rsidRDefault="001856AA" w:rsidP="001856AA">
      <w:pPr>
        <w:keepNext/>
        <w:keepLines/>
        <w:spacing w:before="40" w:after="0"/>
        <w:outlineLvl w:val="3"/>
        <w:rPr>
          <w:rFonts w:eastAsia="Times New Roman" w:cs="Times New Roman"/>
          <w:b/>
          <w:iCs/>
          <w:sz w:val="26"/>
        </w:rPr>
      </w:pPr>
      <w:r w:rsidRPr="007C4D94">
        <w:rPr>
          <w:rFonts w:eastAsia="Times New Roman" w:cs="Times New Roman"/>
          <w:b/>
          <w:iCs/>
          <w:sz w:val="26"/>
        </w:rPr>
        <w:t>Further intervention in the prison system only reinforces anti-queer violence – justifies larger acts of violence and extermination of queer life</w:t>
      </w:r>
    </w:p>
    <w:p w:rsidR="001856AA" w:rsidRPr="007C4D94" w:rsidRDefault="001856AA" w:rsidP="001856AA">
      <w:pPr>
        <w:rPr>
          <w:rFonts w:eastAsia="Calibri" w:cs="Times New Roman"/>
        </w:rPr>
      </w:pPr>
      <w:r w:rsidRPr="00280039">
        <w:rPr>
          <w:rFonts w:eastAsia="Calibri" w:cs="Times New Roman"/>
          <w:b/>
          <w:bCs/>
        </w:rPr>
        <w:t>Stanley 11</w:t>
      </w:r>
      <w:r w:rsidRPr="007C4D94">
        <w:rPr>
          <w:rFonts w:eastAsia="Calibri" w:cs="Times New Roman"/>
          <w:b/>
          <w:bCs/>
          <w:sz w:val="26"/>
        </w:rPr>
        <w:t xml:space="preserve"> </w:t>
      </w:r>
      <w:r w:rsidR="00FD018C" w:rsidRPr="00280039">
        <w:rPr>
          <w:rFonts w:eastAsia="Calibri" w:cs="Times New Roman"/>
          <w:bCs/>
          <w:sz w:val="18"/>
          <w:szCs w:val="18"/>
        </w:rPr>
        <w:t>(</w:t>
      </w:r>
      <w:r w:rsidRPr="00280039">
        <w:rPr>
          <w:rFonts w:eastAsia="Calibri" w:cs="Times New Roman"/>
          <w:sz w:val="18"/>
          <w:szCs w:val="18"/>
        </w:rPr>
        <w:t>Eric, Prof. President’s Postdoctoral fellow in the departments of Communication and Critical Gender Studies at the University of California, San Diego, “Near Life, Queer Death: O</w:t>
      </w:r>
      <w:r w:rsidR="00FD018C" w:rsidRPr="00280039">
        <w:rPr>
          <w:rFonts w:eastAsia="Calibri" w:cs="Times New Roman"/>
          <w:sz w:val="18"/>
          <w:szCs w:val="18"/>
        </w:rPr>
        <w:t>verkill and Ontological Capture, AKL)</w:t>
      </w:r>
    </w:p>
    <w:p w:rsidR="001856AA" w:rsidRPr="00535856" w:rsidRDefault="001856AA" w:rsidP="001856AA">
      <w:pPr>
        <w:rPr>
          <w:rFonts w:eastAsia="Calibri" w:cs="Times New Roman"/>
        </w:rPr>
      </w:pPr>
      <w:r w:rsidRPr="00535856">
        <w:rPr>
          <w:rFonts w:eastAsia="Calibri" w:cs="Times New Roman"/>
        </w:rPr>
        <w:t>“He was my son—my daughter. It didn’t matter which. He was a sweet kid,” Lauryn Paige’s mother, trying to reconcile at once her child’s murder and her child’s gender, stated outside an Austin, Texas, courthouse. 24 Lauryn was an eighteen-year-old transwoman who was brutally stabbed to death. According to Dixie, Lauryn’s best friend, it was a “regular night.” The two women had spent the beginning of the evening “working it” as sex workers. After Dixie and Lauryn had made about $200 each they decided to call it quits and return to Dixie’s house, where both lived. On the walk home, Gamaliel Mireles Coria and Frank Santos picked them up in their white conversion van. “Before we got into the van the very first thing I told them was that we were transsexuals,” said Dixie in an interview. After a night of driving around, partying in the van, Dixie got dropped off at her house. She pleaded for Lauryn to come in with her, but Lauryn said, “Girl, let me finish him,” so the van took off with Lauryn still inside. 26 Santos was then dropped off, leaving Lauryn and Coria alone in the van.</w:t>
      </w:r>
      <w:r w:rsidRPr="00535856">
        <w:rPr>
          <w:rStyle w:val="StyleUnderline"/>
        </w:rPr>
        <w:t xml:space="preserve"> According to the autopsy report, Travis County medical examiner Dr. Roberto </w:t>
      </w:r>
      <w:proofErr w:type="spellStart"/>
      <w:r w:rsidRPr="00535856">
        <w:rPr>
          <w:rStyle w:val="StyleUnderline"/>
        </w:rPr>
        <w:t>Bayardo</w:t>
      </w:r>
      <w:proofErr w:type="spellEnd"/>
      <w:r w:rsidRPr="00535856">
        <w:rPr>
          <w:rStyle w:val="StyleUnderline"/>
        </w:rPr>
        <w:t xml:space="preserve"> cataloged at least fourteen blows to Lauryn’s head and more than sixty knife wounds to her body. The knife wounds were so deep that they almost decapitated her—a clear sign of overkill</w:t>
      </w:r>
      <w:r w:rsidRPr="00535856">
        <w:rPr>
          <w:rFonts w:eastAsia="Calibri" w:cs="Times New Roman"/>
        </w:rPr>
        <w:t xml:space="preserve">. </w:t>
      </w:r>
      <w:r w:rsidRPr="00535856">
        <w:rPr>
          <w:rStyle w:val="StyleUnderline"/>
        </w:rPr>
        <w:t>Overkill is a term used to indicate such excessive violence that it pushes a body beyond death. Overkill is often determined by the postmortem removal of body parts, as with the partial decapitation in the case of Lauryn Paige</w:t>
      </w:r>
      <w:r w:rsidRPr="00535856">
        <w:rPr>
          <w:rFonts w:eastAsia="Calibri" w:cs="Times New Roman"/>
        </w:rPr>
        <w:t xml:space="preserve"> and the dissection of Rashawn </w:t>
      </w:r>
      <w:proofErr w:type="spellStart"/>
      <w:r w:rsidRPr="00535856">
        <w:rPr>
          <w:rFonts w:eastAsia="Calibri" w:cs="Times New Roman"/>
        </w:rPr>
        <w:t>Brazell</w:t>
      </w:r>
      <w:proofErr w:type="spellEnd"/>
      <w:r w:rsidRPr="00535856">
        <w:rPr>
          <w:rFonts w:eastAsia="Calibri" w:cs="Times New Roman"/>
        </w:rPr>
        <w:t xml:space="preserve">. </w:t>
      </w:r>
      <w:r w:rsidRPr="00535856">
        <w:rPr>
          <w:rStyle w:val="StyleUnderline"/>
        </w:rPr>
        <w:t>The temporality of violence, the biological time when the heart stops pushing and pulling blood, yet the killing is not finished, suggests the aim is not simply the end of a specific life, but the ending of all queer life</w:t>
      </w:r>
      <w:r w:rsidRPr="00535856">
        <w:rPr>
          <w:rFonts w:eastAsia="Calibri" w:cs="Times New Roman"/>
        </w:rPr>
        <w:t xml:space="preserve">. </w:t>
      </w:r>
      <w:r w:rsidRPr="00535856">
        <w:rPr>
          <w:rStyle w:val="StyleUnderline"/>
        </w:rPr>
        <w:t>This is the time of queer death, when the utility of violence gives way to the pleasure in the other’s mortality</w:t>
      </w:r>
      <w:r w:rsidRPr="00535856">
        <w:rPr>
          <w:rFonts w:eastAsia="Calibri" w:cs="Times New Roman"/>
        </w:rPr>
        <w:t xml:space="preserve">. </w:t>
      </w:r>
      <w:r w:rsidRPr="00535856">
        <w:rPr>
          <w:rStyle w:val="StyleUnderline"/>
        </w:rPr>
        <w:t>If queers, along with others, approximate nothing, then the task of ending, of killing, that which is nothing must go beyond normative times of life and death</w:t>
      </w:r>
      <w:r w:rsidRPr="00535856">
        <w:rPr>
          <w:rFonts w:eastAsia="Calibri" w:cs="Times New Roman"/>
        </w:rPr>
        <w:t xml:space="preserve">. In other words, </w:t>
      </w:r>
      <w:r w:rsidRPr="00535856">
        <w:rPr>
          <w:rStyle w:val="StyleUnderline"/>
        </w:rPr>
        <w:t>if Lauryn was dead after the first few stab wounds to the throat, then what do the remaining fifty wounds signify</w:t>
      </w:r>
      <w:r w:rsidRPr="00535856">
        <w:rPr>
          <w:rFonts w:eastAsia="Calibri" w:cs="Times New Roman"/>
        </w:rPr>
        <w:t xml:space="preserve">? </w:t>
      </w:r>
      <w:r w:rsidRPr="00535856">
        <w:rPr>
          <w:rStyle w:val="StyleUnderline"/>
        </w:rPr>
        <w:t xml:space="preserve">The legal theory that is offered to nullify the practice of overkill often functions under the name of the trans- or gay-panic defense. Both of these defense strategies argue that the murderer became so enraged after the “discovery” of either genitalia or someone’s sexuality they were forced to protect themselves from the threat of queerness. </w:t>
      </w:r>
      <w:proofErr w:type="spellStart"/>
      <w:r w:rsidRPr="00535856">
        <w:rPr>
          <w:rStyle w:val="StyleUnderline"/>
        </w:rPr>
        <w:t>Estanislao</w:t>
      </w:r>
      <w:proofErr w:type="spellEnd"/>
      <w:r w:rsidRPr="00535856">
        <w:rPr>
          <w:rStyle w:val="StyleUnderline"/>
        </w:rPr>
        <w:t xml:space="preserve"> Martinez of Fresno, California, used the trans-panic defense and received a four-year prison sentence after admittedly stabbing J. Robles, a Latina transwoman, at least twenty times with a pair of scissors.</w:t>
      </w:r>
      <w:r w:rsidRPr="00535856">
        <w:rPr>
          <w:rFonts w:eastAsia="Calibri" w:cs="Times New Roman"/>
        </w:rPr>
        <w:t xml:space="preserve"> </w:t>
      </w:r>
      <w:r w:rsidRPr="00535856">
        <w:rPr>
          <w:rStyle w:val="StyleUnderline"/>
        </w:rPr>
        <w:t xml:space="preserve">Importantly, this defense is often used, as in the cases of Robles and Paige, after the murderer has engaged in some kind of sex with the victim. </w:t>
      </w:r>
      <w:r w:rsidRPr="00535856">
        <w:rPr>
          <w:rFonts w:eastAsia="Calibri" w:cs="Times New Roman"/>
        </w:rPr>
        <w:t xml:space="preserve">The logic of the trans-panic defense as an explanation for overkill, in its gory semiotics, offers us a way of understanding queers as the nothing of </w:t>
      </w:r>
      <w:proofErr w:type="spellStart"/>
      <w:r w:rsidRPr="00535856">
        <w:rPr>
          <w:rFonts w:eastAsia="Calibri" w:cs="Times New Roman"/>
        </w:rPr>
        <w:t>Mbembe’s</w:t>
      </w:r>
      <w:proofErr w:type="spellEnd"/>
      <w:r w:rsidRPr="00535856">
        <w:rPr>
          <w:rFonts w:eastAsia="Calibri" w:cs="Times New Roman"/>
        </w:rPr>
        <w:t xml:space="preserve"> query. </w:t>
      </w:r>
      <w:r w:rsidRPr="00535856">
        <w:rPr>
          <w:rStyle w:val="StyleUnderline"/>
        </w:rPr>
        <w:t>Overkill names the technologies necessary to do away with that which is already gone. Queers then are the specters of life whose threat is so unimaginable that one is “forced,” not simply to murder, but to push them backward out of time, out of History, and into that which comes before.</w:t>
      </w:r>
      <w:r w:rsidRPr="00535856">
        <w:rPr>
          <w:rFonts w:eastAsia="Calibri" w:cs="Times New Roman"/>
        </w:rPr>
        <w:t xml:space="preserve"> 27 In thinking the overkill of Paige and </w:t>
      </w:r>
      <w:proofErr w:type="spellStart"/>
      <w:r w:rsidRPr="00535856">
        <w:rPr>
          <w:rFonts w:eastAsia="Calibri" w:cs="Times New Roman"/>
        </w:rPr>
        <w:t>Brazell</w:t>
      </w:r>
      <w:proofErr w:type="spellEnd"/>
      <w:r w:rsidRPr="00535856">
        <w:rPr>
          <w:rFonts w:eastAsia="Calibri" w:cs="Times New Roman"/>
        </w:rPr>
        <w:t xml:space="preserve">, I return to </w:t>
      </w:r>
      <w:proofErr w:type="spellStart"/>
      <w:r w:rsidRPr="00535856">
        <w:rPr>
          <w:rFonts w:eastAsia="Calibri" w:cs="Times New Roman"/>
        </w:rPr>
        <w:t>Mbembe’s</w:t>
      </w:r>
      <w:proofErr w:type="spellEnd"/>
      <w:r w:rsidRPr="00535856">
        <w:rPr>
          <w:rFonts w:eastAsia="Calibri" w:cs="Times New Roman"/>
        </w:rPr>
        <w:t xml:space="preserve"> query, “But what does it mean to do violence to what is nothing?”28 This question in its elegant brutality repeats with each case I offer. By resituating this question in the positive, the “something” that is more often than not translated as the human is made to appear. Of interest here, </w:t>
      </w:r>
      <w:r w:rsidRPr="00535856">
        <w:rPr>
          <w:rStyle w:val="StyleUnderline"/>
        </w:rPr>
        <w:t>the category of the human assumes generality, yet can only be activated through the specificity of historical and politically located intersection</w:t>
      </w:r>
      <w:r w:rsidRPr="00535856">
        <w:rPr>
          <w:rFonts w:eastAsia="Calibri" w:cs="Times New Roman"/>
        </w:rPr>
        <w:t xml:space="preserve">. To this end, </w:t>
      </w:r>
      <w:r w:rsidRPr="00535856">
        <w:rPr>
          <w:rStyle w:val="StyleUnderline"/>
        </w:rPr>
        <w:t>the human, the “something” of this query, within the context of the liberal democracy, names rights-bearing subjects, or those who can stand as subjects before the law</w:t>
      </w:r>
      <w:r w:rsidRPr="00535856">
        <w:rPr>
          <w:rFonts w:eastAsia="Calibri" w:cs="Times New Roman"/>
        </w:rPr>
        <w:t>. The human, then, makes the nothing not only possible but necessary. Following this logic, the work of death, of the death that is already nothing, not quite human, binds the categorical (</w:t>
      </w:r>
      <w:proofErr w:type="spellStart"/>
      <w:r w:rsidRPr="00535856">
        <w:rPr>
          <w:rFonts w:eastAsia="Calibri" w:cs="Times New Roman"/>
        </w:rPr>
        <w:t>mis</w:t>
      </w:r>
      <w:proofErr w:type="spellEnd"/>
      <w:r w:rsidRPr="00535856">
        <w:rPr>
          <w:rFonts w:eastAsia="Calibri" w:cs="Times New Roman"/>
        </w:rPr>
        <w:t xml:space="preserve">)recognition of humanity. </w:t>
      </w:r>
      <w:r w:rsidRPr="00535856">
        <w:rPr>
          <w:rStyle w:val="StyleUnderline"/>
        </w:rPr>
        <w:t xml:space="preserve">The human, then, resides in the space of life and under the domain of rights, whereas the queer inhabits the place of compromised personhood and the zone of death. As perpetual and axiomatic threat to the human, the queer is the negated double of the subject of liberal democracy. Understanding the nothing as the unavoidable shadow of the human serves to counter the arguments that suggest overkill and antiqueer violence at large are a pathological break and that the severe nature of these killings signals something extreme. </w:t>
      </w:r>
      <w:r w:rsidRPr="00535856">
        <w:rPr>
          <w:rFonts w:eastAsia="Calibri" w:cs="Times New Roman"/>
        </w:rPr>
        <w:t xml:space="preserve">In contrast, </w:t>
      </w:r>
      <w:r w:rsidRPr="00535856">
        <w:rPr>
          <w:rStyle w:val="StyleUnderline"/>
        </w:rPr>
        <w:t>overkill is precisely</w:t>
      </w:r>
      <w:r w:rsidRPr="00535856">
        <w:rPr>
          <w:rFonts w:eastAsia="Calibri" w:cs="Times New Roman"/>
        </w:rPr>
        <w:t xml:space="preserve"> not outside of, but is </w:t>
      </w:r>
      <w:r w:rsidRPr="00535856">
        <w:rPr>
          <w:rStyle w:val="StyleUnderline"/>
        </w:rPr>
        <w:t>that which constitutes liberal democracy as such. Overkill then is the proper expression to the riddle of the queer nothingness.</w:t>
      </w:r>
      <w:r w:rsidRPr="00535856">
        <w:rPr>
          <w:rFonts w:eastAsia="Calibri" w:cs="Times New Roman"/>
        </w:rPr>
        <w:t xml:space="preserve"> Put another way, </w:t>
      </w:r>
      <w:r w:rsidRPr="00535856">
        <w:rPr>
          <w:rStyle w:val="StyleUnderline"/>
        </w:rPr>
        <w:t>the spectacular material- semiotics of overkill should not be read as (only) individual pathology; these vicious acts must indict the very social worlds of which they are ambassadors. Overkill is what it means, what it must mean, to do violence to what is nothing</w:t>
      </w:r>
      <w:r w:rsidRPr="00535856">
        <w:rPr>
          <w:rFonts w:eastAsia="Calibri" w:cs="Times New Roman"/>
        </w:rPr>
        <w:t>.</w:t>
      </w:r>
    </w:p>
    <w:p w:rsidR="00F3260A" w:rsidRDefault="00F3260A" w:rsidP="00F3260A">
      <w:pPr>
        <w:keepNext/>
        <w:keepLines/>
        <w:spacing w:before="40" w:after="0"/>
        <w:outlineLvl w:val="3"/>
        <w:rPr>
          <w:rFonts w:eastAsia="Times New Roman" w:cs="Times New Roman"/>
          <w:b/>
          <w:iCs/>
          <w:sz w:val="26"/>
        </w:rPr>
      </w:pPr>
      <w:r>
        <w:rPr>
          <w:rFonts w:eastAsia="Times New Roman" w:cs="Times New Roman"/>
          <w:b/>
          <w:iCs/>
          <w:sz w:val="26"/>
        </w:rPr>
        <w:t>Apolitical resistance to anti-queer violence is critical to creating change – the system never serves marginalized bodies</w:t>
      </w:r>
    </w:p>
    <w:p w:rsidR="00F3260A" w:rsidRPr="00280039" w:rsidRDefault="00F3260A" w:rsidP="00F3260A">
      <w:pPr>
        <w:rPr>
          <w:rFonts w:eastAsia="Calibri" w:cs="Times New Roman"/>
          <w:sz w:val="18"/>
          <w:szCs w:val="18"/>
        </w:rPr>
      </w:pPr>
      <w:r w:rsidRPr="00280039">
        <w:rPr>
          <w:rFonts w:eastAsia="Calibri" w:cs="Times New Roman"/>
          <w:b/>
          <w:bCs/>
        </w:rPr>
        <w:t>Spade 10</w:t>
      </w:r>
      <w:r w:rsidRPr="00280039">
        <w:rPr>
          <w:rFonts w:eastAsia="Calibri" w:cs="Times New Roman"/>
          <w:sz w:val="18"/>
          <w:szCs w:val="18"/>
        </w:rPr>
        <w:t xml:space="preserve"> (Dean Spade, lawyer, writer, and Associate Professor of Law at Seattle University School of Law, founder of the Sylvia Rivera law project “KEYNOTE ADDRESS,” 19 Colum. J. Gender &amp; L. 1086, 2010, lexis, </w:t>
      </w:r>
      <w:hyperlink r:id="rId8" w:history="1">
        <w:r w:rsidRPr="00280039">
          <w:rPr>
            <w:rStyle w:val="Hyperlink"/>
            <w:rFonts w:eastAsia="Calibri" w:cs="Times New Roman"/>
            <w:sz w:val="18"/>
            <w:szCs w:val="18"/>
          </w:rPr>
          <w:t>https://litigation-essentials.lexisnexis.com/webcd/app?action=DocumentDisplay&amp;crawlid=1&amp;doctype=cite&amp;docid=19+Colum.+J.+Gender+%26+L.+1086&amp;srctype=smi&amp;srcid=3B15&amp;key=ab061ae207f634645a5e3daf2aafd791</w:t>
        </w:r>
      </w:hyperlink>
      <w:r w:rsidRPr="00280039">
        <w:rPr>
          <w:rFonts w:eastAsia="Calibri" w:cs="Times New Roman"/>
          <w:sz w:val="18"/>
          <w:szCs w:val="18"/>
        </w:rPr>
        <w:t>, AKL)</w:t>
      </w:r>
    </w:p>
    <w:p w:rsidR="00F3260A" w:rsidRPr="001856AA" w:rsidRDefault="00F3260A" w:rsidP="00F3260A">
      <w:pPr>
        <w:rPr>
          <w:u w:val="single"/>
        </w:rPr>
      </w:pPr>
      <w:r w:rsidRPr="00535856">
        <w:rPr>
          <w:rStyle w:val="StyleUnderline"/>
        </w:rPr>
        <w:t>Trans resistance is developing in a context of neoliberal politics where the choice to struggle for nothing more than</w:t>
      </w:r>
      <w:r w:rsidRPr="00535856">
        <w:rPr>
          <w:rFonts w:eastAsia="Calibri" w:cs="Times New Roman"/>
        </w:rPr>
        <w:t xml:space="preserve">  [*1109]  </w:t>
      </w:r>
      <w:r w:rsidRPr="00535856">
        <w:rPr>
          <w:rStyle w:val="StyleUnderline"/>
        </w:rPr>
        <w:t>incorporation in the neoliberal order</w:t>
      </w:r>
      <w:r w:rsidRPr="00535856">
        <w:rPr>
          <w:rFonts w:eastAsia="Calibri" w:cs="Times New Roman"/>
        </w:rPr>
        <w:t xml:space="preserve"> </w:t>
      </w:r>
      <w:r w:rsidRPr="00535856">
        <w:rPr>
          <w:rStyle w:val="StyleUnderline"/>
        </w:rPr>
        <w:t>is the most obvious option</w:t>
      </w:r>
      <w:r w:rsidRPr="00535856">
        <w:rPr>
          <w:rFonts w:eastAsia="Calibri" w:cs="Times New Roman"/>
        </w:rPr>
        <w:t xml:space="preserve">. </w:t>
      </w:r>
      <w:r w:rsidRPr="00535856">
        <w:rPr>
          <w:rStyle w:val="StyleUnderline"/>
        </w:rPr>
        <w:t>We are continually invited to participate in building and growing the systems of control that shorten trans lives</w:t>
      </w:r>
      <w:r w:rsidRPr="00535856">
        <w:rPr>
          <w:rFonts w:eastAsia="Calibri" w:cs="Times New Roman"/>
        </w:rPr>
        <w:t xml:space="preserve">. The </w:t>
      </w:r>
      <w:proofErr w:type="spellStart"/>
      <w:r w:rsidRPr="00535856">
        <w:rPr>
          <w:rStyle w:val="StyleUnderline"/>
        </w:rPr>
        <w:t>inclusionn</w:t>
      </w:r>
      <w:proofErr w:type="spellEnd"/>
      <w:r w:rsidRPr="00535856">
        <w:rPr>
          <w:rStyle w:val="StyleUnderline"/>
        </w:rPr>
        <w:t xml:space="preserve"> and recognition offered by these invitations is not just disappointingly symbolic</w:t>
      </w:r>
      <w:r w:rsidRPr="00535856">
        <w:rPr>
          <w:rFonts w:eastAsia="Calibri" w:cs="Times New Roman"/>
        </w:rPr>
        <w:t xml:space="preserve">, </w:t>
      </w:r>
      <w:r w:rsidRPr="00535856">
        <w:rPr>
          <w:rStyle w:val="StyleUnderline"/>
        </w:rPr>
        <w:t>it also</w:t>
      </w:r>
      <w:r w:rsidRPr="00535856">
        <w:rPr>
          <w:rFonts w:eastAsia="Calibri" w:cs="Times New Roman"/>
        </w:rPr>
        <w:t xml:space="preserve"> </w:t>
      </w:r>
      <w:r w:rsidRPr="00535856">
        <w:rPr>
          <w:rStyle w:val="StyleUnderline"/>
        </w:rPr>
        <w:t>legitimates and expands</w:t>
      </w:r>
      <w:r w:rsidRPr="00535856">
        <w:rPr>
          <w:rFonts w:eastAsia="Calibri" w:cs="Times New Roman"/>
        </w:rPr>
        <w:t xml:space="preserve"> </w:t>
      </w:r>
      <w:r w:rsidRPr="00535856">
        <w:rPr>
          <w:rStyle w:val="StyleUnderline"/>
        </w:rPr>
        <w:t>conditions of subjection and harm</w:t>
      </w:r>
      <w:r w:rsidRPr="00535856">
        <w:rPr>
          <w:rFonts w:eastAsia="Calibri" w:cs="Times New Roman"/>
        </w:rPr>
        <w:t xml:space="preserve">. </w:t>
      </w:r>
      <w:r w:rsidRPr="00535856">
        <w:rPr>
          <w:rStyle w:val="StyleUnderline"/>
        </w:rPr>
        <w:t xml:space="preserve">We can translate the pain of having community members murdered every month into a demand for more punishing power </w:t>
      </w:r>
      <w:r w:rsidRPr="00535856">
        <w:rPr>
          <w:rFonts w:eastAsia="Calibri" w:cs="Times New Roman"/>
        </w:rPr>
        <w:t xml:space="preserve">for the criminal system that targets us. We can fight to have the state declare us equal through anti-discrimination laws, yet watch as the majority of trans people remain unemployed, incapable of getting ID, kept out of social services and health care, and consigned to prisons that guarantee sexual assault and medical neglect. Structured abandonment and imprisonment remain the offers of neoliberalism for all but a few trans people, yet law reform strategies beckon us to join the neoliberal order. The paths to equality laid out by the "successful" lesbian and gay rights model to which we are assumed to aspire have </w:t>
      </w:r>
      <w:r w:rsidRPr="00535856">
        <w:t>little to offer us in</w:t>
      </w:r>
      <w:r w:rsidRPr="00535856">
        <w:rPr>
          <w:rFonts w:eastAsia="Calibri" w:cs="Times New Roman"/>
        </w:rPr>
        <w:t xml:space="preserve"> terms of concrete change to our life chances, and our inclusion in that model legitimizes systems that harm us and further obscures the causes and consequences of that </w:t>
      </w:r>
      <w:proofErr w:type="spellStart"/>
      <w:r w:rsidRPr="00535856">
        <w:rPr>
          <w:rFonts w:eastAsia="Calibri" w:cs="Times New Roman"/>
        </w:rPr>
        <w:t>harm.</w:t>
      </w:r>
      <w:r w:rsidRPr="00535856">
        <w:rPr>
          <w:rStyle w:val="StyleUnderline"/>
        </w:rPr>
        <w:t>The</w:t>
      </w:r>
      <w:proofErr w:type="spellEnd"/>
      <w:r w:rsidRPr="00535856">
        <w:rPr>
          <w:rStyle w:val="StyleUnderline"/>
        </w:rPr>
        <w:t xml:space="preserve"> political and economic conditions we are experiencing both shorten trans lives and threaten to subsume trans resistance</w:t>
      </w:r>
      <w:r w:rsidRPr="00535856">
        <w:rPr>
          <w:rFonts w:eastAsia="Calibri" w:cs="Times New Roman"/>
        </w:rPr>
        <w:t xml:space="preserve">. </w:t>
      </w:r>
      <w:r w:rsidRPr="00535856">
        <w:rPr>
          <w:rStyle w:val="StyleUnderline"/>
        </w:rPr>
        <w:t>Trans people are told by legal systems, state agencies, employers, schools, and our families that we are impossible people</w:t>
      </w:r>
      <w:r w:rsidRPr="00535856">
        <w:rPr>
          <w:rFonts w:eastAsia="Calibri" w:cs="Times New Roman"/>
        </w:rPr>
        <w:t xml:space="preserve"> </w:t>
      </w:r>
      <w:r w:rsidRPr="00535856">
        <w:rPr>
          <w:rStyle w:val="StyleUnderline"/>
        </w:rPr>
        <w:t>who are not who we say we are, cannot exist, cannot be classified, and cannot fit anywhere</w:t>
      </w:r>
      <w:r w:rsidRPr="00535856">
        <w:rPr>
          <w:rFonts w:eastAsia="Calibri" w:cs="Times New Roman"/>
        </w:rPr>
        <w:t xml:space="preserve">. </w:t>
      </w:r>
      <w:r w:rsidRPr="00535856">
        <w:rPr>
          <w:rStyle w:val="StyleUnderline"/>
        </w:rPr>
        <w:t>We have been told by lesbian and gay rights organizations, as they continually opt to leave us aside, that we are</w:t>
      </w:r>
      <w:r w:rsidRPr="00535856">
        <w:rPr>
          <w:rFonts w:eastAsia="Calibri" w:cs="Times New Roman"/>
        </w:rPr>
        <w:t xml:space="preserve"> </w:t>
      </w:r>
      <w:r w:rsidRPr="00535856">
        <w:rPr>
          <w:rStyle w:val="StyleUnderline"/>
        </w:rPr>
        <w:t>not politically viable</w:t>
      </w:r>
      <w:r w:rsidRPr="00535856">
        <w:rPr>
          <w:rFonts w:eastAsia="Calibri" w:cs="Times New Roman"/>
        </w:rPr>
        <w:t xml:space="preserve"> </w:t>
      </w:r>
      <w:r w:rsidRPr="00535856">
        <w:rPr>
          <w:rStyle w:val="StyleUnderline"/>
        </w:rPr>
        <w:t>and</w:t>
      </w:r>
      <w:r w:rsidRPr="00535856">
        <w:rPr>
          <w:rFonts w:eastAsia="Calibri" w:cs="Times New Roman"/>
        </w:rPr>
        <w:t xml:space="preserve"> </w:t>
      </w:r>
      <w:r w:rsidRPr="00535856">
        <w:rPr>
          <w:rStyle w:val="StyleUnderline"/>
        </w:rPr>
        <w:t>our lives are not a political possibility</w:t>
      </w:r>
      <w:r w:rsidRPr="00535856">
        <w:rPr>
          <w:rFonts w:eastAsia="Calibri" w:cs="Times New Roman"/>
        </w:rPr>
        <w:t xml:space="preserve"> </w:t>
      </w:r>
      <w:r w:rsidRPr="00535856">
        <w:rPr>
          <w:rStyle w:val="StyleUnderline"/>
        </w:rPr>
        <w:t>that can be conceived</w:t>
      </w:r>
      <w:r w:rsidRPr="00535856">
        <w:rPr>
          <w:rFonts w:eastAsia="Calibri" w:cs="Times New Roman"/>
        </w:rPr>
        <w:t xml:space="preserve">. At the same time, the </w:t>
      </w:r>
      <w:r w:rsidRPr="00535856">
        <w:rPr>
          <w:rStyle w:val="StyleUnderline"/>
        </w:rPr>
        <w:t>norms of non-profit governance dictate that we must run our organizations like businesses</w:t>
      </w:r>
      <w:r w:rsidRPr="00535856">
        <w:rPr>
          <w:rFonts w:eastAsia="Calibri" w:cs="Times New Roman"/>
        </w:rPr>
        <w:t xml:space="preserve">, that more participatory or collective models of governance are inefficient and unfeasible, that we need to tailor our messages to what the media can understand, that our demands need to fit within the existing goals of the institutions on which we seek to intervene. The </w:t>
      </w:r>
      <w:r w:rsidRPr="00535856">
        <w:rPr>
          <w:rStyle w:val="StyleUnderline"/>
        </w:rPr>
        <w:t>demands that are emerging from vulnerable trans communities</w:t>
      </w:r>
      <w:r w:rsidRPr="00535856">
        <w:rPr>
          <w:rFonts w:eastAsia="Calibri" w:cs="Times New Roman"/>
        </w:rPr>
        <w:t xml:space="preserve"> for prison abolition, an end to immigration enforcement, full trans-inclusive health care, and economic justice </w:t>
      </w:r>
      <w:r w:rsidRPr="00535856">
        <w:rPr>
          <w:rStyle w:val="StyleUnderline"/>
        </w:rPr>
        <w:t>are the kinds of demands that are</w:t>
      </w:r>
      <w:r w:rsidRPr="00535856">
        <w:rPr>
          <w:rFonts w:eastAsia="Calibri" w:cs="Times New Roman"/>
        </w:rPr>
        <w:t xml:space="preserve"> </w:t>
      </w:r>
      <w:r w:rsidRPr="00535856">
        <w:rPr>
          <w:rStyle w:val="StyleUnderline"/>
        </w:rPr>
        <w:t>incomprehensible</w:t>
      </w:r>
      <w:r w:rsidRPr="00535856">
        <w:rPr>
          <w:rFonts w:eastAsia="Calibri" w:cs="Times New Roman"/>
        </w:rPr>
        <w:t xml:space="preserve"> </w:t>
      </w:r>
      <w:r w:rsidRPr="00535856">
        <w:rPr>
          <w:rStyle w:val="StyleUnderline"/>
        </w:rPr>
        <w:t>to rights-claims-focused reform movements</w:t>
      </w:r>
      <w:r w:rsidRPr="00535856">
        <w:rPr>
          <w:rFonts w:eastAsia="Calibri" w:cs="Times New Roman"/>
        </w:rPr>
        <w:t xml:space="preserve">. </w:t>
      </w:r>
      <w:r w:rsidRPr="00535856">
        <w:rPr>
          <w:rStyle w:val="StyleUnderline"/>
        </w:rPr>
        <w:t>These are demands that cannot be won in</w:t>
      </w:r>
      <w:r w:rsidRPr="00535856">
        <w:rPr>
          <w:rFonts w:eastAsia="Calibri" w:cs="Times New Roman"/>
        </w:rPr>
        <w:t xml:space="preserve">  [*1110]  </w:t>
      </w:r>
      <w:r w:rsidRPr="00535856">
        <w:rPr>
          <w:rStyle w:val="StyleUnderline"/>
        </w:rPr>
        <w:t>courts</w:t>
      </w:r>
      <w:r w:rsidRPr="00535856">
        <w:rPr>
          <w:rFonts w:eastAsia="Calibri" w:cs="Times New Roman"/>
        </w:rPr>
        <w:t xml:space="preserve">. </w:t>
      </w:r>
      <w:r w:rsidRPr="00535856">
        <w:rPr>
          <w:rStyle w:val="StyleUnderline"/>
        </w:rPr>
        <w:t>These demands are emerging from those for whom narrow legal reform demands have little to offer</w:t>
      </w:r>
      <w:r w:rsidRPr="00535856">
        <w:rPr>
          <w:rFonts w:eastAsia="Calibri" w:cs="Times New Roman"/>
        </w:rPr>
        <w:t xml:space="preserve">. </w:t>
      </w:r>
      <w:r w:rsidRPr="00535856">
        <w:rPr>
          <w:rStyle w:val="StyleUnderline"/>
        </w:rPr>
        <w:t>The perceived impossibility of the very lives of trans people, especially those who experience multiple vectors of subjection of which trans identity is only a part, and the perceived impossibility of the demands and methods of resistance emerging from those populations are symptomatic of the inherent conflicts and divides produced (and often hidden) by neoliberalism</w:t>
      </w:r>
      <w:r w:rsidRPr="00535856">
        <w:rPr>
          <w:rFonts w:eastAsia="Calibri" w:cs="Times New Roman"/>
        </w:rPr>
        <w:t xml:space="preserve">. Many activists and organizations are working to address conditions faced by trans and gender non-conforming people in ways that are part of a broad politics of racial and economic justice and that recognizes the central role of criminalization, immigration enforcement and poverty in trans subjection. </w:t>
      </w:r>
      <w:r w:rsidRPr="00535856">
        <w:rPr>
          <w:rStyle w:val="StyleUnderline"/>
        </w:rPr>
        <w:t>This work prioritizes building leadership and membership on a</w:t>
      </w:r>
      <w:r w:rsidRPr="00535856">
        <w:rPr>
          <w:rFonts w:eastAsia="Calibri" w:cs="Times New Roman"/>
        </w:rPr>
        <w:t xml:space="preserve"> "</w:t>
      </w:r>
      <w:r w:rsidRPr="00535856">
        <w:rPr>
          <w:rStyle w:val="StyleUnderline"/>
        </w:rPr>
        <w:t>most vulnerable first</w:t>
      </w:r>
      <w:r w:rsidRPr="00535856">
        <w:rPr>
          <w:rFonts w:eastAsia="Calibri" w:cs="Times New Roman"/>
        </w:rPr>
        <w:t xml:space="preserve">" </w:t>
      </w:r>
      <w:r w:rsidRPr="00535856">
        <w:rPr>
          <w:rStyle w:val="StyleUnderline"/>
        </w:rPr>
        <w:t>basis</w:t>
      </w:r>
      <w:r w:rsidRPr="00535856">
        <w:rPr>
          <w:rFonts w:eastAsia="Calibri" w:cs="Times New Roman"/>
        </w:rPr>
        <w:t xml:space="preserve">. At the same time that these projects are emerging, many are doing work to challenge the structures of LGBT rights frameworks and formations that are reproducing harmful conditions. Many are challenging the prioritization of and resource concentration in marriage reform work. Many are questioning the hate crimes law strategy as a way to address violence and opposing hate crimes laws "inclusion" campaigns. Organizations like the Sylvia Rivera Law Project and the Peter </w:t>
      </w:r>
      <w:proofErr w:type="spellStart"/>
      <w:r w:rsidRPr="00535856">
        <w:rPr>
          <w:rFonts w:eastAsia="Calibri" w:cs="Times New Roman"/>
        </w:rPr>
        <w:t>Cicchino</w:t>
      </w:r>
      <w:proofErr w:type="spellEnd"/>
      <w:r w:rsidRPr="00535856">
        <w:rPr>
          <w:rFonts w:eastAsia="Calibri" w:cs="Times New Roman"/>
        </w:rPr>
        <w:t xml:space="preserve"> Youth Project have challenged the lawyers-only, behind-closed-doors agenda setting and </w:t>
      </w:r>
      <w:proofErr w:type="spellStart"/>
      <w:r w:rsidRPr="00535856">
        <w:rPr>
          <w:rFonts w:eastAsia="Calibri" w:cs="Times New Roman"/>
        </w:rPr>
        <w:t>decisionmaking</w:t>
      </w:r>
      <w:proofErr w:type="spellEnd"/>
      <w:r w:rsidRPr="00535856">
        <w:rPr>
          <w:rFonts w:eastAsia="Calibri" w:cs="Times New Roman"/>
        </w:rPr>
        <w:t xml:space="preserve"> that has been typical of lesbian and gay rights and is being emulated in emerging transgender legal circles.  n39 Additionally, </w:t>
      </w:r>
      <w:r w:rsidRPr="00535856">
        <w:rPr>
          <w:rStyle w:val="StyleUnderline"/>
        </w:rPr>
        <w:t xml:space="preserve">around the US and the world, people are innovating models of mobilizing about trans politics that are deeply rooted in and connected to social movements for racial and gender justice, wealth redistribution, and opposition to </w:t>
      </w:r>
      <w:proofErr w:type="spellStart"/>
      <w:r w:rsidRPr="00535856">
        <w:rPr>
          <w:rStyle w:val="StyleUnderline"/>
        </w:rPr>
        <w:t>imperialism</w:t>
      </w:r>
      <w:r w:rsidRPr="00535856">
        <w:rPr>
          <w:rFonts w:eastAsia="Calibri" w:cs="Times New Roman"/>
        </w:rPr>
        <w:t>.In</w:t>
      </w:r>
      <w:proofErr w:type="spellEnd"/>
      <w:r w:rsidRPr="00535856">
        <w:rPr>
          <w:rFonts w:eastAsia="Calibri" w:cs="Times New Roman"/>
        </w:rPr>
        <w:t xml:space="preserve"> a moment in which trans identity is called to become a location for reproducing the exile logic of neoliberal fervor for criminalization and the "equal opportunity" logic that legitimates market-based distribution of life chances, the fruitlessness of those developments for most trans people opens  [*1111]  key strategy questions. </w:t>
      </w:r>
      <w:r w:rsidRPr="00535856">
        <w:rPr>
          <w:rStyle w:val="StyleUnderline"/>
        </w:rPr>
        <w:t>The call to formal legal equality</w:t>
      </w:r>
      <w:r w:rsidRPr="00535856">
        <w:rPr>
          <w:rFonts w:eastAsia="Calibri" w:cs="Times New Roman"/>
        </w:rPr>
        <w:t xml:space="preserve"> through hate crimes laws and employment-focused anti-discrimination laws </w:t>
      </w:r>
      <w:r w:rsidRPr="00535856">
        <w:rPr>
          <w:rStyle w:val="StyleUnderline"/>
        </w:rPr>
        <w:t>beckons trans populations to claim and embrace a kind of recognition that not only fails to offer respite from the brutalities of poverty and criminalization but also lends our struggle to the "inclusiveness" framework that justifies and expands the structures that produce those conditions</w:t>
      </w:r>
      <w:r w:rsidRPr="00535856">
        <w:rPr>
          <w:rFonts w:eastAsia="Calibri" w:cs="Times New Roman"/>
        </w:rPr>
        <w:t xml:space="preserve">. </w:t>
      </w:r>
      <w:r w:rsidRPr="00535856">
        <w:rPr>
          <w:rStyle w:val="StyleUnderline"/>
        </w:rPr>
        <w:t>We are invited to demand that trans people are "human" when "human" is still defined through norms of race, ability, and immigration status that actually limit the invitation to a very small part of the trans population</w:t>
      </w:r>
      <w:r w:rsidRPr="00535856">
        <w:rPr>
          <w:rFonts w:eastAsia="Calibri" w:cs="Times New Roman"/>
        </w:rPr>
        <w:t xml:space="preserve">.  n40 A growing dissent from this politics of recognition and inclusion is articulating a trans politics that refuses the invitation and articulates demands that conflict with the abandonment and imprisonment regimes that neoliberalism centers. </w:t>
      </w:r>
      <w:r w:rsidRPr="00535856">
        <w:rPr>
          <w:rStyle w:val="StyleUnderline"/>
        </w:rPr>
        <w:t>These other trans politics, that appear impossible, incomprehensible, unviable</w:t>
      </w:r>
      <w:r w:rsidRPr="00535856">
        <w:rPr>
          <w:rFonts w:eastAsia="Calibri" w:cs="Times New Roman"/>
        </w:rPr>
        <w:t xml:space="preserve"> in the context of recognition and inclusion-focused non-</w:t>
      </w:r>
      <w:proofErr w:type="spellStart"/>
      <w:r w:rsidRPr="00535856">
        <w:rPr>
          <w:rFonts w:eastAsia="Calibri" w:cs="Times New Roman"/>
        </w:rPr>
        <w:t>profitized</w:t>
      </w:r>
      <w:proofErr w:type="spellEnd"/>
      <w:r w:rsidRPr="00535856">
        <w:rPr>
          <w:rFonts w:eastAsia="Calibri" w:cs="Times New Roman"/>
        </w:rPr>
        <w:t xml:space="preserve"> social movements, </w:t>
      </w:r>
      <w:r w:rsidRPr="00535856">
        <w:rPr>
          <w:rStyle w:val="StyleUnderline"/>
        </w:rPr>
        <w:t>include a critical engagement with the infrastructure of social change</w:t>
      </w:r>
      <w:r w:rsidRPr="00535856">
        <w:rPr>
          <w:rFonts w:eastAsia="Calibri" w:cs="Times New Roman"/>
        </w:rPr>
        <w:t xml:space="preserve">. </w:t>
      </w:r>
      <w:r w:rsidRPr="00535856">
        <w:rPr>
          <w:rStyle w:val="StyleUnderline"/>
        </w:rPr>
        <w:t>Rejecting elite strategies centering law reform and mainstream media messaging, these locations of resistance offer models of participatory mass-based struggle led by those working at the intersections of multiple vectors of subjection</w:t>
      </w:r>
      <w:r w:rsidRPr="00535856">
        <w:rPr>
          <w:rFonts w:eastAsia="Calibri" w:cs="Times New Roman"/>
        </w:rPr>
        <w:t xml:space="preserve">. Such politics is unrecognizable as "LGBT" politics in the current moment in which formal legal equality and single-issue framing have claimed this realm for an agenda that centers "family" and "law and order" in conservative terms. </w:t>
      </w:r>
      <w:r w:rsidRPr="00535856">
        <w:rPr>
          <w:rStyle w:val="StyleUnderline"/>
        </w:rPr>
        <w:t xml:space="preserve">The existence of critical practices that resist the beckoning of recognition despite the enormous pressures of neoliberal framing and </w:t>
      </w:r>
      <w:proofErr w:type="spellStart"/>
      <w:r w:rsidRPr="00535856">
        <w:rPr>
          <w:rStyle w:val="StyleUnderline"/>
        </w:rPr>
        <w:t>nonprofitization</w:t>
      </w:r>
      <w:proofErr w:type="spellEnd"/>
      <w:r w:rsidRPr="00535856">
        <w:rPr>
          <w:rStyle w:val="StyleUnderline"/>
        </w:rPr>
        <w:t xml:space="preserve"> suggests the</w:t>
      </w:r>
      <w:r w:rsidRPr="00535856">
        <w:rPr>
          <w:rFonts w:eastAsia="Calibri" w:cs="Times New Roman"/>
        </w:rPr>
        <w:t xml:space="preserve"> </w:t>
      </w:r>
      <w:r w:rsidRPr="00535856">
        <w:rPr>
          <w:rStyle w:val="StyleUnderline"/>
        </w:rPr>
        <w:t>fierce desire</w:t>
      </w:r>
      <w:r w:rsidRPr="00535856">
        <w:rPr>
          <w:rFonts w:eastAsia="Calibri" w:cs="Times New Roman"/>
        </w:rPr>
        <w:t xml:space="preserve"> </w:t>
      </w:r>
      <w:r w:rsidRPr="00535856">
        <w:rPr>
          <w:rStyle w:val="StyleUnderline"/>
        </w:rPr>
        <w:t>for trans political practices that actually address trans survival</w:t>
      </w:r>
      <w:r w:rsidRPr="00535856">
        <w:rPr>
          <w:rFonts w:eastAsia="Calibri" w:cs="Times New Roman"/>
        </w:rPr>
        <w:t xml:space="preserve">. </w:t>
      </w:r>
      <w:r w:rsidRPr="00535856">
        <w:rPr>
          <w:rStyle w:val="StyleUnderline"/>
        </w:rPr>
        <w:t>It is</w:t>
      </w:r>
      <w:r w:rsidRPr="00535856">
        <w:rPr>
          <w:rFonts w:eastAsia="Calibri" w:cs="Times New Roman"/>
        </w:rPr>
        <w:t xml:space="preserve"> </w:t>
      </w:r>
      <w:r w:rsidRPr="00535856">
        <w:rPr>
          <w:rStyle w:val="StyleUnderline"/>
        </w:rPr>
        <w:t>that space</w:t>
      </w:r>
      <w:r w:rsidRPr="00535856">
        <w:rPr>
          <w:rFonts w:eastAsia="Calibri" w:cs="Times New Roman"/>
        </w:rPr>
        <w:t xml:space="preserve">, </w:t>
      </w:r>
      <w:r w:rsidRPr="00535856">
        <w:rPr>
          <w:rStyle w:val="StyleUnderline"/>
        </w:rPr>
        <w:t>where questions of survival and distribution are centered, where the well-being of the most vulnerable will not be compromised for a promise of legal or media recognition, and where the difficult work of building participatory, de-professionalized resistance is taken up, where we can seek the emergence of deeply transformative trans resistance.</w:t>
      </w:r>
    </w:p>
    <w:p w:rsidR="00127D4C" w:rsidRPr="00FD018C" w:rsidRDefault="00127D4C" w:rsidP="001856AA">
      <w:pPr>
        <w:keepNext/>
        <w:keepLines/>
        <w:spacing w:before="40" w:after="0"/>
        <w:outlineLvl w:val="3"/>
        <w:rPr>
          <w:rFonts w:eastAsia="Times New Roman" w:cs="Times New Roman"/>
          <w:b/>
          <w:iCs/>
          <w:sz w:val="26"/>
        </w:rPr>
      </w:pPr>
      <w:r>
        <w:rPr>
          <w:rFonts w:eastAsia="Times New Roman" w:cs="Times New Roman"/>
          <w:b/>
          <w:iCs/>
          <w:sz w:val="26"/>
        </w:rPr>
        <w:t xml:space="preserve">Pragmatic reform is </w:t>
      </w:r>
      <w:r w:rsidR="00FD018C">
        <w:rPr>
          <w:rFonts w:eastAsia="Times New Roman" w:cs="Times New Roman"/>
          <w:b/>
          <w:iCs/>
          <w:sz w:val="26"/>
          <w:u w:val="single"/>
        </w:rPr>
        <w:t>impossible</w:t>
      </w:r>
      <w:r w:rsidR="00FD018C">
        <w:rPr>
          <w:rFonts w:eastAsia="Times New Roman" w:cs="Times New Roman"/>
          <w:b/>
          <w:iCs/>
          <w:sz w:val="26"/>
        </w:rPr>
        <w:t xml:space="preserve"> in the context of antiqueer prison violence</w:t>
      </w:r>
    </w:p>
    <w:p w:rsidR="001856AA" w:rsidRPr="007C4D94" w:rsidRDefault="001856AA" w:rsidP="001856AA">
      <w:pPr>
        <w:rPr>
          <w:rFonts w:eastAsia="Cambria" w:cs="Times New Roman"/>
          <w:b/>
          <w:bCs/>
        </w:rPr>
      </w:pPr>
      <w:r w:rsidRPr="00280039">
        <w:rPr>
          <w:rFonts w:eastAsia="Calibri" w:cs="Times New Roman"/>
          <w:b/>
          <w:bCs/>
        </w:rPr>
        <w:t>Berger 13</w:t>
      </w:r>
      <w:r w:rsidRPr="007C4D94">
        <w:rPr>
          <w:rFonts w:eastAsia="Cambria" w:cs="Times New Roman"/>
          <w:b/>
          <w:bCs/>
        </w:rPr>
        <w:t xml:space="preserve"> </w:t>
      </w:r>
      <w:r w:rsidR="00FD018C" w:rsidRPr="00280039">
        <w:rPr>
          <w:rFonts w:eastAsia="Cambria" w:cs="Times New Roman"/>
          <w:sz w:val="18"/>
          <w:szCs w:val="18"/>
        </w:rPr>
        <w:t>(</w:t>
      </w:r>
      <w:r w:rsidRPr="00280039">
        <w:rPr>
          <w:rFonts w:eastAsia="Cambria" w:cs="Times New Roman"/>
          <w:sz w:val="18"/>
          <w:szCs w:val="18"/>
        </w:rPr>
        <w:t>Dan Berger is an Assistant Professor at the University of Washington Bothell, “Social Movements and Mass Incarceration: What is To Be Done?”, Souls: A Critical Journal of Black Politics, Culture, and Society, Volume 15, Issue 1-2, 2013, pages 3-18</w:t>
      </w:r>
      <w:r w:rsidR="00FD018C" w:rsidRPr="00280039">
        <w:rPr>
          <w:rFonts w:eastAsia="Cambria" w:cs="Times New Roman"/>
          <w:sz w:val="18"/>
          <w:szCs w:val="18"/>
        </w:rPr>
        <w:t>, AKL)</w:t>
      </w:r>
    </w:p>
    <w:p w:rsidR="001856AA" w:rsidRPr="00535856" w:rsidRDefault="001856AA" w:rsidP="001856AA">
      <w:pPr>
        <w:rPr>
          <w:rFonts w:eastAsia="Cambria" w:cs="Times New Roman"/>
          <w:iCs/>
          <w:u w:val="single"/>
        </w:rPr>
      </w:pPr>
      <w:r w:rsidRPr="00535856">
        <w:rPr>
          <w:rFonts w:eastAsia="Cambria" w:cs="Times New Roman"/>
          <w:bCs/>
          <w:u w:val="single"/>
        </w:rPr>
        <w:t xml:space="preserve">The strategy of </w:t>
      </w:r>
      <w:proofErr w:type="spellStart"/>
      <w:r w:rsidRPr="00535856">
        <w:rPr>
          <w:rFonts w:eastAsia="Cambria" w:cs="Times New Roman"/>
          <w:bCs/>
          <w:u w:val="single"/>
        </w:rPr>
        <w:t>decarceration</w:t>
      </w:r>
      <w:proofErr w:type="spellEnd"/>
      <w:r w:rsidRPr="00535856">
        <w:rPr>
          <w:rFonts w:eastAsia="Cambria" w:cs="Times New Roman"/>
          <w:bCs/>
          <w:u w:val="single"/>
        </w:rPr>
        <w:t xml:space="preserve"> </w:t>
      </w:r>
      <w:r w:rsidRPr="00535856">
        <w:rPr>
          <w:rFonts w:eastAsia="Cambria" w:cs="Times New Roman"/>
          <w:iCs/>
          <w:u w:val="single"/>
        </w:rPr>
        <w:t>combines radical critique, direct action, and tangible goals for reducing the reach of the carceral state.</w:t>
      </w:r>
      <w:r w:rsidRPr="00535856">
        <w:rPr>
          <w:rFonts w:eastAsia="Cambria" w:cs="Times New Roman"/>
          <w:bCs/>
          <w:u w:val="single"/>
        </w:rPr>
        <w:t xml:space="preserve"> It is a </w:t>
      </w:r>
      <w:r w:rsidRPr="00535856">
        <w:rPr>
          <w:rFonts w:eastAsia="Cambria" w:cs="Times New Roman"/>
          <w:iCs/>
          <w:u w:val="single"/>
        </w:rPr>
        <w:t>coalitional strategy that works to shrink the prison system through a combination of pragmatic demands</w:t>
      </w:r>
      <w:r w:rsidRPr="00535856">
        <w:rPr>
          <w:rFonts w:eastAsia="Cambria" w:cs="Times New Roman"/>
          <w:bCs/>
          <w:u w:val="single"/>
        </w:rPr>
        <w:t xml:space="preserve"> and </w:t>
      </w:r>
      <w:r w:rsidRPr="00535856">
        <w:rPr>
          <w:rFonts w:eastAsia="Cambria" w:cs="Times New Roman"/>
          <w:iCs/>
          <w:u w:val="single"/>
        </w:rPr>
        <w:t>far-reaching, open-ended critique</w:t>
      </w:r>
      <w:r w:rsidRPr="00535856">
        <w:rPr>
          <w:rFonts w:eastAsia="Cambria" w:cs="Times New Roman"/>
        </w:rPr>
        <w:t xml:space="preserve">. </w:t>
      </w:r>
      <w:r w:rsidRPr="00535856">
        <w:rPr>
          <w:rFonts w:eastAsia="Cambria" w:cs="Times New Roman"/>
          <w:bCs/>
          <w:u w:val="single"/>
        </w:rPr>
        <w:t xml:space="preserve">It is </w:t>
      </w:r>
      <w:r w:rsidRPr="00535856">
        <w:rPr>
          <w:rFonts w:eastAsia="Cambria" w:cs="Times New Roman"/>
          <w:iCs/>
          <w:u w:val="single"/>
        </w:rPr>
        <w:t>reform in pursuit of abolition</w:t>
      </w:r>
      <w:r w:rsidRPr="00535856">
        <w:rPr>
          <w:rFonts w:eastAsia="Cambria" w:cs="Times New Roman"/>
        </w:rPr>
        <w:t xml:space="preserve">. Indeed, </w:t>
      </w:r>
      <w:proofErr w:type="spellStart"/>
      <w:r w:rsidRPr="00535856">
        <w:rPr>
          <w:rFonts w:eastAsia="Cambria" w:cs="Times New Roman"/>
          <w:bCs/>
          <w:u w:val="single"/>
        </w:rPr>
        <w:t>decarceration</w:t>
      </w:r>
      <w:proofErr w:type="spellEnd"/>
      <w:r w:rsidRPr="00535856">
        <w:rPr>
          <w:rFonts w:eastAsia="Cambria" w:cs="Times New Roman"/>
          <w:bCs/>
          <w:u w:val="single"/>
        </w:rPr>
        <w:t xml:space="preserve"> allows a </w:t>
      </w:r>
      <w:r w:rsidRPr="00535856">
        <w:rPr>
          <w:rFonts w:eastAsia="Cambria" w:cs="Times New Roman"/>
          <w:iCs/>
          <w:u w:val="single"/>
        </w:rPr>
        <w:t>strategic launch pad for the politics of abolition</w:t>
      </w:r>
      <w:r w:rsidRPr="00535856">
        <w:rPr>
          <w:rFonts w:eastAsia="Cambria" w:cs="Times New Roman"/>
        </w:rPr>
        <w:t xml:space="preserve">, </w:t>
      </w:r>
      <w:r w:rsidRPr="00535856">
        <w:rPr>
          <w:rFonts w:eastAsia="Cambria" w:cs="Times New Roman"/>
          <w:bCs/>
          <w:u w:val="single"/>
        </w:rPr>
        <w:t xml:space="preserve">providing what has been an </w:t>
      </w:r>
      <w:r w:rsidRPr="00535856">
        <w:rPr>
          <w:rFonts w:eastAsia="Cambria" w:cs="Times New Roman"/>
          <w:iCs/>
          <w:u w:val="single"/>
        </w:rPr>
        <w:t>exciting but abstract framework with a course of action</w:t>
      </w:r>
      <w:r w:rsidRPr="00535856">
        <w:rPr>
          <w:rFonts w:eastAsia="Cambria" w:cs="Times New Roman"/>
        </w:rPr>
        <w:t xml:space="preserve">. 32 </w:t>
      </w:r>
      <w:r w:rsidRPr="00535856">
        <w:rPr>
          <w:rFonts w:eastAsia="Cambria" w:cs="Times New Roman"/>
          <w:bCs/>
          <w:u w:val="single"/>
        </w:rPr>
        <w:t>Rather than juxtapose pragmatism and radicalism</w:t>
      </w:r>
      <w:r w:rsidRPr="00535856">
        <w:rPr>
          <w:rFonts w:eastAsia="Cambria" w:cs="Times New Roman"/>
        </w:rPr>
        <w:t xml:space="preserve">, as has so often happened in the realm of radical activism, </w:t>
      </w:r>
      <w:r w:rsidRPr="00535856">
        <w:rPr>
          <w:rFonts w:eastAsia="Cambria" w:cs="Times New Roman"/>
          <w:bCs/>
          <w:u w:val="single"/>
        </w:rPr>
        <w:t xml:space="preserve">the strategy of </w:t>
      </w:r>
      <w:proofErr w:type="spellStart"/>
      <w:r w:rsidRPr="00535856">
        <w:rPr>
          <w:rFonts w:eastAsia="Cambria" w:cs="Times New Roman"/>
          <w:bCs/>
          <w:u w:val="single"/>
        </w:rPr>
        <w:t>decarceration</w:t>
      </w:r>
      <w:proofErr w:type="spellEnd"/>
      <w:r w:rsidRPr="00535856">
        <w:rPr>
          <w:rFonts w:eastAsia="Cambria" w:cs="Times New Roman"/>
          <w:bCs/>
          <w:u w:val="single"/>
        </w:rPr>
        <w:t xml:space="preserve"> </w:t>
      </w:r>
      <w:r w:rsidRPr="00535856">
        <w:rPr>
          <w:rFonts w:eastAsia="Cambria" w:cs="Times New Roman"/>
          <w:iCs/>
          <w:u w:val="single"/>
        </w:rPr>
        <w:t>seeks to hold them in creative tension</w:t>
      </w:r>
      <w:r w:rsidRPr="00535856">
        <w:rPr>
          <w:rFonts w:eastAsia="Cambria" w:cs="Times New Roman"/>
        </w:rPr>
        <w:t xml:space="preserve">. </w:t>
      </w:r>
      <w:r w:rsidRPr="00535856">
        <w:rPr>
          <w:rFonts w:eastAsia="Cambria" w:cs="Times New Roman"/>
          <w:bCs/>
          <w:u w:val="single"/>
        </w:rPr>
        <w:t xml:space="preserve">It is a strategy in </w:t>
      </w:r>
      <w:r w:rsidRPr="00535856">
        <w:rPr>
          <w:rFonts w:eastAsia="Cambria" w:cs="Times New Roman"/>
          <w:iCs/>
          <w:u w:val="single"/>
        </w:rPr>
        <w:t>the best tradition of the black freedom struggle</w:t>
      </w:r>
      <w:r w:rsidRPr="00535856">
        <w:rPr>
          <w:rFonts w:eastAsia="Cambria" w:cs="Times New Roman"/>
          <w:bCs/>
          <w:u w:val="single"/>
        </w:rPr>
        <w:t>.</w:t>
      </w:r>
      <w:r w:rsidRPr="00535856">
        <w:rPr>
          <w:rFonts w:eastAsia="Cambria" w:cs="Times New Roman"/>
        </w:rPr>
        <w:t xml:space="preserve"> </w:t>
      </w:r>
      <w:r w:rsidRPr="00535856">
        <w:rPr>
          <w:rFonts w:eastAsia="Cambria" w:cs="Times New Roman"/>
          <w:bCs/>
          <w:u w:val="single"/>
        </w:rPr>
        <w:t xml:space="preserve">It is a strategy that seeks to </w:t>
      </w:r>
      <w:r w:rsidRPr="00535856">
        <w:rPr>
          <w:rFonts w:eastAsia="Cambria" w:cs="Times New Roman"/>
          <w:iCs/>
          <w:u w:val="single"/>
        </w:rPr>
        <w:t>take advantage of political conditions without sacrificing its political vision</w:t>
      </w:r>
      <w:r w:rsidRPr="00535856">
        <w:rPr>
          <w:rFonts w:eastAsia="Cambria" w:cs="Times New Roman"/>
        </w:rPr>
        <w:t xml:space="preserve">. Today </w:t>
      </w:r>
      <w:r w:rsidRPr="00535856">
        <w:rPr>
          <w:rFonts w:eastAsia="Cambria" w:cs="Times New Roman"/>
          <w:bCs/>
          <w:u w:val="single"/>
        </w:rPr>
        <w:t>we are in a moment where it is possible</w:t>
      </w:r>
      <w:r w:rsidRPr="00535856">
        <w:rPr>
          <w:rFonts w:eastAsia="Cambria" w:cs="Times New Roman"/>
        </w:rPr>
        <w:t xml:space="preserve">, in the words of an organizer whose work successfully closed Illinois's infamous supermax prison </w:t>
      </w:r>
      <w:proofErr w:type="spellStart"/>
      <w:r w:rsidRPr="00535856">
        <w:rPr>
          <w:rFonts w:eastAsia="Cambria" w:cs="Times New Roman"/>
        </w:rPr>
        <w:t>Tamms</w:t>
      </w:r>
      <w:proofErr w:type="spellEnd"/>
      <w:r w:rsidRPr="00535856">
        <w:rPr>
          <w:rFonts w:eastAsia="Cambria" w:cs="Times New Roman"/>
        </w:rPr>
        <w:t xml:space="preserve"> in January 2013, </w:t>
      </w:r>
      <w:r w:rsidRPr="00535856">
        <w:rPr>
          <w:rFonts w:eastAsia="Cambria" w:cs="Times New Roman"/>
          <w:bCs/>
          <w:u w:val="single"/>
        </w:rPr>
        <w:t>to confront prisons as both an economic and a moral necessity.</w:t>
      </w:r>
      <w:r w:rsidRPr="00535856">
        <w:rPr>
          <w:rFonts w:eastAsia="Cambria" w:cs="Times New Roman"/>
        </w:rPr>
        <w:t xml:space="preserve"> 33 Prisons bring together diverse forms of oppression across race, class, gender, sexuality, citizenship status, HIV status and beyond. </w:t>
      </w:r>
      <w:r w:rsidRPr="00535856">
        <w:rPr>
          <w:rFonts w:eastAsia="Cambria" w:cs="Times New Roman"/>
          <w:bCs/>
          <w:u w:val="single"/>
        </w:rPr>
        <w:t>The movements against them</w:t>
      </w:r>
      <w:r w:rsidRPr="00535856">
        <w:rPr>
          <w:rFonts w:eastAsia="Cambria" w:cs="Times New Roman"/>
        </w:rPr>
        <w:t xml:space="preserve">, therefore, </w:t>
      </w:r>
      <w:r w:rsidRPr="00535856">
        <w:rPr>
          <w:rFonts w:eastAsia="Cambria" w:cs="Times New Roman"/>
          <w:bCs/>
          <w:u w:val="single"/>
        </w:rPr>
        <w:t xml:space="preserve">will need to bring together </w:t>
      </w:r>
      <w:r w:rsidRPr="00535856">
        <w:rPr>
          <w:rFonts w:eastAsia="Cambria" w:cs="Times New Roman"/>
          <w:iCs/>
          <w:u w:val="single"/>
        </w:rPr>
        <w:t>diverse communities of resistance.</w:t>
      </w:r>
      <w:r w:rsidRPr="00535856">
        <w:rPr>
          <w:rFonts w:eastAsia="Cambria" w:cs="Times New Roman"/>
          <w:bCs/>
          <w:u w:val="single"/>
        </w:rPr>
        <w:t xml:space="preserve"> </w:t>
      </w:r>
      <w:r w:rsidRPr="00535856">
        <w:rPr>
          <w:rFonts w:eastAsia="Cambria" w:cs="Times New Roman"/>
        </w:rPr>
        <w:t xml:space="preserve">They will need to unite people across a range of issues, identities, and sectors. That is the coalition underlying groups such as Californians United for a Responsible Budget (CURB), the Nation Inside initiative, and </w:t>
      </w:r>
      <w:proofErr w:type="spellStart"/>
      <w:r w:rsidRPr="00535856">
        <w:rPr>
          <w:rFonts w:eastAsia="Cambria" w:cs="Times New Roman"/>
        </w:rPr>
        <w:t>Decarcerate</w:t>
      </w:r>
      <w:proofErr w:type="spellEnd"/>
      <w:r w:rsidRPr="00535856">
        <w:rPr>
          <w:rFonts w:eastAsia="Cambria" w:cs="Times New Roman"/>
        </w:rPr>
        <w:t xml:space="preserve"> PA. </w:t>
      </w:r>
      <w:r w:rsidRPr="00535856">
        <w:rPr>
          <w:rFonts w:eastAsia="Cambria" w:cs="Times New Roman"/>
          <w:bCs/>
          <w:u w:val="single"/>
        </w:rPr>
        <w:t xml:space="preserve">The fight against prisons is </w:t>
      </w:r>
      <w:r w:rsidRPr="00535856">
        <w:rPr>
          <w:rFonts w:eastAsia="Cambria" w:cs="Times New Roman"/>
          <w:iCs/>
          <w:u w:val="single"/>
        </w:rPr>
        <w:t>both a targeted campaign</w:t>
      </w:r>
      <w:r w:rsidRPr="00535856">
        <w:rPr>
          <w:rFonts w:eastAsia="Cambria" w:cs="Times New Roman"/>
          <w:bCs/>
          <w:u w:val="single"/>
        </w:rPr>
        <w:t xml:space="preserve"> and a </w:t>
      </w:r>
      <w:r w:rsidRPr="00535856">
        <w:rPr>
          <w:rFonts w:eastAsia="Cambria" w:cs="Times New Roman"/>
          <w:iCs/>
          <w:u w:val="single"/>
        </w:rPr>
        <w:t>broad-based struggle for social justice</w:t>
      </w:r>
      <w:r w:rsidRPr="00535856">
        <w:rPr>
          <w:rFonts w:eastAsia="Cambria" w:cs="Times New Roman"/>
          <w:bCs/>
          <w:u w:val="single"/>
        </w:rPr>
        <w:t>.</w:t>
      </w:r>
      <w:r w:rsidRPr="00535856">
        <w:rPr>
          <w:rFonts w:eastAsia="Cambria" w:cs="Times New Roman"/>
        </w:rPr>
        <w:t xml:space="preserve"> These movements must include the leadership by those directly affected while at the same work to understand that prisons affect us all. This message is the legacy of prison rebellions from Attica in 1971 to Pelican Bay in 2012. </w:t>
      </w:r>
      <w:r w:rsidRPr="00535856">
        <w:rPr>
          <w:rFonts w:eastAsia="Cambria" w:cs="Times New Roman"/>
          <w:bCs/>
          <w:u w:val="single"/>
        </w:rPr>
        <w:t xml:space="preserve">The challenge is to </w:t>
      </w:r>
      <w:r w:rsidRPr="00535856">
        <w:rPr>
          <w:rFonts w:eastAsia="Cambria" w:cs="Times New Roman"/>
          <w:iCs/>
          <w:u w:val="single"/>
        </w:rPr>
        <w:t>maintain the aspirational elements of that message while at the same time translating it into a political program</w:t>
      </w:r>
      <w:r w:rsidRPr="00535856">
        <w:rPr>
          <w:rFonts w:eastAsia="Cambria" w:cs="Times New Roman"/>
          <w:bCs/>
          <w:u w:val="single"/>
        </w:rPr>
        <w:t>.</w:t>
      </w:r>
      <w:r w:rsidRPr="00535856">
        <w:rPr>
          <w:rFonts w:eastAsia="Cambria" w:cs="Times New Roman"/>
        </w:rPr>
        <w:t xml:space="preserve"> </w:t>
      </w:r>
      <w:proofErr w:type="spellStart"/>
      <w:r w:rsidRPr="00535856">
        <w:rPr>
          <w:rFonts w:eastAsia="Cambria" w:cs="Times New Roman"/>
          <w:bCs/>
          <w:u w:val="single"/>
        </w:rPr>
        <w:t>Decarceration</w:t>
      </w:r>
      <w:proofErr w:type="spellEnd"/>
      <w:r w:rsidRPr="00535856">
        <w:rPr>
          <w:rFonts w:eastAsia="Cambria" w:cs="Times New Roman"/>
        </w:rPr>
        <w:t xml:space="preserve">, therefore, </w:t>
      </w:r>
      <w:r w:rsidRPr="00535856">
        <w:rPr>
          <w:rFonts w:eastAsia="Cambria" w:cs="Times New Roman"/>
          <w:iCs/>
          <w:u w:val="single"/>
        </w:rPr>
        <w:t>works not only to shrink the prison system but to expand community cohesion and maximize what can only be called freedom</w:t>
      </w:r>
      <w:r w:rsidRPr="00535856">
        <w:rPr>
          <w:rFonts w:eastAsia="Cambria" w:cs="Times New Roman"/>
        </w:rPr>
        <w:t xml:space="preserve">. </w:t>
      </w:r>
      <w:r w:rsidRPr="00535856">
        <w:rPr>
          <w:rFonts w:eastAsia="Cambria" w:cs="Times New Roman"/>
          <w:bCs/>
          <w:u w:val="single"/>
        </w:rPr>
        <w:t xml:space="preserve">Political repression and mass incarceration are joined at the hip. The struggles against austerity, </w:t>
      </w:r>
      <w:proofErr w:type="spellStart"/>
      <w:r w:rsidRPr="00535856">
        <w:rPr>
          <w:rFonts w:eastAsia="Cambria" w:cs="Times New Roman"/>
          <w:bCs/>
          <w:u w:val="single"/>
        </w:rPr>
        <w:t>carcerality</w:t>
      </w:r>
      <w:proofErr w:type="spellEnd"/>
      <w:r w:rsidRPr="00535856">
        <w:rPr>
          <w:rFonts w:eastAsia="Cambria" w:cs="Times New Roman"/>
          <w:bCs/>
          <w:u w:val="single"/>
        </w:rPr>
        <w:t xml:space="preserve">, and social oppression, the struggles for restorative and transformative justice, for grassroots empowerment and social justice </w:t>
      </w:r>
      <w:r w:rsidRPr="00535856">
        <w:rPr>
          <w:rFonts w:eastAsia="Cambria" w:cs="Times New Roman"/>
          <w:iCs/>
          <w:u w:val="single"/>
        </w:rPr>
        <w:t>must be equally interconnected</w:t>
      </w:r>
      <w:r w:rsidRPr="00535856">
        <w:rPr>
          <w:rFonts w:eastAsia="Cambria" w:cs="Times New Roman"/>
          <w:bCs/>
          <w:u w:val="single"/>
        </w:rPr>
        <w:t>.</w:t>
      </w:r>
      <w:r w:rsidRPr="00535856">
        <w:rPr>
          <w:rFonts w:eastAsia="Cambria" w:cs="Times New Roman"/>
        </w:rPr>
        <w:t xml:space="preserve"> For </w:t>
      </w:r>
      <w:r w:rsidRPr="00535856">
        <w:rPr>
          <w:rFonts w:eastAsia="Cambria" w:cs="Times New Roman"/>
          <w:bCs/>
          <w:u w:val="single"/>
        </w:rPr>
        <w:t>it is only when the movement against prisons is as interwoven in the social fabric of popular resistance as the expansion of prisons has been stitched into the wider framework of society that we might hope to supplant the carceral state</w:t>
      </w:r>
      <w:r w:rsidRPr="00535856">
        <w:rPr>
          <w:rFonts w:eastAsia="Cambria" w:cs="Times New Roman"/>
        </w:rPr>
        <w:t xml:space="preserve">. There are many obstacles on the path toward </w:t>
      </w:r>
      <w:proofErr w:type="spellStart"/>
      <w:r w:rsidRPr="00535856">
        <w:rPr>
          <w:rFonts w:eastAsia="Cambria" w:cs="Times New Roman"/>
        </w:rPr>
        <w:t>decarceration</w:t>
      </w:r>
      <w:proofErr w:type="spellEnd"/>
      <w:r w:rsidRPr="00535856">
        <w:rPr>
          <w:rFonts w:eastAsia="Cambria" w:cs="Times New Roman"/>
        </w:rPr>
        <w:t xml:space="preserve">; the existence of a strategy hardly guarantees its success. Until now, I have focused largely on the challenges internal to the movement, but there are even taller hurdles to jump in encountering (much less transforming) the deeply entrenched carceral state. Perhaps the biggest challenge, paradoxically, comes from the growing consensus, rooted in the collective fiscal troubles of individual states, that there is a need for prison reform. In that context, a range of politicians, think tanks, and nonprofit organizations—from Right on Crime to the Council on State Governments and the Pew Charitable Trusts—have offered a spate of neoliberal reforms that trumpet free market solutions, privatization, or shifting the emphasis away from prisons but still within the power of the carceral state. Examples include the “Justice Reinvestment” processes utilized by states such as Texas and Pennsylvania that have called for greater funding to police and conservative victim's rights advocates while leaving untouched some of the worst elements of excessive punishment. These </w:t>
      </w:r>
      <w:r w:rsidRPr="00535856">
        <w:rPr>
          <w:rFonts w:eastAsia="Cambria" w:cs="Times New Roman"/>
          <w:bCs/>
          <w:u w:val="single"/>
        </w:rPr>
        <w:t>neoliberal reforms can</w:t>
      </w:r>
      <w:r w:rsidRPr="00535856">
        <w:rPr>
          <w:rFonts w:eastAsia="Cambria" w:cs="Times New Roman"/>
        </w:rPr>
        <w:t xml:space="preserve"> also </w:t>
      </w:r>
      <w:r w:rsidRPr="00535856">
        <w:rPr>
          <w:rFonts w:eastAsia="Cambria" w:cs="Times New Roman"/>
          <w:bCs/>
          <w:u w:val="single"/>
        </w:rPr>
        <w:t>be found in the sudden burst of attention paid to “reentry services” that are not community-led and may be operated by private, conservative entities.</w:t>
      </w:r>
      <w:r w:rsidRPr="00535856">
        <w:rPr>
          <w:rFonts w:eastAsia="Cambria" w:cs="Times New Roman"/>
        </w:rPr>
        <w:t xml:space="preserve"> 34 Perhaps the grandest example can be found in California, where a Supreme Court ruling that overcrowding in the state's prisons constituted cruel and unusual punishment has been met with a proposal for “realignment,” that shifts the burden from state prisons to county jails. 35 A combination of institutional intransigence and ideological commitment to punish makes the road ahead steep. </w:t>
      </w:r>
      <w:r w:rsidRPr="00535856">
        <w:rPr>
          <w:rFonts w:eastAsia="Cambria" w:cs="Times New Roman"/>
          <w:bCs/>
          <w:u w:val="single"/>
        </w:rPr>
        <w:t>Even as many states move to shrink their prison populations, they have done so in ways that have left in place the deepest markings of the carceral state, such as the use of life sentences and solitary confinement, and the criminalization of immigrants</w:t>
      </w:r>
      <w:r w:rsidRPr="00535856">
        <w:rPr>
          <w:rFonts w:eastAsia="Cambria" w:cs="Times New Roman"/>
        </w:rPr>
        <w:t xml:space="preserve">. </w:t>
      </w:r>
      <w:r w:rsidRPr="00535856">
        <w:rPr>
          <w:rFonts w:eastAsia="Cambria" w:cs="Times New Roman"/>
          <w:bCs/>
          <w:u w:val="single"/>
        </w:rPr>
        <w:t xml:space="preserve">Social movements will </w:t>
      </w:r>
      <w:r w:rsidRPr="00535856">
        <w:rPr>
          <w:rFonts w:eastAsia="Cambria" w:cs="Times New Roman"/>
          <w:iCs/>
          <w:u w:val="single"/>
        </w:rPr>
        <w:t>need to confront the underlying ideologies that hold that there is an “acceptable” level of widespread imprisonment</w:t>
      </w:r>
      <w:r w:rsidRPr="00535856">
        <w:rPr>
          <w:rFonts w:eastAsia="Cambria" w:cs="Times New Roman"/>
        </w:rPr>
        <w:t>, that there is a specter of villainy out there—be they “illegal immigrants,” “cop killers,” “sex criminals”—</w:t>
      </w:r>
      <w:r w:rsidRPr="00535856">
        <w:rPr>
          <w:rFonts w:eastAsia="Cambria" w:cs="Times New Roman"/>
          <w:bCs/>
          <w:u w:val="single"/>
        </w:rPr>
        <w:t>waiting in the wings to destroy the American way of life</w:t>
      </w:r>
      <w:r w:rsidRPr="00535856">
        <w:rPr>
          <w:rFonts w:eastAsia="Cambria" w:cs="Times New Roman"/>
        </w:rPr>
        <w:t xml:space="preserve">. 36 </w:t>
      </w:r>
      <w:r w:rsidRPr="00535856">
        <w:rPr>
          <w:rFonts w:eastAsia="Cambria" w:cs="Times New Roman"/>
          <w:iCs/>
          <w:u w:val="single"/>
        </w:rPr>
        <w:t>There is a risk</w:t>
      </w:r>
      <w:r w:rsidRPr="00535856">
        <w:rPr>
          <w:rFonts w:eastAsia="Cambria" w:cs="Times New Roman"/>
          <w:bCs/>
          <w:u w:val="single"/>
        </w:rPr>
        <w:t>, inherent in the sordid history of prison reform, that the current reform impulse will be bifurcated along poorly defined notions of “deservingness” that will continue to uphold the carceral logic that separates “good people” from “bad people” and which decides that no fate is too harsh for those deemed unworthy of social inclusion.</w:t>
      </w:r>
      <w:r w:rsidRPr="00535856">
        <w:rPr>
          <w:rFonts w:eastAsia="Cambria" w:cs="Times New Roman"/>
        </w:rPr>
        <w:t xml:space="preserve"> </w:t>
      </w:r>
      <w:r w:rsidRPr="00535856">
        <w:rPr>
          <w:rFonts w:eastAsia="Cambria" w:cs="Times New Roman"/>
          <w:bCs/>
          <w:u w:val="single"/>
        </w:rPr>
        <w:t>This</w:t>
      </w:r>
      <w:r w:rsidRPr="00535856">
        <w:rPr>
          <w:rFonts w:eastAsia="Cambria" w:cs="Times New Roman"/>
        </w:rPr>
        <w:t xml:space="preserve">, then, </w:t>
      </w:r>
      <w:r w:rsidRPr="00535856">
        <w:rPr>
          <w:rFonts w:eastAsia="Cambria" w:cs="Times New Roman"/>
          <w:bCs/>
          <w:u w:val="single"/>
        </w:rPr>
        <w:t xml:space="preserve">is a movement that </w:t>
      </w:r>
      <w:r w:rsidRPr="00535856">
        <w:rPr>
          <w:rFonts w:eastAsia="Cambria" w:cs="Times New Roman"/>
          <w:iCs/>
          <w:u w:val="single"/>
        </w:rPr>
        <w:t>needs to make nuanced yet straightforward arguments that take seriously questions of accountability while showing that more cops and more</w:t>
      </w:r>
      <w:r w:rsidRPr="00535856">
        <w:rPr>
          <w:rFonts w:eastAsia="Cambria" w:cs="Times New Roman"/>
        </w:rPr>
        <w:t xml:space="preserve"> (whether bigger or smaller) </w:t>
      </w:r>
      <w:r w:rsidRPr="00535856">
        <w:rPr>
          <w:rFonts w:eastAsia="Cambria" w:cs="Times New Roman"/>
          <w:iCs/>
          <w:u w:val="single"/>
        </w:rPr>
        <w:t>cages only takes us further from that goal</w:t>
      </w:r>
      <w:r w:rsidRPr="00535856">
        <w:rPr>
          <w:rFonts w:eastAsia="Cambria" w:cs="Times New Roman"/>
          <w:bCs/>
          <w:u w:val="single"/>
        </w:rPr>
        <w:t xml:space="preserve">. </w:t>
      </w:r>
      <w:r w:rsidRPr="00535856">
        <w:rPr>
          <w:rFonts w:eastAsia="Cambria" w:cs="Times New Roman"/>
        </w:rPr>
        <w:t xml:space="preserve">37 </w:t>
      </w:r>
      <w:r w:rsidRPr="00535856">
        <w:rPr>
          <w:rFonts w:eastAsia="Cambria" w:cs="Times New Roman"/>
          <w:bCs/>
          <w:u w:val="single"/>
        </w:rPr>
        <w:t>At stake is the kind of world we want to live in, and the terms could not be more clear: the choice</w:t>
      </w:r>
      <w:r w:rsidRPr="00535856">
        <w:rPr>
          <w:rFonts w:eastAsia="Cambria" w:cs="Times New Roman"/>
        </w:rPr>
        <w:t xml:space="preserve">, to paraphrase Martin Luther King, </w:t>
      </w:r>
      <w:r w:rsidRPr="00535856">
        <w:rPr>
          <w:rFonts w:eastAsia="Cambria" w:cs="Times New Roman"/>
          <w:bCs/>
          <w:u w:val="single"/>
        </w:rPr>
        <w:t xml:space="preserve">is either carceral chaos or </w:t>
      </w:r>
      <w:proofErr w:type="spellStart"/>
      <w:r w:rsidRPr="00535856">
        <w:rPr>
          <w:rFonts w:eastAsia="Cambria" w:cs="Times New Roman"/>
          <w:bCs/>
          <w:u w:val="single"/>
        </w:rPr>
        <w:t>liberatory</w:t>
      </w:r>
      <w:proofErr w:type="spellEnd"/>
      <w:r w:rsidRPr="00535856">
        <w:rPr>
          <w:rFonts w:eastAsia="Cambria" w:cs="Times New Roman"/>
          <w:bCs/>
          <w:u w:val="single"/>
        </w:rPr>
        <w:t xml:space="preserve"> community</w:t>
      </w:r>
      <w:r w:rsidRPr="00535856">
        <w:rPr>
          <w:rFonts w:eastAsia="Cambria" w:cs="Times New Roman"/>
        </w:rPr>
        <w:t xml:space="preserve">. The framework of community—as expressed </w:t>
      </w:r>
      <w:proofErr w:type="spellStart"/>
      <w:r w:rsidRPr="00535856">
        <w:rPr>
          <w:rFonts w:eastAsia="Cambria" w:cs="Times New Roman"/>
        </w:rPr>
        <w:t>Decarcerate</w:t>
      </w:r>
      <w:proofErr w:type="spellEnd"/>
      <w:r w:rsidRPr="00535856">
        <w:rPr>
          <w:rFonts w:eastAsia="Cambria" w:cs="Times New Roman"/>
        </w:rPr>
        <w:t xml:space="preserve"> PA slogan “build communities not prisons” and the CURB “budget for humanity” campaign—allows for a robust imagination of the institutions and mechanisms that foster community versus those that weaken it. It focuses our attention on activities, slogans, programs, and demands that maximize communities. In short, it allows for unity. </w:t>
      </w:r>
      <w:r w:rsidRPr="00535856">
        <w:rPr>
          <w:rFonts w:eastAsia="Cambria" w:cs="Times New Roman"/>
          <w:bCs/>
          <w:u w:val="single"/>
        </w:rPr>
        <w:t>If the state wants to crush dissent through isolation, our movements must rely on togetherness to win</w:t>
      </w:r>
      <w:r w:rsidRPr="00535856">
        <w:rPr>
          <w:rFonts w:eastAsia="Cambria" w:cs="Times New Roman"/>
        </w:rPr>
        <w:t xml:space="preserve">. </w:t>
      </w:r>
      <w:r w:rsidRPr="00535856">
        <w:rPr>
          <w:rFonts w:eastAsia="Cambria" w:cs="Times New Roman"/>
          <w:bCs/>
          <w:u w:val="single"/>
        </w:rPr>
        <w:t xml:space="preserve">Solidarity is </w:t>
      </w:r>
      <w:r w:rsidRPr="00535856">
        <w:rPr>
          <w:rFonts w:eastAsia="Cambria" w:cs="Times New Roman"/>
          <w:iCs/>
          <w:u w:val="single"/>
        </w:rPr>
        <w:t>the difference between life and death</w:t>
      </w:r>
      <w:r w:rsidRPr="00535856">
        <w:rPr>
          <w:rFonts w:eastAsia="Cambria" w:cs="Times New Roman"/>
          <w:bCs/>
          <w:u w:val="single"/>
        </w:rPr>
        <w:t xml:space="preserve">. State repression </w:t>
      </w:r>
      <w:r w:rsidRPr="00535856">
        <w:rPr>
          <w:rFonts w:eastAsia="Cambria" w:cs="Times New Roman"/>
          <w:iCs/>
          <w:u w:val="single"/>
        </w:rPr>
        <w:t>expands in the absence of solidarity</w:t>
      </w:r>
      <w:r w:rsidRPr="00535856">
        <w:rPr>
          <w:rFonts w:eastAsia="Cambria" w:cs="Times New Roman"/>
        </w:rPr>
        <w:t xml:space="preserve">. </w:t>
      </w:r>
      <w:r w:rsidRPr="00535856">
        <w:rPr>
          <w:rFonts w:eastAsia="Cambria" w:cs="Times New Roman"/>
          <w:bCs/>
          <w:u w:val="single"/>
        </w:rPr>
        <w:t>Solidarity is a lifeline against the logic of criminalization and its devastating consequences.</w:t>
      </w:r>
      <w:r w:rsidRPr="00535856">
        <w:rPr>
          <w:rFonts w:eastAsia="Cambria" w:cs="Times New Roman"/>
        </w:rPr>
        <w:t xml:space="preserve"> </w:t>
      </w:r>
      <w:r w:rsidRPr="00535856">
        <w:rPr>
          <w:rFonts w:eastAsia="Cambria" w:cs="Times New Roman"/>
          <w:bCs/>
          <w:u w:val="single"/>
        </w:rPr>
        <w:t>For the most successful challenges to imprisonment come from intergenerational movements:</w:t>
      </w:r>
      <w:r w:rsidRPr="00535856">
        <w:rPr>
          <w:rFonts w:eastAsia="Cambria" w:cs="Times New Roman"/>
        </w:rPr>
        <w:t xml:space="preserve"> </w:t>
      </w:r>
      <w:r w:rsidRPr="00535856">
        <w:rPr>
          <w:rFonts w:eastAsia="Cambria" w:cs="Times New Roman"/>
          <w:bCs/>
          <w:u w:val="single"/>
        </w:rPr>
        <w:t>movements where people raise each other's consciousness and raise each other's children, movements that fight for the future because they know their history</w:t>
      </w:r>
      <w:r w:rsidRPr="00535856">
        <w:rPr>
          <w:rFonts w:eastAsia="Cambria" w:cs="Times New Roman"/>
        </w:rPr>
        <w:t xml:space="preserve">. Here, </w:t>
      </w:r>
      <w:r w:rsidRPr="00535856">
        <w:rPr>
          <w:rFonts w:eastAsia="Cambria" w:cs="Times New Roman"/>
          <w:iCs/>
          <w:u w:val="single"/>
        </w:rPr>
        <w:t>in this pragmatic but militant radicalism, is a chance to end mass incarceration and begin the process of shrinking the carceral state out of existence.</w:t>
      </w:r>
    </w:p>
    <w:p w:rsidR="005858B8" w:rsidRPr="00280039" w:rsidRDefault="005858B8" w:rsidP="00280039">
      <w:pPr>
        <w:pStyle w:val="Heading4"/>
      </w:pPr>
      <w:r w:rsidRPr="00280039">
        <w:t>The PIC is inherently antiqueer and operates within a framework that necessitates the extermination of queer life</w:t>
      </w:r>
    </w:p>
    <w:p w:rsidR="001856AA" w:rsidRPr="00280039" w:rsidRDefault="001856AA" w:rsidP="001856AA">
      <w:pPr>
        <w:rPr>
          <w:rFonts w:eastAsia="Calibri" w:cs="Times New Roman"/>
          <w:sz w:val="18"/>
          <w:szCs w:val="18"/>
        </w:rPr>
      </w:pPr>
      <w:r w:rsidRPr="00280039">
        <w:rPr>
          <w:rFonts w:eastAsia="Calibri" w:cs="Times New Roman"/>
          <w:b/>
          <w:bCs/>
        </w:rPr>
        <w:t>Lamble 2014</w:t>
      </w:r>
      <w:r w:rsidR="00FD018C">
        <w:rPr>
          <w:rFonts w:eastAsia="Calibri" w:cs="Times New Roman"/>
        </w:rPr>
        <w:t xml:space="preserve"> </w:t>
      </w:r>
      <w:r w:rsidR="00FD018C" w:rsidRPr="00280039">
        <w:rPr>
          <w:rFonts w:eastAsia="Calibri" w:cs="Times New Roman"/>
          <w:sz w:val="18"/>
          <w:szCs w:val="18"/>
        </w:rPr>
        <w:t>(</w:t>
      </w:r>
      <w:r w:rsidRPr="00280039">
        <w:rPr>
          <w:rFonts w:eastAsia="Calibri" w:cs="Times New Roman"/>
          <w:sz w:val="18"/>
          <w:szCs w:val="18"/>
        </w:rPr>
        <w:t>Sarah Lamble, “Queer Investments in Punitiveness,” in Q</w:t>
      </w:r>
      <w:r w:rsidR="00FD018C" w:rsidRPr="00280039">
        <w:rPr>
          <w:rFonts w:eastAsia="Calibri" w:cs="Times New Roman"/>
          <w:sz w:val="18"/>
          <w:szCs w:val="18"/>
        </w:rPr>
        <w:t xml:space="preserve">ueer </w:t>
      </w:r>
      <w:proofErr w:type="spellStart"/>
      <w:r w:rsidR="00FD018C" w:rsidRPr="00280039">
        <w:rPr>
          <w:rFonts w:eastAsia="Calibri" w:cs="Times New Roman"/>
          <w:sz w:val="18"/>
          <w:szCs w:val="18"/>
        </w:rPr>
        <w:t>Necropolitics</w:t>
      </w:r>
      <w:proofErr w:type="spellEnd"/>
      <w:r w:rsidR="00FD018C" w:rsidRPr="00280039">
        <w:rPr>
          <w:rFonts w:eastAsia="Calibri" w:cs="Times New Roman"/>
          <w:sz w:val="18"/>
          <w:szCs w:val="18"/>
        </w:rPr>
        <w:t>, Pp. 161-162, AKL)</w:t>
      </w:r>
    </w:p>
    <w:p w:rsidR="001856AA" w:rsidRPr="007C4D94" w:rsidRDefault="001856AA" w:rsidP="001856AA">
      <w:pPr>
        <w:rPr>
          <w:rFonts w:eastAsia="Calibri" w:cs="Times New Roman"/>
        </w:rPr>
      </w:pPr>
      <w:r w:rsidRPr="007C4D94">
        <w:rPr>
          <w:rFonts w:eastAsia="Calibri" w:cs="Times New Roman"/>
        </w:rPr>
        <w:t xml:space="preserve">Each of these examples involves the direct or indirect mobilization of discursive, financial or </w:t>
      </w:r>
      <w:proofErr w:type="spellStart"/>
      <w:r w:rsidRPr="007C4D94">
        <w:rPr>
          <w:rFonts w:eastAsia="Calibri" w:cs="Times New Roman"/>
        </w:rPr>
        <w:t>labour</w:t>
      </w:r>
      <w:proofErr w:type="spellEnd"/>
      <w:r w:rsidRPr="007C4D94">
        <w:rPr>
          <w:rFonts w:eastAsia="Calibri" w:cs="Times New Roman"/>
        </w:rPr>
        <w:t xml:space="preserve">-related resources towards state practices of imprisonment and punishment. </w:t>
      </w:r>
      <w:r w:rsidRPr="007C4D94">
        <w:rPr>
          <w:rStyle w:val="StyleUnderline"/>
        </w:rPr>
        <w:t xml:space="preserve">Given the ongoing colonial legacies of the carceral state, the disproportionate number of people of </w:t>
      </w:r>
      <w:proofErr w:type="spellStart"/>
      <w:r w:rsidRPr="007C4D94">
        <w:rPr>
          <w:rStyle w:val="StyleUnderline"/>
        </w:rPr>
        <w:t>colour</w:t>
      </w:r>
      <w:proofErr w:type="spellEnd"/>
      <w:r w:rsidRPr="007C4D94">
        <w:rPr>
          <w:rStyle w:val="StyleUnderline"/>
        </w:rPr>
        <w:t xml:space="preserve"> in prison and racial character of expanding prison populations</w:t>
      </w:r>
      <w:r w:rsidRPr="007C4D94">
        <w:rPr>
          <w:rFonts w:eastAsia="Calibri" w:cs="Times New Roman"/>
        </w:rPr>
        <w:t xml:space="preserve">, these </w:t>
      </w:r>
      <w:r w:rsidRPr="007C4D94">
        <w:rPr>
          <w:rStyle w:val="StyleUnderline"/>
        </w:rPr>
        <w:t>queer investments in punishment are</w:t>
      </w:r>
      <w:r w:rsidRPr="007C4D94">
        <w:rPr>
          <w:rFonts w:eastAsia="Calibri" w:cs="Times New Roman"/>
        </w:rPr>
        <w:t xml:space="preserve">, by their very nature, </w:t>
      </w:r>
      <w:r w:rsidRPr="007C4D94">
        <w:rPr>
          <w:rStyle w:val="StyleUnderline"/>
        </w:rPr>
        <w:t>investments in state racism and violence</w:t>
      </w:r>
      <w:r w:rsidRPr="007C4D94">
        <w:rPr>
          <w:rFonts w:eastAsia="Calibri" w:cs="Times New Roman"/>
        </w:rPr>
        <w:t xml:space="preserve">. In this way, </w:t>
      </w:r>
      <w:r w:rsidRPr="007C4D94">
        <w:rPr>
          <w:rStyle w:val="StyleUnderline"/>
        </w:rPr>
        <w:t>such investments are symptomatic of</w:t>
      </w:r>
      <w:r w:rsidRPr="007C4D94">
        <w:rPr>
          <w:rFonts w:eastAsia="Calibri" w:cs="Times New Roman"/>
        </w:rPr>
        <w:t xml:space="preserve"> what </w:t>
      </w:r>
      <w:proofErr w:type="spellStart"/>
      <w:r w:rsidRPr="007C4D94">
        <w:rPr>
          <w:rFonts w:eastAsia="Calibri" w:cs="Times New Roman"/>
        </w:rPr>
        <w:t>Jasbir</w:t>
      </w:r>
      <w:proofErr w:type="spellEnd"/>
      <w:r w:rsidRPr="007C4D94">
        <w:rPr>
          <w:rFonts w:eastAsia="Calibri" w:cs="Times New Roman"/>
        </w:rPr>
        <w:t xml:space="preserve"> Puar, drawing from Achilles </w:t>
      </w:r>
      <w:proofErr w:type="spellStart"/>
      <w:r w:rsidRPr="007C4D94">
        <w:rPr>
          <w:rFonts w:eastAsia="Calibri" w:cs="Times New Roman"/>
        </w:rPr>
        <w:t>Mbembe’s</w:t>
      </w:r>
      <w:proofErr w:type="spellEnd"/>
      <w:r w:rsidRPr="007C4D94">
        <w:rPr>
          <w:rFonts w:eastAsia="Calibri" w:cs="Times New Roman"/>
        </w:rPr>
        <w:t xml:space="preserve"> work, describes as </w:t>
      </w:r>
      <w:r w:rsidRPr="007C4D94">
        <w:rPr>
          <w:rStyle w:val="StyleUnderline"/>
        </w:rPr>
        <w:t xml:space="preserve">queer </w:t>
      </w:r>
      <w:proofErr w:type="spellStart"/>
      <w:r w:rsidRPr="007C4D94">
        <w:rPr>
          <w:rStyle w:val="StyleUnderline"/>
        </w:rPr>
        <w:t>necropolitics</w:t>
      </w:r>
      <w:proofErr w:type="spellEnd"/>
      <w:r w:rsidRPr="007C4D94">
        <w:rPr>
          <w:rFonts w:eastAsia="Calibri" w:cs="Times New Roman"/>
        </w:rPr>
        <w:t xml:space="preserve">. </w:t>
      </w:r>
      <w:proofErr w:type="spellStart"/>
      <w:r w:rsidRPr="007C4D94">
        <w:rPr>
          <w:rFonts w:eastAsia="Calibri" w:cs="Times New Roman"/>
        </w:rPr>
        <w:t>Necropolitics</w:t>
      </w:r>
      <w:proofErr w:type="spellEnd"/>
      <w:r w:rsidRPr="007C4D94">
        <w:rPr>
          <w:rFonts w:eastAsia="Calibri" w:cs="Times New Roman"/>
        </w:rPr>
        <w:t xml:space="preserve"> can be understood as technologies of power </w:t>
      </w:r>
      <w:r w:rsidRPr="007C4D94">
        <w:rPr>
          <w:rStyle w:val="StyleUnderline"/>
        </w:rPr>
        <w:t>that (re</w:t>
      </w:r>
      <w:r w:rsidRPr="007C4D94">
        <w:rPr>
          <w:rFonts w:eastAsia="Calibri" w:cs="Times New Roman"/>
          <w:iCs/>
          <w:sz w:val="16"/>
          <w:u w:val="single"/>
          <w:bdr w:val="single" w:sz="8" w:space="0" w:color="auto"/>
        </w:rPr>
        <w:t>)</w:t>
      </w:r>
      <w:r w:rsidRPr="007C4D94">
        <w:rPr>
          <w:rStyle w:val="StyleUnderline"/>
        </w:rPr>
        <w:t xml:space="preserve">produce social relations of living and dying, such that some populations are ushered into the worlds of life and vitality, while others are </w:t>
      </w:r>
      <w:proofErr w:type="spellStart"/>
      <w:r w:rsidRPr="007C4D94">
        <w:rPr>
          <w:rStyle w:val="StyleUnderline"/>
        </w:rPr>
        <w:t>funnelled</w:t>
      </w:r>
      <w:proofErr w:type="spellEnd"/>
      <w:r w:rsidRPr="007C4D94">
        <w:rPr>
          <w:rStyle w:val="StyleUnderline"/>
        </w:rPr>
        <w:t xml:space="preserve"> into</w:t>
      </w:r>
      <w:r w:rsidRPr="007C4D94">
        <w:rPr>
          <w:rFonts w:eastAsia="Calibri" w:cs="Times New Roman"/>
        </w:rPr>
        <w:t xml:space="preserve"> what </w:t>
      </w:r>
      <w:proofErr w:type="spellStart"/>
      <w:r w:rsidRPr="007C4D94">
        <w:rPr>
          <w:rFonts w:eastAsia="Calibri" w:cs="Times New Roman"/>
        </w:rPr>
        <w:t>Mbembe</w:t>
      </w:r>
      <w:proofErr w:type="spellEnd"/>
      <w:r w:rsidRPr="007C4D94">
        <w:rPr>
          <w:rFonts w:eastAsia="Calibri" w:cs="Times New Roman"/>
        </w:rPr>
        <w:t xml:space="preserve"> calls </w:t>
      </w:r>
      <w:r w:rsidRPr="007C4D94">
        <w:rPr>
          <w:rStyle w:val="StyleUnderline"/>
        </w:rPr>
        <w:t>death worlds, worlds of slow living death and dead living</w:t>
      </w:r>
      <w:r w:rsidRPr="007C4D94">
        <w:rPr>
          <w:rFonts w:eastAsia="Calibri" w:cs="Times New Roman"/>
        </w:rPr>
        <w:t xml:space="preserve"> (</w:t>
      </w:r>
      <w:proofErr w:type="spellStart"/>
      <w:r w:rsidRPr="007C4D94">
        <w:rPr>
          <w:rFonts w:eastAsia="Calibri" w:cs="Times New Roman"/>
        </w:rPr>
        <w:t>Mbembe</w:t>
      </w:r>
      <w:proofErr w:type="spellEnd"/>
      <w:r w:rsidRPr="007C4D94">
        <w:rPr>
          <w:rFonts w:eastAsia="Calibri" w:cs="Times New Roman"/>
        </w:rPr>
        <w:t xml:space="preserve"> 2003). </w:t>
      </w:r>
      <w:r w:rsidRPr="007C4D94">
        <w:rPr>
          <w:rStyle w:val="StyleUnderline"/>
        </w:rPr>
        <w:t>Death</w:t>
      </w:r>
      <w:r w:rsidRPr="007C4D94">
        <w:rPr>
          <w:rFonts w:eastAsia="Calibri" w:cs="Times New Roman"/>
        </w:rPr>
        <w:t xml:space="preserve"> here </w:t>
      </w:r>
      <w:r w:rsidRPr="007C4D94">
        <w:rPr>
          <w:rStyle w:val="StyleUnderline"/>
        </w:rPr>
        <w:t>includes literal physical death, but also social, political and civil death - the social relations of death, de</w:t>
      </w:r>
      <w:bookmarkStart w:id="0" w:name="_GoBack"/>
      <w:bookmarkEnd w:id="0"/>
      <w:r w:rsidRPr="007C4D94">
        <w:rPr>
          <w:rStyle w:val="StyleUnderline"/>
        </w:rPr>
        <w:t>cay and dying that emerge from prolonged exposure to violence, neglect, deprivation and suffering</w:t>
      </w:r>
      <w:r w:rsidRPr="007C4D94">
        <w:rPr>
          <w:rFonts w:eastAsia="Calibri" w:cs="Times New Roman"/>
        </w:rPr>
        <w:t xml:space="preserve">. Offering a corrective to Michel Foucault’s work on biopolitics,18 </w:t>
      </w:r>
      <w:proofErr w:type="spellStart"/>
      <w:r w:rsidRPr="007C4D94">
        <w:rPr>
          <w:rFonts w:eastAsia="Calibri" w:cs="Times New Roman"/>
        </w:rPr>
        <w:t>Mbembe</w:t>
      </w:r>
      <w:proofErr w:type="spellEnd"/>
      <w:r w:rsidRPr="007C4D94">
        <w:rPr>
          <w:rFonts w:eastAsia="Calibri" w:cs="Times New Roman"/>
        </w:rPr>
        <w:t xml:space="preserve"> puts forward ‘the notion of </w:t>
      </w:r>
      <w:proofErr w:type="spellStart"/>
      <w:r w:rsidRPr="007C4D94">
        <w:rPr>
          <w:rFonts w:eastAsia="Calibri" w:cs="Times New Roman"/>
        </w:rPr>
        <w:t>necropolitics</w:t>
      </w:r>
      <w:proofErr w:type="spellEnd"/>
      <w:r w:rsidRPr="007C4D94">
        <w:rPr>
          <w:rFonts w:eastAsia="Calibri" w:cs="Times New Roman"/>
        </w:rPr>
        <w:t xml:space="preserve"> and </w:t>
      </w:r>
      <w:proofErr w:type="spellStart"/>
      <w:r w:rsidRPr="007C4D94">
        <w:rPr>
          <w:rFonts w:eastAsia="Calibri" w:cs="Times New Roman"/>
        </w:rPr>
        <w:t>necropower</w:t>
      </w:r>
      <w:proofErr w:type="spellEnd"/>
      <w:r w:rsidRPr="007C4D94">
        <w:rPr>
          <w:rFonts w:eastAsia="Calibri" w:cs="Times New Roman"/>
        </w:rPr>
        <w:t xml:space="preserve"> to account for the various ways in which, in our contemporary world, weapons are deployed in the interest of the maximum destruction of person and the creation of death-worlds, new and unique forms of social existence in which vast populations are subjected to conditions of life conferring upon them the status of living dead' (2003: 40). In other words, </w:t>
      </w:r>
      <w:r w:rsidRPr="007C4D94">
        <w:rPr>
          <w:rStyle w:val="StyleUnderline"/>
        </w:rPr>
        <w:t>while biopolitical powers work to manage, order and foster life for citizens worthy of protection, such powers work in tandem with necropolitical powers that produce death for those destined to abandonment, violence and neglect</w:t>
      </w:r>
      <w:r w:rsidRPr="007C4D94">
        <w:rPr>
          <w:rFonts w:eastAsia="Calibri" w:cs="Times New Roman"/>
        </w:rPr>
        <w:t xml:space="preserve">. Taking up this concept within contemporary queer politics, Puar thus draws attention to the ways in which the folding into life of some queers is predicated on the folding out of life of others (Puar 2007: 36). While </w:t>
      </w:r>
      <w:proofErr w:type="spellStart"/>
      <w:r w:rsidRPr="007C4D94">
        <w:rPr>
          <w:rFonts w:eastAsia="Calibri" w:cs="Times New Roman"/>
        </w:rPr>
        <w:t>Mbembe’s</w:t>
      </w:r>
      <w:proofErr w:type="spellEnd"/>
      <w:r w:rsidRPr="007C4D94">
        <w:rPr>
          <w:rFonts w:eastAsia="Calibri" w:cs="Times New Roman"/>
        </w:rPr>
        <w:t xml:space="preserve"> analysis focuses primarily on situations of military occupation colonialism and war, the modern prison arguably constitutes another key instantiation of </w:t>
      </w:r>
      <w:proofErr w:type="spellStart"/>
      <w:r w:rsidRPr="007C4D94">
        <w:rPr>
          <w:rFonts w:eastAsia="Calibri" w:cs="Times New Roman"/>
        </w:rPr>
        <w:t>necropower</w:t>
      </w:r>
      <w:proofErr w:type="spellEnd"/>
      <w:r w:rsidRPr="007C4D94">
        <w:rPr>
          <w:rFonts w:eastAsia="Calibri" w:cs="Times New Roman"/>
        </w:rPr>
        <w:t xml:space="preserve">. For </w:t>
      </w:r>
      <w:r w:rsidRPr="007C4D94">
        <w:rPr>
          <w:rStyle w:val="StyleUnderline"/>
        </w:rPr>
        <w:t>the prison is also a site that produces the conditions of living death</w:t>
      </w:r>
      <w:r w:rsidRPr="007C4D94">
        <w:rPr>
          <w:rFonts w:eastAsia="Calibri" w:cs="Times New Roman"/>
        </w:rPr>
        <w:t xml:space="preserve">; </w:t>
      </w:r>
      <w:r w:rsidRPr="007C4D94">
        <w:rPr>
          <w:rStyle w:val="StyleUnderline"/>
        </w:rPr>
        <w:t>it is a place where bodies are subject to regimes of slow death and dying</w:t>
      </w:r>
      <w:r w:rsidRPr="007C4D94">
        <w:rPr>
          <w:rFonts w:eastAsia="Calibri" w:cs="Times New Roman"/>
        </w:rPr>
        <w:t xml:space="preserve">. Not only are deprivation, abuse and neglect regular features of incarceration itself, but </w:t>
      </w:r>
      <w:r w:rsidRPr="007C4D94">
        <w:rPr>
          <w:rStyle w:val="StyleUnderline"/>
        </w:rPr>
        <w:t>the monotonous regime of caged life</w:t>
      </w:r>
      <w:r w:rsidRPr="007C4D94">
        <w:rPr>
          <w:rFonts w:eastAsia="Calibri" w:cs="Times New Roman"/>
        </w:rPr>
        <w:t xml:space="preserve"> - the experience of ‘doing time’ - </w:t>
      </w:r>
      <w:r w:rsidRPr="007C4D94">
        <w:rPr>
          <w:rStyle w:val="StyleUnderline"/>
        </w:rPr>
        <w:t>involves the slow wearing away of human vitality and the reduction of human experience to a bleak existence</w:t>
      </w:r>
      <w:r w:rsidRPr="007C4D94">
        <w:rPr>
          <w:rFonts w:eastAsia="Calibri" w:cs="Times New Roman"/>
        </w:rPr>
        <w:t xml:space="preserve"> (</w:t>
      </w:r>
      <w:proofErr w:type="spellStart"/>
      <w:r w:rsidRPr="007C4D94">
        <w:rPr>
          <w:rFonts w:eastAsia="Calibri" w:cs="Times New Roman"/>
        </w:rPr>
        <w:t>Scratonand</w:t>
      </w:r>
      <w:proofErr w:type="spellEnd"/>
      <w:r w:rsidRPr="007C4D94">
        <w:rPr>
          <w:rFonts w:eastAsia="Calibri" w:cs="Times New Roman"/>
        </w:rPr>
        <w:t xml:space="preserve"> </w:t>
      </w:r>
      <w:proofErr w:type="spellStart"/>
      <w:r w:rsidRPr="007C4D94">
        <w:rPr>
          <w:rFonts w:eastAsia="Calibri" w:cs="Times New Roman"/>
        </w:rPr>
        <w:t>McQulloch</w:t>
      </w:r>
      <w:proofErr w:type="spellEnd"/>
      <w:r w:rsidRPr="007C4D94">
        <w:rPr>
          <w:rFonts w:eastAsia="Calibri" w:cs="Times New Roman"/>
        </w:rPr>
        <w:t xml:space="preserve"> 2009; Taylor 2000). The prison serves as a site of mass warehousing of bodies in conditions that often resemble the death worlds that </w:t>
      </w:r>
      <w:proofErr w:type="spellStart"/>
      <w:r w:rsidRPr="007C4D94">
        <w:rPr>
          <w:rFonts w:eastAsia="Calibri" w:cs="Times New Roman"/>
        </w:rPr>
        <w:t>Mbembe</w:t>
      </w:r>
      <w:proofErr w:type="spellEnd"/>
      <w:r w:rsidRPr="007C4D94">
        <w:rPr>
          <w:rFonts w:eastAsia="Calibri" w:cs="Times New Roman"/>
        </w:rPr>
        <w:t xml:space="preserve"> describes. </w:t>
      </w:r>
      <w:r w:rsidRPr="007C4D94">
        <w:rPr>
          <w:rStyle w:val="StyleUnderline"/>
        </w:rPr>
        <w:t>While the modern prison was designed as an institution that aimed in part to train prisoners as productive workers, obedient citizens and docile subjects a strategy that used disciplinary power in the broader service of biopolitical powe</w:t>
      </w:r>
      <w:r w:rsidRPr="007C4D94">
        <w:rPr>
          <w:rFonts w:eastAsia="Calibri" w:cs="Times New Roman"/>
        </w:rPr>
        <w:t xml:space="preserve">r (Foucault 1978/ 1995) - </w:t>
      </w:r>
      <w:r w:rsidRPr="007C4D94">
        <w:rPr>
          <w:rStyle w:val="StyleUnderline"/>
        </w:rPr>
        <w:t xml:space="preserve">contemporary prisons are little more than mass warehouses for poor, racialized and otherwise </w:t>
      </w:r>
      <w:proofErr w:type="spellStart"/>
      <w:r w:rsidRPr="007C4D94">
        <w:rPr>
          <w:rStyle w:val="StyleUnderline"/>
        </w:rPr>
        <w:t>disenfranchized</w:t>
      </w:r>
      <w:proofErr w:type="spellEnd"/>
      <w:r w:rsidRPr="007C4D94">
        <w:rPr>
          <w:rStyle w:val="StyleUnderline"/>
        </w:rPr>
        <w:t xml:space="preserve"> populations</w:t>
      </w:r>
      <w:r w:rsidRPr="007C4D94">
        <w:rPr>
          <w:rFonts w:eastAsia="Calibri" w:cs="Times New Roman"/>
        </w:rPr>
        <w:t xml:space="preserve"> (Gilmore 2007).</w:t>
      </w:r>
    </w:p>
    <w:p w:rsidR="001856AA" w:rsidRPr="007C4D94" w:rsidRDefault="001856AA" w:rsidP="001856AA">
      <w:pPr>
        <w:rPr>
          <w:rFonts w:eastAsia="Cambria" w:cs="Times New Roman"/>
          <w:iCs/>
          <w:u w:val="single"/>
        </w:rPr>
      </w:pPr>
    </w:p>
    <w:sectPr w:rsidR="001856AA" w:rsidRPr="007C4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oNotDisplayPageBoundaries/>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nnabelle"/>
    <w:docVar w:name="RibbonPointer" w:val="150407768"/>
    <w:docVar w:name="VerbatimVersion" w:val="5.1"/>
  </w:docVars>
  <w:rsids>
    <w:rsidRoot w:val="001856AA"/>
    <w:rsid w:val="000139A3"/>
    <w:rsid w:val="00100833"/>
    <w:rsid w:val="00104529"/>
    <w:rsid w:val="00105942"/>
    <w:rsid w:val="00107396"/>
    <w:rsid w:val="00127D4C"/>
    <w:rsid w:val="00144A4C"/>
    <w:rsid w:val="00176AB0"/>
    <w:rsid w:val="00177B7D"/>
    <w:rsid w:val="0018322D"/>
    <w:rsid w:val="001856AA"/>
    <w:rsid w:val="001B5776"/>
    <w:rsid w:val="001E527A"/>
    <w:rsid w:val="001F78CE"/>
    <w:rsid w:val="00251FC7"/>
    <w:rsid w:val="00280039"/>
    <w:rsid w:val="002855A7"/>
    <w:rsid w:val="002B146A"/>
    <w:rsid w:val="002B5E17"/>
    <w:rsid w:val="00315690"/>
    <w:rsid w:val="00316B75"/>
    <w:rsid w:val="00325646"/>
    <w:rsid w:val="003460F2"/>
    <w:rsid w:val="003752C0"/>
    <w:rsid w:val="0038158C"/>
    <w:rsid w:val="003902BA"/>
    <w:rsid w:val="003A09E2"/>
    <w:rsid w:val="00407037"/>
    <w:rsid w:val="004605D6"/>
    <w:rsid w:val="004C60E8"/>
    <w:rsid w:val="004E3579"/>
    <w:rsid w:val="004E728B"/>
    <w:rsid w:val="004F39E0"/>
    <w:rsid w:val="00537BD5"/>
    <w:rsid w:val="0057268A"/>
    <w:rsid w:val="005858B8"/>
    <w:rsid w:val="005D2912"/>
    <w:rsid w:val="006065BD"/>
    <w:rsid w:val="00645FA9"/>
    <w:rsid w:val="00646BBE"/>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B4884"/>
    <w:rsid w:val="009D2EAD"/>
    <w:rsid w:val="009D54B2"/>
    <w:rsid w:val="009E1922"/>
    <w:rsid w:val="009F7ED2"/>
    <w:rsid w:val="00A07B8A"/>
    <w:rsid w:val="00A31FB5"/>
    <w:rsid w:val="00A93661"/>
    <w:rsid w:val="00A95652"/>
    <w:rsid w:val="00AC0AB8"/>
    <w:rsid w:val="00B33C6D"/>
    <w:rsid w:val="00B4508F"/>
    <w:rsid w:val="00B55AD5"/>
    <w:rsid w:val="00B668EF"/>
    <w:rsid w:val="00B8057C"/>
    <w:rsid w:val="00BD6238"/>
    <w:rsid w:val="00BF4B48"/>
    <w:rsid w:val="00BF593B"/>
    <w:rsid w:val="00BF773A"/>
    <w:rsid w:val="00BF7E81"/>
    <w:rsid w:val="00C13773"/>
    <w:rsid w:val="00C17CC8"/>
    <w:rsid w:val="00C83417"/>
    <w:rsid w:val="00C9604F"/>
    <w:rsid w:val="00CA19AA"/>
    <w:rsid w:val="00CC5298"/>
    <w:rsid w:val="00CD736E"/>
    <w:rsid w:val="00CD798D"/>
    <w:rsid w:val="00CE161E"/>
    <w:rsid w:val="00CF59A8"/>
    <w:rsid w:val="00D07C16"/>
    <w:rsid w:val="00D325A9"/>
    <w:rsid w:val="00D36A8A"/>
    <w:rsid w:val="00D61409"/>
    <w:rsid w:val="00D6691E"/>
    <w:rsid w:val="00D71170"/>
    <w:rsid w:val="00DA1C92"/>
    <w:rsid w:val="00DA25D4"/>
    <w:rsid w:val="00DA6538"/>
    <w:rsid w:val="00E15E75"/>
    <w:rsid w:val="00E5262C"/>
    <w:rsid w:val="00EC7DC4"/>
    <w:rsid w:val="00ED30CF"/>
    <w:rsid w:val="00F176EF"/>
    <w:rsid w:val="00F3260A"/>
    <w:rsid w:val="00F45E10"/>
    <w:rsid w:val="00F6364A"/>
    <w:rsid w:val="00F859A7"/>
    <w:rsid w:val="00F9113A"/>
    <w:rsid w:val="00FD018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3ED70"/>
  <w15:chartTrackingRefBased/>
  <w15:docId w15:val="{6CAE2E2F-35F9-4186-BC70-5067CF504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856AA"/>
    <w:rPr>
      <w:rFonts w:ascii="Calibri" w:hAnsi="Calibri"/>
    </w:rPr>
  </w:style>
  <w:style w:type="paragraph" w:styleId="Heading1">
    <w:name w:val="heading 1"/>
    <w:aliases w:val="Pocket"/>
    <w:basedOn w:val="Normal"/>
    <w:next w:val="Normal"/>
    <w:link w:val="Heading1Char"/>
    <w:qFormat/>
    <w:rsid w:val="001856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56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856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Spacing1,No Spacing11,No Spacing111,No Spacing112,No Spacing1121,No Spacing2,Debate Text,Read stuff,No Spacing4,No Spacing21,CD - Cite,Heading 2 Char2 Char,Heading 2 Char1 Char Char,Tags"/>
    <w:basedOn w:val="Normal"/>
    <w:next w:val="Normal"/>
    <w:link w:val="Heading4Char"/>
    <w:uiPriority w:val="3"/>
    <w:unhideWhenUsed/>
    <w:qFormat/>
    <w:rsid w:val="001856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856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56AA"/>
  </w:style>
  <w:style w:type="character" w:customStyle="1" w:styleId="Heading1Char">
    <w:name w:val="Heading 1 Char"/>
    <w:aliases w:val="Pocket Char"/>
    <w:basedOn w:val="DefaultParagraphFont"/>
    <w:link w:val="Heading1"/>
    <w:rsid w:val="001856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56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56AA"/>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Spacing1 Char,No Spacing11 Char,No Spacing111 Char,No Spacing112 Char,No Spacing1121 Char,No Spacing2 Char,Debate Text Char,Read stuff Char"/>
    <w:basedOn w:val="DefaultParagraphFont"/>
    <w:link w:val="Heading4"/>
    <w:uiPriority w:val="3"/>
    <w:rsid w:val="001856A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1856AA"/>
    <w:rPr>
      <w:rFonts w:ascii="Calibri" w:hAnsi="Calibri"/>
      <w:b/>
      <w:iCs/>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856AA"/>
    <w:rPr>
      <w:b/>
      <w:bCs/>
      <w:sz w:val="22"/>
      <w:u w:val="none"/>
    </w:rPr>
  </w:style>
  <w:style w:type="character" w:customStyle="1" w:styleId="StyleUnderline">
    <w:name w:val="Style Underline"/>
    <w:aliases w:val="Intense Emphasis,Underline,Style Bold Underline,apple-style-span + 6 pt,Bold,Kern at 16 pt,Style,Intense Emphasis1,Intense Emphasis2,HHeading 3 + 12 pt,Cards + Font: 12 pt Char,Bold Cite Char,Citation Char Char Char,Underline Char,ci,c,Bo"/>
    <w:basedOn w:val="DefaultParagraphFont"/>
    <w:uiPriority w:val="6"/>
    <w:qFormat/>
    <w:rsid w:val="001856AA"/>
    <w:rPr>
      <w:b w:val="0"/>
      <w:sz w:val="22"/>
      <w:u w:val="single"/>
    </w:rPr>
  </w:style>
  <w:style w:type="character" w:styleId="Hyperlink">
    <w:name w:val="Hyperlink"/>
    <w:basedOn w:val="DefaultParagraphFont"/>
    <w:uiPriority w:val="99"/>
    <w:unhideWhenUsed/>
    <w:rsid w:val="001856AA"/>
    <w:rPr>
      <w:color w:val="auto"/>
      <w:u w:val="none"/>
    </w:rPr>
  </w:style>
  <w:style w:type="character" w:styleId="FollowedHyperlink">
    <w:name w:val="FollowedHyperlink"/>
    <w:basedOn w:val="DefaultParagraphFont"/>
    <w:uiPriority w:val="99"/>
    <w:semiHidden/>
    <w:unhideWhenUsed/>
    <w:rsid w:val="001856AA"/>
    <w:rPr>
      <w:color w:val="auto"/>
      <w:u w:val="none"/>
    </w:rPr>
  </w:style>
  <w:style w:type="paragraph" w:customStyle="1" w:styleId="Analytic">
    <w:name w:val="Analytic"/>
    <w:basedOn w:val="Normal"/>
    <w:link w:val="AnalyticChar"/>
    <w:autoRedefine/>
    <w:uiPriority w:val="4"/>
    <w:qFormat/>
    <w:rsid w:val="001856AA"/>
    <w:rPr>
      <w:b/>
      <w:sz w:val="28"/>
    </w:rPr>
  </w:style>
  <w:style w:type="character" w:customStyle="1" w:styleId="AnalyticChar">
    <w:name w:val="Analytic Char"/>
    <w:basedOn w:val="DefaultParagraphFont"/>
    <w:link w:val="Analytic"/>
    <w:uiPriority w:val="4"/>
    <w:rsid w:val="001856AA"/>
    <w:rPr>
      <w:rFonts w:ascii="Calibri" w:hAnsi="Calibri"/>
      <w:b/>
      <w:sz w:val="28"/>
    </w:rPr>
  </w:style>
  <w:style w:type="paragraph" w:customStyle="1" w:styleId="textbold">
    <w:name w:val="text bold"/>
    <w:basedOn w:val="Normal"/>
    <w:link w:val="Emphasis"/>
    <w:uiPriority w:val="7"/>
    <w:qFormat/>
    <w:rsid w:val="001856A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4" w:space="0" w:color="auto"/>
    </w:rPr>
  </w:style>
  <w:style w:type="character" w:styleId="UnresolvedMention">
    <w:name w:val="Unresolved Mention"/>
    <w:basedOn w:val="DefaultParagraphFont"/>
    <w:uiPriority w:val="99"/>
    <w:semiHidden/>
    <w:unhideWhenUsed/>
    <w:rsid w:val="00FD018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tigation-essentials.lexisnexis.com/webcd/app?action=DocumentDisplay&amp;crawlid=1&amp;doctype=cite&amp;docid=19+Colum.+J.+Gender+%26+L.+1086&amp;srctype=smi&amp;srcid=3B15&amp;key=ab061ae207f634645a5e3daf2aafd791" TargetMode="External"/><Relationship Id="rId3" Type="http://schemas.openxmlformats.org/officeDocument/2006/relationships/styles" Target="styles.xml"/><Relationship Id="rId7" Type="http://schemas.openxmlformats.org/officeDocument/2006/relationships/hyperlink" Target="http://thenewinquiry.com/features/the-carceral-sta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henewinquiry.com/features/the-carceral-stat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bel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5DC05-D1C4-465E-B5CC-E62C3666A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6114</Words>
  <Characters>34854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Annabelle Long</dc:creator>
  <cp:keywords>5.1.1</cp:keywords>
  <dc:description/>
  <cp:lastModifiedBy>Annabelle Long</cp:lastModifiedBy>
  <cp:revision>4</cp:revision>
  <dcterms:created xsi:type="dcterms:W3CDTF">2017-07-27T20:38:00Z</dcterms:created>
  <dcterms:modified xsi:type="dcterms:W3CDTF">2017-07-27T20:57:00Z</dcterms:modified>
</cp:coreProperties>
</file>