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692" w:rsidRDefault="00A02692" w:rsidP="00A02692">
      <w:pPr>
        <w:pStyle w:val="Heading1"/>
      </w:pPr>
      <w:r>
        <w:t>AFF</w:t>
      </w:r>
    </w:p>
    <w:p w:rsidR="00A02692" w:rsidRDefault="00A02692" w:rsidP="00A02692">
      <w:r>
        <w:rPr>
          <w:noProof/>
        </w:rPr>
        <w:drawing>
          <wp:inline distT="0" distB="0" distL="0" distR="0" wp14:anchorId="34D6F629" wp14:editId="35AE4BE0">
            <wp:extent cx="3645535" cy="3645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5535" cy="3645535"/>
                    </a:xfrm>
                    <a:prstGeom prst="rect">
                      <a:avLst/>
                    </a:prstGeom>
                    <a:noFill/>
                  </pic:spPr>
                </pic:pic>
              </a:graphicData>
            </a:graphic>
          </wp:inline>
        </w:drawing>
      </w:r>
    </w:p>
    <w:p w:rsidR="00A02692" w:rsidRPr="00F56E7A" w:rsidRDefault="00A02692" w:rsidP="00A02692">
      <w:r>
        <w:t xml:space="preserve">Because a bunch of people were complaining this disrespected the flag I figured it belonged in the file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 xml:space="preserve"> -Calculus BC</w:t>
      </w:r>
    </w:p>
    <w:p w:rsidR="00A02692" w:rsidRPr="000E3875" w:rsidRDefault="00A02692" w:rsidP="00A02692">
      <w:pPr>
        <w:pStyle w:val="Heading1"/>
      </w:pPr>
      <w:r>
        <w:t>***1AC***</w:t>
      </w:r>
    </w:p>
    <w:p w:rsidR="00A02692" w:rsidRDefault="00A02692" w:rsidP="00A02692">
      <w:pPr>
        <w:pStyle w:val="Heading2"/>
      </w:pPr>
      <w:r>
        <w:t>Advantage</w:t>
      </w:r>
    </w:p>
    <w:p w:rsidR="00A02692" w:rsidRDefault="00A02692" w:rsidP="00A02692">
      <w:pPr>
        <w:pStyle w:val="Heading4"/>
      </w:pPr>
      <w:r>
        <w:t xml:space="preserve">Funding for comprehensive sex education is low now—federal direction important because it sends a MESSAGE about priorities to all levels of the government.  </w:t>
      </w:r>
    </w:p>
    <w:p w:rsidR="00A02692" w:rsidRDefault="00A02692" w:rsidP="00A02692">
      <w:r w:rsidRPr="0066606A">
        <w:rPr>
          <w:rStyle w:val="Style13ptBold"/>
        </w:rPr>
        <w:t>Donovan 3/30/2017</w:t>
      </w:r>
      <w:r>
        <w:t xml:space="preserve"> (</w:t>
      </w:r>
      <w:r w:rsidRPr="0066606A">
        <w:t>Megan K. Donovan</w:t>
      </w:r>
      <w:r>
        <w:t xml:space="preserve">, </w:t>
      </w:r>
      <w:proofErr w:type="spellStart"/>
      <w:r w:rsidRPr="0066606A">
        <w:t>Guttmacher</w:t>
      </w:r>
      <w:proofErr w:type="spellEnd"/>
      <w:r w:rsidRPr="0066606A">
        <w:t xml:space="preserve"> Institute</w:t>
      </w:r>
      <w:r>
        <w:t>, “</w:t>
      </w:r>
      <w:r w:rsidRPr="0066606A">
        <w:t>The Looming Threat to Sex Education: A Resurgence of Federal Funding for Abstinence-Only Programs?</w:t>
      </w:r>
      <w:r>
        <w:t>”, March 30, 2017, &lt;</w:t>
      </w:r>
      <w:r w:rsidRPr="0066606A">
        <w:t xml:space="preserve"> </w:t>
      </w:r>
      <w:hyperlink r:id="rId7" w:history="1">
        <w:r w:rsidRPr="00DE3E96">
          <w:rPr>
            <w:rStyle w:val="Hyperlink"/>
          </w:rPr>
          <w:t>https://www.guttmacher.org/gpr/2017/03/looming-threat-sex-education-resurgence-federal-funding-abstinence-only-programs</w:t>
        </w:r>
      </w:hyperlink>
      <w:r>
        <w:t>&gt;)//PS</w:t>
      </w:r>
    </w:p>
    <w:p w:rsidR="00A02692" w:rsidRPr="00BD576D" w:rsidRDefault="00A02692" w:rsidP="00A02692">
      <w:pPr>
        <w:rPr>
          <w:rStyle w:val="Emphasis"/>
        </w:rPr>
      </w:pPr>
      <w:r w:rsidRPr="007028EE">
        <w:rPr>
          <w:rStyle w:val="StyleUnderline"/>
        </w:rPr>
        <w:t>Over the past two decades, the United States has spent approximately $2 billion on ineffective and stigmatizing programming for adolescents focused on promoting abstinence from sex outside of marriage. Funding for these programs was reduced significantly while President Obama was in office, shifting in large part to support more comprehensive, medically accurate and age-appropriate programs.</w:t>
      </w:r>
      <w:r w:rsidRPr="00BD576D">
        <w:rPr>
          <w:sz w:val="16"/>
        </w:rPr>
        <w:t xml:space="preserve"> Now</w:t>
      </w:r>
      <w:r w:rsidRPr="007028EE">
        <w:rPr>
          <w:rStyle w:val="Emphasis"/>
        </w:rPr>
        <w:t xml:space="preserve">, with social conservatives in Congress emboldened by the 2016 elections and a new federal administration that includes proponents of abstinence-only-until-marriage programs, </w:t>
      </w:r>
      <w:r w:rsidRPr="00BD576D">
        <w:rPr>
          <w:sz w:val="16"/>
        </w:rPr>
        <w:t xml:space="preserve">we are again at a crossroads when it comes to federal support for sex education. </w:t>
      </w:r>
      <w:r w:rsidRPr="007028EE">
        <w:rPr>
          <w:rStyle w:val="Emphasis"/>
        </w:rPr>
        <w:t>Although federal spending in this area represents just a fraction of the total amount invested annually by state and local governments, it has a significant impact on the development and implementation of sex education standards and curricula at all levels and sends an important message about our priorities as a nation.</w:t>
      </w:r>
      <w:r w:rsidRPr="00BD576D">
        <w:rPr>
          <w:sz w:val="16"/>
        </w:rPr>
        <w:t xml:space="preserve"> Abstinence-only programs violate adolescents’ rights, ignore their needs and do not work. </w:t>
      </w:r>
      <w:r w:rsidRPr="007028EE">
        <w:rPr>
          <w:rStyle w:val="StyleUnderline"/>
        </w:rPr>
        <w:t>Adolescents have a basic human right to complete and accurate information about their sexual and reproductive health.1</w:t>
      </w:r>
      <w:r w:rsidRPr="00BD576D">
        <w:rPr>
          <w:sz w:val="16"/>
        </w:rPr>
        <w:t xml:space="preserve">,2 </w:t>
      </w:r>
      <w:r w:rsidRPr="007028EE">
        <w:rPr>
          <w:rStyle w:val="StyleUnderline"/>
        </w:rPr>
        <w:t>The abstinence-only-until-marriage approach withholds comprehensive information on effective ways to reduce the risks of unintended pregnancy, HIV and other STIs, which violates adolescents’ right to information and also requires educators to disregard basic ethical standards by providing incomplete and potentially harmful information to student</w:t>
      </w:r>
      <w:r w:rsidRPr="00BD576D">
        <w:rPr>
          <w:sz w:val="16"/>
        </w:rPr>
        <w:t xml:space="preserve">s.3 Programs that seek to stop adolescents from having sex before marriage are also out of touch with the lives and needs of young people. </w:t>
      </w:r>
      <w:r w:rsidRPr="007028EE">
        <w:rPr>
          <w:rStyle w:val="StyleUnderline"/>
        </w:rPr>
        <w:t>Ninety-five percent of Americans have sex before marriage and, on average, adolescents in the United States have sex for the first time at about age 17 but do not marry or begin having children until their mid- to late 20s.4,</w:t>
      </w:r>
      <w:r w:rsidRPr="00BD576D">
        <w:rPr>
          <w:sz w:val="16"/>
        </w:rPr>
        <w:t xml:space="preserve">5 During this long interim period, they may be at heightened risk for unintended pregnancy and STIs. Yet abstinence-only programs denigrate sexual activity before marriage as shameful and ignore the needs of sexually active adolescents. Such programs have also been found to reinforce gender stereotypes and exclude or stigmatize individuals on the basis of sexual orientation or gender identity.6–9 </w:t>
      </w:r>
      <w:r w:rsidRPr="007028EE">
        <w:rPr>
          <w:rStyle w:val="Emphasis"/>
        </w:rPr>
        <w:t>Given this reality, it is especially alarming that the federal government continues to spend money on programs that simply do not work. Although a small number of abstinence-only programs have shown limited effectiveness, the weight of scientific research indicates that strategies that solely promote abstinence outside of marriage while withholding information about contraceptives do not stop or even delay sex</w:t>
      </w:r>
      <w:r w:rsidRPr="00BD576D">
        <w:rPr>
          <w:sz w:val="16"/>
        </w:rPr>
        <w:t xml:space="preserve">.10,11 To the contrary, abstinence-only programs can actually place young people at increased risk of pregnancy and STIs once they do become sexually active.12 </w:t>
      </w:r>
      <w:r w:rsidRPr="007028EE">
        <w:rPr>
          <w:rStyle w:val="Emphasis"/>
        </w:rPr>
        <w:t>Although federal abstinence-only-until-marriage funding has dropped since its peak at $177 million in fiscal year (FY) 2008, recent appropriations indicate it is on the rise once again (</w:t>
      </w:r>
      <w:r w:rsidRPr="00BD576D">
        <w:rPr>
          <w:sz w:val="16"/>
        </w:rPr>
        <w:t>see chart</w:t>
      </w:r>
      <w:r w:rsidRPr="007028EE">
        <w:rPr>
          <w:rStyle w:val="Emphasis"/>
        </w:rPr>
        <w:t xml:space="preserve">). </w:t>
      </w:r>
      <w:r w:rsidRPr="007028EE">
        <w:rPr>
          <w:rStyle w:val="StyleUnderline"/>
        </w:rPr>
        <w:t>For FY 2016, Congress raised annual funding for abstinence-only programs from $55 million to $85 million. The bulk of this money—$75 million—is allocated for the Title V abstinence education program, a grant program for states that contains an eight-point statutory definition of an eligible “abstinence education” program. Among its points are teaching that “sexual activity outside of the context of marriage is likely to have harmful psychological and physical effects” and that “a mutually faithful monogamous relationship in the context of marriage is the expected standard of human sexual activity.”</w:t>
      </w:r>
      <w:r w:rsidRPr="00BD576D">
        <w:rPr>
          <w:sz w:val="16"/>
        </w:rPr>
        <w:t>13 The remaining $10 million is directed to a grant program for community-based organizations recently repackaged as “sexual risk avoidance” education, which seeks to teach adolescents how to “voluntarily refrain from non-marital sexual activity” and avoid “youth risk behaviors…without normalizing teen sexual activity.”</w:t>
      </w:r>
      <w:r w:rsidRPr="007028EE">
        <w:rPr>
          <w:rStyle w:val="Emphasis"/>
        </w:rPr>
        <w:t>14 Federal policy should focus on comprehensive, medically accurate and age-appropriate programs. Strong evidence suggests that comprehensive approaches to sex education help young people to delay sex and also to have healthy, responsible and mutually protective relationships when they do become sexually active.</w:t>
      </w:r>
      <w:r w:rsidRPr="00BD576D">
        <w:rPr>
          <w:sz w:val="16"/>
        </w:rPr>
        <w:t xml:space="preserve"> Many examples of comprehensive programs have resulted in delayed sexual debut, reduced frequency of sex, fewer sexual partners, increased condom or contraceptive use, or reduced sexual risk-taking.15 </w:t>
      </w:r>
      <w:r w:rsidRPr="00F56203">
        <w:rPr>
          <w:rStyle w:val="StyleUnderline"/>
        </w:rPr>
        <w:t>More generally, population-based studies have found that reproductive health outcomes improve when adolescents receive formal sex education that includes information about contraception and abstinence.</w:t>
      </w:r>
      <w:r w:rsidRPr="00BD576D">
        <w:rPr>
          <w:sz w:val="16"/>
        </w:rPr>
        <w:t>16,17 Accordingly, leading public health and medical professional organizations support a comprehensive approach to sex education—stressing the need for medically accurate, age-appropriate curricula that include information about both abstinence and contraception.</w:t>
      </w:r>
      <w:r w:rsidRPr="00F56203">
        <w:rPr>
          <w:rStyle w:val="Emphasis"/>
        </w:rPr>
        <w:t>18 Although there is no federal funding stream dedicated to promoting truly comprehensive sex education, federal funding for teen pregnancy prevention has largely shifted away from a focus on abstinence-only programs to a more comprehensive approach that educates adolescents about contraception in addition to abstinence</w:t>
      </w:r>
      <w:r w:rsidRPr="00F56203">
        <w:rPr>
          <w:rStyle w:val="StyleUnderline"/>
        </w:rPr>
        <w:t xml:space="preserve">. Of the $176 million provided for more comprehensive programs in FY 2016, $75 million went to the Personal Responsibility Education Program (PREP), a grant program that mainly provides funds to states for programs that educate adolescents about both abstinence and the use of contraception for the prevention of pregnancy and STIs. </w:t>
      </w:r>
      <w:r w:rsidRPr="00BD576D">
        <w:rPr>
          <w:sz w:val="16"/>
        </w:rPr>
        <w:t>The other $101 million funded the Teen Pregnancy Prevention Program, a competitive grant program geared toward community-based groups to support evidence-based and innovative teen pregnancy prevention approaches</w:t>
      </w:r>
      <w:r w:rsidRPr="00F56203">
        <w:rPr>
          <w:rStyle w:val="Emphasis"/>
        </w:rPr>
        <w:t>. Recent evaluations of programs funded under this initiative showed that roughly one in three had successfully demonstrated a positive impact—a larger proportion than typically found in evaluation efforts of this nature and thus an impressive result.19</w:t>
      </w:r>
      <w:r w:rsidRPr="00BD576D">
        <w:rPr>
          <w:sz w:val="16"/>
        </w:rPr>
        <w:t xml:space="preserve">,20 </w:t>
      </w:r>
      <w:r w:rsidRPr="00F56203">
        <w:rPr>
          <w:rStyle w:val="StyleUnderline"/>
        </w:rPr>
        <w:t xml:space="preserve">These federal initiatives are far from perfect. Their focus on reducing teen pregnancy without distinguishing between intended and unintended pregnancies reflects an assumption that young people should not become parents. </w:t>
      </w:r>
      <w:r w:rsidRPr="00BD576D">
        <w:rPr>
          <w:sz w:val="16"/>
        </w:rPr>
        <w:t xml:space="preserve">Moreover, the primary goal of these policies is not to support adolescents to have healthy relationships and lead healthy lives; instead, they were designed to achieve specific outcomes: reducing the incidence of pregnancy, HIV and other STIs among young people. Nonetheless, these two funding streams place emphasis on scientific evidence, medical accuracy and information tailored to adolescents’ specific age and needs, and the programs they fund can implement elements of comprehensive sex education. Fully supporting adolescents requires making these federal initiatives better.9 One vehicle for improvement is the Real Education for Healthy Youth Act (REHYA), sponsored in the 114th Congress by Rep. Barbara Lee (D-CA) and Sen. Cory Booker (D-NJ), which sets out a holistic vision for comprehensive sexuality education nationally. REHYA would ensure federal funding for programs that provide adolescents and young adults with “the information and skills [they] need to make informed, responsible, and healthy decisions in order to become sexually healthy adults and have healthy relationships.”21 These programs would address a range of topics, from anatomy and physiology to healthy relationships, dating violence, and gender roles and identity. They would also provide information about the importance of abstinence and contraceptive use for the prevention of unintended pregnancy, HIV and other STIs. Programs that benefit adolescents are at risk. </w:t>
      </w:r>
      <w:r w:rsidRPr="00F56203">
        <w:rPr>
          <w:rStyle w:val="Emphasis"/>
        </w:rPr>
        <w:t>Members of Congress must soon turn their attention to the task of funding federal agencies and programs for the remainder of FY 2017 and all of FY 2018. Given current conservative pressures to drastically cut domestic spending and taxes across the board, and with a like-minded administration now in the White House, social conservatives will likely press forward with efforts to significantly reduce or eliminate funding for the more comprehensive programs that currently serve adolescents: the Teen Pregnancy Prevention Program and PREP.</w:t>
      </w:r>
      <w:r w:rsidRPr="00BD576D">
        <w:rPr>
          <w:sz w:val="16"/>
        </w:rPr>
        <w:t xml:space="preserve"> In particular, Congress must reauthorize PREP for the program to survive beyond FY 2017. At the same time, Congress will have the opportunity to reauthorize the Title V abstinence-only program and to set new funding levels for it as well as the smaller grant program for “sexual risk avoidance” education. </w:t>
      </w:r>
      <w:r w:rsidRPr="00BD576D">
        <w:rPr>
          <w:rStyle w:val="Emphasis"/>
        </w:rPr>
        <w:t>Despite the current emphasis on reducing spending levels, proponents of abstinence-only education may seek to ramp up funding in this area without affecting overall spending by diverting money from the more comprehensive programs. Congress and the Trump administration are facing a significant choice: whether to promote ideology over the health and rights of young people, or direct federal investment toward more comprehensive programs in support of their sexual and reproductive health and well-being. Federally funded programs play a key role in guiding the standards and curricula developed and funded at the state and local levels—fundamentally shaping the definition and scope of sex education nationwide. At this critical juncture, how our country chooses to spend federal dollars will speak volumes about our priorities as a nation.</w:t>
      </w:r>
    </w:p>
    <w:p w:rsidR="00A02692" w:rsidRPr="001802F1" w:rsidRDefault="00A02692" w:rsidP="00A02692"/>
    <w:p w:rsidR="00A02692" w:rsidRPr="00A9635E" w:rsidRDefault="00A02692" w:rsidP="00A02692">
      <w:pPr>
        <w:rPr>
          <w:rStyle w:val="Style13ptBold"/>
          <w:b w:val="0"/>
        </w:rPr>
      </w:pPr>
      <w:r>
        <w:rPr>
          <w:u w:val="single"/>
        </w:rPr>
        <w:t xml:space="preserve"> </w:t>
      </w:r>
      <w:r>
        <w:rPr>
          <w:rStyle w:val="Style13ptBold"/>
        </w:rPr>
        <w:t xml:space="preserve">Abstinence-only sex </w:t>
      </w:r>
      <w:proofErr w:type="spellStart"/>
      <w:r>
        <w:rPr>
          <w:rStyle w:val="Style13ptBold"/>
        </w:rPr>
        <w:t>ed</w:t>
      </w:r>
      <w:proofErr w:type="spellEnd"/>
      <w:r>
        <w:rPr>
          <w:rStyle w:val="Style13ptBold"/>
        </w:rPr>
        <w:t xml:space="preserve"> contributes to disproportionate rates of teen pregnancy and STI’s, and perpetuates gendered stereotypes</w:t>
      </w:r>
    </w:p>
    <w:p w:rsidR="00A02692" w:rsidRPr="00A9635E" w:rsidRDefault="00A02692" w:rsidP="00A02692">
      <w:pPr>
        <w:rPr>
          <w:rStyle w:val="Style13ptBold"/>
          <w:b w:val="0"/>
        </w:rPr>
      </w:pPr>
      <w:r>
        <w:rPr>
          <w:rStyle w:val="Style13ptBold"/>
        </w:rPr>
        <w:t xml:space="preserve">LeClair 06 </w:t>
      </w:r>
      <w:r w:rsidRPr="00A9635E">
        <w:rPr>
          <w:rStyle w:val="Style13ptBold"/>
          <w:b w:val="0"/>
          <w:sz w:val="16"/>
          <w:szCs w:val="16"/>
        </w:rPr>
        <w:t xml:space="preserve">[Danielle. J.D., University of Wisconsin. “LET'S TALK ABOUT SEX HONESTLY: WHY FEDERAL ABSTINENCE-ONLY-UNTIL-MARRIAGE EDUCATION PROGRAMS DISCRIMINATE AGAINST GIRLS, ARE BAD PUBLIC POLICY, AND SHOULD BE OVERTURNED.” </w:t>
      </w:r>
      <w:r w:rsidRPr="00A9635E">
        <w:rPr>
          <w:rStyle w:val="Style13ptBold"/>
          <w:b w:val="0"/>
          <w:i/>
          <w:sz w:val="16"/>
          <w:szCs w:val="16"/>
        </w:rPr>
        <w:t xml:space="preserve">Wisconsin Women’s Law Journal, Vol. 21, 291-322. </w:t>
      </w:r>
      <w:r w:rsidRPr="00A9635E">
        <w:rPr>
          <w:rStyle w:val="Style13ptBold"/>
          <w:b w:val="0"/>
          <w:sz w:val="16"/>
          <w:szCs w:val="16"/>
        </w:rPr>
        <w:t>SH.]</w:t>
      </w:r>
    </w:p>
    <w:p w:rsidR="00A02692" w:rsidRPr="00A9635E" w:rsidRDefault="00A02692" w:rsidP="00A02692">
      <w:pPr>
        <w:rPr>
          <w:sz w:val="16"/>
        </w:rPr>
      </w:pPr>
      <w:r w:rsidRPr="00A9635E">
        <w:rPr>
          <w:sz w:val="16"/>
        </w:rPr>
        <w:t xml:space="preserve">1. </w:t>
      </w:r>
      <w:r w:rsidRPr="00A9635E">
        <w:rPr>
          <w:rStyle w:val="StyleUnderline"/>
        </w:rPr>
        <w:t>Abstinence-only programs do not adequately address issues that disproportionately impact girls, including STIs and unwanted teen pregnancy</w:t>
      </w:r>
      <w:r w:rsidRPr="00A9635E">
        <w:rPr>
          <w:sz w:val="16"/>
        </w:rPr>
        <w:t xml:space="preserve">. In most cases, </w:t>
      </w:r>
      <w:r w:rsidRPr="00A9635E">
        <w:rPr>
          <w:rStyle w:val="StyleUnderline"/>
        </w:rPr>
        <w:t>girls have higher rates of sexually transmitted infections than boys</w:t>
      </w:r>
      <w:r w:rsidRPr="00A9635E">
        <w:rPr>
          <w:sz w:val="16"/>
        </w:rPr>
        <w:t xml:space="preserve">. 72 Additionally, although </w:t>
      </w:r>
      <w:r w:rsidRPr="00A9635E">
        <w:rPr>
          <w:rStyle w:val="StyleUnderline"/>
        </w:rPr>
        <w:t xml:space="preserve">teen pregnancy rates for girls in the United States are </w:t>
      </w:r>
      <w:r w:rsidRPr="00A9635E">
        <w:rPr>
          <w:sz w:val="16"/>
        </w:rPr>
        <w:t xml:space="preserve">declining, they are </w:t>
      </w:r>
      <w:r w:rsidRPr="00A9635E">
        <w:rPr>
          <w:rStyle w:val="StyleUnderline"/>
        </w:rPr>
        <w:t>among the highest in the industrialized world</w:t>
      </w:r>
      <w:r w:rsidRPr="00A9635E">
        <w:rPr>
          <w:sz w:val="16"/>
        </w:rPr>
        <w:t xml:space="preserve">.73 Because abstinence-only programs do not teach about contraception, they are doing a disservice to girls by withholding information that could, at the very least, ensure safer reproductive health for the girls and might even save their lives. a. Sexually Transmitted Infections Sexually transmitted infections harm both sexes, but girls often have higher infection rates than boys.74 While </w:t>
      </w:r>
      <w:r w:rsidRPr="00A9635E">
        <w:rPr>
          <w:rStyle w:val="StyleUnderline"/>
        </w:rPr>
        <w:t xml:space="preserve">incidences of HIV among </w:t>
      </w:r>
      <w:r w:rsidRPr="00A9635E">
        <w:rPr>
          <w:sz w:val="16"/>
        </w:rPr>
        <w:t xml:space="preserve">women overall have decreased in the past two decades, among </w:t>
      </w:r>
      <w:r w:rsidRPr="00A9635E">
        <w:rPr>
          <w:rStyle w:val="StyleUnderline"/>
        </w:rPr>
        <w:t>heterosexual women between the ages of fifteen and nineteen</w:t>
      </w:r>
      <w:r w:rsidRPr="00A9635E">
        <w:rPr>
          <w:sz w:val="16"/>
        </w:rPr>
        <w:t xml:space="preserve">, the rates </w:t>
      </w:r>
      <w:r w:rsidRPr="00A9635E">
        <w:rPr>
          <w:rStyle w:val="StyleUnderline"/>
        </w:rPr>
        <w:t>have more than doubled.75 Girls also have higher rates of infection for other STIs. For example, Human Papilloma Virus (HPV) type sixteen</w:t>
      </w:r>
      <w:r w:rsidRPr="00A9635E">
        <w:rPr>
          <w:sz w:val="16"/>
        </w:rPr>
        <w:t xml:space="preserve">, which accounts for about half of all cases of cervical cancers worldwide, </w:t>
      </w:r>
      <w:r w:rsidRPr="00A9635E">
        <w:rPr>
          <w:rStyle w:val="StyleUnderline"/>
        </w:rPr>
        <w:t>was over twice as prevalent in U.S. women as in men.76 Fifteen- to nineteen-year-old girls also have the highest rates of gonorrhea and chlamydia</w:t>
      </w:r>
      <w:r w:rsidRPr="00A9635E">
        <w:rPr>
          <w:sz w:val="16"/>
        </w:rPr>
        <w:t xml:space="preserve">.77 These disturbing facts demonstrate why </w:t>
      </w:r>
      <w:r w:rsidRPr="00A9635E">
        <w:rPr>
          <w:rStyle w:val="StyleUnderline"/>
        </w:rPr>
        <w:t>girls need information to protect themselves from contracting these diseases. Abstinence</w:t>
      </w:r>
      <w:r w:rsidR="00BD397C">
        <w:rPr>
          <w:rStyle w:val="StyleUnderline"/>
        </w:rPr>
        <w:t xml:space="preserve"> </w:t>
      </w:r>
      <w:r w:rsidRPr="00A9635E">
        <w:rPr>
          <w:rStyle w:val="StyleUnderline"/>
        </w:rPr>
        <w:t>only programs do not provide this information</w:t>
      </w:r>
      <w:r w:rsidRPr="00A9635E">
        <w:rPr>
          <w:sz w:val="16"/>
        </w:rPr>
        <w:t xml:space="preserve">, and this omission puts girls' health unnecessarily at risk. Biological reasons explain why girls are at greater risk of contracting an STI than boys.7 s Young women and female adolescents are more susceptible to STI, (sic) compared to their male counterparts, due to their anatomy. During adolescence and young adulthood, women's columnar epithelial cells-which are especially sensitive to invasion by sexually transmitted organisms, such as chlamydia and gonococcus-extend out over the vaginal surface of the cervix, where they are unprotected by cervical mucous, but recede to a more protected location as women age. STIs are more likely to remain undetected in women than in men, resulting in delayed diagnosis and treatment, and untreated STIs are more likely to lead to complications in women, such as pelvic inflammatory disease and cervical cancer.79 Educators should provide girls information about contraception, especially condoms, which can prevent or at least reduce the risk of contracting most STIs.80 This information is necessary to protect their health and even their lives. b. Unwanted Teen Pregnancies </w:t>
      </w:r>
      <w:r w:rsidRPr="00A9635E">
        <w:rPr>
          <w:rStyle w:val="StyleUnderline"/>
        </w:rPr>
        <w:t>Girls are more negatively impacted by unwanted teen pregnancies than boys</w:t>
      </w:r>
      <w:r w:rsidRPr="00A9635E">
        <w:rPr>
          <w:sz w:val="16"/>
        </w:rPr>
        <w:t xml:space="preserve">. According to the National Campaign to Prevent Teen Pregnancy, </w:t>
      </w:r>
      <w:r w:rsidRPr="00A9635E">
        <w:rPr>
          <w:rStyle w:val="StyleUnderline"/>
        </w:rPr>
        <w:t>the United States has the highest rates of teen pregnancy and births in the developed world</w:t>
      </w:r>
      <w:r w:rsidRPr="00A9635E">
        <w:rPr>
          <w:sz w:val="16"/>
        </w:rPr>
        <w:t xml:space="preserve">.8' Moreover, </w:t>
      </w:r>
      <w:r w:rsidRPr="00A9635E">
        <w:rPr>
          <w:rStyle w:val="StyleUnderline"/>
        </w:rPr>
        <w:t>teen pregnancy places a financial burden on the United States, costing at least $9 billion annually</w:t>
      </w:r>
      <w:r w:rsidRPr="00A9635E">
        <w:rPr>
          <w:sz w:val="16"/>
        </w:rPr>
        <w:t xml:space="preserve">.8 2 Although teen pregnancy rates have decreased in the past fifteen years, </w:t>
      </w:r>
      <w:r w:rsidRPr="00A9635E">
        <w:rPr>
          <w:rStyle w:val="StyleUnderline"/>
        </w:rPr>
        <w:t>unwanted pregnancies are still a serious problem for girls, emotionally and financially</w:t>
      </w:r>
      <w:r w:rsidRPr="00A9635E">
        <w:rPr>
          <w:sz w:val="16"/>
        </w:rPr>
        <w:t xml:space="preserve">. 8 3 Therefore, teen pregnancy is a serious problem for both girls and the United States government. </w:t>
      </w:r>
      <w:r w:rsidRPr="00A9635E">
        <w:rPr>
          <w:rStyle w:val="StyleUnderline"/>
        </w:rPr>
        <w:t xml:space="preserve">Abstinence-only programs do girls a disservice by not allowing funding recipients to teach contraception, thereby preventing girls from receiving important information they need to prevent unwanted pregnancies </w:t>
      </w:r>
      <w:r w:rsidRPr="00A9635E">
        <w:rPr>
          <w:sz w:val="16"/>
        </w:rPr>
        <w:t xml:space="preserve">(and also, therefore, abortions).84 </w:t>
      </w:r>
      <w:r w:rsidRPr="00A9635E">
        <w:rPr>
          <w:rStyle w:val="StyleUnderline"/>
        </w:rPr>
        <w:t>Teen mothers and their children suffer disproportionately from unintended pregnancies</w:t>
      </w:r>
      <w:r w:rsidRPr="00A9635E">
        <w:rPr>
          <w:sz w:val="16"/>
        </w:rPr>
        <w:t xml:space="preserve">. For example: * </w:t>
      </w:r>
      <w:r w:rsidRPr="00A9635E">
        <w:rPr>
          <w:rStyle w:val="StyleUnderline"/>
        </w:rPr>
        <w:t xml:space="preserve">Teen mothers are less likely to complete high school (only one-third receive a high school diploma) and only 1.5% have a college degree by age 30. * Teen mothers are more likely to end up on welfare </w:t>
      </w:r>
      <w:r w:rsidRPr="00A9635E">
        <w:rPr>
          <w:sz w:val="16"/>
        </w:rPr>
        <w:t xml:space="preserve">(nearly 80% of unmarried teen mothers end up on welfare). * </w:t>
      </w:r>
      <w:r w:rsidRPr="00A9635E">
        <w:rPr>
          <w:rStyle w:val="StyleUnderline"/>
        </w:rPr>
        <w:t xml:space="preserve">The children of teenage mothers have lower birth weights, are more likely to perform poorly in school, and are at greater risk of abuse and neglect. * The sons of teen mothers are 13 percent </w:t>
      </w:r>
      <w:r w:rsidRPr="00A9635E">
        <w:rPr>
          <w:sz w:val="16"/>
        </w:rPr>
        <w:t xml:space="preserve">(sic) </w:t>
      </w:r>
      <w:r w:rsidRPr="00A9635E">
        <w:rPr>
          <w:rStyle w:val="StyleUnderline"/>
        </w:rPr>
        <w:t xml:space="preserve">more likely to end up in prison while teen daughters are 22 percent </w:t>
      </w:r>
      <w:r w:rsidRPr="00A9635E">
        <w:rPr>
          <w:sz w:val="16"/>
        </w:rPr>
        <w:t xml:space="preserve">(sic) </w:t>
      </w:r>
      <w:r w:rsidRPr="00A9635E">
        <w:rPr>
          <w:rStyle w:val="StyleUnderline"/>
        </w:rPr>
        <w:t>more likely to become teen mothers themselves</w:t>
      </w:r>
      <w:r w:rsidRPr="00A9635E">
        <w:rPr>
          <w:sz w:val="16"/>
        </w:rPr>
        <w:t xml:space="preserve">. 85 Although unintended pregnancies can also affect teenage boys both financially and emotionally, they do not face the same impact as girls. This is because only a girl's physical health can be put at risk due to pregnancy and because this author believes a higher emotional toll results from carrying a baby than from being a sperm donor. c. Abstinence-only programs promote harmful sex stereotypes </w:t>
      </w:r>
      <w:r w:rsidRPr="00A9635E">
        <w:rPr>
          <w:rStyle w:val="StyleUnderline"/>
        </w:rPr>
        <w:t>Abstinence-only programs also enforce and promote harmful stereotypes about male and female sexuality and particularly outdated and insulting stereotypes about girls. This type of biased education is unethical and even illegal</w:t>
      </w:r>
      <w:r w:rsidRPr="00A9635E">
        <w:rPr>
          <w:sz w:val="16"/>
        </w:rPr>
        <w:t xml:space="preserve">.86 </w:t>
      </w:r>
      <w:r w:rsidRPr="00A9635E">
        <w:rPr>
          <w:rStyle w:val="StyleUnderline"/>
        </w:rPr>
        <w:t>Federally-funded abstinence-only programs use curriculum that contains the language such as: "'Because they generally become aroused less easily, females are in a good position to help young men learn balance in relationships by keeping intimacy in perspective."' 87 Another example is: "'A woman is stimulated more by touch and romantic words. She is far more attracted by a man's personality while a man is stimulated by sight. A man is usually less discriminating about those to whom he is physically attracted."' 88 Also, "'Watch what you wear, if you don't aim to please, don't aim to tease.' 8 9 Finally, "'The liberation movement has produced some aggressive girls today, and one of the tough challenges for guys who say no will be the questioning of their manliness."' 90 A radio advertisement by Nevada's abstinence-only coordinator even stated that "girls would feel 'dirty and cheap' when they 'lose' their boyfriends after having [premarital] sex."'" Other such programs diminish girls' professional and academic accomplishments, stereotype girls as weak and in need of protection, and reinforce male sexual aggressiveness</w:t>
      </w:r>
      <w:r w:rsidRPr="00A9635E">
        <w:rPr>
          <w:sz w:val="16"/>
        </w:rPr>
        <w:t xml:space="preserve">.92 The above information is further proof of the importance of preventing teen pregnancies. </w:t>
      </w:r>
      <w:r w:rsidRPr="00A9635E">
        <w:rPr>
          <w:rStyle w:val="StyleUnderline"/>
        </w:rPr>
        <w:t xml:space="preserve">Abstinence-only programs </w:t>
      </w:r>
      <w:r w:rsidRPr="00A9635E">
        <w:rPr>
          <w:sz w:val="16"/>
        </w:rPr>
        <w:t xml:space="preserve">not only do a disservice to girls by putting their unique health needs at risk (denying them information on STIs and pregnancy prevention), but also </w:t>
      </w:r>
      <w:r w:rsidRPr="00A9635E">
        <w:rPr>
          <w:rStyle w:val="StyleUnderline"/>
        </w:rPr>
        <w:t xml:space="preserve">create greater risks </w:t>
      </w:r>
      <w:r w:rsidRPr="00A9635E">
        <w:rPr>
          <w:sz w:val="16"/>
        </w:rPr>
        <w:t xml:space="preserve">to them than they create for boys. By denying girls information on contraception, </w:t>
      </w:r>
      <w:proofErr w:type="spellStart"/>
      <w:r w:rsidRPr="00A9635E">
        <w:rPr>
          <w:sz w:val="16"/>
        </w:rPr>
        <w:t>abstinenceonly</w:t>
      </w:r>
      <w:proofErr w:type="spellEnd"/>
      <w:r w:rsidRPr="00A9635E">
        <w:rPr>
          <w:sz w:val="16"/>
        </w:rPr>
        <w:t xml:space="preserve"> programs harm girls' physical and emotional health more so than boys'. Abstinence-only programs also disproportionately negatively impact girls and perpetuate outdated stereotypes. Therefore, opponents of abstinence-only programs should repeal them in favor of comprehensive sex education programs that teach both abstinence and contraception as important components.</w:t>
      </w:r>
    </w:p>
    <w:p w:rsidR="00A02692" w:rsidRPr="00F4229D" w:rsidRDefault="00A02692" w:rsidP="00A02692"/>
    <w:p w:rsidR="00A02692" w:rsidRPr="00241596" w:rsidRDefault="00A02692" w:rsidP="00A02692">
      <w:pPr>
        <w:pStyle w:val="Heading4"/>
        <w:rPr>
          <w:rStyle w:val="Style13ptBold"/>
          <w:b/>
        </w:rPr>
      </w:pPr>
      <w:r>
        <w:rPr>
          <w:rStyle w:val="Style13ptBold"/>
          <w:b/>
        </w:rPr>
        <w:t xml:space="preserve">Federal action is key to coordination—status quo implementation results in a patchwork of inconsistent practices. </w:t>
      </w:r>
    </w:p>
    <w:p w:rsidR="00A02692" w:rsidRPr="005313C5" w:rsidRDefault="00A02692" w:rsidP="00A02692">
      <w:pPr>
        <w:jc w:val="both"/>
        <w:rPr>
          <w:rStyle w:val="Style13ptBold"/>
          <w:b w:val="0"/>
        </w:rPr>
      </w:pPr>
      <w:r>
        <w:rPr>
          <w:rStyle w:val="Style13ptBold"/>
        </w:rPr>
        <w:t xml:space="preserve">JAH 16 </w:t>
      </w:r>
      <w:r w:rsidRPr="005313C5">
        <w:rPr>
          <w:rStyle w:val="Style13ptBold"/>
          <w:b w:val="0"/>
          <w:sz w:val="16"/>
          <w:szCs w:val="16"/>
        </w:rPr>
        <w:t xml:space="preserve">[Journal of Adolescent Health Editorial. “The State of Sex Education in the United States.” </w:t>
      </w:r>
      <w:r w:rsidRPr="005313C5">
        <w:rPr>
          <w:rStyle w:val="Style13ptBold"/>
          <w:b w:val="0"/>
          <w:i/>
          <w:sz w:val="16"/>
          <w:szCs w:val="16"/>
        </w:rPr>
        <w:t xml:space="preserve">Journal of Adolescent Health 58 (2016) 595-597. </w:t>
      </w:r>
      <w:r w:rsidRPr="005313C5">
        <w:rPr>
          <w:rStyle w:val="Style13ptBold"/>
          <w:b w:val="0"/>
          <w:sz w:val="16"/>
          <w:szCs w:val="16"/>
        </w:rPr>
        <w:t>SH.]</w:t>
      </w:r>
    </w:p>
    <w:p w:rsidR="00A02692" w:rsidRDefault="00A02692" w:rsidP="00A02692">
      <w:pPr>
        <w:jc w:val="both"/>
        <w:rPr>
          <w:sz w:val="16"/>
        </w:rPr>
      </w:pPr>
      <w:r w:rsidRPr="005313C5">
        <w:rPr>
          <w:sz w:val="16"/>
        </w:rPr>
        <w:t xml:space="preserve">At the federal level, the U.S. congress has continued to substantially fund AOUM, and in FY 2016, funding was increased to $85 million per year [3]. This budget was approved despite President Obama’s attempts to end the program after 10 years of opposition and concern from medical and public health professionals, sexuality educators, and the human rights community that AOUM withholds information about condoms and contraception, promotes religious ideologies and gender stereotypes, and stigmatizes adolescents with nonheteronormative sexual identities [7e9,11e13]. Other </w:t>
      </w:r>
      <w:r w:rsidRPr="005313C5">
        <w:rPr>
          <w:rStyle w:val="StyleUnderline"/>
        </w:rPr>
        <w:t xml:space="preserve">federal funding priorities have moved positively toward more medically accurate and </w:t>
      </w:r>
      <w:proofErr w:type="spellStart"/>
      <w:r w:rsidRPr="005313C5">
        <w:rPr>
          <w:rStyle w:val="StyleUnderline"/>
        </w:rPr>
        <w:t>evidencebased</w:t>
      </w:r>
      <w:proofErr w:type="spellEnd"/>
      <w:r w:rsidRPr="005313C5">
        <w:rPr>
          <w:rStyle w:val="StyleUnderline"/>
        </w:rPr>
        <w:t xml:space="preserve"> programs</w:t>
      </w:r>
      <w:r w:rsidRPr="005313C5">
        <w:rPr>
          <w:sz w:val="16"/>
        </w:rPr>
        <w:t xml:space="preserve">, including teen pregnancy prevention programs [1,3,12]. </w:t>
      </w:r>
      <w:r w:rsidRPr="005313C5">
        <w:rPr>
          <w:rStyle w:val="StyleUnderline"/>
        </w:rPr>
        <w:t>These programs, although an improvement from AOUM, are not without their challenges though, as they currently operate within a relatively narrow, restrictive scope of “evidence</w:t>
      </w:r>
      <w:r w:rsidRPr="005313C5">
        <w:rPr>
          <w:sz w:val="16"/>
        </w:rPr>
        <w:t xml:space="preserve">” [12]. At the state level, individual states, districts, and school boards determine implementation of federal policies and funds. </w:t>
      </w:r>
      <w:r w:rsidRPr="005313C5">
        <w:rPr>
          <w:rStyle w:val="StyleUnderline"/>
        </w:rPr>
        <w:t>Limited in-class time and resources leave schools to prioritize sex education in competition with academic subjects and other important health topics</w:t>
      </w:r>
      <w:r w:rsidRPr="005313C5">
        <w:rPr>
          <w:sz w:val="16"/>
        </w:rPr>
        <w:t xml:space="preserve"> such as substance use, bullying, and suicide [4,13,14]. </w:t>
      </w:r>
      <w:r w:rsidRPr="005313C5">
        <w:rPr>
          <w:rStyle w:val="StyleUnderline"/>
        </w:rPr>
        <w:t>Without cohesive or consistent implementation processes, a highly diverse “patchwork” of sex education laws and practices exists</w:t>
      </w:r>
      <w:r w:rsidRPr="005313C5">
        <w:rPr>
          <w:sz w:val="16"/>
        </w:rPr>
        <w:t xml:space="preserve"> [4]. A recent report by the </w:t>
      </w:r>
      <w:proofErr w:type="spellStart"/>
      <w:r w:rsidRPr="005313C5">
        <w:rPr>
          <w:sz w:val="16"/>
        </w:rPr>
        <w:t>Guttmacher</w:t>
      </w:r>
      <w:proofErr w:type="spellEnd"/>
      <w:r w:rsidRPr="005313C5">
        <w:rPr>
          <w:sz w:val="16"/>
        </w:rPr>
        <w:t xml:space="preserve"> Institute noted that although 37 states require abstinence information be provided (25 that it be stressed), only 33 and 18 require HIV and contraceptive information, respectively [1]. Regarding content, quality, and inclusivity, 13 states mandate instruction be medically accurate, 26 that it be age appropriate, eight that it not be race/ethnicity or gender bias, eight that it be inclusive of sexual orientation, and two that it not promote religion [1]. The Centers for Disease Control and Prevention’s 2014 School Health Policies and Practices Study found that high school courses require, on average, 6.2 total hours of instruction on human sexuality, with 4 hours or less on HIV, other sexually transmitted infections (STIs), and pregnancy prevention [15]. Moreover, 69% of high schools notify parents/guardians before students receive such instruction; 87% allow parents/guardians to exclude their children </w:t>
      </w:r>
      <w:proofErr w:type="spellStart"/>
      <w:r w:rsidRPr="005313C5">
        <w:rPr>
          <w:sz w:val="16"/>
        </w:rPr>
        <w:t>fromit</w:t>
      </w:r>
      <w:proofErr w:type="spellEnd"/>
      <w:r w:rsidRPr="005313C5">
        <w:rPr>
          <w:sz w:val="16"/>
        </w:rPr>
        <w:t xml:space="preserve"> [15]. </w:t>
      </w:r>
      <w:r w:rsidRPr="005313C5">
        <w:rPr>
          <w:rStyle w:val="StyleUnderline"/>
        </w:rPr>
        <w:t>Without coordinated plans for implementation, credible guidelines, standards, or curricula, appropriate resources, supportive environments, teacher training, and accountability, it is no wonder that state practices are so disparate</w:t>
      </w:r>
      <w:r w:rsidRPr="005313C5">
        <w:rPr>
          <w:sz w:val="16"/>
        </w:rPr>
        <w:t xml:space="preserve"> [4].</w:t>
      </w:r>
    </w:p>
    <w:p w:rsidR="00A02692" w:rsidRDefault="00A02692" w:rsidP="00A02692">
      <w:pPr>
        <w:jc w:val="both"/>
        <w:rPr>
          <w:sz w:val="16"/>
        </w:rPr>
      </w:pPr>
    </w:p>
    <w:p w:rsidR="00A02692" w:rsidRDefault="00A02692" w:rsidP="00A02692">
      <w:pPr>
        <w:pStyle w:val="Heading4"/>
      </w:pPr>
      <w:r>
        <w:t>And historically, US sex education has reinforced hegemonic forms of heteronormativity, racism, classism, and ableism. Both status quo versions of abstinence only and comprehensive sexual education entrench these paradigms by focusing on preventing sex and sexually transmitted diseases rather than investigating the complex social and political factors that influence sexuality.</w:t>
      </w:r>
    </w:p>
    <w:p w:rsidR="00A02692" w:rsidRDefault="005919EA" w:rsidP="00A02692">
      <w:hyperlink r:id="rId8" w:history="1">
        <w:r w:rsidR="00A02692">
          <w:rPr>
            <w:rStyle w:val="Style13ptBold"/>
          </w:rPr>
          <w:t xml:space="preserve">Elia and Tokunaga, 2015 </w:t>
        </w:r>
        <w:r w:rsidR="00A02692">
          <w:rPr>
            <w:rStyle w:val="Style13ptBold"/>
            <w:b w:val="0"/>
          </w:rPr>
          <w:t>[</w:t>
        </w:r>
        <w:r w:rsidR="00A02692" w:rsidRPr="00A10245">
          <w:t>John P. Elia</w:t>
        </w:r>
      </w:hyperlink>
      <w:r w:rsidR="00A02692" w:rsidRPr="00A10245">
        <w:t>,</w:t>
      </w:r>
      <w:r w:rsidR="00A02692">
        <w:t xml:space="preserve"> </w:t>
      </w:r>
      <w:hyperlink r:id="rId9" w:history="1">
        <w:r w:rsidR="00A02692" w:rsidRPr="00A10245">
          <w:t>Jessica Tokunaga</w:t>
        </w:r>
      </w:hyperlink>
      <w:r w:rsidR="00A02692" w:rsidRPr="00A10245">
        <w:t>, (2015) "Sexuality education: implications for health, equity, and social justice in the United States",</w:t>
      </w:r>
      <w:r w:rsidR="00A02692">
        <w:t xml:space="preserve"> </w:t>
      </w:r>
      <w:r w:rsidR="00A02692" w:rsidRPr="00A10245">
        <w:t>Health Education, Vol. 115 Issue: 1, pp.105-120,</w:t>
      </w:r>
      <w:r w:rsidR="00A02692">
        <w:t xml:space="preserve"> </w:t>
      </w:r>
      <w:hyperlink r:id="rId10" w:history="1">
        <w:r w:rsidR="00A02692" w:rsidRPr="00A10245">
          <w:t>https://doi-org.ezproxy.lib.utexas.edu/10.1108/HE-01-2014-0001</w:t>
        </w:r>
      </w:hyperlink>
      <w:r w:rsidR="00A02692">
        <w:t xml:space="preserve">. SPS] </w:t>
      </w:r>
    </w:p>
    <w:p w:rsidR="00A02692" w:rsidRPr="00F97EA1" w:rsidRDefault="00A02692" w:rsidP="00A02692">
      <w:pPr>
        <w:rPr>
          <w:sz w:val="14"/>
        </w:rPr>
      </w:pPr>
      <w:r w:rsidRPr="00F97EA1">
        <w:rPr>
          <w:rStyle w:val="StyleUnderline"/>
        </w:rPr>
        <w:t>While school-based sexuality education has been taught in the USA since 1913, there have always been problematic aspects. Hegemonic or dominant ideologies have shaped sexuality education in the schools</w:t>
      </w:r>
      <w:r w:rsidRPr="00F97EA1">
        <w:rPr>
          <w:sz w:val="14"/>
        </w:rPr>
        <w:t xml:space="preserve"> making the educational experience inequitable and discriminatory. In this conceptual, theoretical paper, we identify the dominant teachings and practices that have guided sexuality education for about a century. We use a critical pedagogy (connecting learning and reflection on power, authority, and privilege to constructive action) and an anti-oppressive educational theoretical framework (education that works against various forms of oppression) as anchors to trouble and interrogate what has become the status quo of sexuality education. </w:t>
      </w:r>
      <w:r w:rsidRPr="00F97EA1">
        <w:rPr>
          <w:rStyle w:val="StyleUnderline"/>
        </w:rPr>
        <w:t xml:space="preserve">Due to longstanding curricular thinking and practices, this status quo has ended up being mostly heteronormative, sex negative, </w:t>
      </w:r>
      <w:proofErr w:type="spellStart"/>
      <w:r w:rsidRPr="00F97EA1">
        <w:rPr>
          <w:rStyle w:val="StyleUnderline"/>
        </w:rPr>
        <w:t>ableist</w:t>
      </w:r>
      <w:proofErr w:type="spellEnd"/>
      <w:r w:rsidRPr="00F97EA1">
        <w:rPr>
          <w:rStyle w:val="StyleUnderline"/>
        </w:rPr>
        <w:t>, and discriminatory, and in consequence deleterious.</w:t>
      </w:r>
      <w:r w:rsidRPr="00F97EA1">
        <w:rPr>
          <w:sz w:val="14"/>
        </w:rPr>
        <w:t xml:space="preserve"> We examine some of the so-called progressive sexuality education models (e.g. Sexuality Information and Education Council of the United States (SIECUS), a national organization dedicated to comprehensive sexuality education efforts). We show how, </w:t>
      </w:r>
      <w:r w:rsidRPr="00F97EA1">
        <w:rPr>
          <w:rStyle w:val="StyleUnderline"/>
        </w:rPr>
        <w:t>despite some progress, more needs to be done to address issues of inequity and discrimination that are reinforced in the majority of school-based sexuality education efforts</w:t>
      </w:r>
      <w:r w:rsidRPr="00F97EA1">
        <w:rPr>
          <w:sz w:val="14"/>
        </w:rPr>
        <w:t xml:space="preserve">. We will also argue that the ways in which school-based sexuality education has been delivered have been inadequate and in some cases even degrading to the sexual and general health and well-being of school-aged youth. Drawing on the theory of intersectionality (looking specifically at the interconnectedness of race, class, sexuality, gender, ability and nation) and the ecological model of health (which originated in the late 1980s and addresses public health issues on individual, interpersonal, community, institutional, and policy levels) (see </w:t>
      </w:r>
      <w:proofErr w:type="spellStart"/>
      <w:r w:rsidRPr="00F97EA1">
        <w:rPr>
          <w:sz w:val="14"/>
        </w:rPr>
        <w:t>McLeroy</w:t>
      </w:r>
      <w:proofErr w:type="spellEnd"/>
      <w:r w:rsidRPr="00F97EA1">
        <w:rPr>
          <w:sz w:val="14"/>
        </w:rPr>
        <w:t xml:space="preserve"> et al., 1988), </w:t>
      </w:r>
      <w:r w:rsidRPr="00946312">
        <w:rPr>
          <w:rStyle w:val="StyleUnderline"/>
          <w:highlight w:val="yellow"/>
        </w:rPr>
        <w:t>we propose a school-based sexuality education that addresses the multidimensional approach to sexual and general health along physical, social, mental/emotional/psychological, intellectual, and spiritual aspects</w:t>
      </w:r>
      <w:r w:rsidRPr="00F97EA1">
        <w:rPr>
          <w:rStyle w:val="StyleUnderline"/>
        </w:rPr>
        <w:t>. Such an approach is critical of current school-based sexuality education that is not inclusive and proposes a way of thinking about, and carrying out, a more democratic form of sexuality education in schools</w:t>
      </w:r>
      <w:r w:rsidRPr="00F97EA1">
        <w:rPr>
          <w:sz w:val="14"/>
        </w:rPr>
        <w:t xml:space="preserve"> that is responsive to a diverse student body and offers more-effective sexual health promotion. </w:t>
      </w:r>
      <w:r w:rsidRPr="00F97EA1">
        <w:rPr>
          <w:rStyle w:val="StyleUnderline"/>
        </w:rPr>
        <w:t>School-based sexuality education is a critical aspect of the educational experience for young people.</w:t>
      </w:r>
      <w:r w:rsidRPr="00F97EA1">
        <w:rPr>
          <w:sz w:val="14"/>
        </w:rPr>
        <w:t xml:space="preserve"> Although sexuality education in one fashion or another has been a regular feature of schooling in the USA for a little over a century, </w:t>
      </w:r>
      <w:r w:rsidRPr="00F97EA1">
        <w:rPr>
          <w:rStyle w:val="StyleUnderline"/>
        </w:rPr>
        <w:t>it is important to take a close look at the ideologies and practices that have been the basis for most school-based sexuality education efforts</w:t>
      </w:r>
      <w:r w:rsidRPr="00F97EA1">
        <w:rPr>
          <w:sz w:val="14"/>
        </w:rPr>
        <w:t xml:space="preserve"> to provide an analysis of what it has accomplished in terms of promoting the sexual health of school-aged youth. To attempt such an analysis, we begin with a brief historical analysis of school-based sexuality education. Next, we turn to a description of prominent national sexuality education models and programs and less well-known approaches, with close attention to the degree to which these forms of sexuality education have been inclusive, equitable, and responsive to the needs of youth. What follows is a description of critical pedagogy and anti-oppressive education, along with an argument for why these will offer a more equitable and just foundation for offering sexuality education. Finally, we close with a discussion of ways in which sexuality education might be offered to enhance the socio-sexual health of a diverse student population not only by integrating critical pedagogy and anti-oppressive education, but also by using the lenses of the ecological model of health and a holistic view of health. This broader-based approach allows sexuality educators to work both within and outside of the schools to optimize the sexual health of their students and communities. Historical overview of sexuality education in the USA </w:t>
      </w:r>
      <w:r w:rsidRPr="00F97EA1">
        <w:rPr>
          <w:rStyle w:val="StyleUnderline"/>
        </w:rPr>
        <w:t>Sexuality education was first offered in US schools in 1913</w:t>
      </w:r>
      <w:r w:rsidRPr="00F97EA1">
        <w:rPr>
          <w:sz w:val="14"/>
        </w:rPr>
        <w:t xml:space="preserve"> (Moran, 1996). </w:t>
      </w:r>
      <w:r w:rsidRPr="00946312">
        <w:rPr>
          <w:rStyle w:val="StyleUnderline"/>
          <w:highlight w:val="yellow"/>
        </w:rPr>
        <w:t>This educational enterprise grew out of the social hygiene movement during the First World War era, and its primary purpose was to prevent diseases and promote Victorian sexual morality</w:t>
      </w:r>
      <w:r w:rsidRPr="00F97EA1">
        <w:rPr>
          <w:sz w:val="14"/>
        </w:rPr>
        <w:t xml:space="preserve"> (Brandt, 1987; Carter, 2001; Morrow, 1907). As sexuality education became more widespread in the early to mid-twentieth century, it was offered through biological science, health, and physical education curricula. From its earliest days, sexuality education was narrowly </w:t>
      </w:r>
      <w:proofErr w:type="spellStart"/>
      <w:r w:rsidRPr="00F97EA1">
        <w:rPr>
          <w:sz w:val="14"/>
        </w:rPr>
        <w:t>focussed</w:t>
      </w:r>
      <w:proofErr w:type="spellEnd"/>
      <w:r w:rsidRPr="00F97EA1">
        <w:rPr>
          <w:sz w:val="14"/>
        </w:rPr>
        <w:t xml:space="preserve"> on the physical and moral aspects of sexuality. It concerned itself with reproductive anatomy and physiology, emphasized prevention of venereal diseases (VD, currently referred to as sexually transmitted infections (STIs)), and </w:t>
      </w:r>
      <w:proofErr w:type="spellStart"/>
      <w:r w:rsidRPr="00F97EA1">
        <w:rPr>
          <w:sz w:val="14"/>
        </w:rPr>
        <w:t>focussed</w:t>
      </w:r>
      <w:proofErr w:type="spellEnd"/>
      <w:r w:rsidRPr="00F97EA1">
        <w:rPr>
          <w:sz w:val="14"/>
        </w:rPr>
        <w:t xml:space="preserve"> on hygiene. Given that most of the focus was on prevention of disease, the biomedical teachings of sexuality, complete with religious and moral trappings, were in full swing. It is worth noting that a “sex negative” approach − albeit with the good intentions of preventing illness and creating a sexually moral citizenry − prevailed during the early days. Various sexual activities were seen as potentially ruinous. </w:t>
      </w:r>
      <w:r w:rsidRPr="00946312">
        <w:rPr>
          <w:rStyle w:val="StyleUnderline"/>
          <w:highlight w:val="yellow"/>
        </w:rPr>
        <w:t>The overarching message of sexuality education was that sexual activities were reserved and best suited for married individuals for the express purpose of procreation</w:t>
      </w:r>
      <w:r w:rsidRPr="00F97EA1">
        <w:rPr>
          <w:sz w:val="14"/>
        </w:rPr>
        <w:t xml:space="preserve"> (Jones, 2011). </w:t>
      </w:r>
      <w:r w:rsidRPr="00F97EA1">
        <w:rPr>
          <w:rStyle w:val="StyleUnderline"/>
        </w:rPr>
        <w:t>There was considerable fear and anxiety about sexuality in the early twentieth century.</w:t>
      </w:r>
      <w:r w:rsidRPr="00F97EA1">
        <w:rPr>
          <w:sz w:val="14"/>
        </w:rPr>
        <w:t xml:space="preserve"> There was fear of prostitutes spreading VD (Moran, 2000); there was fear of masturbation and its potential ill effects on health; and </w:t>
      </w:r>
      <w:r w:rsidRPr="00F97EA1">
        <w:rPr>
          <w:rStyle w:val="StyleUnderline"/>
        </w:rPr>
        <w:t>there was general fear about the potential unraveling of the moral fabric of American society due to sexually “acting out”</w:t>
      </w:r>
      <w:r w:rsidRPr="00F97EA1">
        <w:rPr>
          <w:sz w:val="14"/>
        </w:rPr>
        <w:t xml:space="preserve"> (Strong, 1972). This is not surprising given that the inception of school-based sexuality education took place shortly after the official end of the Victorian Era, a period noted for extolling sexual prudery. </w:t>
      </w:r>
      <w:r w:rsidRPr="00F97EA1">
        <w:rPr>
          <w:rStyle w:val="StyleUnderline"/>
        </w:rPr>
        <w:t>Sexuality was considered dangerous, and the job of sexuality education was to tame and contain it to its “rightful place” in American society</w:t>
      </w:r>
      <w:r w:rsidRPr="00F97EA1">
        <w:rPr>
          <w:sz w:val="14"/>
        </w:rPr>
        <w:t xml:space="preserve"> − the marital bedroom. This necessarily meant that sexuality education </w:t>
      </w:r>
      <w:proofErr w:type="spellStart"/>
      <w:r w:rsidRPr="00F97EA1">
        <w:rPr>
          <w:sz w:val="14"/>
        </w:rPr>
        <w:t>focussed</w:t>
      </w:r>
      <w:proofErr w:type="spellEnd"/>
      <w:r w:rsidRPr="00F97EA1">
        <w:rPr>
          <w:sz w:val="14"/>
        </w:rPr>
        <w:t xml:space="preserve"> heavily on the virtues of reproductive sexuality (Strong, 1972), and all else was mostly ignored. </w:t>
      </w:r>
      <w:r w:rsidRPr="00F97EA1">
        <w:rPr>
          <w:rStyle w:val="StyleUnderline"/>
        </w:rPr>
        <w:t xml:space="preserve">A careful examination of the historical aspects of sexuality education uncovers the realities that the curriculum was heteronormative, exclusionary, and negative </w:t>
      </w:r>
      <w:r w:rsidRPr="00F97EA1">
        <w:rPr>
          <w:sz w:val="14"/>
        </w:rPr>
        <w:t xml:space="preserve">in tone (Moran, 2000). Ironically, even though a fair amount of sexuality education was offered in the health and hygiene curricula in schools, many efforts to promote sexual health, or health in general, were hampered due to the approach school personnel had toward sexuality. </w:t>
      </w:r>
      <w:r w:rsidRPr="00F97EA1">
        <w:rPr>
          <w:rStyle w:val="StyleUnderline"/>
        </w:rPr>
        <w:t xml:space="preserve">Sexuality education efforts did not include sensitivity to lesbian, gay, bisexual, trans, queer (LGBTQ) individuals, the racial and ethnic issues, socioeconomic class, ability, and other identities of difference. </w:t>
      </w:r>
      <w:r w:rsidRPr="00F97EA1">
        <w:rPr>
          <w:sz w:val="14"/>
        </w:rPr>
        <w:t xml:space="preserve">Perhaps even as remarkable is the fact “[…] that both attitudes about sexuality education as well as curricular content have remained remarkably constant for nearly a century” (Elia, 2009, p. 33; also see McKay, 1999; Moran, 2000). An examination of current sexuality education programs illustrates the many limitations and problems that are in serious need of reconceptualization and reform to better serve the sexual health needs of youth (Thomson, 1994). Current sexuality education programs Brief overview of comprehensive sexuality education and abstinence-only education </w:t>
      </w:r>
      <w:r w:rsidRPr="00F97EA1">
        <w:rPr>
          <w:rStyle w:val="StyleUnderline"/>
        </w:rPr>
        <w:t>Currently, there are two main routes that school-based sexuality education follows in the USA: comprehensive sexuality education and abstinence-only</w:t>
      </w:r>
      <w:r w:rsidRPr="00F97EA1">
        <w:rPr>
          <w:sz w:val="14"/>
        </w:rPr>
        <w:t xml:space="preserve"> sexuality education. Comprehensive sexuality education is defined as education that includes human sexual anatomy, sexual reproduction, sexual intercourse, reproductive health, emotional relations, reproductive rights and responsibilities, abstinence, and contraception, with a focus on youth decision-making and autonomy (</w:t>
      </w:r>
      <w:proofErr w:type="spellStart"/>
      <w:r w:rsidRPr="00F97EA1">
        <w:rPr>
          <w:sz w:val="14"/>
        </w:rPr>
        <w:t>Boonstra</w:t>
      </w:r>
      <w:proofErr w:type="spellEnd"/>
      <w:r w:rsidRPr="00F97EA1">
        <w:rPr>
          <w:sz w:val="14"/>
        </w:rPr>
        <w:t>, 2009). Abstinence-only sexuality education programs convey the overarching message that abstinence from all sexual activity outside marriage is the expected standard for youth and emphasize the social, physical, emotional, and mental benefits of abstaining from sexuality until marriage. Comprehensive sexuality education has been proven to be more effective than abstinence-only education in delaying sexual activity and increasing safer sexuality behaviors such as increased contraceptive use, fewer sexual partners and reduced frequency of sexuality. The overarching goal is to lower rates of teen pregnancy and STI contraction (Advocates for Youth, 2013; Stanger-Hall and Hall, 2011; Williams, 2011). Federally defined abstinence-only sexuality education must be scientifically accurate, but many of these programs are not evidence-based and rely on religion and fear as primary curriculum components in teaching about sexual health and sexuality to youth (</w:t>
      </w:r>
      <w:proofErr w:type="spellStart"/>
      <w:r w:rsidRPr="00F97EA1">
        <w:rPr>
          <w:sz w:val="14"/>
        </w:rPr>
        <w:t>Boonstra</w:t>
      </w:r>
      <w:proofErr w:type="spellEnd"/>
      <w:r w:rsidRPr="00F97EA1">
        <w:rPr>
          <w:sz w:val="14"/>
        </w:rPr>
        <w:t xml:space="preserve">, 2009; Malone and Rodriguez, 2011; McKeon, 2006; Stanger-Hall and Hall, 2011). Not all programming, however, falls into these two distinct categories. Some education programs that fall under the “abstinence-based” category also offer some factual information about contraceptive methods (Elia and </w:t>
      </w:r>
      <w:proofErr w:type="spellStart"/>
      <w:r w:rsidRPr="00F97EA1">
        <w:rPr>
          <w:sz w:val="14"/>
        </w:rPr>
        <w:t>Eliason</w:t>
      </w:r>
      <w:proofErr w:type="spellEnd"/>
      <w:r w:rsidRPr="00F97EA1">
        <w:rPr>
          <w:sz w:val="14"/>
        </w:rPr>
        <w:t xml:space="preserve">, 2009; Wilson, 2000). In fact, </w:t>
      </w:r>
      <w:r w:rsidRPr="00F97EA1">
        <w:rPr>
          <w:rStyle w:val="StyleUnderline"/>
        </w:rPr>
        <w:t>most programs and educators fall somewhere on the spectrum between comprehensive and abstinence-only education</w:t>
      </w:r>
      <w:r w:rsidRPr="00F97EA1">
        <w:rPr>
          <w:sz w:val="14"/>
        </w:rPr>
        <w:t xml:space="preserve"> (Kelly, 2005). </w:t>
      </w:r>
      <w:r w:rsidRPr="00946312">
        <w:rPr>
          <w:rStyle w:val="StyleUnderline"/>
          <w:highlight w:val="yellow"/>
        </w:rPr>
        <w:t>Largely missing from many of these educational programs are discussions about larger social contexts and factors that play in the development of individual sexual identity and of disparities in sexual rights, freedom, and expression of certain minority groups</w:t>
      </w:r>
      <w:r w:rsidRPr="00946312">
        <w:rPr>
          <w:sz w:val="14"/>
          <w:highlight w:val="yellow"/>
        </w:rPr>
        <w:t xml:space="preserve"> (</w:t>
      </w:r>
      <w:r w:rsidRPr="00946312">
        <w:rPr>
          <w:rStyle w:val="StyleUnderline"/>
          <w:highlight w:val="yellow"/>
        </w:rPr>
        <w:t>such as LGBTQ, youth of color, and youth with disabilities</w:t>
      </w:r>
      <w:r w:rsidRPr="00F97EA1">
        <w:rPr>
          <w:sz w:val="14"/>
        </w:rPr>
        <w:t xml:space="preserve">). While some educational resources contain elements of these types of discourses, most curricula and lesson plans contain little to no information about those minority populations. It stands to reason that </w:t>
      </w:r>
      <w:r w:rsidRPr="00F97EA1">
        <w:rPr>
          <w:rStyle w:val="StyleUnderline"/>
        </w:rPr>
        <w:t>it is detrimental in general for all students to lack this deeper level of critical thought about their sexual identities and how social and political structures influence the way people are viewed as sexual beings</w:t>
      </w:r>
      <w:r w:rsidRPr="00F97EA1">
        <w:rPr>
          <w:sz w:val="14"/>
        </w:rPr>
        <w:t xml:space="preserve">. Availability of sexuality education resources </w:t>
      </w:r>
      <w:r w:rsidRPr="00F97EA1">
        <w:rPr>
          <w:rStyle w:val="StyleUnderline"/>
        </w:rPr>
        <w:t>In the USA, there is no national sexuality education curriculum. There are only sexuality education standards. Thus, it is up to individual schools and teachers to develop their own lesson plans and decide which concepts to focus on within their classrooms.</w:t>
      </w:r>
      <w:r w:rsidRPr="00F97EA1">
        <w:rPr>
          <w:sz w:val="14"/>
        </w:rPr>
        <w:t xml:space="preserve"> Some states have topical requirements that teachers must cover in the sexuality education unit, but evaluation of the scope and depth that teachers actually go into each subject has not been fully examined (Moore and </w:t>
      </w:r>
      <w:proofErr w:type="spellStart"/>
      <w:r w:rsidRPr="00F97EA1">
        <w:rPr>
          <w:sz w:val="14"/>
        </w:rPr>
        <w:t>Rienzo</w:t>
      </w:r>
      <w:proofErr w:type="spellEnd"/>
      <w:r w:rsidRPr="00F97EA1">
        <w:rPr>
          <w:sz w:val="14"/>
        </w:rPr>
        <w:t xml:space="preserve">, 2000). There are a few curricula that are made available to local schools that are developed by local agencies such as Planned Parenthood local affiliates (e.g. Planned Parenthood Arizona Inc., 2014; Planned Parenthood Santa Barbara Ventura &amp; San Luis Obispo Counties Inc., 2014) and public health departments. Local teachers can sometimes receive training from those agencies on how to implement the curricula in their classrooms (King County, 2014; Planned Parenthood League of Massachusetts, 2014). Many sexuality educators typically piece together their own lesson plans and curricula from national resources such as SIECUS (SIECUS, 2014) that have developed classroom activities that focus on a variety of sexual topics. These national resources are available for both comprehensive sexuality education and abstinence-only programs. The risk of being able to develop their own curricula using resources such as SIECUS is that teachers have the power to focus on teaching the issues they are most comfortable discussing with students or topics they agree with morally (Moore and </w:t>
      </w:r>
      <w:proofErr w:type="spellStart"/>
      <w:r w:rsidRPr="00F97EA1">
        <w:rPr>
          <w:sz w:val="14"/>
        </w:rPr>
        <w:t>Rienzo</w:t>
      </w:r>
      <w:proofErr w:type="spellEnd"/>
      <w:r w:rsidRPr="00F97EA1">
        <w:rPr>
          <w:sz w:val="14"/>
        </w:rPr>
        <w:t xml:space="preserve">, 2000). Thus, </w:t>
      </w:r>
      <w:r w:rsidRPr="00F97EA1">
        <w:rPr>
          <w:rStyle w:val="StyleUnderline"/>
        </w:rPr>
        <w:t>sexuality education and the choice of topics to be highlighted or “brushed over” are highly dependent on the individual teacher or school culture, which means that different students receive different information about sexuality.</w:t>
      </w:r>
      <w:r w:rsidRPr="00F97EA1">
        <w:rPr>
          <w:sz w:val="14"/>
        </w:rPr>
        <w:t xml:space="preserve"> While other school subjects such as history or biology are relatively regulated and similar across the nation, sexuality education varies dramatically even within school districts (Kelly, 2005; Moore and </w:t>
      </w:r>
      <w:proofErr w:type="spellStart"/>
      <w:r w:rsidRPr="00F97EA1">
        <w:rPr>
          <w:sz w:val="14"/>
        </w:rPr>
        <w:t>Rienzo</w:t>
      </w:r>
      <w:proofErr w:type="spellEnd"/>
      <w:r w:rsidRPr="00F97EA1">
        <w:rPr>
          <w:sz w:val="14"/>
        </w:rPr>
        <w:t xml:space="preserve">, 2000). In general, however, the national resources are </w:t>
      </w:r>
      <w:proofErr w:type="spellStart"/>
      <w:r w:rsidRPr="00F97EA1">
        <w:rPr>
          <w:sz w:val="14"/>
        </w:rPr>
        <w:t>focussed</w:t>
      </w:r>
      <w:proofErr w:type="spellEnd"/>
      <w:r w:rsidRPr="00F97EA1">
        <w:rPr>
          <w:sz w:val="14"/>
        </w:rPr>
        <w:t xml:space="preserve"> more on preventing disease than on enhancing the sexual well-being of American youth. While some resources are more progressive in terms of including diverse and frequently overlooked populations, present-day sexuality education is largely unstructured, inconsistent and based upon individual, familial and community morals of heteronormativity (Elia and </w:t>
      </w:r>
      <w:proofErr w:type="spellStart"/>
      <w:r w:rsidRPr="00F97EA1">
        <w:rPr>
          <w:sz w:val="14"/>
        </w:rPr>
        <w:t>Eliason</w:t>
      </w:r>
      <w:proofErr w:type="spellEnd"/>
      <w:r w:rsidRPr="00F97EA1">
        <w:rPr>
          <w:sz w:val="14"/>
        </w:rPr>
        <w:t xml:space="preserve">, 2010; Kelly, 2005). For instance, the topic of abortion is widely contested in both political and social circles, and there is no uniform or standard way to discuss this issue. Some schools choose to avoid discussions about abortion altogether; others teach that abortion is a sin; and some stick to “just the facts,” ignoring discussions about the social and economic circumstances that revolve around abortion. This means that the information students receive about abortion depends on what their particular school or teacher chooses to focus on (Kelly, 2005). Discussion about LGBTQ groups also varies greatly and is highly dependent on the current social and political culture of the surrounding community and of the school itself. Some sexuality education programs (such as SIECUS) contain activities aimed at educating students about sexual orientation. Many others (primarily abstinence-only curricula) do not incorporate this information and thus can further promote fear, stigma, and, in some cases, violence against these youth (Connell and Elliot, 2009; Elia and </w:t>
      </w:r>
      <w:proofErr w:type="spellStart"/>
      <w:r w:rsidRPr="00F97EA1">
        <w:rPr>
          <w:sz w:val="14"/>
        </w:rPr>
        <w:t>Eliason</w:t>
      </w:r>
      <w:proofErr w:type="spellEnd"/>
      <w:r w:rsidRPr="00F97EA1">
        <w:rPr>
          <w:sz w:val="14"/>
        </w:rPr>
        <w:t>, 2009; Kelly, 2005). Examples of currently used school-based sexuality education resources The next section contains brief descriptions and critiques[1] of more well-known and utilized sexuality education resources. Some of the newer resources consist of web sites geared toward providing information directly to youth but have activities and lesson plans available to educators for curriculum development. The authors critique the following resources according to their own professional use and experience in the teaching of school-based sexuality education. Abstinence only In recent years, there has been a stark decline in the use of abstinence-only sexuality education curricula (e.g. the Abstinence-Centered Education Program (AEP) (Texas Department of State Health Services, 2014), Aspire and Excel (Care Net Abstinence Educators, 2014)), mostly due to the decrease in federal funding of abstinence-only programs. Since the end of President Bush’s administration in 2009, numerous studies have demonstrated the ineffectiveness of these curricula. Drawing on this evidence, the USA Congress and President Obama have rejected further mass funding for abstinence-only programs. In 2009, 23 states and the District of Columbia declined Title V federal funding for abstinence-only programming, which clearly indicates a great change in sexuality education (</w:t>
      </w:r>
      <w:proofErr w:type="spellStart"/>
      <w:r w:rsidRPr="00F97EA1">
        <w:rPr>
          <w:sz w:val="14"/>
        </w:rPr>
        <w:t>Boonstra</w:t>
      </w:r>
      <w:proofErr w:type="spellEnd"/>
      <w:r w:rsidRPr="00F97EA1">
        <w:rPr>
          <w:sz w:val="14"/>
        </w:rPr>
        <w:t>, 2009). Some states and school districts continue to promote these programs, but for the most part, some elements of comprehensive sexuality education are included in class (</w:t>
      </w:r>
      <w:proofErr w:type="spellStart"/>
      <w:r w:rsidRPr="00F97EA1">
        <w:rPr>
          <w:sz w:val="14"/>
        </w:rPr>
        <w:t>Boonstra</w:t>
      </w:r>
      <w:proofErr w:type="spellEnd"/>
      <w:r w:rsidRPr="00F97EA1">
        <w:rPr>
          <w:sz w:val="14"/>
        </w:rPr>
        <w:t xml:space="preserve">, 2009; Elia and </w:t>
      </w:r>
      <w:proofErr w:type="spellStart"/>
      <w:r w:rsidRPr="00F97EA1">
        <w:rPr>
          <w:sz w:val="14"/>
        </w:rPr>
        <w:t>Eliason</w:t>
      </w:r>
      <w:proofErr w:type="spellEnd"/>
      <w:r w:rsidRPr="00F97EA1">
        <w:rPr>
          <w:sz w:val="14"/>
        </w:rPr>
        <w:t xml:space="preserve">, 2009). </w:t>
      </w:r>
      <w:r w:rsidRPr="00F97EA1">
        <w:rPr>
          <w:rStyle w:val="StyleUnderline"/>
        </w:rPr>
        <w:t>Abstinence-only programs have largely been found to deliver inaccurate information about the effectiveness of contraceptive methods and false information about abortion, to teach biased views of religion and gender, and to contain no information about safe sexuality practices such as using contraceptives or testing for STIs</w:t>
      </w:r>
      <w:r w:rsidRPr="00F97EA1">
        <w:rPr>
          <w:sz w:val="14"/>
        </w:rPr>
        <w:t xml:space="preserve"> (</w:t>
      </w:r>
      <w:proofErr w:type="spellStart"/>
      <w:r w:rsidRPr="00F97EA1">
        <w:rPr>
          <w:sz w:val="14"/>
        </w:rPr>
        <w:t>Boonstra</w:t>
      </w:r>
      <w:proofErr w:type="spellEnd"/>
      <w:r w:rsidRPr="00F97EA1">
        <w:rPr>
          <w:sz w:val="14"/>
        </w:rPr>
        <w:t xml:space="preserve">, 2009; McKeon, 2006). These programs focus on waiting to have sex until marriage as the only socially acceptable and healthy way to have sex. They use tactics of fear and judgment to “teach” young people about the dangers of sex (Malone and Rodriguez, 2011; McKeon, 2006; Stanger-Hall and Hall, 2011). Rigorous evaluative studies (referenced below) on the effectiveness of abstinence-only sexuality education programs have shown that these types of programs are not effective in delaying sex for a significant amount of time, decreasing the number of partners, or preventing teen pregnancy or STIs (Kirby and </w:t>
      </w:r>
      <w:proofErr w:type="spellStart"/>
      <w:r w:rsidRPr="00F97EA1">
        <w:rPr>
          <w:sz w:val="14"/>
        </w:rPr>
        <w:t>Laris</w:t>
      </w:r>
      <w:proofErr w:type="spellEnd"/>
      <w:r w:rsidRPr="00F97EA1">
        <w:rPr>
          <w:sz w:val="14"/>
        </w:rPr>
        <w:t>, 2009; Lindberg and Maddow-</w:t>
      </w:r>
      <w:proofErr w:type="spellStart"/>
      <w:r w:rsidRPr="00F97EA1">
        <w:rPr>
          <w:sz w:val="14"/>
        </w:rPr>
        <w:t>Zimet</w:t>
      </w:r>
      <w:proofErr w:type="spellEnd"/>
      <w:r w:rsidRPr="00F97EA1">
        <w:rPr>
          <w:sz w:val="14"/>
        </w:rPr>
        <w:t xml:space="preserve">, 2012; McKeon, 2006; Stanger-Hall and Hall, 2011). </w:t>
      </w:r>
      <w:r w:rsidRPr="00F97EA1">
        <w:rPr>
          <w:rStyle w:val="StyleUnderline"/>
        </w:rPr>
        <w:t>Not only does abstinence-only sexuality education often lack correct information about safer sex behaviors, but the moralistic curriculum blurs science and religion, teaches gender norms as scientific fact, and instills homophobic attitudes and sexual shaming of any person who appears to step out of the sexual “norm.” This type of education is heteronormative and based upon the idea that sexuality is shameful, dangerous and only for the privilege of white, middle-class married heterosexual couples when used only for procreation</w:t>
      </w:r>
      <w:r w:rsidRPr="00F97EA1">
        <w:rPr>
          <w:sz w:val="14"/>
        </w:rPr>
        <w:t xml:space="preserve"> (Elia and </w:t>
      </w:r>
      <w:proofErr w:type="spellStart"/>
      <w:r w:rsidRPr="00F97EA1">
        <w:rPr>
          <w:sz w:val="14"/>
        </w:rPr>
        <w:t>Eliason</w:t>
      </w:r>
      <w:proofErr w:type="spellEnd"/>
      <w:r w:rsidRPr="00F97EA1">
        <w:rPr>
          <w:sz w:val="14"/>
        </w:rPr>
        <w:t xml:space="preserve">, 2009). Comprehensive sexuality education SIECUS </w:t>
      </w:r>
      <w:proofErr w:type="spellStart"/>
      <w:r w:rsidRPr="00F97EA1">
        <w:rPr>
          <w:sz w:val="14"/>
        </w:rPr>
        <w:t>SIECUS</w:t>
      </w:r>
      <w:proofErr w:type="spellEnd"/>
      <w:r w:rsidRPr="00F97EA1">
        <w:rPr>
          <w:sz w:val="14"/>
        </w:rPr>
        <w:t xml:space="preserve"> (2014) is the most-used source of comprehensive sexuality education and dictates the standards of what constitutes comprehensive information. This resource contains numerous lesson plans that are categorized by grade-level appropriateness and topic but has few options for adaptable variations for different groups of youth. SIECUS’s mission statement is to “advocate for the right of all people to accurate information, </w:t>
      </w:r>
      <w:r w:rsidRPr="00F97EA1">
        <w:rPr>
          <w:rStyle w:val="StyleUnderline"/>
        </w:rPr>
        <w:t>comprehensive education about sexuality,</w:t>
      </w:r>
      <w:r w:rsidRPr="00F97EA1">
        <w:rPr>
          <w:sz w:val="14"/>
        </w:rPr>
        <w:t xml:space="preserve"> and sexual health services. SIECUS works to create a world that ensures social justice and sexual rights” (SIECUS, 2014; “About Us”). </w:t>
      </w:r>
      <w:r w:rsidRPr="00F97EA1">
        <w:rPr>
          <w:rStyle w:val="StyleUnderline"/>
        </w:rPr>
        <w:t>While</w:t>
      </w:r>
      <w:r w:rsidRPr="00F97EA1">
        <w:rPr>
          <w:sz w:val="14"/>
        </w:rPr>
        <w:t xml:space="preserve"> SIECUS </w:t>
      </w:r>
      <w:r w:rsidRPr="00F97EA1">
        <w:rPr>
          <w:rStyle w:val="StyleUnderline"/>
        </w:rPr>
        <w:t>contain[</w:t>
      </w:r>
      <w:proofErr w:type="spellStart"/>
      <w:r w:rsidRPr="00F97EA1">
        <w:rPr>
          <w:rStyle w:val="StyleUnderline"/>
        </w:rPr>
        <w:t>ing</w:t>
      </w:r>
      <w:proofErr w:type="spellEnd"/>
      <w:r w:rsidRPr="00F97EA1">
        <w:rPr>
          <w:rStyle w:val="StyleUnderline"/>
        </w:rPr>
        <w:t>] information about teaching contraceptive method use, STIs, HIV, pregnancy and anatomy, there is very little attention paid toward discussing wider social factors that influence sexual health and sexual identity.</w:t>
      </w:r>
      <w:r w:rsidRPr="00F97EA1">
        <w:rPr>
          <w:sz w:val="14"/>
        </w:rPr>
        <w:t xml:space="preserve"> There is factual, medical information about topics such as sexual orientation but little about one’s sexual identity and fluidity (Elia and </w:t>
      </w:r>
      <w:proofErr w:type="spellStart"/>
      <w:r w:rsidRPr="00F97EA1">
        <w:rPr>
          <w:sz w:val="14"/>
        </w:rPr>
        <w:t>Eliason</w:t>
      </w:r>
      <w:proofErr w:type="spellEnd"/>
      <w:r w:rsidRPr="00F97EA1">
        <w:rPr>
          <w:sz w:val="14"/>
        </w:rPr>
        <w:t xml:space="preserve">, 2009; also see SIECUS, 2014). </w:t>
      </w:r>
      <w:r w:rsidRPr="00F97EA1">
        <w:rPr>
          <w:rStyle w:val="StyleUnderline"/>
        </w:rPr>
        <w:t>Groups of LGBTQ youth are given universal defining factors and are depicted as a homogenous population with uniform values, characteristics, and sexual practices, when there are innumerable differences</w:t>
      </w:r>
      <w:r w:rsidRPr="00F97EA1">
        <w:rPr>
          <w:sz w:val="14"/>
        </w:rPr>
        <w:t xml:space="preserve"> among all LGBTQ individuals (Elia and </w:t>
      </w:r>
      <w:proofErr w:type="spellStart"/>
      <w:r w:rsidRPr="00F97EA1">
        <w:rPr>
          <w:sz w:val="14"/>
        </w:rPr>
        <w:t>Eliason</w:t>
      </w:r>
      <w:proofErr w:type="spellEnd"/>
      <w:r w:rsidRPr="00F97EA1">
        <w:rPr>
          <w:sz w:val="14"/>
        </w:rPr>
        <w:t xml:space="preserve">, 2010; also see SIECUS, 2014). Sexuality lessons focus on orientation and LGBTQ issues, not on how other aspects of person identity affect a person’s sexual sense of self such as race, economic status, citizenship or disability. </w:t>
      </w:r>
      <w:r w:rsidRPr="00F97EA1">
        <w:rPr>
          <w:sz w:val="12"/>
          <w:szCs w:val="12"/>
        </w:rPr>
        <w:t xml:space="preserve">The guidelines, standards and lessons developed and supported by SIECUS are used nationally by many nonprofit organizations, health departments, schools, and families, so the content produced by SIECUS is powerful in influencing what is taught and </w:t>
      </w:r>
      <w:proofErr w:type="spellStart"/>
      <w:r w:rsidRPr="00F97EA1">
        <w:rPr>
          <w:sz w:val="12"/>
          <w:szCs w:val="12"/>
        </w:rPr>
        <w:t>focussed</w:t>
      </w:r>
      <w:proofErr w:type="spellEnd"/>
      <w:r w:rsidRPr="00F97EA1">
        <w:rPr>
          <w:sz w:val="12"/>
          <w:szCs w:val="12"/>
        </w:rPr>
        <w:t xml:space="preserve"> on in sexuality education. Planned Parenthood Federation of America Planned Parenthood Federation of America’s (Planned Parenthood, 2013) resources for educators are based upon resources from other sources such as Advocates for Youth (2013) and SIECUS (2014). There is no official Planned Parenthood sexuality education curriculum, but the organization offers many informational templates for educators to use in providing information (Planned Parenthood, 2013). The main focus of the resources, however, is medicalization of sexuality and prevention of pregnancy and STIs. Planned Parenthood educators are main sources of educational materials for the classroom (contraceptive demonstration kits and pamphlets) and classroom presentations on contraception, refusal skills, STIs, and how to access sexual health services. At its core, Planned Parenthood is a healthcare provider, so while there may be some lesson components that examine social issues related to sexual health, the main focus is maintaining sexual health in the disease- and pregnancy-prevention context. The typical Planned Parenthood resources and activities are missing components that hit on larger social issues within sexuality and instead focus on sexuality only in terms of disease and danger. Our whole Lives Lifespan Sexuality Education Curricula Our Whole Lives (Unitarian Universalist Association, 2014) is a series of sexuality education curricula developed by the Unitarian Universalist Church. Though developed by a religious institution, it claims to neither have a religious doctrine nor be based on the Bible. This curriculum was developed to be implemented outside of school and focusses on human development, relationships, personal skills, sexual behavior, sexual health, and society and culture. The lesson plans begin as early as kindergarten and include lessons for adults. With older groups, there are lessons that include information on positive lovemaking, masturbation, sexual orientation, disability and sexuality, and contraceptive methods and STIs (Unitarian Universalist Association, 2014). This appears to be comprehensive with emphasis on discussion and internal reflection on individual values in making decisions regarding sexual health. Some youth may not feel comfortable or safe discussing sex and sexuality with family members or the religious community, so this may not be an option for those young people to receive sexuality education. Though the discussions within this curriculum are meant to be open and nonjudgmental, there are specific behaviors that some adults (both parents and religious leaders) would prefer their children to engage in, and that can influence children’s values about sexual behavior and their own sexuality (Sex, etc. 2013). Sex, </w:t>
      </w:r>
      <w:proofErr w:type="spellStart"/>
      <w:r w:rsidRPr="00F97EA1">
        <w:rPr>
          <w:sz w:val="12"/>
          <w:szCs w:val="12"/>
        </w:rPr>
        <w:t>etc</w:t>
      </w:r>
      <w:proofErr w:type="spellEnd"/>
      <w:r w:rsidRPr="00F97EA1">
        <w:rPr>
          <w:sz w:val="12"/>
          <w:szCs w:val="12"/>
        </w:rPr>
        <w:t xml:space="preserve"> Sex, etc. (2013) is a web site and print magazine that includes youth as writers, editors and contributors to articles and activities that focus on educating young people about sexuality. This resource is affiliated with Rutgers University and is published by Answer, a national organization that provides access to information about sexuality to young people and adult educators (Sex, etc. 2013). This is one of the more unusual resources available because it has a high level of youth involvement and the topics are driven by youth choice. There are components that involve information about contraception, STIs, anatomy and physiology, as well as social commentary on LGBTQ youth rights and experiences of youth of color and disability. The youth contributors touch more upon the intersection of race, gender, sexuality, citizenship, and disability and provide more open spaces for young people to converse nationally about these issues in sexuality education. The youth participation on Sex, etc. helps to ensure that diverse identities are included in discussions of sexuality education and that sexuality education is participatory for youth. Advocates for Youth Advocates for Youth (2013) is a database of resources that promote comprehensive sexuality education for young people in both school and home settings. This organization was founded in 1980 and has continued to develop many positive educational resources including separate web sites that focus individually on minority groups of youth such as Spanish-speaking LGBTQ (AmbienteJoven.org), young women of color (mysistahs.org), and LGBTQ youth (youthresource.org). Most of these newer web sites have youth contributors and focus on raising discussions about sexuality within these groups. The central Advocates for Youth web site has resources for educators </w:t>
      </w:r>
      <w:proofErr w:type="spellStart"/>
      <w:r w:rsidRPr="00F97EA1">
        <w:rPr>
          <w:sz w:val="12"/>
          <w:szCs w:val="12"/>
        </w:rPr>
        <w:t>focussing</w:t>
      </w:r>
      <w:proofErr w:type="spellEnd"/>
      <w:r w:rsidRPr="00F97EA1">
        <w:rPr>
          <w:sz w:val="12"/>
          <w:szCs w:val="12"/>
        </w:rPr>
        <w:t xml:space="preserve"> on comprehensive sexuality education and a wide variety of other topics. The best-known tenets of Advocates for Youth are the three </w:t>
      </w:r>
      <w:proofErr w:type="spellStart"/>
      <w:r w:rsidRPr="00F97EA1">
        <w:rPr>
          <w:sz w:val="12"/>
          <w:szCs w:val="12"/>
        </w:rPr>
        <w:t>Rs</w:t>
      </w:r>
      <w:proofErr w:type="spellEnd"/>
      <w:r w:rsidRPr="00F97EA1">
        <w:rPr>
          <w:sz w:val="12"/>
          <w:szCs w:val="12"/>
        </w:rPr>
        <w:t xml:space="preserve">: Rights, Respect and Responsibility, in which youth have the right for information; youth deserve respect; and society has the responsibility to provide youth with information and tools regarding sexual health. There are lesson plans with activities that focus on LGBTQ issues, discrimination, and gender roles and norms, so there are components that involve diverse populations (Advocates for Youth, 2013). This program is a move toward sexuality education that is truly comprehensive and inclusive. However, it still has some way to go. Excluded are youth with mental or physical impairments or disabilities and how those factors affect their sexuality, sexual health, and well-being. In addition, while activities that address discrimination are important for students to do, there lacks a connection with how discrimination can be applied toward a person or group’s sexual health or sexuality status in society. For instance, these activities typically focus on discrimination in name-calling in the classroom and how racist, homophobic or sexist slurs are hurtful. These are certainly important issues to address in school, but they only scratch the surface in critically examining how discrimination affects sexuality. There lacks discussion on how society discriminates or values certain sexualities and why those values exist, or how race, education and economic status are contextualized in sexuality. If discrimination is included within sexuality education, it needs to be discussed in a way that is thoughtful and does not ignore the influences of those factors on how society views a person or group’s sexual identity. FLASH (Family Life and Sexual Health) FLASH curriculum (King County, 2014) was developed by the Department of Public Health in Seattle and King County in Washington State. This comprehensive sexuality education program is implemented beginning in seventh grade and contains different lessons and activities according to grade level. This curriculum is unique in containing a separate set of lesson plans that can be used with youth with special needs. However, definition of this category is dependent on the school or teacher. This curriculum has a high reliance on family involvement, and almost all topics have a component in which youth discuss those issues learned in class with a parent or adult. Teachers can receive training on how to implement FLASH in their classrooms, and trainings take place year-round in Washington, Oregon, and Idaho. All lesson plans are available free online. Similar to other comprehensive sexuality education curricula, FLASH emphasizes disease and pregnancy prevention as the most important learning objectives; refusal skills, communication, abstinence, and delay of sexuality as the most effective ways to prevent pregnancy; and family involvement in decision-making (King County, 2014). While there is one lesson plan that focusses on LGBTQ education, there are no distinct lessons that examine wider social contexts of youth sexuality or of diverse populations of youth, such as youth of color or youth with disabilities. There are separate lessons for students with special needs, but that information is not readily shared with students in “regular” classes. This can perpetuate the separation of minority youth from mainstream sexuality education both physically, by having them learn about sexuality in different classrooms, and socially, by excluding them in class discussions. This separation serves to reinforce stigma, stereotypes and power imbalances. Get Real − Planned Parenthood, League of Massachusetts Get Real (Planned Parenthood League of Massachusetts, 2014) curriculum was developed by the Planned Parenthood, League of Massachusetts affiliate. This is another example of the type of a curriculum that, while providing accurate, science-based information, emphasizes disease and medicalization of sexuality rather than teaching about it as part of overall well-being. The lesson plans focus on decision-making skills and communication within relationships as the most important components of making healthy decisions. While this is a comprehensive sexuality education program, it does promote abstinence as the best option for youth in preventing disease and pregnancy, suggesting that sexuality should only be explored in the context of committed relationships. One of the objectives is to learn about the negative consequences of sexual activities and how to prevent those negative outcomes, including activities that practice refusal skills (Planned Parenthood League of Massachusetts, 2014). However, there is no goal of youth learning about the positive aspects of intimate relationships and sexuality and how to cultivate those types of relationships in healthy and fulfilling ways. </w:t>
      </w:r>
      <w:r w:rsidRPr="00F97EA1">
        <w:rPr>
          <w:sz w:val="14"/>
        </w:rPr>
        <w:t xml:space="preserve">Overall critiques </w:t>
      </w:r>
      <w:r w:rsidRPr="00F97EA1">
        <w:rPr>
          <w:rStyle w:val="StyleUnderline"/>
        </w:rPr>
        <w:t xml:space="preserve">The various sexual health and sexuality education programs used currently in schools tend to emphasize prevention of disease and unwanted pregnancy, but equally if not more imperative, lessons about inequality and power imbalances of sexual rights are largely absent. </w:t>
      </w:r>
      <w:r w:rsidRPr="00F97EA1">
        <w:rPr>
          <w:sz w:val="14"/>
        </w:rPr>
        <w:t xml:space="preserve">Connell and Elliot (2009, p. 2) write that </w:t>
      </w:r>
      <w:r w:rsidRPr="00F97EA1">
        <w:rPr>
          <w:rStyle w:val="StyleUnderline"/>
        </w:rPr>
        <w:t xml:space="preserve">“sexuality education, as it is currently organized, does more than present children with objective facts about sexuality; it also socializes children into systems of inequality,” </w:t>
      </w:r>
      <w:r w:rsidRPr="00F97EA1">
        <w:rPr>
          <w:sz w:val="14"/>
        </w:rPr>
        <w:t xml:space="preserve">meaning that there is more than just proper contraceptive use being taught within classrooms; </w:t>
      </w:r>
      <w:r w:rsidRPr="00F97EA1">
        <w:rPr>
          <w:rStyle w:val="StyleUnderline"/>
        </w:rPr>
        <w:t>lessons about heteronormativity and exclusion are being taught</w:t>
      </w:r>
      <w:r w:rsidRPr="00F97EA1">
        <w:rPr>
          <w:sz w:val="14"/>
        </w:rPr>
        <w:t xml:space="preserve"> as well (</w:t>
      </w:r>
      <w:proofErr w:type="spellStart"/>
      <w:r w:rsidRPr="00F97EA1">
        <w:rPr>
          <w:sz w:val="14"/>
        </w:rPr>
        <w:t>Esmail</w:t>
      </w:r>
      <w:proofErr w:type="spellEnd"/>
      <w:r w:rsidRPr="00F97EA1">
        <w:rPr>
          <w:sz w:val="14"/>
        </w:rPr>
        <w:t xml:space="preserve"> et al., 2010; Garcia, 2009; McAvoy, 2013). </w:t>
      </w:r>
      <w:r w:rsidRPr="00F97EA1">
        <w:rPr>
          <w:rStyle w:val="StyleUnderline"/>
        </w:rPr>
        <w:t>Within abstinence-only sexuality education, not only is most of the information taught not supported medically, it is based upon the beliefs and practices of the religious right. This type of programming instills fear of sexuality, sexual expression, and sexual “deviancy” in hopes of deterring youth from engaging in premarital sex</w:t>
      </w:r>
      <w:r w:rsidRPr="00F97EA1">
        <w:rPr>
          <w:sz w:val="14"/>
        </w:rPr>
        <w:t xml:space="preserve">. Instead, </w:t>
      </w:r>
      <w:r w:rsidRPr="00F97EA1">
        <w:rPr>
          <w:rStyle w:val="StyleUnderline"/>
        </w:rPr>
        <w:t>abstinence-only education is shown to have little effect on behaviors such as delaying sex</w:t>
      </w:r>
      <w:r w:rsidRPr="00F97EA1">
        <w:rPr>
          <w:sz w:val="14"/>
        </w:rPr>
        <w:t xml:space="preserve">, minimizing number of sexual partners, use of condoms or birth control methods, or getting tested for STIs (Kirby and </w:t>
      </w:r>
      <w:proofErr w:type="spellStart"/>
      <w:r w:rsidRPr="00F97EA1">
        <w:rPr>
          <w:sz w:val="14"/>
        </w:rPr>
        <w:t>Laris</w:t>
      </w:r>
      <w:proofErr w:type="spellEnd"/>
      <w:r w:rsidRPr="00F97EA1">
        <w:rPr>
          <w:sz w:val="14"/>
        </w:rPr>
        <w:t>, 2009; Lindberg and Maddow-</w:t>
      </w:r>
      <w:proofErr w:type="spellStart"/>
      <w:r w:rsidRPr="00F97EA1">
        <w:rPr>
          <w:sz w:val="14"/>
        </w:rPr>
        <w:t>Zimet</w:t>
      </w:r>
      <w:proofErr w:type="spellEnd"/>
      <w:r w:rsidRPr="00F97EA1">
        <w:rPr>
          <w:sz w:val="14"/>
        </w:rPr>
        <w:t xml:space="preserve">, 2012; McKeon, 2006; Stanger-Hall and Hall, 2011), </w:t>
      </w:r>
      <w:r w:rsidRPr="00F97EA1">
        <w:rPr>
          <w:rStyle w:val="StyleUnderline"/>
        </w:rPr>
        <w:t>and has the additional consequences of promoting homophobia, sexism, classism, and other “isms” in attempts to define what is “healthy sexuality behavior”</w:t>
      </w:r>
      <w:r w:rsidRPr="00F97EA1">
        <w:rPr>
          <w:sz w:val="14"/>
        </w:rPr>
        <w:t xml:space="preserve"> (Connell and Elliot, 2009). </w:t>
      </w:r>
      <w:r w:rsidRPr="00F97EA1">
        <w:rPr>
          <w:rStyle w:val="StyleUnderline"/>
        </w:rPr>
        <w:t>Comprehensive sexuality education takes a different approach</w:t>
      </w:r>
      <w:r w:rsidRPr="00F97EA1">
        <w:rPr>
          <w:sz w:val="14"/>
        </w:rPr>
        <w:t xml:space="preserve"> from abstinence-only education, with programs that include lessons on LGBTQ issues, discrimination, contraception, gender roles and norms, rights and responsibilities. </w:t>
      </w:r>
      <w:r w:rsidRPr="00F97EA1">
        <w:rPr>
          <w:rStyle w:val="StyleUnderline"/>
        </w:rPr>
        <w:t>Unfortunately, even in these programs, many of the same lessons of fear and exclusion are being taught and learned</w:t>
      </w:r>
      <w:r w:rsidRPr="00F97EA1">
        <w:rPr>
          <w:sz w:val="14"/>
        </w:rPr>
        <w:t xml:space="preserve">. The main concept behind comprehensive sexuality education is that providing scientifically accurate information about safer sex practices is the most effective way to increase healthier behaviors among youth. </w:t>
      </w:r>
      <w:r w:rsidRPr="00F97EA1">
        <w:rPr>
          <w:rStyle w:val="StyleUnderline"/>
        </w:rPr>
        <w:t>Comprehensive sexuality education provides a broad-brush approach including biomedical, health, socio-cultural and relational aspects of sexuality with a focus on “teaching sexuality skills and knowledge for personal choice/development</w:t>
      </w:r>
      <w:r w:rsidRPr="00F97EA1">
        <w:rPr>
          <w:sz w:val="14"/>
        </w:rPr>
        <w:t xml:space="preserve">” (Jones, 2011, p. 378). </w:t>
      </w:r>
      <w:r w:rsidRPr="00F97EA1">
        <w:rPr>
          <w:rStyle w:val="StyleUnderline"/>
        </w:rPr>
        <w:t>What is largely missing, however, is teaching youth to view their sexual decision-making within a larger social context, and there lacks discussion about disparities and inequities in sexual rights and liberties among youth.</w:t>
      </w:r>
      <w:r w:rsidRPr="00F97EA1">
        <w:rPr>
          <w:sz w:val="14"/>
        </w:rPr>
        <w:t xml:space="preserve"> Comprehensive sexuality education promotes autonomy in youth sexual decision-making, but in reality, there are always influencing factors on individual values and behaviors (McAvoy, 2013). For instance, such factors as relationships and the influence of others, entrenched belief systems, power within the context of social and sexual relationships, just to name a few, make complete autonomy nearly impossible. Put another way, “no person is an island.” Humans are interdependent. </w:t>
      </w:r>
      <w:r w:rsidRPr="00F97EA1">
        <w:rPr>
          <w:rStyle w:val="StyleUnderline"/>
        </w:rPr>
        <w:t>Simply providing youth with “the facts” about sexuality</w:t>
      </w:r>
      <w:r w:rsidRPr="00F97EA1">
        <w:rPr>
          <w:sz w:val="14"/>
        </w:rPr>
        <w:t xml:space="preserve">, as defined by physicians, public health educators, and teachers, </w:t>
      </w:r>
      <w:r w:rsidRPr="00F97EA1">
        <w:rPr>
          <w:rStyle w:val="StyleUnderline"/>
        </w:rPr>
        <w:t xml:space="preserve">is not accounting for the larger structural systems that influence decision making </w:t>
      </w:r>
      <w:r w:rsidRPr="00F97EA1">
        <w:rPr>
          <w:sz w:val="14"/>
        </w:rPr>
        <w:t xml:space="preserve">such as legal systems, religious beliefs, cultural practices and political institutions. </w:t>
      </w:r>
      <w:r w:rsidRPr="00F97EA1">
        <w:rPr>
          <w:rStyle w:val="StyleUnderline"/>
        </w:rPr>
        <w:t xml:space="preserve">It is important to allow space for critical thought and discussion about these larger systemic influences. </w:t>
      </w:r>
      <w:r w:rsidRPr="00F97EA1">
        <w:rPr>
          <w:sz w:val="14"/>
        </w:rPr>
        <w:t xml:space="preserve">Otherwise, they can apply steady pressure on individuals to make choices they may not want or be ready to make. </w:t>
      </w:r>
      <w:r w:rsidRPr="00F97EA1">
        <w:rPr>
          <w:rStyle w:val="StyleUnderline"/>
        </w:rPr>
        <w:t>Even when minority youth populations become a part of the curriculum, they are still highlighted as different and divergent from the believed sexual norm</w:t>
      </w:r>
      <w:r w:rsidRPr="00F97EA1">
        <w:rPr>
          <w:sz w:val="14"/>
        </w:rPr>
        <w:t xml:space="preserve">. Devoting separate lesson plans to addressing issues within minority groups, rather than including all youth in the main curriculum, teaches that these groups are different and that sexuality is applied differently to “those people.” </w:t>
      </w:r>
      <w:r w:rsidRPr="00F97EA1">
        <w:rPr>
          <w:rStyle w:val="StyleUnderline"/>
        </w:rPr>
        <w:t xml:space="preserve">These separate lessons can then reinforce stereotypes of groups and exacerbate differences </w:t>
      </w:r>
      <w:r w:rsidRPr="00F97EA1">
        <w:rPr>
          <w:sz w:val="14"/>
        </w:rPr>
        <w:t>(</w:t>
      </w:r>
      <w:proofErr w:type="spellStart"/>
      <w:r w:rsidRPr="00F97EA1">
        <w:rPr>
          <w:sz w:val="14"/>
        </w:rPr>
        <w:t>Esmail</w:t>
      </w:r>
      <w:proofErr w:type="spellEnd"/>
      <w:r w:rsidRPr="00F97EA1">
        <w:rPr>
          <w:sz w:val="14"/>
        </w:rPr>
        <w:t xml:space="preserve"> et al., 2010). Three groups that are frequently missing from sexuality education are youth of color, LGBTQ, and youth with disabilities. Though some of these groups are touched upon in a few curricula, the contexts in which these groups are included and brought into the conversation are still not promoting equality and justice, but are reifying stigma, stereotypes, and power imbalances. </w:t>
      </w:r>
      <w:r w:rsidRPr="00F97EA1">
        <w:rPr>
          <w:rStyle w:val="StyleUnderline"/>
        </w:rPr>
        <w:t>The ways in which race is used within sexuality education lessons play a role in the stereotyping of sexual practices and beliefs of certain racial groups</w:t>
      </w:r>
      <w:r w:rsidRPr="00F97EA1">
        <w:rPr>
          <w:sz w:val="14"/>
        </w:rPr>
        <w:t xml:space="preserve"> (Connell and Elliot, 2009; Garcia, 2009). For instance, </w:t>
      </w:r>
      <w:r w:rsidRPr="00F97EA1">
        <w:rPr>
          <w:rStyle w:val="StyleUnderline"/>
        </w:rPr>
        <w:t>black and Latina women are oftentimes portrayed as cautionary tales of teen pregnancy and the consequences of improper birth control usage</w:t>
      </w:r>
      <w:r w:rsidRPr="00F97EA1">
        <w:rPr>
          <w:sz w:val="14"/>
        </w:rPr>
        <w:t xml:space="preserve"> (Connell and Elliot, 2009; Garcia, 2009). In a series of interviews with high school aged Latinas about their experiences with sexuality education, respondents commented that sex educators connected Latina youth risk of pregnancy to “Latino culture” and designated them as higher risk because of the machismo attitudes of Latino teenage males, which was linked to nonuse of condoms. Teachers and sex educators told Latinas in their classes to not be like those “other girls” they may know, and instead to behave better than them. There were numerous instances in which judgment was placed on Latino youth as overly promiscuous and “excessively reproductive” because their Latino culture promotes early parenting for girls and machismo in boys (Garcia, 2009). </w:t>
      </w:r>
      <w:r w:rsidRPr="00F97EA1">
        <w:rPr>
          <w:rStyle w:val="StyleUnderline"/>
        </w:rPr>
        <w:t>Men of color are also hyper-sexualized and demonized as predators</w:t>
      </w:r>
      <w:r w:rsidRPr="00F97EA1">
        <w:rPr>
          <w:sz w:val="14"/>
        </w:rPr>
        <w:t xml:space="preserve"> who take advantage of weaker cultural values of minority women (Connell and Elliot, 2009; Garcia, 2009). </w:t>
      </w:r>
      <w:r w:rsidRPr="00F97EA1">
        <w:rPr>
          <w:rStyle w:val="StyleUnderline"/>
        </w:rPr>
        <w:t>Youth of color within school systems are often viewed as more adult-like rather than as child-like, and are stereotyped and punished more severely because their disobedient acts are seen as actions taken by adults</w:t>
      </w:r>
      <w:r w:rsidRPr="00F97EA1">
        <w:rPr>
          <w:sz w:val="14"/>
        </w:rPr>
        <w:t xml:space="preserve"> (Ferguson, 2000). This affects the way educators perceive sexuality in youth of color. These youth are seen to demonstrate adult sexual behavior and are therefore more dangerous, threatening or thoughtless compared to white youth (Ferguson, 2000; Garcia, 2009). </w:t>
      </w:r>
      <w:r w:rsidRPr="00F97EA1">
        <w:rPr>
          <w:rStyle w:val="StyleUnderline"/>
        </w:rPr>
        <w:t>When youth of color are presented with information about sexuality, it is within the context of these youth being “at risk” and a danger to themselves and the wider community’s health</w:t>
      </w:r>
      <w:r w:rsidRPr="00F97EA1">
        <w:rPr>
          <w:sz w:val="14"/>
        </w:rPr>
        <w:t xml:space="preserve"> (Garcia, 2009). Youth of color are privy to the same facts, but with the idea that they are the ones most likely to make the “poor decisions” comprehensive sexuality education tries to prevent. Even the sharing of disparities in negative health outcomes such as teen pregnancy or STI rates that highlight the higher rates within communities of color perpetuate stigma toward those groups rather than bringing to light the inequitable circumstances that contribute to those disparate outcomes. LGBTQ lessons are becoming more frequent with the new political atmosphere surrounding gay rights − same-sex marriage and repeal of the Don’t Ask Don’t Tell Federal Policy − in the mainstream media. Many lessons on sexual orientation (e.g. Advocates for Youth, 2013; Sex, etc. 2013; SIECUS, 2014) involve a section on how to prevent bullying of gay youth or how to become an ally to LGBTQ students at school. </w:t>
      </w:r>
      <w:r w:rsidRPr="00F97EA1">
        <w:rPr>
          <w:rStyle w:val="StyleUnderline"/>
        </w:rPr>
        <w:t xml:space="preserve">There is a growing level of comfort in discussing homosexuality in schools and homes, but at the same time, value and acceptance are being placed on certain “gay” behaviors, and there are now hierarchical categories of LGBTQ that are accepted in the classroom. There are very few lesson plans in any of the resources mentioned about transgender, bisexual, or cisgender youth, and if gender identity is addressed, it is in the binary concept and focusses on heterosexual youth displaying characteristics of another gender </w:t>
      </w:r>
      <w:r w:rsidRPr="00F97EA1">
        <w:rPr>
          <w:sz w:val="14"/>
        </w:rPr>
        <w:t xml:space="preserve">(Elia and </w:t>
      </w:r>
      <w:proofErr w:type="spellStart"/>
      <w:r w:rsidRPr="00F97EA1">
        <w:rPr>
          <w:sz w:val="14"/>
        </w:rPr>
        <w:t>Eliason</w:t>
      </w:r>
      <w:proofErr w:type="spellEnd"/>
      <w:r w:rsidRPr="00F97EA1">
        <w:rPr>
          <w:sz w:val="14"/>
        </w:rPr>
        <w:t xml:space="preserve">, 2009). </w:t>
      </w:r>
      <w:r w:rsidRPr="00F97EA1">
        <w:rPr>
          <w:rStyle w:val="StyleUnderline"/>
        </w:rPr>
        <w:t>The intersections of race, disability, and sexual orientation are not included in the discussion. Youth of color are largely presented only as heterosexual with the focus only on preventing pregnancy and HIV</w:t>
      </w:r>
      <w:r w:rsidRPr="00F97EA1">
        <w:rPr>
          <w:sz w:val="14"/>
        </w:rPr>
        <w:t xml:space="preserve">; they are rarely seen as examples of LGBTQ (Garcia, 2009). </w:t>
      </w:r>
      <w:r w:rsidRPr="00F97EA1">
        <w:rPr>
          <w:rStyle w:val="StyleUnderline"/>
        </w:rPr>
        <w:t>This continues to silence youth of disability or color as sexual beings outside of the heterosexual norm.</w:t>
      </w:r>
      <w:r w:rsidRPr="00F97EA1">
        <w:rPr>
          <w:sz w:val="14"/>
        </w:rPr>
        <w:t xml:space="preserve"> There is progress being made, but it is far from being completely health promoting of all LGBTQ groups. </w:t>
      </w:r>
      <w:r w:rsidRPr="00F97EA1">
        <w:rPr>
          <w:rStyle w:val="StyleUnderline"/>
        </w:rPr>
        <w:t>Another segment of the youth population that remains relatively invisible is youth with mental or physical disabilities.</w:t>
      </w:r>
      <w:r w:rsidRPr="00F97EA1">
        <w:rPr>
          <w:sz w:val="14"/>
        </w:rPr>
        <w:t xml:space="preserve"> This is a difficult and complex group to address because of the varying types and degrees of disability (</w:t>
      </w:r>
      <w:proofErr w:type="spellStart"/>
      <w:r w:rsidRPr="00F97EA1">
        <w:rPr>
          <w:sz w:val="14"/>
        </w:rPr>
        <w:t>Esmail</w:t>
      </w:r>
      <w:proofErr w:type="spellEnd"/>
      <w:r w:rsidRPr="00F97EA1">
        <w:rPr>
          <w:sz w:val="14"/>
        </w:rPr>
        <w:t xml:space="preserve"> et al., 2010). </w:t>
      </w:r>
      <w:r w:rsidRPr="00F97EA1">
        <w:rPr>
          <w:rStyle w:val="StyleUnderline"/>
        </w:rPr>
        <w:t>The heteronormative undertone of sexuality education assumes that sex only occurs with genital penetration. This can leave out youth who are paralyzed or have limited mobility in assuming that those are the only body parts that can experience arousal or constitute sexual activity</w:t>
      </w:r>
      <w:r w:rsidRPr="00F97EA1">
        <w:rPr>
          <w:sz w:val="14"/>
        </w:rPr>
        <w:t xml:space="preserve"> (</w:t>
      </w:r>
      <w:proofErr w:type="spellStart"/>
      <w:r w:rsidRPr="00F97EA1">
        <w:rPr>
          <w:sz w:val="14"/>
        </w:rPr>
        <w:t>Esmail</w:t>
      </w:r>
      <w:proofErr w:type="spellEnd"/>
      <w:r w:rsidRPr="00F97EA1">
        <w:rPr>
          <w:sz w:val="14"/>
        </w:rPr>
        <w:t xml:space="preserve"> et al., 2010). This can have detrimental effects on a young person’s self-esteem and negatively impact the view of self as a healthy sexual being capable of intimacy (</w:t>
      </w:r>
      <w:proofErr w:type="spellStart"/>
      <w:r w:rsidRPr="00F97EA1">
        <w:rPr>
          <w:sz w:val="14"/>
        </w:rPr>
        <w:t>Tepper</w:t>
      </w:r>
      <w:proofErr w:type="spellEnd"/>
      <w:r w:rsidRPr="00F97EA1">
        <w:rPr>
          <w:sz w:val="14"/>
        </w:rPr>
        <w:t xml:space="preserve">, 2005). </w:t>
      </w:r>
      <w:r w:rsidRPr="00F97EA1">
        <w:rPr>
          <w:rStyle w:val="StyleUnderline"/>
        </w:rPr>
        <w:t>The omission</w:t>
      </w:r>
      <w:r w:rsidRPr="00F97EA1">
        <w:rPr>
          <w:sz w:val="14"/>
        </w:rPr>
        <w:t xml:space="preserve"> that these programs make in assuming that sexual activity is limited to genital penetration </w:t>
      </w:r>
      <w:r w:rsidRPr="00F97EA1">
        <w:rPr>
          <w:rStyle w:val="StyleUnderline"/>
        </w:rPr>
        <w:t>excludes all groups that do not participate in those acts but could still consider themselves as sexually active</w:t>
      </w:r>
      <w:r w:rsidRPr="00F97EA1">
        <w:rPr>
          <w:sz w:val="14"/>
        </w:rPr>
        <w:t xml:space="preserve"> (</w:t>
      </w:r>
      <w:proofErr w:type="spellStart"/>
      <w:r w:rsidRPr="00F97EA1">
        <w:rPr>
          <w:sz w:val="14"/>
        </w:rPr>
        <w:t>Esmail</w:t>
      </w:r>
      <w:proofErr w:type="spellEnd"/>
      <w:r w:rsidRPr="00F97EA1">
        <w:rPr>
          <w:sz w:val="14"/>
        </w:rPr>
        <w:t xml:space="preserve"> et al., 2010). Curricula taught to youth with mental disabilities teach that intimacy ranges from holding hands to sexual intercourse, which allows young people to develop their own sexual identity based on what behaviors they view as sexuality or intimacy (for an example of a sexuality education curriculum </w:t>
      </w:r>
      <w:proofErr w:type="spellStart"/>
      <w:r w:rsidRPr="00F97EA1">
        <w:rPr>
          <w:sz w:val="14"/>
        </w:rPr>
        <w:t>focussed</w:t>
      </w:r>
      <w:proofErr w:type="spellEnd"/>
      <w:r w:rsidRPr="00F97EA1">
        <w:rPr>
          <w:sz w:val="14"/>
        </w:rPr>
        <w:t xml:space="preserve"> on sexuality and disability, see </w:t>
      </w:r>
      <w:proofErr w:type="spellStart"/>
      <w:r w:rsidRPr="00F97EA1">
        <w:rPr>
          <w:sz w:val="14"/>
        </w:rPr>
        <w:t>Löfgren-Mårtenson</w:t>
      </w:r>
      <w:proofErr w:type="spellEnd"/>
      <w:r w:rsidRPr="00F97EA1">
        <w:rPr>
          <w:sz w:val="14"/>
        </w:rPr>
        <w:t xml:space="preserve">, 2012). Youth with either physical or mental disabilities are less likely to receive information about sexuality or sex from parents or able-bodied friends because many youth with disabilities are viewed as childlike and innocent, making others uncomfortable providing this information or unaware that it is needed. </w:t>
      </w:r>
      <w:r w:rsidRPr="00F97EA1">
        <w:rPr>
          <w:rStyle w:val="StyleUnderline"/>
        </w:rPr>
        <w:t>Many times disabled youth are desexualized by friends, family, and larger society and are therefore deprived of any sexual identity</w:t>
      </w:r>
      <w:r w:rsidRPr="00F97EA1">
        <w:rPr>
          <w:sz w:val="14"/>
        </w:rPr>
        <w:t xml:space="preserve"> (</w:t>
      </w:r>
      <w:proofErr w:type="spellStart"/>
      <w:r w:rsidRPr="00F97EA1">
        <w:rPr>
          <w:sz w:val="14"/>
        </w:rPr>
        <w:t>Tepper</w:t>
      </w:r>
      <w:proofErr w:type="spellEnd"/>
      <w:r w:rsidRPr="00F97EA1">
        <w:rPr>
          <w:sz w:val="14"/>
        </w:rPr>
        <w:t>, 2005). Around 50 per cent of youth with disabilities have not received sexuality education, and this group of youth then must rely on outside sources such as schools or healthcare providers for information (</w:t>
      </w:r>
      <w:proofErr w:type="spellStart"/>
      <w:r w:rsidRPr="00F97EA1">
        <w:rPr>
          <w:sz w:val="14"/>
        </w:rPr>
        <w:t>Esmail</w:t>
      </w:r>
      <w:proofErr w:type="spellEnd"/>
      <w:r w:rsidRPr="00F97EA1">
        <w:rPr>
          <w:sz w:val="14"/>
        </w:rPr>
        <w:t xml:space="preserve"> et al., 2010). There is very little information on sexuality education for youth with disabilities, and the limited resources available do not disaggregate this group enough to be helpful (</w:t>
      </w:r>
      <w:proofErr w:type="spellStart"/>
      <w:r w:rsidRPr="00F97EA1">
        <w:rPr>
          <w:sz w:val="14"/>
        </w:rPr>
        <w:t>Tepper</w:t>
      </w:r>
      <w:proofErr w:type="spellEnd"/>
      <w:r w:rsidRPr="00F97EA1">
        <w:rPr>
          <w:sz w:val="14"/>
        </w:rPr>
        <w:t>, 2005).</w:t>
      </w:r>
    </w:p>
    <w:p w:rsidR="00A02692" w:rsidRDefault="00A02692" w:rsidP="00A02692">
      <w:pPr>
        <w:pStyle w:val="Heading4"/>
      </w:pPr>
      <w:r>
        <w:t xml:space="preserve">Status quo evidence-based sexual education policy re-entrenches a heteronormative view of gender and sexuality that has multiple impacts from a decrease in sexual health to exclusion, violence, domestic abuse and lack of sexual agency. </w:t>
      </w:r>
    </w:p>
    <w:p w:rsidR="00A02692" w:rsidRPr="008B550B" w:rsidRDefault="00A02692" w:rsidP="00A02692">
      <w:proofErr w:type="spellStart"/>
      <w:r>
        <w:rPr>
          <w:rStyle w:val="Style13ptBold"/>
        </w:rPr>
        <w:t>Schalet</w:t>
      </w:r>
      <w:proofErr w:type="spellEnd"/>
      <w:r>
        <w:rPr>
          <w:rStyle w:val="Style13ptBold"/>
        </w:rPr>
        <w:t xml:space="preserve">, Santelli, and Russell et al. 2014 </w:t>
      </w:r>
      <w:r w:rsidRPr="00AB1D31">
        <w:t>[</w:t>
      </w:r>
      <w:proofErr w:type="spellStart"/>
      <w:r w:rsidRPr="00AB1D31">
        <w:t>Schalet</w:t>
      </w:r>
      <w:proofErr w:type="spellEnd"/>
      <w:r w:rsidRPr="00AB1D31">
        <w:t xml:space="preserve">, A.T., Santelli, J.S., Russell, S.T. et al. </w:t>
      </w:r>
      <w:r w:rsidRPr="00AB1D31">
        <w:rPr>
          <w:bCs/>
        </w:rPr>
        <w:t xml:space="preserve">“Invited Commentary: Broadening the Evidence for Adolescent Sexual and Reproductive Health and Education in the United States.” </w:t>
      </w:r>
      <w:r w:rsidRPr="00AB1D31">
        <w:t>J Youth Adolescence (2014) 43: 1595. doi:10.1007/s10964-014-0178-8</w:t>
      </w:r>
      <w:r>
        <w:t>. SPS.</w:t>
      </w:r>
      <w:r w:rsidRPr="00AB1D31">
        <w:t>]</w:t>
      </w:r>
    </w:p>
    <w:p w:rsidR="00A02692" w:rsidRPr="00F97EA1" w:rsidRDefault="00A02692" w:rsidP="00A02692">
      <w:pPr>
        <w:rPr>
          <w:rStyle w:val="StyleUnderline"/>
        </w:rPr>
      </w:pPr>
      <w:r w:rsidRPr="00531B4B">
        <w:rPr>
          <w:sz w:val="16"/>
        </w:rPr>
        <w:t xml:space="preserve">We have argued that </w:t>
      </w:r>
      <w:r w:rsidRPr="00E67E13">
        <w:rPr>
          <w:rStyle w:val="StyleUnderline"/>
        </w:rPr>
        <w:t>Evidence Based Interventions often do not reflect factors that the broad scientific literature identifies as key to health behaviors and risks, and do not approach individual behavior in the broad context of adolescents’ lives</w:t>
      </w:r>
      <w:r w:rsidRPr="00531B4B">
        <w:rPr>
          <w:sz w:val="16"/>
        </w:rPr>
        <w:t xml:space="preserve">. As such, there is a disconnect between research and theoretical advances on one hand, and sexual health education programs and policies on the other (Romero et al. </w:t>
      </w:r>
      <w:hyperlink r:id="rId11" w:anchor="CR115" w:tooltip="View reference" w:history="1">
        <w:r w:rsidRPr="00531B4B">
          <w:rPr>
            <w:sz w:val="16"/>
          </w:rPr>
          <w:t>2011</w:t>
        </w:r>
      </w:hyperlink>
      <w:r w:rsidRPr="00531B4B">
        <w:rPr>
          <w:sz w:val="16"/>
        </w:rPr>
        <w:t xml:space="preserve">). For instance, </w:t>
      </w:r>
      <w:r w:rsidRPr="00E67E13">
        <w:rPr>
          <w:rStyle w:val="StyleUnderline"/>
        </w:rPr>
        <w:t>social and behavioral science research documents the significance of the sexual orientation of young people, the gender beliefs and inequities that shape their sexual agency and relationships, and the economic and racial inequalities that constrain their options, as crucial to a holistic understanding of adolescent sexual health</w:t>
      </w:r>
      <w:r w:rsidRPr="00531B4B">
        <w:rPr>
          <w:sz w:val="16"/>
        </w:rPr>
        <w:t xml:space="preserve">. But many EBIs do not fully address or even acknowledge the psychosocial and structural factors that shape the ways in which adolescents conduct their sexual lives. Thus, </w:t>
      </w:r>
      <w:r w:rsidRPr="00E67E13">
        <w:rPr>
          <w:rStyle w:val="StyleUnderline"/>
        </w:rPr>
        <w:t>while consensus has emerged across disciplines that gender, racism, stigmatization of LBGTQ youth, and poverty are critical to adolescent health, we lack programmatic emphasis and EBIs that address these inequalities</w:t>
      </w:r>
      <w:r w:rsidRPr="00531B4B">
        <w:rPr>
          <w:sz w:val="16"/>
        </w:rPr>
        <w:t xml:space="preserve">. Moreover, when EBIs fail to address non-EBI scientific data about the role of poverty, race, and gender in adolescent sexual health they create the potential for reinforcing cultural stereotypes. In the remainder of this article, we turn to evidence from across the social and behavioral sciences that should be central to all adolescent sexual health education. We show how the </w:t>
      </w:r>
      <w:r w:rsidRPr="00E67E13">
        <w:rPr>
          <w:rStyle w:val="StyleUnderline"/>
        </w:rPr>
        <w:t>emerging research on LGBTQ youth calls for inclusiveness in adolescent sexual health education programming.</w:t>
      </w:r>
      <w:r w:rsidRPr="00531B4B">
        <w:rPr>
          <w:sz w:val="16"/>
        </w:rPr>
        <w:t xml:space="preserve"> Drawing from an extensive literature on the harmful effects of gender inequity and stereotypes, we demonstrate the need for sexual health education to address these issues. Finally, we illustrate how </w:t>
      </w:r>
      <w:r w:rsidRPr="00E67E13">
        <w:rPr>
          <w:rStyle w:val="StyleUnderline"/>
        </w:rPr>
        <w:t>poverty and inequality intersect with adolescent sexual health education in a myriad of ways that have distinct implications for policy and programming. Contemporary LGBTQ and gender nonconforming youth</w:t>
      </w:r>
      <w:r w:rsidRPr="00531B4B">
        <w:rPr>
          <w:sz w:val="16"/>
        </w:rPr>
        <w:t xml:space="preserve"> “come out” or disclose their identities at younger ages than prior cohorts </w:t>
      </w:r>
      <w:r w:rsidRPr="00E67E13">
        <w:rPr>
          <w:rStyle w:val="StyleUnderline"/>
        </w:rPr>
        <w:t>and have distinct sexual health needs</w:t>
      </w:r>
      <w:r w:rsidRPr="00531B4B">
        <w:rPr>
          <w:sz w:val="16"/>
        </w:rPr>
        <w:t xml:space="preserve"> (Floyd and </w:t>
      </w:r>
      <w:proofErr w:type="spellStart"/>
      <w:r w:rsidRPr="00531B4B">
        <w:rPr>
          <w:sz w:val="16"/>
        </w:rPr>
        <w:t>Bakeman</w:t>
      </w:r>
      <w:proofErr w:type="spellEnd"/>
      <w:r w:rsidRPr="00531B4B">
        <w:rPr>
          <w:sz w:val="16"/>
        </w:rPr>
        <w:t xml:space="preserve"> </w:t>
      </w:r>
      <w:hyperlink r:id="rId12" w:anchor="CR50" w:tooltip="View reference" w:history="1">
        <w:r w:rsidRPr="00531B4B">
          <w:rPr>
            <w:sz w:val="16"/>
          </w:rPr>
          <w:t>2006</w:t>
        </w:r>
      </w:hyperlink>
      <w:r w:rsidRPr="00531B4B">
        <w:rPr>
          <w:sz w:val="16"/>
        </w:rPr>
        <w:t xml:space="preserve">). It is now commonly understood that </w:t>
      </w:r>
      <w:r w:rsidRPr="00E67E13">
        <w:rPr>
          <w:rStyle w:val="StyleUnderline"/>
        </w:rPr>
        <w:t xml:space="preserve">LGBTQ students may face victimization at school, or generally hostile school climates </w:t>
      </w:r>
      <w:r w:rsidRPr="00531B4B">
        <w:rPr>
          <w:sz w:val="16"/>
        </w:rPr>
        <w:t xml:space="preserve">(Birkett et al. </w:t>
      </w:r>
      <w:hyperlink r:id="rId13" w:anchor="CR13" w:tooltip="View reference" w:history="1">
        <w:r w:rsidRPr="00531B4B">
          <w:rPr>
            <w:sz w:val="16"/>
          </w:rPr>
          <w:t>2009</w:t>
        </w:r>
      </w:hyperlink>
      <w:r w:rsidRPr="00531B4B">
        <w:rPr>
          <w:sz w:val="16"/>
        </w:rPr>
        <w:t xml:space="preserve">). </w:t>
      </w:r>
      <w:r w:rsidRPr="00E67E13">
        <w:rPr>
          <w:rStyle w:val="StyleUnderline"/>
        </w:rPr>
        <w:t xml:space="preserve">Their needs are often invisible in sexual and reproductive health services, and they are typically excluded from sexual health education programs </w:t>
      </w:r>
      <w:r w:rsidRPr="00531B4B">
        <w:rPr>
          <w:sz w:val="16"/>
        </w:rPr>
        <w:t xml:space="preserve">(Bay-Cheng </w:t>
      </w:r>
      <w:hyperlink r:id="rId14" w:anchor="CR11" w:tooltip="View reference" w:history="1">
        <w:r w:rsidRPr="00531B4B">
          <w:rPr>
            <w:sz w:val="16"/>
          </w:rPr>
          <w:t>2003</w:t>
        </w:r>
      </w:hyperlink>
      <w:r w:rsidRPr="00531B4B">
        <w:rPr>
          <w:sz w:val="16"/>
        </w:rPr>
        <w:t xml:space="preserve">; </w:t>
      </w:r>
      <w:proofErr w:type="spellStart"/>
      <w:r w:rsidRPr="00531B4B">
        <w:rPr>
          <w:sz w:val="16"/>
        </w:rPr>
        <w:t>Cianciotto</w:t>
      </w:r>
      <w:proofErr w:type="spellEnd"/>
      <w:r w:rsidRPr="00531B4B">
        <w:rPr>
          <w:sz w:val="16"/>
        </w:rPr>
        <w:t xml:space="preserve"> and Cahill </w:t>
      </w:r>
      <w:hyperlink r:id="rId15" w:anchor="CR30" w:tooltip="View reference" w:history="1">
        <w:r w:rsidRPr="00531B4B">
          <w:rPr>
            <w:sz w:val="16"/>
          </w:rPr>
          <w:t>2003</w:t>
        </w:r>
      </w:hyperlink>
      <w:r w:rsidRPr="00531B4B">
        <w:rPr>
          <w:sz w:val="16"/>
        </w:rPr>
        <w:t xml:space="preserve">; Sanchez </w:t>
      </w:r>
      <w:hyperlink r:id="rId16" w:anchor="CR124" w:tooltip="View reference" w:history="1">
        <w:r w:rsidRPr="00531B4B">
          <w:rPr>
            <w:sz w:val="16"/>
          </w:rPr>
          <w:t>2012</w:t>
        </w:r>
      </w:hyperlink>
      <w:r w:rsidRPr="00531B4B">
        <w:rPr>
          <w:sz w:val="16"/>
        </w:rPr>
        <w:t xml:space="preserve">). </w:t>
      </w:r>
      <w:r w:rsidRPr="00E67E13">
        <w:rPr>
          <w:rStyle w:val="StyleUnderline"/>
        </w:rPr>
        <w:t>Yet the known risks for LGBTQ youth are clear: greater rates of HIV</w:t>
      </w:r>
      <w:r w:rsidRPr="00531B4B">
        <w:rPr>
          <w:sz w:val="16"/>
        </w:rPr>
        <w:t xml:space="preserve"> for males and transgender youth; </w:t>
      </w:r>
      <w:r w:rsidRPr="00E67E13">
        <w:rPr>
          <w:rStyle w:val="StyleUnderline"/>
        </w:rPr>
        <w:t>higher rates of high-risk sexual behavior</w:t>
      </w:r>
      <w:r w:rsidRPr="00531B4B">
        <w:rPr>
          <w:sz w:val="16"/>
        </w:rPr>
        <w:t xml:space="preserve"> for males, females, and transgender youth; and </w:t>
      </w:r>
      <w:r w:rsidRPr="00E67E13">
        <w:rPr>
          <w:rStyle w:val="StyleUnderline"/>
        </w:rPr>
        <w:t>higher rates of pregnancy</w:t>
      </w:r>
      <w:r w:rsidRPr="00531B4B">
        <w:rPr>
          <w:sz w:val="16"/>
        </w:rPr>
        <w:t xml:space="preserve"> for both girls and boys (results for transgender youth are unknown) (</w:t>
      </w:r>
      <w:proofErr w:type="spellStart"/>
      <w:r w:rsidRPr="00531B4B">
        <w:rPr>
          <w:sz w:val="16"/>
        </w:rPr>
        <w:t>Mustanski</w:t>
      </w:r>
      <w:proofErr w:type="spellEnd"/>
      <w:r w:rsidRPr="00531B4B">
        <w:rPr>
          <w:sz w:val="16"/>
        </w:rPr>
        <w:t xml:space="preserve"> et al. </w:t>
      </w:r>
      <w:hyperlink r:id="rId17" w:anchor="CR94" w:tooltip="View reference" w:history="1">
        <w:r w:rsidRPr="00531B4B">
          <w:rPr>
            <w:sz w:val="16"/>
          </w:rPr>
          <w:t>2011</w:t>
        </w:r>
      </w:hyperlink>
      <w:r w:rsidRPr="00531B4B">
        <w:rPr>
          <w:sz w:val="16"/>
        </w:rPr>
        <w:t xml:space="preserve">; </w:t>
      </w:r>
      <w:proofErr w:type="spellStart"/>
      <w:r w:rsidRPr="00531B4B">
        <w:rPr>
          <w:sz w:val="16"/>
        </w:rPr>
        <w:t>Saewyc</w:t>
      </w:r>
      <w:proofErr w:type="spellEnd"/>
      <w:r w:rsidRPr="00531B4B">
        <w:rPr>
          <w:sz w:val="16"/>
        </w:rPr>
        <w:t xml:space="preserve"> et al. </w:t>
      </w:r>
      <w:hyperlink r:id="rId18" w:anchor="CR122" w:tooltip="View reference" w:history="1">
        <w:r w:rsidRPr="00531B4B">
          <w:rPr>
            <w:sz w:val="16"/>
          </w:rPr>
          <w:t>1999</w:t>
        </w:r>
      </w:hyperlink>
      <w:r w:rsidRPr="00531B4B">
        <w:rPr>
          <w:sz w:val="16"/>
        </w:rPr>
        <w:t xml:space="preserve">; </w:t>
      </w:r>
      <w:proofErr w:type="spellStart"/>
      <w:r w:rsidRPr="00531B4B">
        <w:rPr>
          <w:sz w:val="16"/>
        </w:rPr>
        <w:t>Saewyc</w:t>
      </w:r>
      <w:proofErr w:type="spellEnd"/>
      <w:r w:rsidRPr="00531B4B">
        <w:rPr>
          <w:sz w:val="16"/>
        </w:rPr>
        <w:t xml:space="preserve"> et al. </w:t>
      </w:r>
      <w:hyperlink r:id="rId19" w:anchor="CR123" w:tooltip="View reference" w:history="1">
        <w:r w:rsidRPr="00531B4B">
          <w:rPr>
            <w:sz w:val="16"/>
          </w:rPr>
          <w:t>2009</w:t>
        </w:r>
      </w:hyperlink>
      <w:r w:rsidRPr="00531B4B">
        <w:rPr>
          <w:sz w:val="16"/>
        </w:rPr>
        <w:t xml:space="preserve">). </w:t>
      </w:r>
      <w:r w:rsidRPr="00E67E13">
        <w:rPr>
          <w:rStyle w:val="StyleUnderline"/>
        </w:rPr>
        <w:t>The focus of sexual health education historically has been on heterosexual sexuality, with emphasis on procreation,</w:t>
      </w:r>
      <w:r w:rsidRPr="00531B4B">
        <w:rPr>
          <w:sz w:val="16"/>
        </w:rPr>
        <w:t xml:space="preserve"> presumably or explicitly directed to the confines of marriage (Carter </w:t>
      </w:r>
      <w:hyperlink r:id="rId20" w:anchor="CR18" w:tooltip="View reference" w:history="1">
        <w:r w:rsidRPr="00531B4B">
          <w:rPr>
            <w:sz w:val="16"/>
          </w:rPr>
          <w:t>2001</w:t>
        </w:r>
      </w:hyperlink>
      <w:r w:rsidRPr="00531B4B">
        <w:rPr>
          <w:sz w:val="16"/>
        </w:rPr>
        <w:t xml:space="preserve">). </w:t>
      </w:r>
      <w:r w:rsidRPr="00E67E13">
        <w:rPr>
          <w:rStyle w:val="StyleUnderline"/>
        </w:rPr>
        <w:t>For more than 100 years, educators have grappled with the issue of how to teach youth about sexuality while promoting premarital chastity and marital monogamy, a dilemma that has often led to sacrifices of scientific accuracy in favor of ideology</w:t>
      </w:r>
      <w:r w:rsidRPr="00531B4B">
        <w:rPr>
          <w:sz w:val="16"/>
        </w:rPr>
        <w:t xml:space="preserve"> (Carter </w:t>
      </w:r>
      <w:hyperlink r:id="rId21" w:anchor="CR18" w:tooltip="View reference" w:history="1">
        <w:r w:rsidRPr="00531B4B">
          <w:rPr>
            <w:sz w:val="16"/>
          </w:rPr>
          <w:t>2001</w:t>
        </w:r>
      </w:hyperlink>
      <w:r w:rsidRPr="00531B4B">
        <w:rPr>
          <w:sz w:val="16"/>
        </w:rPr>
        <w:t xml:space="preserve">). As a result </w:t>
      </w:r>
      <w:r w:rsidRPr="00E67E13">
        <w:rPr>
          <w:rStyle w:val="StyleUnderline"/>
        </w:rPr>
        <w:t>LGBTQ youth are often excluded or left without relevant and necessary information</w:t>
      </w:r>
      <w:r w:rsidRPr="00531B4B">
        <w:rPr>
          <w:sz w:val="16"/>
        </w:rPr>
        <w:t xml:space="preserve"> to make safe and effective choices. Despite potential breadth, the dominant focus of sexuality education programs initially focused on the public health outcomes such as the prevention of unintended pregnancy, and since the mid-1980s, prevention of HIV/AIDS and STIs. Before HIV/AIDS, there was mostly silence on LGBTQ sexualities in sexual health education. Debates in the late 1990s became dominated by abstinence in sexual health education, a stark contrast to growing scientific knowledge about the efficacy of comprehensive sexuality education. In addition to other faults described above, </w:t>
      </w:r>
      <w:r w:rsidRPr="00E67E13">
        <w:rPr>
          <w:rStyle w:val="StyleUnderline"/>
        </w:rPr>
        <w:t>the introduction of AOUM programs actively thwarted momentum to include LGBTQ youth needs in sexual health education by emphasizing abstinence until heterosexual marriage</w:t>
      </w:r>
      <w:r w:rsidRPr="00531B4B">
        <w:rPr>
          <w:sz w:val="16"/>
        </w:rPr>
        <w:t xml:space="preserve"> among high-school youth in different-sex relationships. Only since 2004 has marriage for same-sex couples been possible (to date more than a dozen states and the District of Columbia permit same-sex couples to marry); thus, for many LGBTQ youth, the AOUM message actively erases potential for comprehensive sexual health education. Moreover, some </w:t>
      </w:r>
      <w:r w:rsidRPr="00E67E13">
        <w:rPr>
          <w:rStyle w:val="StyleUnderline"/>
        </w:rPr>
        <w:t>abstinence-only program content includes unequivocally hostile messages about LGBTQ people</w:t>
      </w:r>
      <w:r w:rsidRPr="00531B4B">
        <w:rPr>
          <w:sz w:val="16"/>
        </w:rPr>
        <w:t xml:space="preserve"> (</w:t>
      </w:r>
      <w:proofErr w:type="spellStart"/>
      <w:r w:rsidRPr="00531B4B">
        <w:rPr>
          <w:sz w:val="16"/>
        </w:rPr>
        <w:t>Cianciotto</w:t>
      </w:r>
      <w:proofErr w:type="spellEnd"/>
      <w:r w:rsidRPr="00531B4B">
        <w:rPr>
          <w:sz w:val="16"/>
        </w:rPr>
        <w:t xml:space="preserve"> and Cahill </w:t>
      </w:r>
      <w:hyperlink r:id="rId22" w:anchor="CR30" w:tooltip="View reference" w:history="1">
        <w:r w:rsidRPr="00531B4B">
          <w:rPr>
            <w:sz w:val="16"/>
          </w:rPr>
          <w:t>2003</w:t>
        </w:r>
      </w:hyperlink>
      <w:r w:rsidRPr="00531B4B">
        <w:rPr>
          <w:sz w:val="16"/>
        </w:rPr>
        <w:t xml:space="preserve">). Several empirical studies have begun to document the ways that </w:t>
      </w:r>
      <w:r w:rsidRPr="00E67E13">
        <w:rPr>
          <w:rStyle w:val="StyleUnderline"/>
        </w:rPr>
        <w:t>abstinence programs</w:t>
      </w:r>
      <w:r w:rsidRPr="00531B4B">
        <w:rPr>
          <w:sz w:val="16"/>
        </w:rPr>
        <w:t xml:space="preserve"> may </w:t>
      </w:r>
      <w:r w:rsidRPr="00E67E13">
        <w:rPr>
          <w:rStyle w:val="StyleUnderline"/>
        </w:rPr>
        <w:t>undermine LGBTQ youth sexual health and well-being</w:t>
      </w:r>
      <w:r w:rsidRPr="00531B4B">
        <w:rPr>
          <w:sz w:val="16"/>
        </w:rPr>
        <w:t xml:space="preserve"> (</w:t>
      </w:r>
      <w:proofErr w:type="spellStart"/>
      <w:r w:rsidRPr="00531B4B">
        <w:rPr>
          <w:sz w:val="16"/>
        </w:rPr>
        <w:t>Kosciw</w:t>
      </w:r>
      <w:proofErr w:type="spellEnd"/>
      <w:r w:rsidRPr="00531B4B">
        <w:rPr>
          <w:sz w:val="16"/>
        </w:rPr>
        <w:t xml:space="preserve"> et al. </w:t>
      </w:r>
      <w:hyperlink r:id="rId23" w:anchor="CR81" w:tooltip="View reference" w:history="1">
        <w:r w:rsidRPr="00531B4B">
          <w:rPr>
            <w:sz w:val="16"/>
          </w:rPr>
          <w:t>2012</w:t>
        </w:r>
      </w:hyperlink>
      <w:r w:rsidRPr="00531B4B">
        <w:rPr>
          <w:sz w:val="16"/>
        </w:rPr>
        <w:t xml:space="preserve">). One report showed that compared to schools with other types of sexuality education, </w:t>
      </w:r>
      <w:r w:rsidRPr="00E67E13">
        <w:rPr>
          <w:rStyle w:val="StyleUnderline"/>
        </w:rPr>
        <w:t>LGBTQ students who attended schools that taught abstinence-only programs faced greater harassment</w:t>
      </w:r>
      <w:r w:rsidRPr="00531B4B">
        <w:rPr>
          <w:sz w:val="16"/>
        </w:rPr>
        <w:t xml:space="preserve"> in the form of anti-LGBTQ remarks. Further, </w:t>
      </w:r>
      <w:r w:rsidRPr="00E67E13">
        <w:rPr>
          <w:rStyle w:val="StyleUnderline"/>
        </w:rPr>
        <w:t>by excluding sexual minorities</w:t>
      </w:r>
      <w:r w:rsidRPr="00531B4B">
        <w:rPr>
          <w:sz w:val="16"/>
        </w:rPr>
        <w:t xml:space="preserve"> (or in some cases giving disparaging information about them), </w:t>
      </w:r>
      <w:r w:rsidRPr="00E67E13">
        <w:rPr>
          <w:rStyle w:val="StyleUnderline"/>
        </w:rPr>
        <w:t>abstinence-only programs may produce feelings of rejection and being disconnected to school</w:t>
      </w:r>
      <w:r w:rsidRPr="00531B4B">
        <w:rPr>
          <w:sz w:val="16"/>
        </w:rPr>
        <w:t xml:space="preserve"> (</w:t>
      </w:r>
      <w:proofErr w:type="spellStart"/>
      <w:r w:rsidRPr="00531B4B">
        <w:rPr>
          <w:sz w:val="16"/>
        </w:rPr>
        <w:t>Kosciw</w:t>
      </w:r>
      <w:proofErr w:type="spellEnd"/>
      <w:r w:rsidRPr="00531B4B">
        <w:rPr>
          <w:sz w:val="16"/>
        </w:rPr>
        <w:t xml:space="preserve"> et al. </w:t>
      </w:r>
      <w:hyperlink r:id="rId24" w:anchor="CR81" w:tooltip="View reference" w:history="1">
        <w:r w:rsidRPr="00531B4B">
          <w:rPr>
            <w:sz w:val="16"/>
          </w:rPr>
          <w:t>2012</w:t>
        </w:r>
      </w:hyperlink>
      <w:r w:rsidRPr="00531B4B">
        <w:rPr>
          <w:sz w:val="16"/>
        </w:rPr>
        <w:t xml:space="preserve">). </w:t>
      </w:r>
      <w:r w:rsidRPr="00E67E13">
        <w:rPr>
          <w:rStyle w:val="StyleUnderline"/>
        </w:rPr>
        <w:t>These feelings may lead to negative mental health outcomes such as depression and anxiety</w:t>
      </w:r>
      <w:r w:rsidRPr="00531B4B">
        <w:rPr>
          <w:sz w:val="16"/>
        </w:rPr>
        <w:t xml:space="preserve"> and serve as precursors for other health risk behaviors (Almeida et al. </w:t>
      </w:r>
      <w:hyperlink r:id="rId25" w:anchor="CR2" w:tooltip="View reference" w:history="1">
        <w:r w:rsidRPr="00531B4B">
          <w:rPr>
            <w:sz w:val="16"/>
          </w:rPr>
          <w:t>2009</w:t>
        </w:r>
      </w:hyperlink>
      <w:r w:rsidRPr="00531B4B">
        <w:rPr>
          <w:sz w:val="16"/>
        </w:rPr>
        <w:t xml:space="preserve">; </w:t>
      </w:r>
      <w:proofErr w:type="spellStart"/>
      <w:r w:rsidRPr="00531B4B">
        <w:rPr>
          <w:sz w:val="16"/>
        </w:rPr>
        <w:t>Kosciw</w:t>
      </w:r>
      <w:proofErr w:type="spellEnd"/>
      <w:r w:rsidRPr="00531B4B">
        <w:rPr>
          <w:sz w:val="16"/>
        </w:rPr>
        <w:t xml:space="preserve"> et al. </w:t>
      </w:r>
      <w:hyperlink r:id="rId26" w:anchor="CR81" w:tooltip="View reference" w:history="1">
        <w:r w:rsidRPr="00531B4B">
          <w:rPr>
            <w:sz w:val="16"/>
          </w:rPr>
          <w:t>2012</w:t>
        </w:r>
      </w:hyperlink>
      <w:r w:rsidRPr="00531B4B">
        <w:rPr>
          <w:sz w:val="16"/>
        </w:rPr>
        <w:t xml:space="preserve">). </w:t>
      </w:r>
      <w:r w:rsidRPr="00E67E13">
        <w:rPr>
          <w:rStyle w:val="StyleUnderline"/>
        </w:rPr>
        <w:t>On the other hand, there is evidence that inclusive strategies can promote sexual health for LGBTQ students</w:t>
      </w:r>
      <w:r w:rsidRPr="00531B4B">
        <w:rPr>
          <w:sz w:val="16"/>
        </w:rPr>
        <w:t>. For example, Blake et al. (</w:t>
      </w:r>
      <w:hyperlink r:id="rId27" w:anchor="CR14" w:tooltip="View reference" w:history="1">
        <w:r w:rsidRPr="00531B4B">
          <w:rPr>
            <w:sz w:val="16"/>
          </w:rPr>
          <w:t>2001</w:t>
        </w:r>
      </w:hyperlink>
      <w:r w:rsidRPr="00531B4B">
        <w:rPr>
          <w:sz w:val="16"/>
        </w:rPr>
        <w:t xml:space="preserve">) found that LGB students in schools with gay-sensitive HIV instruction reported lower sexual risk taking and substance use. </w:t>
      </w:r>
      <w:r w:rsidRPr="00E67E13">
        <w:rPr>
          <w:rStyle w:val="StyleUnderline"/>
        </w:rPr>
        <w:t>Not only may LGBTQ students be invisible or marginalized in sexuality education, but their health needs may not align with the sexual health education needs of students involved in different-sex relationships or sexual activity</w:t>
      </w:r>
      <w:r w:rsidRPr="00531B4B">
        <w:rPr>
          <w:sz w:val="16"/>
        </w:rPr>
        <w:t xml:space="preserve">. If the risk for disease is presented only with reference to penile-vaginal sexual behaviors, there may be deleterious consequences for the health of those who engage in same-sex relationships or sexual activity. For example, HPV poses a threat to all male and female youth, including cancer risk stemming from same- as well as different-sex sexual activity. However, if education only refers to heterosexual vaginal transmission, youth may erroneously conclude that HPV risk pertains only to heterosexual vaginal sex. Such an approach would obscure other sexual behaviors that pose risk for HPV, such as non-penetrative sexual contact, even though the prevalence of HPV among women who have never engaged in vaginal intercourse is high, as is the risk for anal cancer associated with HPV among men who engage in receptive anal intercourse (Mayer et al. </w:t>
      </w:r>
      <w:hyperlink r:id="rId28" w:anchor="CR88" w:tooltip="View reference" w:history="1">
        <w:r w:rsidRPr="00531B4B">
          <w:rPr>
            <w:sz w:val="16"/>
          </w:rPr>
          <w:t>2008</w:t>
        </w:r>
      </w:hyperlink>
      <w:r w:rsidRPr="00531B4B">
        <w:rPr>
          <w:sz w:val="16"/>
        </w:rPr>
        <w:t>). Heterosexual bias in sexuality education will leave some youth without critical knowledge they need to make safe sexual choices. Only nine states require that sexual health education programs provide inclusive information on sexual orientation (</w:t>
      </w:r>
      <w:proofErr w:type="spellStart"/>
      <w:r w:rsidRPr="00531B4B">
        <w:rPr>
          <w:sz w:val="16"/>
        </w:rPr>
        <w:t>Guttmacher</w:t>
      </w:r>
      <w:proofErr w:type="spellEnd"/>
      <w:r w:rsidRPr="00531B4B">
        <w:rPr>
          <w:sz w:val="16"/>
        </w:rPr>
        <w:t xml:space="preserve"> Institute </w:t>
      </w:r>
      <w:hyperlink r:id="rId29" w:anchor="CR63" w:tooltip="View reference" w:history="1">
        <w:r w:rsidRPr="00531B4B">
          <w:rPr>
            <w:sz w:val="16"/>
          </w:rPr>
          <w:t>2013</w:t>
        </w:r>
      </w:hyperlink>
      <w:r w:rsidRPr="00531B4B">
        <w:rPr>
          <w:sz w:val="16"/>
        </w:rPr>
        <w:t>). Seven states (and multiple localities) have laws that expressly forbid discussion of LGBTQ issues (including sexual health and HIV/AIDS awareness) in a positive light, if at all; of those, three states (Alabama, South Carolina, and Texas) require that sexuality education programs include negative messages about same-sex sexuality (</w:t>
      </w:r>
      <w:proofErr w:type="spellStart"/>
      <w:r w:rsidRPr="00531B4B">
        <w:rPr>
          <w:sz w:val="16"/>
        </w:rPr>
        <w:t>Guttmacher</w:t>
      </w:r>
      <w:proofErr w:type="spellEnd"/>
      <w:r w:rsidRPr="00531B4B">
        <w:rPr>
          <w:sz w:val="16"/>
        </w:rPr>
        <w:t xml:space="preserve"> Institute </w:t>
      </w:r>
      <w:hyperlink r:id="rId30" w:anchor="CR63" w:tooltip="View reference" w:history="1">
        <w:r w:rsidRPr="00531B4B">
          <w:rPr>
            <w:sz w:val="16"/>
          </w:rPr>
          <w:t>2013</w:t>
        </w:r>
      </w:hyperlink>
      <w:r w:rsidRPr="00531B4B">
        <w:rPr>
          <w:sz w:val="16"/>
        </w:rPr>
        <w:t xml:space="preserve">; McGovern </w:t>
      </w:r>
      <w:hyperlink r:id="rId31" w:anchor="CR89" w:tooltip="View reference" w:history="1">
        <w:r w:rsidRPr="00531B4B">
          <w:rPr>
            <w:sz w:val="16"/>
          </w:rPr>
          <w:t>2012</w:t>
        </w:r>
      </w:hyperlink>
      <w:r w:rsidRPr="00531B4B">
        <w:rPr>
          <w:sz w:val="16"/>
        </w:rPr>
        <w:t xml:space="preserve">). Alabama law criminalizes same-sex relationships and sexual behavior and proclaims them to be “not a lifestyle acceptable to the general public.” Additionally, the law asserts that this position comes from a “factual manner and from a public health perspective.” This </w:t>
      </w:r>
      <w:r w:rsidRPr="00E67E13">
        <w:rPr>
          <w:rStyle w:val="StyleUnderline"/>
        </w:rPr>
        <w:t>discriminating law is not unique; there are other laws throughout the country that work to stigmatize LGBTQ people, including youth in the classroom, by expressly forbidding discussion of LGBTQ issues in a positive manner</w:t>
      </w:r>
      <w:r w:rsidRPr="00531B4B">
        <w:rPr>
          <w:sz w:val="16"/>
        </w:rPr>
        <w:t xml:space="preserve"> (McGovern </w:t>
      </w:r>
      <w:hyperlink r:id="rId32" w:anchor="CR89" w:tooltip="View reference" w:history="1">
        <w:r w:rsidRPr="00531B4B">
          <w:rPr>
            <w:sz w:val="16"/>
          </w:rPr>
          <w:t>2012</w:t>
        </w:r>
      </w:hyperlink>
      <w:r w:rsidRPr="00531B4B">
        <w:rPr>
          <w:sz w:val="16"/>
        </w:rPr>
        <w:t xml:space="preserve">). Meanwhile, two proposed federal laws have languished; the </w:t>
      </w:r>
      <w:r w:rsidRPr="00531B4B">
        <w:rPr>
          <w:b/>
          <w:iCs/>
          <w:sz w:val="16"/>
        </w:rPr>
        <w:t>Safe Schools Improvement Act</w:t>
      </w:r>
      <w:r w:rsidRPr="00531B4B">
        <w:rPr>
          <w:sz w:val="16"/>
        </w:rPr>
        <w:t xml:space="preserve"> (2013 S. 403) and the </w:t>
      </w:r>
      <w:r w:rsidRPr="00531B4B">
        <w:rPr>
          <w:b/>
          <w:iCs/>
          <w:sz w:val="16"/>
        </w:rPr>
        <w:t>Student Non</w:t>
      </w:r>
      <w:r w:rsidRPr="00531B4B">
        <w:rPr>
          <w:sz w:val="16"/>
        </w:rPr>
        <w:t>-</w:t>
      </w:r>
      <w:r w:rsidRPr="00531B4B">
        <w:rPr>
          <w:b/>
          <w:iCs/>
          <w:sz w:val="16"/>
        </w:rPr>
        <w:t>Discrimination Act</w:t>
      </w:r>
      <w:r w:rsidRPr="00531B4B">
        <w:rPr>
          <w:sz w:val="16"/>
        </w:rPr>
        <w:t xml:space="preserve"> (2013 HR 1652) would explicitly provide protection to LGBTQ students in US schools, and create a supportive policy context for inclusive health policies and programs. In spite of this discouraging context for sexuality education, the pace of social change regarding LGBTQ inclusion has been extraordinary, as evidenced, for example, by the growing number of US states and other nations that permit marriage for same-sex couples. Beyond sexuality education programs, there is an emerging body of evidence that documents specific educational practices and strategies that create positive school climates for LGBTQ youth, including inclusive anti-discrimination and anti-bullying policies and laws, school personnel training and advocacy, access to LGBTQ-related resources and curricula, and gay-straight alliance (GSA) school clubs (Russell et al. </w:t>
      </w:r>
      <w:hyperlink r:id="rId33" w:anchor="CR120" w:tooltip="View reference" w:history="1">
        <w:r w:rsidRPr="00531B4B">
          <w:rPr>
            <w:sz w:val="16"/>
          </w:rPr>
          <w:t>2010</w:t>
        </w:r>
      </w:hyperlink>
      <w:r w:rsidRPr="00531B4B">
        <w:rPr>
          <w:sz w:val="16"/>
        </w:rPr>
        <w:t xml:space="preserve">). A number of studies show that these strategies are linked to adolescent academic achievement and mental and behavioral health (Blake et al. </w:t>
      </w:r>
      <w:hyperlink r:id="rId34" w:anchor="CR14" w:tooltip="View reference" w:history="1">
        <w:r w:rsidRPr="00531B4B">
          <w:rPr>
            <w:sz w:val="16"/>
          </w:rPr>
          <w:t>2001</w:t>
        </w:r>
      </w:hyperlink>
      <w:r w:rsidRPr="00531B4B">
        <w:rPr>
          <w:sz w:val="16"/>
        </w:rPr>
        <w:t xml:space="preserve">; </w:t>
      </w:r>
      <w:proofErr w:type="spellStart"/>
      <w:r w:rsidRPr="00531B4B">
        <w:rPr>
          <w:sz w:val="16"/>
        </w:rPr>
        <w:t>Goodenow</w:t>
      </w:r>
      <w:proofErr w:type="spellEnd"/>
      <w:r w:rsidRPr="00531B4B">
        <w:rPr>
          <w:sz w:val="16"/>
        </w:rPr>
        <w:t xml:space="preserve"> et al. </w:t>
      </w:r>
      <w:hyperlink r:id="rId35" w:anchor="CR58" w:tooltip="View reference" w:history="1">
        <w:r w:rsidRPr="00531B4B">
          <w:rPr>
            <w:sz w:val="16"/>
          </w:rPr>
          <w:t>2006</w:t>
        </w:r>
      </w:hyperlink>
      <w:r w:rsidRPr="00531B4B">
        <w:rPr>
          <w:sz w:val="16"/>
        </w:rPr>
        <w:t xml:space="preserve">; </w:t>
      </w:r>
      <w:proofErr w:type="spellStart"/>
      <w:r w:rsidRPr="00531B4B">
        <w:rPr>
          <w:sz w:val="16"/>
        </w:rPr>
        <w:t>Poteat</w:t>
      </w:r>
      <w:proofErr w:type="spellEnd"/>
      <w:r w:rsidRPr="00531B4B">
        <w:rPr>
          <w:sz w:val="16"/>
        </w:rPr>
        <w:t xml:space="preserve"> et al. </w:t>
      </w:r>
      <w:hyperlink r:id="rId36" w:anchor="CR107" w:tooltip="View reference" w:history="1">
        <w:r w:rsidRPr="00531B4B">
          <w:rPr>
            <w:sz w:val="16"/>
          </w:rPr>
          <w:t>2013</w:t>
        </w:r>
      </w:hyperlink>
      <w:r w:rsidRPr="00531B4B">
        <w:rPr>
          <w:sz w:val="16"/>
        </w:rPr>
        <w:t xml:space="preserve">).Thus, a growing body of evidence points to principles for promoting adolescent health in ways that respect and include LGBTQ youth, and that respond to known inequities many LGBTQ youth experience. These principles should inform the evidence base for federal sexual health education programs and policies. </w:t>
      </w:r>
      <w:r w:rsidRPr="00E67E13">
        <w:rPr>
          <w:rStyle w:val="StyleUnderline"/>
        </w:rPr>
        <w:t>A second area in which current scientific thinking and sexual health education policy and programs are not aligned concerns the impact of gender (in)equity and gender norms</w:t>
      </w:r>
      <w:r w:rsidRPr="00531B4B">
        <w:rPr>
          <w:sz w:val="16"/>
        </w:rPr>
        <w:t xml:space="preserve">. Research across disciplines has demonstrated that </w:t>
      </w:r>
      <w:r w:rsidRPr="00E67E13">
        <w:rPr>
          <w:rStyle w:val="StyleUnderline"/>
        </w:rPr>
        <w:t xml:space="preserve">gender norms and inequities are key factors in shaping health generally, and sexual health in particular </w:t>
      </w:r>
      <w:r w:rsidRPr="00531B4B">
        <w:rPr>
          <w:sz w:val="16"/>
        </w:rPr>
        <w:t>(</w:t>
      </w:r>
      <w:proofErr w:type="spellStart"/>
      <w:r w:rsidRPr="00531B4B">
        <w:rPr>
          <w:sz w:val="16"/>
        </w:rPr>
        <w:t>Rogow</w:t>
      </w:r>
      <w:proofErr w:type="spellEnd"/>
      <w:r w:rsidRPr="00531B4B">
        <w:rPr>
          <w:sz w:val="16"/>
        </w:rPr>
        <w:t xml:space="preserve"> and </w:t>
      </w:r>
      <w:proofErr w:type="spellStart"/>
      <w:r w:rsidRPr="00531B4B">
        <w:rPr>
          <w:sz w:val="16"/>
        </w:rPr>
        <w:t>Haberland</w:t>
      </w:r>
      <w:proofErr w:type="spellEnd"/>
      <w:r w:rsidRPr="00531B4B">
        <w:rPr>
          <w:sz w:val="16"/>
        </w:rPr>
        <w:t xml:space="preserve"> </w:t>
      </w:r>
      <w:hyperlink r:id="rId37" w:anchor="CR112" w:tooltip="View reference" w:history="1">
        <w:r w:rsidRPr="00531B4B">
          <w:rPr>
            <w:sz w:val="16"/>
          </w:rPr>
          <w:t>2005</w:t>
        </w:r>
      </w:hyperlink>
      <w:r w:rsidRPr="00531B4B">
        <w:rPr>
          <w:sz w:val="16"/>
        </w:rPr>
        <w:t xml:space="preserve">). International health organizations have recognized that promoting gender equity is critical to advancing health across the life course (World Health Organization </w:t>
      </w:r>
      <w:hyperlink r:id="rId38" w:anchor="CR143" w:tooltip="View reference" w:history="1">
        <w:r w:rsidRPr="00531B4B">
          <w:rPr>
            <w:sz w:val="16"/>
          </w:rPr>
          <w:t>2002</w:t>
        </w:r>
      </w:hyperlink>
      <w:r w:rsidRPr="00531B4B">
        <w:rPr>
          <w:sz w:val="16"/>
        </w:rPr>
        <w:t>). Domestically, Healthy People 2020 includes gender and gender identity as dimensions linked to health disparities—that is, systematic obstacles to health—and it aspires to reduce those disparities. But in the “Adolescent Health” section, the document is silent about the need to address gender inequities or harmful gender beliefs.</w:t>
      </w:r>
      <w:hyperlink r:id="rId39" w:anchor="Fn3" w:history="1">
        <w:r w:rsidRPr="00531B4B">
          <w:rPr>
            <w:sz w:val="16"/>
          </w:rPr>
          <w:t>3</w:t>
        </w:r>
      </w:hyperlink>
      <w:r w:rsidRPr="00531B4B">
        <w:rPr>
          <w:sz w:val="16"/>
        </w:rPr>
        <w:t xml:space="preserve"> </w:t>
      </w:r>
      <w:r w:rsidRPr="00E67E13">
        <w:rPr>
          <w:rStyle w:val="StyleUnderline"/>
        </w:rPr>
        <w:t>Establishing gender equity and challenging gender beliefs that research has shown to be harmful to adolescent sexual health have never been central goals in US adolescent sexual health and education policy</w:t>
      </w:r>
      <w:r w:rsidRPr="00531B4B">
        <w:rPr>
          <w:sz w:val="16"/>
        </w:rPr>
        <w:t xml:space="preserve"> (</w:t>
      </w:r>
      <w:proofErr w:type="spellStart"/>
      <w:r w:rsidRPr="00531B4B">
        <w:rPr>
          <w:sz w:val="16"/>
        </w:rPr>
        <w:t>DeLamater</w:t>
      </w:r>
      <w:proofErr w:type="spellEnd"/>
      <w:r w:rsidRPr="00531B4B">
        <w:rPr>
          <w:sz w:val="16"/>
        </w:rPr>
        <w:t xml:space="preserve"> </w:t>
      </w:r>
      <w:hyperlink r:id="rId40" w:anchor="CR36" w:tooltip="View reference" w:history="1">
        <w:r w:rsidRPr="00531B4B">
          <w:rPr>
            <w:sz w:val="16"/>
          </w:rPr>
          <w:t>2007</w:t>
        </w:r>
      </w:hyperlink>
      <w:r w:rsidRPr="00531B4B">
        <w:rPr>
          <w:sz w:val="16"/>
        </w:rPr>
        <w:t xml:space="preserve">). In fact, </w:t>
      </w:r>
      <w:r w:rsidRPr="00E67E13">
        <w:rPr>
          <w:rStyle w:val="StyleUnderline"/>
        </w:rPr>
        <w:t>many abstinence-only and abstinence-only-until-marriage programs have taught gender stereotypes as facts</w:t>
      </w:r>
      <w:r w:rsidRPr="00531B4B">
        <w:rPr>
          <w:sz w:val="16"/>
        </w:rPr>
        <w:t xml:space="preserve"> (Curran </w:t>
      </w:r>
      <w:hyperlink r:id="rId41" w:anchor="CR35" w:tooltip="View reference" w:history="1">
        <w:r w:rsidRPr="00531B4B">
          <w:rPr>
            <w:sz w:val="16"/>
          </w:rPr>
          <w:t>2011</w:t>
        </w:r>
      </w:hyperlink>
      <w:r w:rsidRPr="00531B4B">
        <w:rPr>
          <w:sz w:val="16"/>
        </w:rPr>
        <w:t xml:space="preserve">; Delamater </w:t>
      </w:r>
      <w:hyperlink r:id="rId42" w:anchor="CR36" w:tooltip="View reference" w:history="1">
        <w:r w:rsidRPr="00531B4B">
          <w:rPr>
            <w:sz w:val="16"/>
          </w:rPr>
          <w:t>2007</w:t>
        </w:r>
      </w:hyperlink>
      <w:r w:rsidRPr="00531B4B">
        <w:rPr>
          <w:sz w:val="16"/>
        </w:rPr>
        <w:t xml:space="preserve">; Fine and McClelland </w:t>
      </w:r>
      <w:hyperlink r:id="rId43" w:anchor="CR46" w:tooltip="View reference" w:history="1">
        <w:r w:rsidRPr="00531B4B">
          <w:rPr>
            <w:sz w:val="16"/>
          </w:rPr>
          <w:t>2006</w:t>
        </w:r>
      </w:hyperlink>
      <w:r w:rsidRPr="00531B4B">
        <w:rPr>
          <w:sz w:val="16"/>
        </w:rPr>
        <w:t xml:space="preserve">). </w:t>
      </w:r>
      <w:r w:rsidRPr="00E67E13">
        <w:rPr>
          <w:rStyle w:val="StyleUnderline"/>
        </w:rPr>
        <w:t xml:space="preserve">Even approaches that include information beyond abstinence have perpetuated gender inequities through gender stereotyping implicit in curricula or teachers’ informal communications </w:t>
      </w:r>
      <w:r w:rsidRPr="00531B4B">
        <w:rPr>
          <w:sz w:val="16"/>
        </w:rPr>
        <w:t xml:space="preserve">(Curran </w:t>
      </w:r>
      <w:hyperlink r:id="rId44" w:anchor="CR35" w:tooltip="View reference" w:history="1">
        <w:r w:rsidRPr="00531B4B">
          <w:rPr>
            <w:sz w:val="16"/>
          </w:rPr>
          <w:t>2011</w:t>
        </w:r>
      </w:hyperlink>
      <w:r w:rsidRPr="00531B4B">
        <w:rPr>
          <w:sz w:val="16"/>
        </w:rPr>
        <w:t xml:space="preserve">; Fields </w:t>
      </w:r>
      <w:hyperlink r:id="rId45" w:anchor="CR45" w:tooltip="View reference" w:history="1">
        <w:r w:rsidRPr="00531B4B">
          <w:rPr>
            <w:sz w:val="16"/>
          </w:rPr>
          <w:t>2008</w:t>
        </w:r>
      </w:hyperlink>
      <w:r w:rsidRPr="00531B4B">
        <w:rPr>
          <w:sz w:val="16"/>
        </w:rPr>
        <w:t xml:space="preserve">; Garcia </w:t>
      </w:r>
      <w:hyperlink r:id="rId46" w:anchor="CR54" w:tooltip="View reference" w:history="1">
        <w:r w:rsidRPr="00531B4B">
          <w:rPr>
            <w:sz w:val="16"/>
          </w:rPr>
          <w:t>2009</w:t>
        </w:r>
      </w:hyperlink>
      <w:r w:rsidRPr="00531B4B">
        <w:rPr>
          <w:sz w:val="16"/>
        </w:rPr>
        <w:t xml:space="preserve">, </w:t>
      </w:r>
      <w:hyperlink r:id="rId47" w:anchor="CR55" w:tooltip="View reference" w:history="1">
        <w:r w:rsidRPr="00531B4B">
          <w:rPr>
            <w:sz w:val="16"/>
          </w:rPr>
          <w:t>2012</w:t>
        </w:r>
      </w:hyperlink>
      <w:r w:rsidRPr="00531B4B">
        <w:rPr>
          <w:sz w:val="16"/>
        </w:rPr>
        <w:t xml:space="preserve">). It has long been established among researchers that </w:t>
      </w:r>
      <w:r w:rsidRPr="00E67E13">
        <w:rPr>
          <w:rStyle w:val="StyleUnderline"/>
        </w:rPr>
        <w:t>gender inequities, and the gender ideologies that uphold them, are key factors in shaping sexual and reproductive health globally and domestically, affecting STIs, HIV/AIDS, unintended pregnancies, and sexual violence</w:t>
      </w:r>
      <w:r w:rsidRPr="00531B4B">
        <w:rPr>
          <w:sz w:val="16"/>
        </w:rPr>
        <w:t xml:space="preserve"> (</w:t>
      </w:r>
      <w:proofErr w:type="spellStart"/>
      <w:r w:rsidRPr="00531B4B">
        <w:rPr>
          <w:sz w:val="16"/>
        </w:rPr>
        <w:t>Rogow</w:t>
      </w:r>
      <w:proofErr w:type="spellEnd"/>
      <w:r w:rsidRPr="00531B4B">
        <w:rPr>
          <w:sz w:val="16"/>
        </w:rPr>
        <w:t xml:space="preserve"> and </w:t>
      </w:r>
      <w:proofErr w:type="spellStart"/>
      <w:r w:rsidRPr="00531B4B">
        <w:rPr>
          <w:sz w:val="16"/>
        </w:rPr>
        <w:t>Haberland</w:t>
      </w:r>
      <w:proofErr w:type="spellEnd"/>
      <w:r w:rsidRPr="00531B4B">
        <w:rPr>
          <w:sz w:val="16"/>
        </w:rPr>
        <w:t xml:space="preserve"> </w:t>
      </w:r>
      <w:hyperlink r:id="rId48" w:anchor="CR112" w:tooltip="View reference" w:history="1">
        <w:r w:rsidRPr="00531B4B">
          <w:rPr>
            <w:sz w:val="16"/>
          </w:rPr>
          <w:t>2005</w:t>
        </w:r>
      </w:hyperlink>
      <w:r w:rsidRPr="00531B4B">
        <w:rPr>
          <w:sz w:val="16"/>
        </w:rPr>
        <w:t xml:space="preserve">; Santana et al. </w:t>
      </w:r>
      <w:hyperlink r:id="rId49" w:anchor="CR125" w:tooltip="View reference" w:history="1">
        <w:r w:rsidRPr="00531B4B">
          <w:rPr>
            <w:sz w:val="16"/>
          </w:rPr>
          <w:t>2006</w:t>
        </w:r>
      </w:hyperlink>
      <w:r w:rsidRPr="00531B4B">
        <w:rPr>
          <w:sz w:val="16"/>
        </w:rPr>
        <w:t xml:space="preserve">). Scholars have documented how </w:t>
      </w:r>
      <w:r w:rsidRPr="00E67E13">
        <w:rPr>
          <w:rStyle w:val="StyleUnderline"/>
        </w:rPr>
        <w:t>traditional gender roles impede women’s sexual autonomy and self-efficacy, and thereby increase their vulnerability to STIs and HIV, intimate partner violence, unwanted sex, and unintended pregnancy</w:t>
      </w:r>
      <w:r w:rsidRPr="00531B4B">
        <w:rPr>
          <w:sz w:val="16"/>
        </w:rPr>
        <w:t xml:space="preserve"> (</w:t>
      </w:r>
      <w:proofErr w:type="spellStart"/>
      <w:r w:rsidRPr="00531B4B">
        <w:rPr>
          <w:sz w:val="16"/>
        </w:rPr>
        <w:t>Amaro</w:t>
      </w:r>
      <w:proofErr w:type="spellEnd"/>
      <w:r w:rsidRPr="00531B4B">
        <w:rPr>
          <w:sz w:val="16"/>
        </w:rPr>
        <w:t xml:space="preserve"> and Raj </w:t>
      </w:r>
      <w:hyperlink r:id="rId50" w:anchor="CR3" w:tooltip="View reference" w:history="1">
        <w:r w:rsidRPr="00531B4B">
          <w:rPr>
            <w:sz w:val="16"/>
          </w:rPr>
          <w:t>2000</w:t>
        </w:r>
      </w:hyperlink>
      <w:r w:rsidRPr="00531B4B">
        <w:rPr>
          <w:sz w:val="16"/>
        </w:rPr>
        <w:t xml:space="preserve">; </w:t>
      </w:r>
      <w:proofErr w:type="spellStart"/>
      <w:r w:rsidRPr="00531B4B">
        <w:rPr>
          <w:sz w:val="16"/>
        </w:rPr>
        <w:t>Amaro</w:t>
      </w:r>
      <w:proofErr w:type="spellEnd"/>
      <w:r w:rsidRPr="00531B4B">
        <w:rPr>
          <w:sz w:val="16"/>
        </w:rPr>
        <w:t xml:space="preserve"> et al. </w:t>
      </w:r>
      <w:hyperlink r:id="rId51" w:anchor="CR4" w:tooltip="View reference" w:history="1">
        <w:r w:rsidRPr="00531B4B">
          <w:rPr>
            <w:sz w:val="16"/>
          </w:rPr>
          <w:t>2001</w:t>
        </w:r>
      </w:hyperlink>
      <w:r w:rsidRPr="00531B4B">
        <w:rPr>
          <w:sz w:val="16"/>
        </w:rPr>
        <w:t xml:space="preserve">; </w:t>
      </w:r>
      <w:proofErr w:type="spellStart"/>
      <w:r w:rsidRPr="00531B4B">
        <w:rPr>
          <w:sz w:val="16"/>
        </w:rPr>
        <w:t>Impett</w:t>
      </w:r>
      <w:proofErr w:type="spellEnd"/>
      <w:r w:rsidRPr="00531B4B">
        <w:rPr>
          <w:sz w:val="16"/>
        </w:rPr>
        <w:t xml:space="preserve"> et al. </w:t>
      </w:r>
      <w:hyperlink r:id="rId52" w:anchor="CR70" w:tooltip="View reference" w:history="1">
        <w:r w:rsidRPr="00531B4B">
          <w:rPr>
            <w:sz w:val="16"/>
          </w:rPr>
          <w:t>2006</w:t>
        </w:r>
      </w:hyperlink>
      <w:r w:rsidRPr="00531B4B">
        <w:rPr>
          <w:sz w:val="16"/>
        </w:rPr>
        <w:t xml:space="preserve">; </w:t>
      </w:r>
      <w:proofErr w:type="spellStart"/>
      <w:r w:rsidRPr="00531B4B">
        <w:rPr>
          <w:sz w:val="16"/>
        </w:rPr>
        <w:t>Jewkes</w:t>
      </w:r>
      <w:proofErr w:type="spellEnd"/>
      <w:r w:rsidRPr="00531B4B">
        <w:rPr>
          <w:sz w:val="16"/>
        </w:rPr>
        <w:t xml:space="preserve"> </w:t>
      </w:r>
      <w:hyperlink r:id="rId53" w:anchor="CR72" w:tooltip="View reference" w:history="1">
        <w:r w:rsidRPr="00531B4B">
          <w:rPr>
            <w:sz w:val="16"/>
          </w:rPr>
          <w:t>2010</w:t>
        </w:r>
      </w:hyperlink>
      <w:r w:rsidRPr="00531B4B">
        <w:rPr>
          <w:sz w:val="16"/>
        </w:rPr>
        <w:t xml:space="preserve">; Phillips </w:t>
      </w:r>
      <w:hyperlink r:id="rId54" w:anchor="CR104" w:tooltip="View reference" w:history="1">
        <w:r w:rsidRPr="00531B4B">
          <w:rPr>
            <w:sz w:val="16"/>
          </w:rPr>
          <w:t>2000</w:t>
        </w:r>
      </w:hyperlink>
      <w:r w:rsidRPr="00531B4B">
        <w:rPr>
          <w:sz w:val="16"/>
        </w:rPr>
        <w:t xml:space="preserve">). </w:t>
      </w:r>
      <w:r w:rsidRPr="00E67E13">
        <w:rPr>
          <w:rStyle w:val="StyleUnderline"/>
        </w:rPr>
        <w:t>Gender-based relational power imbalances impact women’s capacity to advocate for their own sexual safety</w:t>
      </w:r>
      <w:r w:rsidRPr="00531B4B">
        <w:rPr>
          <w:sz w:val="16"/>
        </w:rPr>
        <w:t xml:space="preserve"> (Phillips </w:t>
      </w:r>
      <w:hyperlink r:id="rId55" w:anchor="CR104" w:tooltip="View reference" w:history="1">
        <w:r w:rsidRPr="00531B4B">
          <w:rPr>
            <w:sz w:val="16"/>
          </w:rPr>
          <w:t>2000</w:t>
        </w:r>
      </w:hyperlink>
      <w:r w:rsidRPr="00531B4B">
        <w:rPr>
          <w:sz w:val="16"/>
        </w:rPr>
        <w:t xml:space="preserve">; Rosenthal and Levy </w:t>
      </w:r>
      <w:hyperlink r:id="rId56" w:anchor="CR117" w:tooltip="View reference" w:history="1">
        <w:r w:rsidRPr="00531B4B">
          <w:rPr>
            <w:sz w:val="16"/>
          </w:rPr>
          <w:t>2010</w:t>
        </w:r>
      </w:hyperlink>
      <w:r w:rsidRPr="00531B4B">
        <w:rPr>
          <w:sz w:val="16"/>
        </w:rPr>
        <w:t xml:space="preserve">). For instance, </w:t>
      </w:r>
      <w:r w:rsidRPr="00E67E13">
        <w:rPr>
          <w:rStyle w:val="StyleUnderline"/>
        </w:rPr>
        <w:t xml:space="preserve">compared to women who report low levels of relationship power, women with higher levels are five times as likely to report consistent condom use </w:t>
      </w:r>
      <w:r w:rsidRPr="00531B4B">
        <w:rPr>
          <w:sz w:val="16"/>
        </w:rPr>
        <w:t>(</w:t>
      </w:r>
      <w:proofErr w:type="spellStart"/>
      <w:r w:rsidRPr="00531B4B">
        <w:rPr>
          <w:sz w:val="16"/>
        </w:rPr>
        <w:t>Pulerwitz</w:t>
      </w:r>
      <w:proofErr w:type="spellEnd"/>
      <w:r w:rsidRPr="00531B4B">
        <w:rPr>
          <w:sz w:val="16"/>
        </w:rPr>
        <w:t xml:space="preserve"> et al. </w:t>
      </w:r>
      <w:hyperlink r:id="rId57" w:anchor="CR108" w:tooltip="View reference" w:history="1">
        <w:r w:rsidRPr="00531B4B">
          <w:rPr>
            <w:sz w:val="16"/>
          </w:rPr>
          <w:t>2002</w:t>
        </w:r>
      </w:hyperlink>
      <w:r w:rsidRPr="00531B4B">
        <w:rPr>
          <w:sz w:val="16"/>
        </w:rPr>
        <w:t xml:space="preserve">). </w:t>
      </w:r>
      <w:r w:rsidRPr="00E67E13">
        <w:rPr>
          <w:rStyle w:val="StyleUnderline"/>
        </w:rPr>
        <w:t>Cultural beliefs about gender can also have negative health consequences for men</w:t>
      </w:r>
      <w:r w:rsidRPr="00531B4B">
        <w:rPr>
          <w:sz w:val="16"/>
        </w:rPr>
        <w:t xml:space="preserve"> by, for instance, encouraging risk behavior (Higgins et al. </w:t>
      </w:r>
      <w:hyperlink r:id="rId58" w:anchor="CR66" w:tooltip="View reference" w:history="1">
        <w:r w:rsidRPr="00531B4B">
          <w:rPr>
            <w:sz w:val="16"/>
          </w:rPr>
          <w:t>2010</w:t>
        </w:r>
      </w:hyperlink>
      <w:r w:rsidRPr="00531B4B">
        <w:rPr>
          <w:sz w:val="16"/>
        </w:rPr>
        <w:t xml:space="preserve">). </w:t>
      </w:r>
      <w:r w:rsidRPr="00E67E13">
        <w:rPr>
          <w:rStyle w:val="StyleUnderline"/>
        </w:rPr>
        <w:t>Gender ideologies shape how youth view and experience themselves and each other.</w:t>
      </w:r>
      <w:r w:rsidRPr="00531B4B">
        <w:rPr>
          <w:sz w:val="16"/>
        </w:rPr>
        <w:t xml:space="preserve"> Researchers have documented how schools, peer culture and other institutions overtly and covertly communicate distinct gender ideologies about sex and romance to young people (Chambers et al. </w:t>
      </w:r>
      <w:hyperlink r:id="rId59" w:anchor="CR28" w:tooltip="View reference" w:history="1">
        <w:r w:rsidRPr="00531B4B">
          <w:rPr>
            <w:sz w:val="16"/>
          </w:rPr>
          <w:t>2004</w:t>
        </w:r>
      </w:hyperlink>
      <w:r w:rsidRPr="00531B4B">
        <w:rPr>
          <w:sz w:val="16"/>
        </w:rPr>
        <w:t xml:space="preserve">; Eder et al. </w:t>
      </w:r>
      <w:hyperlink r:id="rId60" w:anchor="CR42" w:tooltip="View reference" w:history="1">
        <w:r w:rsidRPr="00531B4B">
          <w:rPr>
            <w:sz w:val="16"/>
          </w:rPr>
          <w:t>1995</w:t>
        </w:r>
      </w:hyperlink>
      <w:r w:rsidRPr="00531B4B">
        <w:rPr>
          <w:sz w:val="16"/>
        </w:rPr>
        <w:t xml:space="preserve">; Fields </w:t>
      </w:r>
      <w:hyperlink r:id="rId61" w:anchor="CR45" w:tooltip="View reference" w:history="1">
        <w:r w:rsidRPr="00531B4B">
          <w:rPr>
            <w:sz w:val="16"/>
          </w:rPr>
          <w:t>2008</w:t>
        </w:r>
      </w:hyperlink>
      <w:r w:rsidRPr="00531B4B">
        <w:rPr>
          <w:sz w:val="16"/>
        </w:rPr>
        <w:t xml:space="preserve">; Pascoe </w:t>
      </w:r>
      <w:hyperlink r:id="rId62" w:anchor="CR101" w:tooltip="View reference" w:history="1">
        <w:r w:rsidRPr="00531B4B">
          <w:rPr>
            <w:sz w:val="16"/>
          </w:rPr>
          <w:t>2007</w:t>
        </w:r>
      </w:hyperlink>
      <w:r w:rsidRPr="00531B4B">
        <w:rPr>
          <w:sz w:val="16"/>
        </w:rPr>
        <w:t xml:space="preserve">). </w:t>
      </w:r>
      <w:r w:rsidRPr="00E67E13">
        <w:rPr>
          <w:rStyle w:val="StyleUnderline"/>
        </w:rPr>
        <w:t xml:space="preserve">Traditional gender ideologies frequently link masculinity with heterosexual sexual activity, sex drive, sexual initiation, and lack of emotional involvement, and femininity with sexual passivity, sexual restraint, responsibility for controlling boys’ desires, and emotional over-involvement </w:t>
      </w:r>
      <w:r w:rsidRPr="00531B4B">
        <w:rPr>
          <w:sz w:val="16"/>
        </w:rPr>
        <w:t xml:space="preserve">(Allen </w:t>
      </w:r>
      <w:hyperlink r:id="rId63" w:anchor="CR1" w:tooltip="View reference" w:history="1">
        <w:r w:rsidRPr="00531B4B">
          <w:rPr>
            <w:sz w:val="16"/>
          </w:rPr>
          <w:t>2003</w:t>
        </w:r>
      </w:hyperlink>
      <w:r w:rsidRPr="00531B4B">
        <w:rPr>
          <w:sz w:val="16"/>
        </w:rPr>
        <w:t xml:space="preserve">; Bay-Cheng </w:t>
      </w:r>
      <w:hyperlink r:id="rId64" w:anchor="CR11" w:tooltip="View reference" w:history="1">
        <w:r w:rsidRPr="00531B4B">
          <w:rPr>
            <w:sz w:val="16"/>
          </w:rPr>
          <w:t>2003</w:t>
        </w:r>
      </w:hyperlink>
      <w:r w:rsidRPr="00531B4B">
        <w:rPr>
          <w:sz w:val="16"/>
        </w:rPr>
        <w:t xml:space="preserve">). </w:t>
      </w:r>
      <w:r w:rsidRPr="00E67E13">
        <w:rPr>
          <w:rStyle w:val="StyleUnderline"/>
        </w:rPr>
        <w:t>The sexual double standard, which encourages and celebrates heterosexual sexual experience in teenage boys but censures and stigmatizes sexual experience in teenage girls, is endemic in the United States</w:t>
      </w:r>
      <w:r w:rsidRPr="00531B4B">
        <w:rPr>
          <w:sz w:val="16"/>
        </w:rPr>
        <w:t xml:space="preserve">, though it varies by local context and culture (Crawford and Popp </w:t>
      </w:r>
      <w:hyperlink r:id="rId65" w:anchor="CR33" w:tooltip="View reference" w:history="1">
        <w:r w:rsidRPr="00531B4B">
          <w:rPr>
            <w:sz w:val="16"/>
          </w:rPr>
          <w:t>2003</w:t>
        </w:r>
      </w:hyperlink>
      <w:r w:rsidRPr="00531B4B">
        <w:rPr>
          <w:sz w:val="16"/>
        </w:rPr>
        <w:t xml:space="preserve">; Greene and Faulkner </w:t>
      </w:r>
      <w:hyperlink r:id="rId66" w:anchor="CR60" w:tooltip="View reference" w:history="1">
        <w:r w:rsidRPr="00531B4B">
          <w:rPr>
            <w:sz w:val="16"/>
          </w:rPr>
          <w:t>2005</w:t>
        </w:r>
      </w:hyperlink>
      <w:r w:rsidRPr="00531B4B">
        <w:rPr>
          <w:sz w:val="16"/>
        </w:rPr>
        <w:t xml:space="preserve">; Marston and King </w:t>
      </w:r>
      <w:hyperlink r:id="rId67" w:anchor="CR86" w:tooltip="View reference" w:history="1">
        <w:r w:rsidRPr="00531B4B">
          <w:rPr>
            <w:sz w:val="16"/>
          </w:rPr>
          <w:t>2006</w:t>
        </w:r>
      </w:hyperlink>
      <w:r w:rsidRPr="00531B4B">
        <w:rPr>
          <w:sz w:val="16"/>
        </w:rPr>
        <w:t xml:space="preserve">). </w:t>
      </w:r>
      <w:r w:rsidRPr="00E67E13">
        <w:rPr>
          <w:rStyle w:val="StyleUnderline"/>
        </w:rPr>
        <w:t>The sexual double standard harms girls by stigmatizing their sexual desires and experiences, reducing their negotiating power within sexual encounters, and conditioning girls to believe that their own desires and wishes are less significant than those of their male partners</w:t>
      </w:r>
      <w:r w:rsidRPr="00531B4B">
        <w:rPr>
          <w:sz w:val="16"/>
        </w:rPr>
        <w:t xml:space="preserve"> (Hamilton and Armstrong </w:t>
      </w:r>
      <w:hyperlink r:id="rId68" w:anchor="CR65" w:tooltip="View reference" w:history="1">
        <w:r w:rsidRPr="00531B4B">
          <w:rPr>
            <w:sz w:val="16"/>
          </w:rPr>
          <w:t>2009</w:t>
        </w:r>
      </w:hyperlink>
      <w:r w:rsidRPr="00531B4B">
        <w:rPr>
          <w:sz w:val="16"/>
        </w:rPr>
        <w:t xml:space="preserve">; Holland et al. </w:t>
      </w:r>
      <w:hyperlink r:id="rId69" w:anchor="CR68" w:tooltip="View reference" w:history="1">
        <w:r w:rsidRPr="00531B4B">
          <w:rPr>
            <w:sz w:val="16"/>
          </w:rPr>
          <w:t>1998</w:t>
        </w:r>
      </w:hyperlink>
      <w:r w:rsidRPr="00531B4B">
        <w:rPr>
          <w:sz w:val="16"/>
        </w:rPr>
        <w:t xml:space="preserve">; Martin </w:t>
      </w:r>
      <w:hyperlink r:id="rId70" w:anchor="CR87" w:tooltip="View reference" w:history="1">
        <w:r w:rsidRPr="00531B4B">
          <w:rPr>
            <w:sz w:val="16"/>
          </w:rPr>
          <w:t>1996</w:t>
        </w:r>
      </w:hyperlink>
      <w:r w:rsidRPr="00531B4B">
        <w:rPr>
          <w:sz w:val="16"/>
        </w:rPr>
        <w:t xml:space="preserve">; </w:t>
      </w:r>
      <w:proofErr w:type="spellStart"/>
      <w:r w:rsidRPr="00531B4B">
        <w:rPr>
          <w:sz w:val="16"/>
        </w:rPr>
        <w:t>Tolman</w:t>
      </w:r>
      <w:proofErr w:type="spellEnd"/>
      <w:r w:rsidRPr="00531B4B">
        <w:rPr>
          <w:sz w:val="16"/>
        </w:rPr>
        <w:t xml:space="preserve"> </w:t>
      </w:r>
      <w:hyperlink r:id="rId71" w:anchor="CR135" w:tooltip="View reference" w:history="1">
        <w:r w:rsidRPr="00531B4B">
          <w:rPr>
            <w:sz w:val="16"/>
          </w:rPr>
          <w:t>2002</w:t>
        </w:r>
      </w:hyperlink>
      <w:r w:rsidRPr="00531B4B">
        <w:rPr>
          <w:sz w:val="16"/>
        </w:rPr>
        <w:t xml:space="preserve">). </w:t>
      </w:r>
      <w:r w:rsidRPr="00E67E13">
        <w:rPr>
          <w:rStyle w:val="StyleUnderline"/>
        </w:rPr>
        <w:t>Negative cultural beliefs about girls’ sexuality can make it difficult for them to disclose their sexual histories to partners, parents, or adult care providers</w:t>
      </w:r>
      <w:r w:rsidRPr="00531B4B">
        <w:rPr>
          <w:sz w:val="16"/>
        </w:rPr>
        <w:t xml:space="preserve"> (Greene and Faulkner </w:t>
      </w:r>
      <w:hyperlink r:id="rId72" w:anchor="CR60" w:tooltip="View reference" w:history="1">
        <w:r w:rsidRPr="00531B4B">
          <w:rPr>
            <w:sz w:val="16"/>
          </w:rPr>
          <w:t>2005</w:t>
        </w:r>
      </w:hyperlink>
      <w:r w:rsidRPr="00531B4B">
        <w:rPr>
          <w:sz w:val="16"/>
        </w:rPr>
        <w:t xml:space="preserve">; </w:t>
      </w:r>
      <w:proofErr w:type="spellStart"/>
      <w:r w:rsidRPr="00531B4B">
        <w:rPr>
          <w:sz w:val="16"/>
        </w:rPr>
        <w:t>Schalet</w:t>
      </w:r>
      <w:proofErr w:type="spellEnd"/>
      <w:r w:rsidRPr="00531B4B">
        <w:rPr>
          <w:sz w:val="16"/>
        </w:rPr>
        <w:t xml:space="preserve"> </w:t>
      </w:r>
      <w:hyperlink r:id="rId73" w:anchor="CR129" w:tooltip="View reference" w:history="1">
        <w:r w:rsidRPr="00531B4B">
          <w:rPr>
            <w:sz w:val="16"/>
          </w:rPr>
          <w:t>2011a</w:t>
        </w:r>
      </w:hyperlink>
      <w:r w:rsidRPr="00531B4B">
        <w:rPr>
          <w:sz w:val="16"/>
        </w:rPr>
        <w:t xml:space="preserve">, </w:t>
      </w:r>
      <w:hyperlink r:id="rId74" w:anchor="CR130" w:tooltip="View reference" w:history="1">
        <w:r w:rsidRPr="00531B4B">
          <w:rPr>
            <w:sz w:val="16"/>
          </w:rPr>
          <w:t>b</w:t>
        </w:r>
      </w:hyperlink>
      <w:r w:rsidRPr="00531B4B">
        <w:rPr>
          <w:sz w:val="16"/>
        </w:rPr>
        <w:t xml:space="preserve">). </w:t>
      </w:r>
      <w:r w:rsidRPr="00E67E13">
        <w:rPr>
          <w:rStyle w:val="StyleUnderline"/>
        </w:rPr>
        <w:t>Traditional gender roles can also hinder girls in refusing unwanted sex and insisting on condom use</w:t>
      </w:r>
      <w:r w:rsidRPr="00531B4B">
        <w:rPr>
          <w:sz w:val="16"/>
        </w:rPr>
        <w:t xml:space="preserve"> (</w:t>
      </w:r>
      <w:proofErr w:type="spellStart"/>
      <w:r w:rsidRPr="00531B4B">
        <w:rPr>
          <w:sz w:val="16"/>
        </w:rPr>
        <w:t>Impett</w:t>
      </w:r>
      <w:proofErr w:type="spellEnd"/>
      <w:r w:rsidRPr="00531B4B">
        <w:rPr>
          <w:sz w:val="16"/>
        </w:rPr>
        <w:t xml:space="preserve"> et al. </w:t>
      </w:r>
      <w:hyperlink r:id="rId75" w:anchor="CR70" w:tooltip="View reference" w:history="1">
        <w:r w:rsidRPr="00531B4B">
          <w:rPr>
            <w:sz w:val="16"/>
          </w:rPr>
          <w:t>2006</w:t>
        </w:r>
      </w:hyperlink>
      <w:r w:rsidRPr="00531B4B">
        <w:rPr>
          <w:sz w:val="16"/>
        </w:rPr>
        <w:t xml:space="preserve">; </w:t>
      </w:r>
      <w:proofErr w:type="spellStart"/>
      <w:r w:rsidRPr="00531B4B">
        <w:rPr>
          <w:sz w:val="16"/>
        </w:rPr>
        <w:t>Kirkman</w:t>
      </w:r>
      <w:proofErr w:type="spellEnd"/>
      <w:r w:rsidRPr="00531B4B">
        <w:rPr>
          <w:sz w:val="16"/>
        </w:rPr>
        <w:t xml:space="preserve"> et al. </w:t>
      </w:r>
      <w:hyperlink r:id="rId76" w:anchor="CR79" w:tooltip="View reference" w:history="1">
        <w:r w:rsidRPr="00531B4B">
          <w:rPr>
            <w:sz w:val="16"/>
          </w:rPr>
          <w:t>1998</w:t>
        </w:r>
      </w:hyperlink>
      <w:r w:rsidRPr="00531B4B">
        <w:rPr>
          <w:sz w:val="16"/>
        </w:rPr>
        <w:t xml:space="preserve">; </w:t>
      </w:r>
      <w:proofErr w:type="spellStart"/>
      <w:r w:rsidRPr="00531B4B">
        <w:rPr>
          <w:sz w:val="16"/>
        </w:rPr>
        <w:t>Petitifor</w:t>
      </w:r>
      <w:proofErr w:type="spellEnd"/>
      <w:r w:rsidRPr="00531B4B">
        <w:rPr>
          <w:sz w:val="16"/>
        </w:rPr>
        <w:t xml:space="preserve"> </w:t>
      </w:r>
      <w:hyperlink r:id="rId77" w:anchor="CR103" w:tooltip="View reference" w:history="1">
        <w:r w:rsidRPr="00531B4B">
          <w:rPr>
            <w:sz w:val="16"/>
          </w:rPr>
          <w:t>2012</w:t>
        </w:r>
      </w:hyperlink>
      <w:r w:rsidRPr="00531B4B">
        <w:rPr>
          <w:sz w:val="16"/>
        </w:rPr>
        <w:t xml:space="preserve">). Possessing a sense of sexual self-efficacy—a sense that one has power over one’s sexual decision making—seems to be especially important in aiding girls to engage in safer sex behaviors (Gutierrez et al. </w:t>
      </w:r>
      <w:hyperlink r:id="rId78" w:anchor="CR62" w:tooltip="View reference" w:history="1">
        <w:r w:rsidRPr="00531B4B">
          <w:rPr>
            <w:sz w:val="16"/>
          </w:rPr>
          <w:t>2000</w:t>
        </w:r>
      </w:hyperlink>
      <w:r w:rsidRPr="00531B4B">
        <w:rPr>
          <w:sz w:val="16"/>
        </w:rPr>
        <w:t xml:space="preserve">; Pearson </w:t>
      </w:r>
      <w:hyperlink r:id="rId79" w:anchor="CR102" w:tooltip="View reference" w:history="1">
        <w:r w:rsidRPr="00531B4B">
          <w:rPr>
            <w:sz w:val="16"/>
          </w:rPr>
          <w:t>2006</w:t>
        </w:r>
      </w:hyperlink>
      <w:r w:rsidRPr="00531B4B">
        <w:rPr>
          <w:sz w:val="16"/>
        </w:rPr>
        <w:t xml:space="preserve">). </w:t>
      </w:r>
      <w:r w:rsidRPr="00E67E13">
        <w:rPr>
          <w:rStyle w:val="StyleUnderline"/>
        </w:rPr>
        <w:t>There is additional evidence to suggest that when girls know about, and feel entitled to, sexual pleasure, they are better able to advocate for themselves and their sexual health, leading scholars to call on sexual health education to challenge the double standard and emphasize the value of girls’ desires and pleasure</w:t>
      </w:r>
      <w:r w:rsidRPr="00531B4B">
        <w:rPr>
          <w:sz w:val="16"/>
        </w:rPr>
        <w:t xml:space="preserve"> (</w:t>
      </w:r>
      <w:proofErr w:type="spellStart"/>
      <w:r w:rsidRPr="00531B4B">
        <w:rPr>
          <w:sz w:val="16"/>
        </w:rPr>
        <w:t>Hirst</w:t>
      </w:r>
      <w:proofErr w:type="spellEnd"/>
      <w:r w:rsidRPr="00531B4B">
        <w:rPr>
          <w:sz w:val="16"/>
        </w:rPr>
        <w:t xml:space="preserve"> </w:t>
      </w:r>
      <w:hyperlink r:id="rId80" w:anchor="CR67" w:tooltip="View reference" w:history="1">
        <w:r w:rsidRPr="00531B4B">
          <w:rPr>
            <w:sz w:val="16"/>
          </w:rPr>
          <w:t>2013</w:t>
        </w:r>
      </w:hyperlink>
      <w:r w:rsidRPr="00531B4B">
        <w:rPr>
          <w:sz w:val="16"/>
        </w:rPr>
        <w:t xml:space="preserve">; Horne and </w:t>
      </w:r>
      <w:proofErr w:type="spellStart"/>
      <w:r w:rsidRPr="00531B4B">
        <w:rPr>
          <w:sz w:val="16"/>
        </w:rPr>
        <w:t>Zimmerbeck</w:t>
      </w:r>
      <w:proofErr w:type="spellEnd"/>
      <w:r w:rsidRPr="00531B4B">
        <w:rPr>
          <w:sz w:val="16"/>
        </w:rPr>
        <w:t xml:space="preserve"> 2006; </w:t>
      </w:r>
      <w:proofErr w:type="spellStart"/>
      <w:r w:rsidRPr="00531B4B">
        <w:rPr>
          <w:sz w:val="16"/>
        </w:rPr>
        <w:t>Impett</w:t>
      </w:r>
      <w:proofErr w:type="spellEnd"/>
      <w:r w:rsidRPr="00531B4B">
        <w:rPr>
          <w:sz w:val="16"/>
        </w:rPr>
        <w:t xml:space="preserve"> et al. </w:t>
      </w:r>
      <w:hyperlink r:id="rId81" w:anchor="CR70" w:tooltip="View reference" w:history="1">
        <w:r w:rsidRPr="00531B4B">
          <w:rPr>
            <w:sz w:val="16"/>
          </w:rPr>
          <w:t>2006</w:t>
        </w:r>
      </w:hyperlink>
      <w:r w:rsidRPr="00531B4B">
        <w:rPr>
          <w:sz w:val="16"/>
        </w:rPr>
        <w:t xml:space="preserve">; Martin </w:t>
      </w:r>
      <w:hyperlink r:id="rId82" w:anchor="CR87" w:tooltip="View reference" w:history="1">
        <w:r w:rsidRPr="00531B4B">
          <w:rPr>
            <w:sz w:val="16"/>
          </w:rPr>
          <w:t>1996</w:t>
        </w:r>
      </w:hyperlink>
      <w:r w:rsidRPr="00531B4B">
        <w:rPr>
          <w:sz w:val="16"/>
        </w:rPr>
        <w:t xml:space="preserve">; </w:t>
      </w:r>
      <w:proofErr w:type="spellStart"/>
      <w:r w:rsidRPr="00531B4B">
        <w:rPr>
          <w:sz w:val="16"/>
        </w:rPr>
        <w:t>Tolman</w:t>
      </w:r>
      <w:proofErr w:type="spellEnd"/>
      <w:r w:rsidRPr="00531B4B">
        <w:rPr>
          <w:sz w:val="16"/>
        </w:rPr>
        <w:t xml:space="preserve"> </w:t>
      </w:r>
      <w:hyperlink r:id="rId83" w:anchor="CR135" w:tooltip="View reference" w:history="1">
        <w:r w:rsidRPr="00531B4B">
          <w:rPr>
            <w:sz w:val="16"/>
          </w:rPr>
          <w:t>2002</w:t>
        </w:r>
      </w:hyperlink>
      <w:r w:rsidRPr="00531B4B">
        <w:rPr>
          <w:sz w:val="16"/>
        </w:rPr>
        <w:t xml:space="preserve">). Boys are also disadvantaged by prevailing gender ideologies. </w:t>
      </w:r>
      <w:r w:rsidRPr="00E67E13">
        <w:rPr>
          <w:rStyle w:val="StyleUnderline"/>
        </w:rPr>
        <w:t>The sexual double standard can make it appear as if boys should always desire sex, and never say no to sex, even risky sex</w:t>
      </w:r>
      <w:r w:rsidRPr="00531B4B">
        <w:rPr>
          <w:sz w:val="16"/>
        </w:rPr>
        <w:t xml:space="preserve"> (Bowleg et al. </w:t>
      </w:r>
      <w:hyperlink r:id="rId84" w:anchor="CR15" w:tooltip="View reference" w:history="1">
        <w:r w:rsidRPr="00531B4B">
          <w:rPr>
            <w:sz w:val="16"/>
          </w:rPr>
          <w:t>2000</w:t>
        </w:r>
      </w:hyperlink>
      <w:r w:rsidRPr="00531B4B">
        <w:rPr>
          <w:sz w:val="16"/>
        </w:rPr>
        <w:t xml:space="preserve">). </w:t>
      </w:r>
      <w:r w:rsidRPr="00E67E13">
        <w:rPr>
          <w:rStyle w:val="StyleUnderline"/>
        </w:rPr>
        <w:t>The prevailing ideologies stigmatize boys’ emotional vulnerabilities and needs, including their needs for intimate friendships and romantic relationships, making them less prepared to have intimate relationships</w:t>
      </w:r>
      <w:r w:rsidRPr="00531B4B">
        <w:rPr>
          <w:sz w:val="16"/>
        </w:rPr>
        <w:t xml:space="preserve"> (Giordano et al. </w:t>
      </w:r>
      <w:hyperlink r:id="rId85" w:anchor="CR57" w:tooltip="View reference" w:history="1">
        <w:r w:rsidRPr="00531B4B">
          <w:rPr>
            <w:sz w:val="16"/>
          </w:rPr>
          <w:t>2006</w:t>
        </w:r>
      </w:hyperlink>
      <w:r w:rsidRPr="00531B4B">
        <w:rPr>
          <w:sz w:val="16"/>
        </w:rPr>
        <w:t xml:space="preserve">; Way et al. </w:t>
      </w:r>
      <w:hyperlink r:id="rId86" w:anchor="CR139" w:tooltip="View reference" w:history="1">
        <w:r w:rsidRPr="00531B4B">
          <w:rPr>
            <w:sz w:val="16"/>
          </w:rPr>
          <w:t>2013</w:t>
        </w:r>
      </w:hyperlink>
      <w:r w:rsidRPr="00531B4B">
        <w:rPr>
          <w:sz w:val="16"/>
        </w:rPr>
        <w:t xml:space="preserve">). </w:t>
      </w:r>
      <w:r w:rsidRPr="00E67E13">
        <w:rPr>
          <w:rStyle w:val="StyleUnderline"/>
        </w:rPr>
        <w:t>They also stigmatize homosexuality and behaviors associated with homosexuality</w:t>
      </w:r>
      <w:r w:rsidRPr="00531B4B">
        <w:rPr>
          <w:sz w:val="16"/>
        </w:rPr>
        <w:t xml:space="preserve"> (Kimmel </w:t>
      </w:r>
      <w:hyperlink r:id="rId87" w:anchor="CR73" w:tooltip="View reference" w:history="1">
        <w:r w:rsidRPr="00531B4B">
          <w:rPr>
            <w:sz w:val="16"/>
          </w:rPr>
          <w:t>2008</w:t>
        </w:r>
      </w:hyperlink>
      <w:r w:rsidRPr="00531B4B">
        <w:rPr>
          <w:sz w:val="16"/>
        </w:rPr>
        <w:t xml:space="preserve">; Klein </w:t>
      </w:r>
      <w:hyperlink r:id="rId88" w:anchor="CR80" w:tooltip="View reference" w:history="1">
        <w:r w:rsidRPr="00531B4B">
          <w:rPr>
            <w:sz w:val="16"/>
          </w:rPr>
          <w:t>2012</w:t>
        </w:r>
      </w:hyperlink>
      <w:r w:rsidRPr="00531B4B">
        <w:rPr>
          <w:sz w:val="16"/>
        </w:rPr>
        <w:t xml:space="preserve">; Pascoe </w:t>
      </w:r>
      <w:hyperlink r:id="rId89" w:anchor="CR101" w:tooltip="View reference" w:history="1">
        <w:r w:rsidRPr="00531B4B">
          <w:rPr>
            <w:sz w:val="16"/>
          </w:rPr>
          <w:t>2007</w:t>
        </w:r>
      </w:hyperlink>
      <w:r w:rsidRPr="00531B4B">
        <w:rPr>
          <w:sz w:val="16"/>
        </w:rPr>
        <w:t xml:space="preserve">). Norms about appropriate male behavior affect all males. But those who adhere most to “traditional” beliefs about masculinity—for instance, that men should be tough, have status in society, not behave in ways marked as “feminine,” and regularly have heterosexual sex— are most at risk for negative consequences compared to other boys and men. </w:t>
      </w:r>
      <w:r w:rsidRPr="00E67E13">
        <w:rPr>
          <w:rStyle w:val="StyleUnderline"/>
        </w:rPr>
        <w:t>Those who embrace such traditional attitudes toward masculinity tend to also report more sexual partners, engage in more unprotected vaginal sex, and show less self-efficacy and consistency in condom use</w:t>
      </w:r>
      <w:r w:rsidRPr="00531B4B">
        <w:rPr>
          <w:sz w:val="16"/>
        </w:rPr>
        <w:t xml:space="preserve"> (</w:t>
      </w:r>
      <w:proofErr w:type="spellStart"/>
      <w:r w:rsidRPr="00531B4B">
        <w:rPr>
          <w:sz w:val="16"/>
        </w:rPr>
        <w:t>Noar</w:t>
      </w:r>
      <w:proofErr w:type="spellEnd"/>
      <w:r w:rsidRPr="00531B4B">
        <w:rPr>
          <w:sz w:val="16"/>
        </w:rPr>
        <w:t xml:space="preserve"> and </w:t>
      </w:r>
      <w:proofErr w:type="spellStart"/>
      <w:r w:rsidRPr="00531B4B">
        <w:rPr>
          <w:sz w:val="16"/>
        </w:rPr>
        <w:t>Morokoff</w:t>
      </w:r>
      <w:proofErr w:type="spellEnd"/>
      <w:r w:rsidRPr="00531B4B">
        <w:rPr>
          <w:sz w:val="16"/>
        </w:rPr>
        <w:t xml:space="preserve"> </w:t>
      </w:r>
      <w:hyperlink r:id="rId90" w:anchor="CR98" w:tooltip="View reference" w:history="1">
        <w:r w:rsidRPr="00531B4B">
          <w:rPr>
            <w:sz w:val="16"/>
          </w:rPr>
          <w:t>2002</w:t>
        </w:r>
      </w:hyperlink>
      <w:r w:rsidRPr="00531B4B">
        <w:rPr>
          <w:sz w:val="16"/>
        </w:rPr>
        <w:t xml:space="preserve">; </w:t>
      </w:r>
      <w:proofErr w:type="spellStart"/>
      <w:r w:rsidRPr="00531B4B">
        <w:rPr>
          <w:sz w:val="16"/>
        </w:rPr>
        <w:t>Pleck</w:t>
      </w:r>
      <w:proofErr w:type="spellEnd"/>
      <w:r w:rsidRPr="00531B4B">
        <w:rPr>
          <w:sz w:val="16"/>
        </w:rPr>
        <w:t xml:space="preserve"> et al. </w:t>
      </w:r>
      <w:hyperlink r:id="rId91" w:anchor="CR105" w:tooltip="View reference" w:history="1">
        <w:r w:rsidRPr="00531B4B">
          <w:rPr>
            <w:sz w:val="16"/>
          </w:rPr>
          <w:t>1993</w:t>
        </w:r>
      </w:hyperlink>
      <w:r w:rsidRPr="00531B4B">
        <w:rPr>
          <w:sz w:val="16"/>
        </w:rPr>
        <w:t xml:space="preserve">, </w:t>
      </w:r>
      <w:hyperlink r:id="rId92" w:anchor="CR106" w:tooltip="View reference" w:history="1">
        <w:r w:rsidRPr="00531B4B">
          <w:rPr>
            <w:sz w:val="16"/>
          </w:rPr>
          <w:t>1994</w:t>
        </w:r>
      </w:hyperlink>
      <w:r w:rsidRPr="00531B4B">
        <w:rPr>
          <w:sz w:val="16"/>
        </w:rPr>
        <w:t xml:space="preserve">; Santana et al. </w:t>
      </w:r>
      <w:hyperlink r:id="rId93" w:anchor="CR125" w:tooltip="View reference" w:history="1">
        <w:r w:rsidRPr="00531B4B">
          <w:rPr>
            <w:sz w:val="16"/>
          </w:rPr>
          <w:t>2006</w:t>
        </w:r>
      </w:hyperlink>
      <w:r w:rsidRPr="00531B4B">
        <w:rPr>
          <w:sz w:val="16"/>
        </w:rPr>
        <w:t xml:space="preserve">; Shearer et al. </w:t>
      </w:r>
      <w:hyperlink r:id="rId94" w:anchor="CR131" w:tooltip="View reference" w:history="1">
        <w:r w:rsidRPr="00531B4B">
          <w:rPr>
            <w:sz w:val="16"/>
          </w:rPr>
          <w:t>2005</w:t>
        </w:r>
      </w:hyperlink>
      <w:r w:rsidRPr="00531B4B">
        <w:rPr>
          <w:sz w:val="16"/>
        </w:rPr>
        <w:t xml:space="preserve">). There is growing evidence that </w:t>
      </w:r>
      <w:r w:rsidRPr="00E67E13">
        <w:rPr>
          <w:rStyle w:val="StyleUnderline"/>
        </w:rPr>
        <w:t>among adult men some masculine gender norms are linked to violence in intimate relationships</w:t>
      </w:r>
      <w:r w:rsidRPr="00531B4B">
        <w:rPr>
          <w:sz w:val="16"/>
        </w:rPr>
        <w:t xml:space="preserve"> (Gallagher and Parrott </w:t>
      </w:r>
      <w:hyperlink r:id="rId95" w:anchor="CR53" w:tooltip="View reference" w:history="1">
        <w:r w:rsidRPr="00531B4B">
          <w:rPr>
            <w:sz w:val="16"/>
          </w:rPr>
          <w:t>2011</w:t>
        </w:r>
      </w:hyperlink>
      <w:r w:rsidRPr="00531B4B">
        <w:rPr>
          <w:sz w:val="16"/>
        </w:rPr>
        <w:t xml:space="preserve">; </w:t>
      </w:r>
      <w:proofErr w:type="spellStart"/>
      <w:r w:rsidRPr="00531B4B">
        <w:rPr>
          <w:sz w:val="16"/>
        </w:rPr>
        <w:t>Murnen</w:t>
      </w:r>
      <w:proofErr w:type="spellEnd"/>
      <w:r w:rsidRPr="00531B4B">
        <w:rPr>
          <w:sz w:val="16"/>
        </w:rPr>
        <w:t xml:space="preserve"> et al. </w:t>
      </w:r>
      <w:hyperlink r:id="rId96" w:anchor="CR92" w:tooltip="View reference" w:history="1">
        <w:r w:rsidRPr="00531B4B">
          <w:rPr>
            <w:sz w:val="16"/>
          </w:rPr>
          <w:t>2002</w:t>
        </w:r>
      </w:hyperlink>
      <w:r w:rsidRPr="00531B4B">
        <w:rPr>
          <w:sz w:val="16"/>
        </w:rPr>
        <w:t xml:space="preserve">). For example, compared to other men, </w:t>
      </w:r>
      <w:r w:rsidRPr="00E67E13">
        <w:rPr>
          <w:rStyle w:val="StyleUnderline"/>
        </w:rPr>
        <w:t>men who report more traditional masculinity ideologies are more likely to report having perpetrated violence or sexual coercion</w:t>
      </w:r>
      <w:r w:rsidRPr="00531B4B">
        <w:rPr>
          <w:sz w:val="16"/>
        </w:rPr>
        <w:t xml:space="preserve"> (Marín et al. </w:t>
      </w:r>
      <w:hyperlink r:id="rId97" w:anchor="CR85" w:tooltip="View reference" w:history="1">
        <w:r w:rsidRPr="00531B4B">
          <w:rPr>
            <w:sz w:val="16"/>
          </w:rPr>
          <w:t>1997</w:t>
        </w:r>
      </w:hyperlink>
      <w:r w:rsidRPr="00531B4B">
        <w:rPr>
          <w:sz w:val="16"/>
        </w:rPr>
        <w:t xml:space="preserve">; Santana et al. </w:t>
      </w:r>
      <w:hyperlink r:id="rId98" w:anchor="CR125" w:tooltip="View reference" w:history="1">
        <w:r w:rsidRPr="00531B4B">
          <w:rPr>
            <w:sz w:val="16"/>
          </w:rPr>
          <w:t>2006</w:t>
        </w:r>
      </w:hyperlink>
      <w:r w:rsidRPr="00531B4B">
        <w:rPr>
          <w:sz w:val="16"/>
        </w:rPr>
        <w:t xml:space="preserve">). Conversely, compared to less egalitarian men, men whose gender role ideologies are more egalitarian report fewer instances of physical aggression against their intimate partners (Fitzpatrick et al. </w:t>
      </w:r>
      <w:hyperlink r:id="rId99" w:anchor="CR49" w:tooltip="View reference" w:history="1">
        <w:r w:rsidRPr="00531B4B">
          <w:rPr>
            <w:sz w:val="16"/>
          </w:rPr>
          <w:t>2004</w:t>
        </w:r>
      </w:hyperlink>
      <w:r w:rsidRPr="00531B4B">
        <w:rPr>
          <w:sz w:val="16"/>
        </w:rPr>
        <w:t xml:space="preserve">). </w:t>
      </w:r>
      <w:r w:rsidRPr="00E67E13">
        <w:rPr>
          <w:rStyle w:val="StyleUnderline"/>
        </w:rPr>
        <w:t>Gender norms also shape young people’s capacities to resist, report, and recover from sexual violation. Boys are unlikely to report sexual coercion due to homophobia as well as masculinity norms that emphasize male sexual desire and strength and obfuscate boys’ capacity to be coerced or intimately violated</w:t>
      </w:r>
      <w:r w:rsidRPr="00531B4B">
        <w:rPr>
          <w:sz w:val="16"/>
        </w:rPr>
        <w:t xml:space="preserve"> (Bullock and </w:t>
      </w:r>
      <w:proofErr w:type="spellStart"/>
      <w:r w:rsidRPr="00531B4B">
        <w:rPr>
          <w:sz w:val="16"/>
        </w:rPr>
        <w:t>Beckson</w:t>
      </w:r>
      <w:proofErr w:type="spellEnd"/>
      <w:r w:rsidRPr="00531B4B">
        <w:rPr>
          <w:sz w:val="16"/>
        </w:rPr>
        <w:t xml:space="preserve"> </w:t>
      </w:r>
      <w:hyperlink r:id="rId100" w:anchor="CR17" w:tooltip="View reference" w:history="1">
        <w:r w:rsidRPr="00531B4B">
          <w:rPr>
            <w:sz w:val="16"/>
          </w:rPr>
          <w:t>2011</w:t>
        </w:r>
      </w:hyperlink>
      <w:r w:rsidRPr="00531B4B">
        <w:rPr>
          <w:sz w:val="16"/>
        </w:rPr>
        <w:t xml:space="preserve">). </w:t>
      </w:r>
      <w:r w:rsidRPr="00F97EA1">
        <w:rPr>
          <w:rStyle w:val="StyleUnderline"/>
        </w:rPr>
        <w:t>For girls, the pressure</w:t>
      </w:r>
      <w:r w:rsidRPr="00531B4B">
        <w:rPr>
          <w:sz w:val="16"/>
        </w:rPr>
        <w:t xml:space="preserve"> to be normatively feminine (sexually passive, accommodating, “nice”) </w:t>
      </w:r>
      <w:r w:rsidRPr="00F97EA1">
        <w:rPr>
          <w:rStyle w:val="StyleUnderline"/>
        </w:rPr>
        <w:t>can make resistance to unwanted sexual advances difficult</w:t>
      </w:r>
      <w:r w:rsidRPr="00531B4B">
        <w:rPr>
          <w:sz w:val="16"/>
        </w:rPr>
        <w:t xml:space="preserve"> (Armstrong et al. </w:t>
      </w:r>
      <w:hyperlink r:id="rId101" w:anchor="CR10" w:tooltip="View reference" w:history="1">
        <w:r w:rsidRPr="00531B4B">
          <w:rPr>
            <w:sz w:val="16"/>
          </w:rPr>
          <w:t>2006</w:t>
        </w:r>
      </w:hyperlink>
      <w:r w:rsidRPr="00531B4B">
        <w:rPr>
          <w:sz w:val="16"/>
        </w:rPr>
        <w:t xml:space="preserve">; Hamilton and Armstrong </w:t>
      </w:r>
      <w:hyperlink r:id="rId102" w:anchor="CR65" w:tooltip="View reference" w:history="1">
        <w:r w:rsidRPr="00531B4B">
          <w:rPr>
            <w:sz w:val="16"/>
          </w:rPr>
          <w:t>2009</w:t>
        </w:r>
      </w:hyperlink>
      <w:r w:rsidRPr="00531B4B">
        <w:rPr>
          <w:sz w:val="16"/>
        </w:rPr>
        <w:t xml:space="preserve">; Phillips </w:t>
      </w:r>
      <w:hyperlink r:id="rId103" w:anchor="CR104" w:tooltip="View reference" w:history="1">
        <w:r w:rsidRPr="00531B4B">
          <w:rPr>
            <w:sz w:val="16"/>
          </w:rPr>
          <w:t>2000</w:t>
        </w:r>
      </w:hyperlink>
      <w:r w:rsidRPr="00531B4B">
        <w:rPr>
          <w:sz w:val="16"/>
        </w:rPr>
        <w:t xml:space="preserve">). </w:t>
      </w:r>
      <w:r w:rsidRPr="00F97EA1">
        <w:rPr>
          <w:rStyle w:val="StyleUnderline"/>
        </w:rPr>
        <w:t>The stigma around girls’ sexuality also prevents many from seeking help, a barrier that is heightened for low-income girls and girls of color</w:t>
      </w:r>
      <w:r w:rsidRPr="00531B4B">
        <w:rPr>
          <w:sz w:val="16"/>
        </w:rPr>
        <w:t xml:space="preserve"> (Collins </w:t>
      </w:r>
      <w:hyperlink r:id="rId104" w:anchor="CR31" w:tooltip="View reference" w:history="1">
        <w:r w:rsidRPr="00531B4B">
          <w:rPr>
            <w:sz w:val="16"/>
          </w:rPr>
          <w:t>2005</w:t>
        </w:r>
      </w:hyperlink>
      <w:r w:rsidRPr="00531B4B">
        <w:rPr>
          <w:sz w:val="16"/>
        </w:rPr>
        <w:t xml:space="preserve">; </w:t>
      </w:r>
      <w:proofErr w:type="spellStart"/>
      <w:r w:rsidRPr="00531B4B">
        <w:rPr>
          <w:sz w:val="16"/>
        </w:rPr>
        <w:t>Froyum</w:t>
      </w:r>
      <w:proofErr w:type="spellEnd"/>
      <w:r w:rsidRPr="00531B4B">
        <w:rPr>
          <w:sz w:val="16"/>
        </w:rPr>
        <w:t xml:space="preserve"> </w:t>
      </w:r>
      <w:hyperlink r:id="rId105" w:anchor="CR52" w:tooltip="View reference" w:history="1">
        <w:r w:rsidRPr="00531B4B">
          <w:rPr>
            <w:sz w:val="16"/>
          </w:rPr>
          <w:t>2010</w:t>
        </w:r>
      </w:hyperlink>
      <w:r w:rsidRPr="00531B4B">
        <w:rPr>
          <w:sz w:val="16"/>
        </w:rPr>
        <w:t xml:space="preserve">). In short, </w:t>
      </w:r>
      <w:r w:rsidRPr="00F97EA1">
        <w:rPr>
          <w:rStyle w:val="StyleUnderline"/>
        </w:rPr>
        <w:t>there is strong and consistent evidence that gender beliefs and (in)equities shape sexual health</w:t>
      </w:r>
      <w:r w:rsidRPr="00531B4B">
        <w:rPr>
          <w:sz w:val="16"/>
        </w:rPr>
        <w:t xml:space="preserve"> (</w:t>
      </w:r>
      <w:proofErr w:type="spellStart"/>
      <w:r w:rsidRPr="00531B4B">
        <w:rPr>
          <w:sz w:val="16"/>
        </w:rPr>
        <w:t>Rogow</w:t>
      </w:r>
      <w:proofErr w:type="spellEnd"/>
      <w:r w:rsidRPr="00531B4B">
        <w:rPr>
          <w:sz w:val="16"/>
        </w:rPr>
        <w:t xml:space="preserve"> and </w:t>
      </w:r>
      <w:proofErr w:type="spellStart"/>
      <w:r w:rsidRPr="00531B4B">
        <w:rPr>
          <w:sz w:val="16"/>
        </w:rPr>
        <w:t>Haberland</w:t>
      </w:r>
      <w:proofErr w:type="spellEnd"/>
      <w:r w:rsidRPr="00531B4B">
        <w:rPr>
          <w:sz w:val="16"/>
        </w:rPr>
        <w:t xml:space="preserve"> </w:t>
      </w:r>
      <w:hyperlink r:id="rId106" w:anchor="CR112" w:tooltip="View reference" w:history="1">
        <w:r w:rsidRPr="00531B4B">
          <w:rPr>
            <w:sz w:val="16"/>
          </w:rPr>
          <w:t>2005</w:t>
        </w:r>
      </w:hyperlink>
      <w:r w:rsidRPr="00531B4B">
        <w:rPr>
          <w:sz w:val="16"/>
        </w:rPr>
        <w:t xml:space="preserve">). However, until recently, these areas have received very little attention in US adolescent sexual health policy and programming (Grose et al. </w:t>
      </w:r>
      <w:hyperlink r:id="rId107" w:anchor="CR61" w:tooltip="View reference" w:history="1">
        <w:r w:rsidRPr="00531B4B">
          <w:rPr>
            <w:sz w:val="16"/>
          </w:rPr>
          <w:t>2014</w:t>
        </w:r>
      </w:hyperlink>
      <w:r w:rsidRPr="00531B4B">
        <w:rPr>
          <w:sz w:val="16"/>
        </w:rPr>
        <w:t xml:space="preserve">; </w:t>
      </w:r>
      <w:proofErr w:type="spellStart"/>
      <w:r w:rsidRPr="00531B4B">
        <w:rPr>
          <w:sz w:val="16"/>
        </w:rPr>
        <w:t>Rolleri</w:t>
      </w:r>
      <w:proofErr w:type="spellEnd"/>
      <w:r w:rsidRPr="00531B4B">
        <w:rPr>
          <w:sz w:val="16"/>
        </w:rPr>
        <w:t xml:space="preserve"> </w:t>
      </w:r>
      <w:hyperlink r:id="rId108" w:anchor="CR113" w:tooltip="View reference" w:history="1">
        <w:r w:rsidRPr="00531B4B">
          <w:rPr>
            <w:sz w:val="16"/>
          </w:rPr>
          <w:t>2013a</w:t>
        </w:r>
      </w:hyperlink>
      <w:r w:rsidRPr="00531B4B">
        <w:rPr>
          <w:sz w:val="16"/>
        </w:rPr>
        <w:t xml:space="preserve">; </w:t>
      </w:r>
      <w:proofErr w:type="spellStart"/>
      <w:r w:rsidRPr="00531B4B">
        <w:rPr>
          <w:sz w:val="16"/>
        </w:rPr>
        <w:t>Rolleri</w:t>
      </w:r>
      <w:proofErr w:type="spellEnd"/>
      <w:r w:rsidRPr="00531B4B">
        <w:rPr>
          <w:sz w:val="16"/>
        </w:rPr>
        <w:t xml:space="preserve"> </w:t>
      </w:r>
      <w:hyperlink r:id="rId109" w:anchor="CR114" w:tooltip="View reference" w:history="1">
        <w:r w:rsidRPr="00531B4B">
          <w:rPr>
            <w:sz w:val="16"/>
          </w:rPr>
          <w:t>2013b</w:t>
        </w:r>
      </w:hyperlink>
      <w:r w:rsidRPr="00531B4B">
        <w:rPr>
          <w:sz w:val="16"/>
        </w:rPr>
        <w:t xml:space="preserve">). </w:t>
      </w:r>
      <w:r w:rsidRPr="00F97EA1">
        <w:rPr>
          <w:rStyle w:val="StyleUnderline"/>
        </w:rPr>
        <w:t>There is no requirement for federally-funded sexuality education to work toward gender equity, avoid explicit or implicit gender stereotyping, or include modules that help students challenge harmful gender beliefs. Abstinence-oriented programs have often taught gender stereotypes as fact</w:t>
      </w:r>
      <w:r w:rsidRPr="00531B4B">
        <w:rPr>
          <w:sz w:val="16"/>
        </w:rPr>
        <w:t xml:space="preserve"> (</w:t>
      </w:r>
      <w:proofErr w:type="spellStart"/>
      <w:r w:rsidRPr="00531B4B">
        <w:rPr>
          <w:sz w:val="16"/>
        </w:rPr>
        <w:t>DeLamater</w:t>
      </w:r>
      <w:proofErr w:type="spellEnd"/>
      <w:r w:rsidRPr="00531B4B">
        <w:rPr>
          <w:sz w:val="16"/>
        </w:rPr>
        <w:t xml:space="preserve"> </w:t>
      </w:r>
      <w:hyperlink r:id="rId110" w:anchor="CR36" w:tooltip="View reference" w:history="1">
        <w:r w:rsidRPr="00531B4B">
          <w:rPr>
            <w:sz w:val="16"/>
          </w:rPr>
          <w:t>2007</w:t>
        </w:r>
      </w:hyperlink>
      <w:r w:rsidRPr="00531B4B">
        <w:rPr>
          <w:sz w:val="16"/>
        </w:rPr>
        <w:t xml:space="preserve">; Fine and McClelland </w:t>
      </w:r>
      <w:hyperlink r:id="rId111" w:anchor="CR46" w:tooltip="View reference" w:history="1">
        <w:r w:rsidRPr="00531B4B">
          <w:rPr>
            <w:sz w:val="16"/>
          </w:rPr>
          <w:t>2006</w:t>
        </w:r>
      </w:hyperlink>
      <w:r w:rsidRPr="00531B4B">
        <w:rPr>
          <w:sz w:val="16"/>
        </w:rPr>
        <w:t xml:space="preserve">; Curran </w:t>
      </w:r>
      <w:hyperlink r:id="rId112" w:anchor="CR35" w:tooltip="View reference" w:history="1">
        <w:r w:rsidRPr="00531B4B">
          <w:rPr>
            <w:sz w:val="16"/>
          </w:rPr>
          <w:t>2011</w:t>
        </w:r>
      </w:hyperlink>
      <w:r w:rsidRPr="00531B4B">
        <w:rPr>
          <w:sz w:val="16"/>
        </w:rPr>
        <w:t>).</w:t>
      </w:r>
      <w:hyperlink r:id="rId113" w:anchor="Fn4" w:history="1">
        <w:r w:rsidRPr="00531B4B">
          <w:rPr>
            <w:sz w:val="16"/>
          </w:rPr>
          <w:t>4</w:t>
        </w:r>
      </w:hyperlink>
      <w:r w:rsidRPr="00531B4B">
        <w:rPr>
          <w:sz w:val="16"/>
        </w:rPr>
        <w:t xml:space="preserve"> </w:t>
      </w:r>
      <w:r w:rsidRPr="00F97EA1">
        <w:rPr>
          <w:rStyle w:val="StyleUnderline"/>
        </w:rPr>
        <w:t>Approaches that include information beyond abstinence can also perpetuate gender ideologies through the topics they cover and leave out</w:t>
      </w:r>
      <w:r w:rsidRPr="00531B4B">
        <w:rPr>
          <w:sz w:val="16"/>
        </w:rPr>
        <w:t xml:space="preserve">, or include implicit gender stereotyping in apparently gender-neutral exercises and role plays (Bay-Cheng </w:t>
      </w:r>
      <w:hyperlink r:id="rId114" w:anchor="CR11" w:tooltip="View reference" w:history="1">
        <w:r w:rsidRPr="00531B4B">
          <w:rPr>
            <w:sz w:val="16"/>
          </w:rPr>
          <w:t>2003</w:t>
        </w:r>
      </w:hyperlink>
      <w:r w:rsidRPr="00531B4B">
        <w:rPr>
          <w:sz w:val="16"/>
        </w:rPr>
        <w:t xml:space="preserve">; Curran </w:t>
      </w:r>
      <w:hyperlink r:id="rId115" w:anchor="CR35" w:tooltip="View reference" w:history="1">
        <w:r w:rsidRPr="00531B4B">
          <w:rPr>
            <w:sz w:val="16"/>
          </w:rPr>
          <w:t>2011</w:t>
        </w:r>
      </w:hyperlink>
      <w:r w:rsidRPr="00531B4B">
        <w:rPr>
          <w:sz w:val="16"/>
        </w:rPr>
        <w:t xml:space="preserve">; Fields </w:t>
      </w:r>
      <w:hyperlink r:id="rId116" w:anchor="CR45" w:tooltip="View reference" w:history="1">
        <w:r w:rsidRPr="00531B4B">
          <w:rPr>
            <w:sz w:val="16"/>
          </w:rPr>
          <w:t>2008</w:t>
        </w:r>
      </w:hyperlink>
      <w:r w:rsidRPr="00531B4B">
        <w:rPr>
          <w:sz w:val="16"/>
        </w:rPr>
        <w:t xml:space="preserve">). </w:t>
      </w:r>
      <w:r w:rsidRPr="00F97EA1">
        <w:rPr>
          <w:rStyle w:val="StyleUnderline"/>
        </w:rPr>
        <w:t>Unless harmful gender beliefs are explicitly addressed and challenged, sexual health education runs the risk of reinforcing those beliefs through the taken-for-granted assumptions teachers and students bring into the classroom</w:t>
      </w:r>
      <w:r w:rsidRPr="00531B4B">
        <w:rPr>
          <w:sz w:val="16"/>
        </w:rPr>
        <w:t xml:space="preserve"> (Fields </w:t>
      </w:r>
      <w:hyperlink r:id="rId117" w:anchor="CR45" w:tooltip="View reference" w:history="1">
        <w:r w:rsidRPr="00531B4B">
          <w:rPr>
            <w:sz w:val="16"/>
          </w:rPr>
          <w:t>2008</w:t>
        </w:r>
      </w:hyperlink>
      <w:r w:rsidRPr="00531B4B">
        <w:rPr>
          <w:sz w:val="16"/>
        </w:rPr>
        <w:t xml:space="preserve">; Garcia </w:t>
      </w:r>
      <w:hyperlink r:id="rId118" w:anchor="CR54" w:tooltip="View reference" w:history="1">
        <w:r w:rsidRPr="00531B4B">
          <w:rPr>
            <w:sz w:val="16"/>
          </w:rPr>
          <w:t>2009</w:t>
        </w:r>
      </w:hyperlink>
      <w:r w:rsidRPr="00531B4B">
        <w:rPr>
          <w:sz w:val="16"/>
        </w:rPr>
        <w:t xml:space="preserve">, </w:t>
      </w:r>
      <w:hyperlink r:id="rId119" w:anchor="CR55" w:tooltip="View reference" w:history="1">
        <w:r w:rsidRPr="00531B4B">
          <w:rPr>
            <w:sz w:val="16"/>
          </w:rPr>
          <w:t>2012</w:t>
        </w:r>
      </w:hyperlink>
      <w:r w:rsidRPr="00531B4B">
        <w:rPr>
          <w:sz w:val="16"/>
        </w:rPr>
        <w:t xml:space="preserve">; </w:t>
      </w:r>
      <w:proofErr w:type="spellStart"/>
      <w:r w:rsidRPr="00531B4B">
        <w:rPr>
          <w:sz w:val="16"/>
        </w:rPr>
        <w:t>Froyum</w:t>
      </w:r>
      <w:proofErr w:type="spellEnd"/>
      <w:r w:rsidRPr="00531B4B">
        <w:rPr>
          <w:sz w:val="16"/>
        </w:rPr>
        <w:t xml:space="preserve"> </w:t>
      </w:r>
      <w:hyperlink r:id="rId120" w:anchor="CR52" w:tooltip="View reference" w:history="1">
        <w:r w:rsidRPr="00531B4B">
          <w:rPr>
            <w:sz w:val="16"/>
          </w:rPr>
          <w:t>2010</w:t>
        </w:r>
      </w:hyperlink>
      <w:r w:rsidRPr="00531B4B">
        <w:rPr>
          <w:sz w:val="16"/>
        </w:rPr>
        <w:t xml:space="preserve">). Yet, of the 35 designated (Tier 1) “evidence-based” programs, only a handful (all of which target youth of color) even mention gender in their program description, suggesting incorrectly that only minority groups contend with harmful gender beliefs (Office of Adolescent Health </w:t>
      </w:r>
      <w:hyperlink r:id="rId121" w:anchor="CR99" w:tooltip="View reference" w:history="1">
        <w:r w:rsidRPr="00531B4B">
          <w:rPr>
            <w:sz w:val="16"/>
          </w:rPr>
          <w:t>2014a</w:t>
        </w:r>
      </w:hyperlink>
      <w:r w:rsidRPr="00531B4B">
        <w:rPr>
          <w:sz w:val="16"/>
        </w:rPr>
        <w:t>).</w:t>
      </w:r>
      <w:hyperlink r:id="rId122" w:anchor="Fn5" w:history="1">
        <w:r w:rsidRPr="00531B4B">
          <w:rPr>
            <w:sz w:val="16"/>
          </w:rPr>
          <w:t>5</w:t>
        </w:r>
      </w:hyperlink>
      <w:r w:rsidRPr="00531B4B">
        <w:rPr>
          <w:sz w:val="16"/>
        </w:rPr>
        <w:t xml:space="preserve"> </w:t>
      </w:r>
      <w:r w:rsidRPr="00F97EA1">
        <w:rPr>
          <w:rStyle w:val="StyleUnderline"/>
        </w:rPr>
        <w:t>The research record shows the advisability of ensuring that all sexual health programs are free from harmful gender beliefs</w:t>
      </w:r>
      <w:r w:rsidRPr="00531B4B">
        <w:rPr>
          <w:sz w:val="16"/>
        </w:rPr>
        <w:t>—which may be explicit or implicit in the curricula—</w:t>
      </w:r>
      <w:r w:rsidRPr="00F97EA1">
        <w:rPr>
          <w:rStyle w:val="StyleUnderline"/>
        </w:rPr>
        <w:t>and include tools to help students address and challenge these beliefs.</w:t>
      </w:r>
    </w:p>
    <w:p w:rsidR="00A02692" w:rsidRPr="007F77A6" w:rsidRDefault="00A02692" w:rsidP="00A02692">
      <w:pPr>
        <w:pStyle w:val="Heading4"/>
        <w:rPr>
          <w:rStyle w:val="Style13ptBold"/>
          <w:b/>
        </w:rPr>
      </w:pPr>
      <w:r>
        <w:rPr>
          <w:rStyle w:val="Style13ptBold"/>
          <w:b/>
        </w:rPr>
        <w:t xml:space="preserve">Sexuality is structured by a political culture of negativity that enforces punitive and restrictive frameworks—producing alternatives is necessary to politicize sexuality. </w:t>
      </w:r>
    </w:p>
    <w:p w:rsidR="00A02692" w:rsidRPr="008E79CA" w:rsidRDefault="00A02692" w:rsidP="00A02692">
      <w:pPr>
        <w:rPr>
          <w:rStyle w:val="Style13ptBold"/>
          <w:b w:val="0"/>
          <w:sz w:val="16"/>
          <w:szCs w:val="16"/>
        </w:rPr>
      </w:pPr>
      <w:r>
        <w:rPr>
          <w:rStyle w:val="Style13ptBold"/>
        </w:rPr>
        <w:t xml:space="preserve">Rubin 1984 </w:t>
      </w:r>
      <w:r w:rsidRPr="007F77A6">
        <w:rPr>
          <w:rStyle w:val="Style13ptBold"/>
          <w:b w:val="0"/>
          <w:sz w:val="16"/>
          <w:szCs w:val="16"/>
        </w:rPr>
        <w:t>[Gayle</w:t>
      </w:r>
      <w:r>
        <w:rPr>
          <w:rStyle w:val="Style13ptBold"/>
          <w:b w:val="0"/>
          <w:sz w:val="16"/>
          <w:szCs w:val="16"/>
        </w:rPr>
        <w:t xml:space="preserve"> S</w:t>
      </w:r>
      <w:r w:rsidRPr="007F77A6">
        <w:rPr>
          <w:rStyle w:val="Style13ptBold"/>
          <w:b w:val="0"/>
          <w:sz w:val="16"/>
          <w:szCs w:val="16"/>
        </w:rPr>
        <w:t xml:space="preserve">. </w:t>
      </w:r>
      <w:r>
        <w:rPr>
          <w:rStyle w:val="Style13ptBold"/>
          <w:b w:val="0"/>
          <w:sz w:val="16"/>
          <w:szCs w:val="16"/>
        </w:rPr>
        <w:t xml:space="preserve">Associate Professor of Anthropology and Women's Studies at the University of Michigan. </w:t>
      </w:r>
      <w:r w:rsidRPr="007F77A6">
        <w:rPr>
          <w:rStyle w:val="Style13ptBold"/>
          <w:b w:val="0"/>
          <w:sz w:val="16"/>
          <w:szCs w:val="16"/>
        </w:rPr>
        <w:t xml:space="preserve">“Thinking Sex: Notes for a Radical Theory of the Politics of Sexuality.” </w:t>
      </w:r>
      <w:r w:rsidRPr="007F77A6">
        <w:rPr>
          <w:rStyle w:val="Style13ptBold"/>
          <w:b w:val="0"/>
          <w:i/>
          <w:sz w:val="16"/>
          <w:szCs w:val="16"/>
        </w:rPr>
        <w:t xml:space="preserve">Pleasure and Danger. </w:t>
      </w:r>
      <w:r w:rsidRPr="007F77A6">
        <w:rPr>
          <w:rStyle w:val="Style13ptBold"/>
          <w:b w:val="0"/>
          <w:sz w:val="16"/>
          <w:szCs w:val="16"/>
        </w:rPr>
        <w:t xml:space="preserve">Ed. Carole Vance. </w:t>
      </w:r>
      <w:hyperlink r:id="rId123" w:history="1">
        <w:r w:rsidRPr="007F77A6">
          <w:rPr>
            <w:rStyle w:val="Hyperlink"/>
            <w:sz w:val="16"/>
            <w:szCs w:val="16"/>
          </w:rPr>
          <w:t>http://sites.middlebury.edu/sexandsociety/files/2015/01/Rubin-Thinking-Sex.pdf</w:t>
        </w:r>
      </w:hyperlink>
      <w:r w:rsidRPr="007F77A6">
        <w:rPr>
          <w:rStyle w:val="Style13ptBold"/>
          <w:b w:val="0"/>
          <w:sz w:val="16"/>
          <w:szCs w:val="16"/>
        </w:rPr>
        <w:t>. SH]</w:t>
      </w:r>
    </w:p>
    <w:p w:rsidR="00A02692" w:rsidRPr="00344F92" w:rsidRDefault="00A02692" w:rsidP="00A02692">
      <w:pPr>
        <w:rPr>
          <w:sz w:val="16"/>
        </w:rPr>
      </w:pPr>
      <w:r w:rsidRPr="00344F92">
        <w:rPr>
          <w:sz w:val="16"/>
        </w:rPr>
        <w:t xml:space="preserve">It is impossible to think with any clarity about the politics of race or gender as long as these are thought of as biological entities rather than as social constructs. Similarly, </w:t>
      </w:r>
      <w:r w:rsidRPr="00344F92">
        <w:rPr>
          <w:rStyle w:val="StyleUnderline"/>
        </w:rPr>
        <w:t>sexuality is impervious to political analysis as long as it is primarily conceived as a biological phenomenon or an aspect of individual psychology. Sexuality is as much a human product</w:t>
      </w:r>
      <w:r w:rsidRPr="00344F92">
        <w:rPr>
          <w:sz w:val="16"/>
        </w:rPr>
        <w:t xml:space="preserve"> as are diets, methods of transportation, systems of etiquette, forms of </w:t>
      </w:r>
      <w:proofErr w:type="spellStart"/>
      <w:r w:rsidRPr="00344F92">
        <w:rPr>
          <w:sz w:val="16"/>
        </w:rPr>
        <w:t>labour</w:t>
      </w:r>
      <w:proofErr w:type="spellEnd"/>
      <w:r w:rsidRPr="00344F92">
        <w:rPr>
          <w:sz w:val="16"/>
        </w:rPr>
        <w:t xml:space="preserve">, types of entertainment, processes of production, and modes of oppression. Once sex is understood in terms of social analysis and historical understanding, a more realistic politics of sex becomes possible. </w:t>
      </w:r>
      <w:r w:rsidRPr="00344F92">
        <w:rPr>
          <w:rStyle w:val="StyleUnderline"/>
        </w:rPr>
        <w:t xml:space="preserve">One may then think of sexual politics in terms of such phenomena as populations, </w:t>
      </w:r>
      <w:proofErr w:type="spellStart"/>
      <w:r w:rsidRPr="00344F92">
        <w:rPr>
          <w:rStyle w:val="StyleUnderline"/>
        </w:rPr>
        <w:t>neighbourhoods</w:t>
      </w:r>
      <w:proofErr w:type="spellEnd"/>
      <w:r w:rsidRPr="00344F92">
        <w:rPr>
          <w:rStyle w:val="StyleUnderline"/>
        </w:rPr>
        <w:t>, settlement patterns, migration, urban conflict, epidemiology, and police technology</w:t>
      </w:r>
      <w:r w:rsidRPr="00344F92">
        <w:rPr>
          <w:sz w:val="16"/>
        </w:rPr>
        <w:t xml:space="preserve">. These are more fruitful categories of thought than the more traditional ones of sin, disease, neurosis, pathology, decadence, pollution, or the decline and fall of empires. By </w:t>
      </w:r>
      <w:r w:rsidRPr="00344F92">
        <w:rPr>
          <w:rStyle w:val="StyleUnderline"/>
        </w:rPr>
        <w:t>detailing the relationships between stigmatized erotic populations and the social forces which regulate them</w:t>
      </w:r>
      <w:r w:rsidRPr="00344F92">
        <w:rPr>
          <w:sz w:val="16"/>
        </w:rPr>
        <w:t xml:space="preserve">, work such as that of Allan </w:t>
      </w:r>
      <w:proofErr w:type="spellStart"/>
      <w:r w:rsidRPr="00344F92">
        <w:rPr>
          <w:sz w:val="16"/>
        </w:rPr>
        <w:t>Bérubé</w:t>
      </w:r>
      <w:proofErr w:type="spellEnd"/>
      <w:r w:rsidRPr="00344F92">
        <w:rPr>
          <w:sz w:val="16"/>
        </w:rPr>
        <w:t xml:space="preserve">, John </w:t>
      </w:r>
      <w:proofErr w:type="spellStart"/>
      <w:r w:rsidRPr="00344F92">
        <w:rPr>
          <w:sz w:val="16"/>
        </w:rPr>
        <w:t>D’Emilio</w:t>
      </w:r>
      <w:proofErr w:type="spellEnd"/>
      <w:r w:rsidRPr="00344F92">
        <w:rPr>
          <w:sz w:val="16"/>
        </w:rPr>
        <w:t xml:space="preserve">, Jeffrey Weeks, and Judith </w:t>
      </w:r>
      <w:proofErr w:type="spellStart"/>
      <w:r w:rsidRPr="00344F92">
        <w:rPr>
          <w:sz w:val="16"/>
        </w:rPr>
        <w:t>Walkowitz</w:t>
      </w:r>
      <w:proofErr w:type="spellEnd"/>
      <w:r w:rsidRPr="00344F92">
        <w:rPr>
          <w:sz w:val="16"/>
        </w:rPr>
        <w:t xml:space="preserve"> </w:t>
      </w:r>
      <w:r w:rsidRPr="00344F92">
        <w:rPr>
          <w:rStyle w:val="StyleUnderline"/>
        </w:rPr>
        <w:t>contains implicit categories of political analysis and criticism</w:t>
      </w:r>
      <w:r w:rsidRPr="00344F92">
        <w:rPr>
          <w:sz w:val="16"/>
        </w:rPr>
        <w:t xml:space="preserve">. Nevertheless, the constructivist perspective has displayed some political weaknesses. This has been most evident in misconstructions of Foucault’s position. Because of his emphasis on the ways that sexuality is produced, Foucault has been vulnerable to interpretations that deny or minimize the reality of sexual repression in the more political sense. Foucault makes it abundantly clear that he is not denying the existence of sexual repression so much as inscribing it within a large dynamic (Foucault, 1978, p. 11). </w:t>
      </w:r>
      <w:r w:rsidRPr="00344F92">
        <w:rPr>
          <w:rStyle w:val="StyleUnderline"/>
        </w:rPr>
        <w:t>Sexuality in western societies has been structured within an extremely punitive social framework, and has been subjected to very real formal and informal controls</w:t>
      </w:r>
      <w:r w:rsidRPr="00344F92">
        <w:rPr>
          <w:sz w:val="16"/>
        </w:rPr>
        <w:t xml:space="preserve">. It is necessary to recognize repressive phenomena without resorting to the essentialist assumptions of the language of libido. It is important to hold repressive sexual practices in focus, even while situating them within a different totality and a more refined terminology (Weeks, 1981, p. 9). Most radical thought about sex has been embedded within a model of the instincts and their restraints. Concepts of sexual oppression have been lodged within that more biological understanding of sexuality. It is often easier to fall back on the notion of a natural libido subjected to inhumane repression than to reformulate concepts of sexual injustice within a more constructivist framework. But it is essential that we do so. We need a radical critique of sexual arrangements that has the conceptual elegance of Foucault and the evocative passion of Reich. The new scholarship on sex has brought a welcome insistence that sexual terms be restricted to their proper historical and social contexts, and a cautionary </w:t>
      </w:r>
      <w:proofErr w:type="spellStart"/>
      <w:r w:rsidRPr="00344F92">
        <w:rPr>
          <w:sz w:val="16"/>
        </w:rPr>
        <w:t>scepticism</w:t>
      </w:r>
      <w:proofErr w:type="spellEnd"/>
      <w:r w:rsidRPr="00344F92">
        <w:rPr>
          <w:sz w:val="16"/>
        </w:rPr>
        <w:t xml:space="preserve"> towards sweeping generalizations. But it is important to be able to indicate groupings of erotic </w:t>
      </w:r>
      <w:proofErr w:type="spellStart"/>
      <w:r w:rsidRPr="00344F92">
        <w:rPr>
          <w:sz w:val="16"/>
        </w:rPr>
        <w:t>behaviour</w:t>
      </w:r>
      <w:proofErr w:type="spellEnd"/>
      <w:r w:rsidRPr="00344F92">
        <w:rPr>
          <w:sz w:val="16"/>
        </w:rPr>
        <w:t xml:space="preserve"> and general trends within erotic discourse. In addition to sexual essentialism, there are at least five other ideological formations whose grip on sexual thought is so strong that to fail to discuss them is to remain enmeshed within them. These are sex negativity, the fallacy of misplaced scale, the hierarchical valuation of sex acts, the domino theory of sexual peril, and the lack of a concept of benign sexual variation. Of these five, the most important is sex negativity. </w:t>
      </w:r>
      <w:r w:rsidRPr="00344F92">
        <w:rPr>
          <w:rStyle w:val="StyleUnderline"/>
        </w:rPr>
        <w:t>Western cultures generally consider sex to be a dangerous, destructive, negative force</w:t>
      </w:r>
      <w:r w:rsidRPr="00344F92">
        <w:rPr>
          <w:sz w:val="16"/>
        </w:rPr>
        <w:t xml:space="preserve"> (Weeks, 1981, p. 22). Most Christian tradition, following Paul, holds that sex is inherently sinful. It may be redeemed if performed within marriage for procreative purposes and if the pleasurable aspects are not enjoyed too much. In turn, this idea rests on the assumption that the genitalia are an intrinsically inferior part of the body, much lower and less holy than the mind, the ‘soul’, the ‘heart’, or even the upper part of the digestive system (the status of the excretory organs is close to that of the genitalia).10 </w:t>
      </w:r>
      <w:r w:rsidRPr="00344F92">
        <w:rPr>
          <w:rStyle w:val="StyleUnderline"/>
        </w:rPr>
        <w:t>Such notions have by now acquired a life of their own and no longer depend solely on religion for their perseverance. This culture always treats sex with suspicion. It construes and judges almost any sexual practice in terms of its worst possible expression. Sex is presumed guilty until proven innocent</w:t>
      </w:r>
      <w:r w:rsidRPr="00344F92">
        <w:rPr>
          <w:sz w:val="16"/>
        </w:rPr>
        <w:t xml:space="preserve">. Virtually all erotic </w:t>
      </w:r>
      <w:proofErr w:type="spellStart"/>
      <w:r w:rsidRPr="00344F92">
        <w:rPr>
          <w:sz w:val="16"/>
        </w:rPr>
        <w:t>behaviour</w:t>
      </w:r>
      <w:proofErr w:type="spellEnd"/>
      <w:r w:rsidRPr="00344F92">
        <w:rPr>
          <w:sz w:val="16"/>
        </w:rPr>
        <w:t xml:space="preserve"> is considered bad unless a specific reason to exempt it has been established. The most acceptable excuses are marriage, reproduction, and love. Sometimes scientific curiosity, aesthetic experience, or a long-term intimate relationship may serve. But the exercise of erotic capacity, intelligence, curiosity, or creativity all require pretexts that are unnecessary for other pleasures, such as the enjoyment of food, fiction, or astronomy. What I call the fallacy of misplaced scale is a corollary of sex negativity. Susan Sontag once commented that since Christianity focused ‘on sexual </w:t>
      </w:r>
      <w:proofErr w:type="spellStart"/>
      <w:r w:rsidRPr="00344F92">
        <w:rPr>
          <w:sz w:val="16"/>
        </w:rPr>
        <w:t>behaviour</w:t>
      </w:r>
      <w:proofErr w:type="spellEnd"/>
      <w:r w:rsidRPr="00344F92">
        <w:rPr>
          <w:sz w:val="16"/>
        </w:rPr>
        <w:t xml:space="preserve"> as the root of virtue, everything pertaining to sex has been a “special case” in our culture’ (Sontag, 1969, p. 46). </w:t>
      </w:r>
      <w:r w:rsidRPr="00344F92">
        <w:rPr>
          <w:rStyle w:val="StyleUnderline"/>
        </w:rPr>
        <w:t>Sex law has incorporated the religious attitude that heretical sex is an especially heinous sin that deserves the harshest punishments</w:t>
      </w:r>
      <w:r w:rsidRPr="00344F92">
        <w:rPr>
          <w:sz w:val="16"/>
        </w:rPr>
        <w:t xml:space="preserve">. Throughout much of European and American history, a single act of consensual anal penetration was grounds for execution. In some states, sodomy still carries twenty-year prison sentences. </w:t>
      </w:r>
      <w:r w:rsidRPr="00344F92">
        <w:rPr>
          <w:rStyle w:val="StyleUnderline"/>
        </w:rPr>
        <w:t xml:space="preserve">Outside the law, sex is also a marked category. Small differences in value or </w:t>
      </w:r>
      <w:proofErr w:type="spellStart"/>
      <w:r w:rsidRPr="00344F92">
        <w:rPr>
          <w:rStyle w:val="StyleUnderline"/>
        </w:rPr>
        <w:t>behaviour</w:t>
      </w:r>
      <w:proofErr w:type="spellEnd"/>
      <w:r w:rsidRPr="00344F92">
        <w:rPr>
          <w:rStyle w:val="StyleUnderline"/>
        </w:rPr>
        <w:t xml:space="preserve"> are often experienced as cosmic threats.</w:t>
      </w:r>
      <w:r w:rsidRPr="00344F92">
        <w:rPr>
          <w:sz w:val="16"/>
        </w:rPr>
        <w:t xml:space="preserve"> Although people can be intolerant, silly, or pushy about what constitutes proper diet, differences in menu rarely provoke the kinds of rage, anxiety, and sheer terror that routinely accompany differences in erotic taste</w:t>
      </w:r>
      <w:r w:rsidRPr="00344F92">
        <w:rPr>
          <w:rStyle w:val="StyleUnderline"/>
        </w:rPr>
        <w:t xml:space="preserve">. Sexual acts are burdened with an excess of significance. Modern Western societies appraise sex acts according to a hierarchical system of sexual value. Marital, reproductive heterosexuals are alone at the top erotic pyramid. </w:t>
      </w:r>
      <w:proofErr w:type="spellStart"/>
      <w:r w:rsidRPr="00344F92">
        <w:rPr>
          <w:rStyle w:val="StyleUnderline"/>
        </w:rPr>
        <w:t>Clamouring</w:t>
      </w:r>
      <w:proofErr w:type="spellEnd"/>
      <w:r w:rsidRPr="00344F92">
        <w:rPr>
          <w:rStyle w:val="StyleUnderline"/>
        </w:rPr>
        <w:t xml:space="preserve"> below are unmarried monogamous heterosexuals in couples, followed by most other heterosexuals. Solitary sex floats ambiguously</w:t>
      </w:r>
      <w:r w:rsidRPr="00344F92">
        <w:rPr>
          <w:sz w:val="16"/>
        </w:rPr>
        <w:t xml:space="preserve">. The powerful nineteenth-century stigma on masturbation lingers in less potent, modified forms, such as the idea that masturbation is an inferior substitute for partnered encounters. </w:t>
      </w:r>
      <w:r w:rsidRPr="00344F92">
        <w:rPr>
          <w:rStyle w:val="StyleUnderline"/>
        </w:rPr>
        <w:t>Stable, long-term lesbian and gay male couples are verging on respectability, but bar dykes and promiscuous gay men are hovering just above the groups at the very bottom of the pyramid.</w:t>
      </w:r>
      <w:r w:rsidRPr="00344F92">
        <w:rPr>
          <w:sz w:val="16"/>
        </w:rPr>
        <w:t xml:space="preserve"> The most despised sexual castes currently include transsexuals, transvestites, fetishists, sadomasochists, sex workers such as prostitutes and porn models, and the lowliest of all, those whose eroticism transgresses generational boundaries. Individuals whose </w:t>
      </w:r>
      <w:proofErr w:type="spellStart"/>
      <w:r w:rsidRPr="00344F92">
        <w:rPr>
          <w:sz w:val="16"/>
        </w:rPr>
        <w:t>behaviour</w:t>
      </w:r>
      <w:proofErr w:type="spellEnd"/>
      <w:r w:rsidRPr="00344F92">
        <w:rPr>
          <w:sz w:val="16"/>
        </w:rPr>
        <w:t xml:space="preserve"> stands high in this hierarchy are rewarded with certified mental health, respectability, legality, social and physical mobility, institutional support, and material benefits. </w:t>
      </w:r>
      <w:r w:rsidRPr="00344F92">
        <w:rPr>
          <w:rStyle w:val="StyleUnderline"/>
        </w:rPr>
        <w:t xml:space="preserve">As sexual </w:t>
      </w:r>
      <w:proofErr w:type="spellStart"/>
      <w:r w:rsidRPr="00344F92">
        <w:rPr>
          <w:rStyle w:val="StyleUnderline"/>
        </w:rPr>
        <w:t>behaviours</w:t>
      </w:r>
      <w:proofErr w:type="spellEnd"/>
      <w:r w:rsidRPr="00344F92">
        <w:rPr>
          <w:rStyle w:val="StyleUnderline"/>
        </w:rPr>
        <w:t xml:space="preserve"> or occupations fall lower on the scale, the individuals who practice them are subjected to a presumption of mental illness, disreputability, criminality, restricted social and physical mobility, loss of institutional support, and economic sanctions. Extreme and punitive stigma maintains some sexual </w:t>
      </w:r>
      <w:proofErr w:type="spellStart"/>
      <w:r w:rsidRPr="00344F92">
        <w:rPr>
          <w:rStyle w:val="StyleUnderline"/>
        </w:rPr>
        <w:t>behaviours</w:t>
      </w:r>
      <w:proofErr w:type="spellEnd"/>
      <w:r w:rsidRPr="00344F92">
        <w:rPr>
          <w:rStyle w:val="StyleUnderline"/>
        </w:rPr>
        <w:t xml:space="preserve"> as low status and is an effective sanction against those who engage in them</w:t>
      </w:r>
      <w:r w:rsidRPr="00344F92">
        <w:rPr>
          <w:sz w:val="16"/>
        </w:rPr>
        <w:t xml:space="preserve">. The intensity of this stigma is rooted in Western religious traditions. But most of its contemporary content derives from medical and psychiatric opprobrium. The old religious taboos were primarily based on kinship forms of social organization. They were meant to deter inappropriate unions and to provide proper kin. Sex laws derived from Biblical pronouncements were aimed at preventing the acquisition of the wrong kinds of affinal partners: consanguineous kin (incest), the same gender (homosexuality), or the wrong species (bestiality). When medicine and psychiatry acquired extensive powers over sexuality, they were less concerned with unsuitable mates than with unfit forms of desire. If taboos against incest best characterized kinship systems of sexual organization, then the shift to an emphasis on taboos against masturbation was more apposite to the newer systems organized around qualities of erotic experience (Foucault, 1978, pp. 106–7). Medicine and psychiatry multiplied the categories of sexual misconduct. The section on psychosexual disorders in the Diagnostic and Statistical Manual of Mental and Physical Disorders (DSM) of the American Psychiatric Association (APA) is a fairly reliable map of the current moral hierarchy of sexual activities. The APA list is much more elaborate than the traditional condemnations of whoring, sodomy, and adultery. The most recent edition, DSM-III, removed homosexuality from the roster of mental disorders after a long political struggle. But fetishism, sadism, masochism, transsexuality, </w:t>
      </w:r>
      <w:proofErr w:type="spellStart"/>
      <w:r w:rsidRPr="00344F92">
        <w:rPr>
          <w:sz w:val="16"/>
        </w:rPr>
        <w:t>transvestism</w:t>
      </w:r>
      <w:proofErr w:type="spellEnd"/>
      <w:r w:rsidRPr="00344F92">
        <w:rPr>
          <w:sz w:val="16"/>
        </w:rPr>
        <w:t xml:space="preserve">, exhibitionism, voyeurism, and </w:t>
      </w:r>
      <w:proofErr w:type="spellStart"/>
      <w:r w:rsidRPr="00344F92">
        <w:rPr>
          <w:sz w:val="16"/>
        </w:rPr>
        <w:t>paedophilia</w:t>
      </w:r>
      <w:proofErr w:type="spellEnd"/>
      <w:r w:rsidRPr="00344F92">
        <w:rPr>
          <w:sz w:val="16"/>
        </w:rPr>
        <w:t xml:space="preserve"> are quite firmly entrenched as psychological malfunctions (American Psychiatric Association, 1980). Books are still being written about the genesis, etiology, treatment, and cure of these assorted ‘pathologies’. Psychiatric condemnation of sexual </w:t>
      </w:r>
      <w:proofErr w:type="spellStart"/>
      <w:r w:rsidRPr="00344F92">
        <w:rPr>
          <w:sz w:val="16"/>
        </w:rPr>
        <w:t>behaviours</w:t>
      </w:r>
      <w:proofErr w:type="spellEnd"/>
      <w:r w:rsidRPr="00344F92">
        <w:rPr>
          <w:sz w:val="16"/>
        </w:rPr>
        <w:t xml:space="preserve"> invokes concepts of mental and emotional inferiority rather than categories of sexual sin. Low-status sex practices are vilified as mental diseases or symptoms of defective personality integration. In addition, psychological terms conflate difficulties of psycho-dynamic functioning with modes of erotic conduct. </w:t>
      </w:r>
      <w:r w:rsidRPr="00344F92">
        <w:rPr>
          <w:rStyle w:val="StyleUnderline"/>
        </w:rPr>
        <w:t>They equate sexual masochism with self-destructive personality patterns, sexual sadism with emotional aggression, and homoeroticism with immaturity</w:t>
      </w:r>
      <w:r w:rsidRPr="00344F92">
        <w:rPr>
          <w:sz w:val="16"/>
        </w:rPr>
        <w:t xml:space="preserve">. These terminological muddles have become </w:t>
      </w:r>
      <w:r w:rsidRPr="00344F92">
        <w:rPr>
          <w:rStyle w:val="StyleUnderline"/>
        </w:rPr>
        <w:t>powerful stereotypes</w:t>
      </w:r>
      <w:r w:rsidRPr="00344F92">
        <w:rPr>
          <w:sz w:val="16"/>
        </w:rPr>
        <w:t xml:space="preserve"> that </w:t>
      </w:r>
      <w:r w:rsidRPr="00344F92">
        <w:rPr>
          <w:rStyle w:val="StyleUnderline"/>
        </w:rPr>
        <w:t>are indiscriminately applied to individuals on the basis of their sexual orientations</w:t>
      </w:r>
      <w:r w:rsidRPr="00344F92">
        <w:rPr>
          <w:sz w:val="16"/>
        </w:rPr>
        <w:t xml:space="preserve">. </w:t>
      </w:r>
      <w:r w:rsidRPr="00344F92">
        <w:rPr>
          <w:rStyle w:val="Emphasis"/>
        </w:rPr>
        <w:t>Popular culture is permeated with ideas that erotic variety is dangerous, unhealthy, depraved, and a menace to everything from small children to national security</w:t>
      </w:r>
      <w:r w:rsidRPr="00344F92">
        <w:rPr>
          <w:sz w:val="16"/>
        </w:rPr>
        <w:t xml:space="preserve">. Popular sexual ideology is a noxious stew made up of ideas of sexual sin, concepts of psychological inferiority, anti-communism, mob hysteria, accusations of witchcraft, and xenophobia. The mass media nourish these attitudes with relentless propaganda. I would call this system of erotic stigma the last socially respectable form of prejudice if the old forms did not show such obstinate vitality, and new ones did not continually become apparent. </w:t>
      </w:r>
      <w:r w:rsidRPr="00344F92">
        <w:rPr>
          <w:rStyle w:val="StyleUnderline"/>
        </w:rPr>
        <w:t>All these hierarchies of sexual value – religious, psychiatric, and popular – function in much the same ways as do ideological systems of racism, ethnocentrism, and religious chauvinism. They rationalize the well-being of the sexually privileged and the adversity of the sexual rabble</w:t>
      </w:r>
      <w:r w:rsidRPr="00344F92">
        <w:rPr>
          <w:sz w:val="16"/>
        </w:rPr>
        <w:t xml:space="preserve">. Figure 9.1 diagrams a general version of the sexual value system. According to this system, sexuality that is ‘good’, ‘normal’, and ‘natural’ should ideally be heterosexual, marital, monogamous, reproductive, and non-commercial. It should be coupled, relational, within the same generation, and occur at home. It should not involve pornography, fetish objects, sex toys of any sort, or roles other than male and female. Any sex that violates these rules is ‘bad’, ‘abnormal’, or ‘unnatural’. Bad sex may be homosexual, unmarried, promiscuous, non-procreative, or commercial. It may be masturbatory or take place at orgies, may be casual, may cross generational lines, and may take place in ‘public’, or at least in the bushes or the baths. It may involve the use of pornography, fetish objects, sex toys, or unusual roles (see Figure 9.1). Figure 9.2 diagrams another aspect of the sexual hierarchy: the need to draw and maintain an imaginary line between good and bad sex. </w:t>
      </w:r>
      <w:r w:rsidRPr="00344F92">
        <w:rPr>
          <w:rStyle w:val="StyleUnderline"/>
        </w:rPr>
        <w:t xml:space="preserve">Most of the discourses on sex, be they religious, psychiatric, popular, or political, delimit a very small portion of human sexual capacity as </w:t>
      </w:r>
      <w:proofErr w:type="spellStart"/>
      <w:r w:rsidRPr="00344F92">
        <w:rPr>
          <w:rStyle w:val="StyleUnderline"/>
        </w:rPr>
        <w:t>sanctifiable</w:t>
      </w:r>
      <w:proofErr w:type="spellEnd"/>
      <w:r w:rsidRPr="00344F92">
        <w:rPr>
          <w:rStyle w:val="StyleUnderline"/>
        </w:rPr>
        <w:t xml:space="preserve">, safe, healthy, mature, legal, or politically correct. The ‘line’ distinguishes these from all other erotic </w:t>
      </w:r>
      <w:proofErr w:type="spellStart"/>
      <w:r w:rsidRPr="00344F92">
        <w:rPr>
          <w:rStyle w:val="StyleUnderline"/>
        </w:rPr>
        <w:t>behaviours</w:t>
      </w:r>
      <w:proofErr w:type="spellEnd"/>
      <w:r w:rsidRPr="00344F92">
        <w:rPr>
          <w:rStyle w:val="StyleUnderline"/>
        </w:rPr>
        <w:t>, which are understood to be the work of the devil, dangerous, psychopathological, infantile, or politically reprehensible</w:t>
      </w:r>
      <w:r w:rsidRPr="00344F92">
        <w:rPr>
          <w:sz w:val="16"/>
        </w:rPr>
        <w:t xml:space="preserve">. Arguments are then conducted over ‘where to draw the line’, and to determine what other activities, if any, may be permitted to cross over into acceptability. </w:t>
      </w:r>
      <w:r w:rsidRPr="00344F92">
        <w:rPr>
          <w:rStyle w:val="StyleUnderline"/>
        </w:rPr>
        <w:t>All these models assume a domino theory of sexual peril. The line appears to stand between sexual order and chaos. It expresses the fear that if anything is permitted to cross this erotic DMZ, the barrier against scary sex will crumble and something unspeakable will skitter across</w:t>
      </w:r>
      <w:r w:rsidRPr="00344F92">
        <w:rPr>
          <w:sz w:val="16"/>
        </w:rPr>
        <w:t xml:space="preserve">. Most systems of sexual judgment – religious, psychological, feminist, or socialist – attempt to determine on which side of the line a particular act falls. Only sex acts on the good side of the line are accorded moral complexity. For instance, heterosexual encounters may be sublime or disgusting, free or forced, healing or destructive, romantic or mercenary. As long as it does not violate other rules, heterosexuality is acknowledged to exhibit the full range of human experience. In contrast, </w:t>
      </w:r>
      <w:r w:rsidRPr="00344F92">
        <w:rPr>
          <w:rStyle w:val="StyleUnderline"/>
        </w:rPr>
        <w:t>all sex acts on the bad side of the line are considered utterly repulsive and devoid of all emotional nuance. The further from the line a sex act is, the more it is depicted as a uniformly bad experience</w:t>
      </w:r>
      <w:r w:rsidRPr="00344F92">
        <w:rPr>
          <w:sz w:val="16"/>
        </w:rPr>
        <w:t>.</w:t>
      </w:r>
    </w:p>
    <w:p w:rsidR="00A02692" w:rsidRDefault="00A02692" w:rsidP="00A02692">
      <w:pPr>
        <w:pStyle w:val="Heading2"/>
      </w:pPr>
      <w:r>
        <w:t>Plan</w:t>
      </w:r>
    </w:p>
    <w:p w:rsidR="00A02692" w:rsidRDefault="00720C72" w:rsidP="00A02692">
      <w:pPr>
        <w:pStyle w:val="Heading4"/>
      </w:pPr>
      <w:r>
        <w:t>The United States federal g</w:t>
      </w:r>
      <w:r w:rsidR="00A02692">
        <w:t>overnment should fully fund sexual education in the United States and mandate that all federal</w:t>
      </w:r>
      <w:r w:rsidR="00D631B5">
        <w:t>ly</w:t>
      </w:r>
      <w:r w:rsidR="00A02692">
        <w:t xml:space="preserve"> </w:t>
      </w:r>
      <w:r w:rsidR="002D3E17">
        <w:t>funded programs</w:t>
      </w:r>
      <w:r w:rsidR="00A02692">
        <w:t xml:space="preserve"> for sexual education meet the criteria established by the Real Education fo</w:t>
      </w:r>
      <w:r>
        <w:t>r Healthy Youth A</w:t>
      </w:r>
      <w:r w:rsidR="00A02692">
        <w:t>ct</w:t>
      </w:r>
      <w:r w:rsidR="00DB7F8F">
        <w:t>.</w:t>
      </w:r>
    </w:p>
    <w:p w:rsidR="00A02692" w:rsidRPr="00AB7FC9" w:rsidRDefault="00A02692" w:rsidP="00A02692"/>
    <w:p w:rsidR="00A02692" w:rsidRPr="00961862" w:rsidRDefault="00A02692" w:rsidP="00A02692"/>
    <w:p w:rsidR="00A02692" w:rsidRDefault="00A02692" w:rsidP="00A02692">
      <w:pPr>
        <w:pStyle w:val="Heading2"/>
      </w:pPr>
      <w:r>
        <w:t xml:space="preserve">Solvency </w:t>
      </w:r>
    </w:p>
    <w:p w:rsidR="00A02692" w:rsidRPr="00961862" w:rsidRDefault="00A02692" w:rsidP="00A02692"/>
    <w:p w:rsidR="00A02692" w:rsidRPr="004345EE" w:rsidRDefault="00A02692" w:rsidP="00A02692">
      <w:pPr>
        <w:pStyle w:val="Heading4"/>
        <w:rPr>
          <w:rStyle w:val="Style13ptBold"/>
          <w:b/>
        </w:rPr>
      </w:pPr>
      <w:r>
        <w:rPr>
          <w:rStyle w:val="Style13ptBold"/>
          <w:b/>
        </w:rPr>
        <w:t>Federally mandated standards for inclusive and medically accurate sexual education</w:t>
      </w:r>
      <w:r w:rsidRPr="004345EE">
        <w:rPr>
          <w:rStyle w:val="Style13ptBold"/>
          <w:b/>
        </w:rPr>
        <w:t xml:space="preserve"> </w:t>
      </w:r>
      <w:r>
        <w:rPr>
          <w:rStyle w:val="Style13ptBold"/>
          <w:b/>
        </w:rPr>
        <w:t xml:space="preserve">are key and spill </w:t>
      </w:r>
      <w:r w:rsidRPr="004345EE">
        <w:rPr>
          <w:rStyle w:val="Style13ptBold"/>
          <w:b/>
        </w:rPr>
        <w:t>over</w:t>
      </w:r>
      <w:r>
        <w:rPr>
          <w:rStyle w:val="Style13ptBold"/>
          <w:b/>
        </w:rPr>
        <w:t xml:space="preserve"> to states and local organizations</w:t>
      </w:r>
    </w:p>
    <w:p w:rsidR="00A02692" w:rsidRPr="004345EE" w:rsidRDefault="00A02692" w:rsidP="00A02692">
      <w:pPr>
        <w:jc w:val="both"/>
        <w:rPr>
          <w:rStyle w:val="Style13ptBold"/>
          <w:b w:val="0"/>
        </w:rPr>
      </w:pPr>
      <w:r>
        <w:rPr>
          <w:rStyle w:val="Style13ptBold"/>
        </w:rPr>
        <w:t xml:space="preserve">Kempner 16 </w:t>
      </w:r>
      <w:r w:rsidRPr="004345EE">
        <w:rPr>
          <w:rStyle w:val="Style13ptBold"/>
          <w:b w:val="0"/>
          <w:sz w:val="16"/>
          <w:szCs w:val="16"/>
        </w:rPr>
        <w:t xml:space="preserve">[Martha. May 10, 2016. Martha Kempner is a writer, consultant, and sexual health expert. “Fewer Young People Are Getting Formal Sex Education, But Can a New Federal Bill Change That?” </w:t>
      </w:r>
      <w:r w:rsidRPr="004345EE">
        <w:rPr>
          <w:rStyle w:val="Style13ptBold"/>
          <w:b w:val="0"/>
          <w:i/>
          <w:sz w:val="16"/>
          <w:szCs w:val="16"/>
        </w:rPr>
        <w:t xml:space="preserve">Rewire. </w:t>
      </w:r>
      <w:hyperlink r:id="rId124" w:history="1">
        <w:r w:rsidRPr="004345EE">
          <w:rPr>
            <w:rStyle w:val="Hyperlink"/>
            <w:sz w:val="16"/>
            <w:szCs w:val="16"/>
          </w:rPr>
          <w:t>https://rewire.news/article/2016/05/10/fewer-young-people-getting-formal-sex-education-can-new-federal-bill-change/</w:t>
        </w:r>
      </w:hyperlink>
      <w:r w:rsidRPr="004345EE">
        <w:rPr>
          <w:rStyle w:val="Style13ptBold"/>
          <w:b w:val="0"/>
          <w:sz w:val="16"/>
          <w:szCs w:val="16"/>
        </w:rPr>
        <w:t>. SH]</w:t>
      </w:r>
    </w:p>
    <w:p w:rsidR="00A02692" w:rsidRPr="004345EE" w:rsidRDefault="00A02692" w:rsidP="00A02692">
      <w:pPr>
        <w:jc w:val="both"/>
        <w:rPr>
          <w:rStyle w:val="StyleUnderline"/>
        </w:rPr>
      </w:pPr>
      <w:r w:rsidRPr="004345EE">
        <w:rPr>
          <w:sz w:val="16"/>
        </w:rPr>
        <w:t xml:space="preserve">As Advocates for Youth explains, if passed, </w:t>
      </w:r>
      <w:r w:rsidRPr="004345EE">
        <w:rPr>
          <w:rStyle w:val="StyleUnderline"/>
        </w:rPr>
        <w:t>REHYA</w:t>
      </w:r>
      <w:r w:rsidRPr="004345EE">
        <w:rPr>
          <w:sz w:val="16"/>
        </w:rPr>
        <w:t xml:space="preserve"> would be the first federal legislation to ever recognize young people’s right to sexual health information. It </w:t>
      </w:r>
      <w:r w:rsidRPr="004345EE">
        <w:rPr>
          <w:rStyle w:val="StyleUnderline"/>
        </w:rPr>
        <w:t>would allocate funding for education that includes a wide range of topics, including communication and decision-making skills; safe and healthy relationships; and preventing unintended pregnancy, HIV, other STIs, dating violence, sexual assault, bullying, and harassment</w:t>
      </w:r>
      <w:r w:rsidRPr="004345EE">
        <w:rPr>
          <w:sz w:val="16"/>
        </w:rPr>
        <w:t xml:space="preserve">. In addition, </w:t>
      </w:r>
      <w:r w:rsidRPr="004345EE">
        <w:rPr>
          <w:rStyle w:val="StyleUnderline"/>
        </w:rPr>
        <w:t>it would require all funded programs to be inclusive of lesbian, gay, bisexual, and transgender students and to meet the needs of young people who are sexually active as well as those who are not</w:t>
      </w:r>
      <w:r w:rsidRPr="004345EE">
        <w:rPr>
          <w:sz w:val="16"/>
        </w:rPr>
        <w:t xml:space="preserve">. The grants could also be used for adolescents and young adults in institutes of higher education. Finally, </w:t>
      </w:r>
      <w:r w:rsidRPr="004345EE">
        <w:rPr>
          <w:rStyle w:val="StyleUnderline"/>
        </w:rPr>
        <w:t>the bill recognizes the importance of teacher training and provides resources to prepare sex education instructors.</w:t>
      </w:r>
      <w:r w:rsidRPr="004345EE">
        <w:rPr>
          <w:sz w:val="16"/>
        </w:rPr>
        <w:t xml:space="preserve"> If we look at the federal government’s role as leading by example, then </w:t>
      </w:r>
      <w:r w:rsidRPr="004345EE">
        <w:rPr>
          <w:rStyle w:val="StyleUnderline"/>
        </w:rPr>
        <w:t>REHYA</w:t>
      </w:r>
      <w:r w:rsidRPr="004345EE">
        <w:rPr>
          <w:sz w:val="16"/>
        </w:rPr>
        <w:t xml:space="preserve"> is a great start. It </w:t>
      </w:r>
      <w:r w:rsidRPr="004345EE">
        <w:rPr>
          <w:rStyle w:val="StyleUnderline"/>
        </w:rPr>
        <w:t>sets forth a plan, starts a conversation, and moves us away from decades of focusing on disproven abstinence-only-until-marriage programs</w:t>
      </w:r>
      <w:r w:rsidRPr="004345EE">
        <w:rPr>
          <w:sz w:val="16"/>
        </w:rPr>
        <w:t xml:space="preserve">. In fact, one of the fun parts of this new bill is that </w:t>
      </w:r>
      <w:r w:rsidRPr="004345EE">
        <w:rPr>
          <w:rStyle w:val="StyleUnderline"/>
        </w:rPr>
        <w:t>it diverts funding from the Title V program</w:t>
      </w:r>
      <w:r w:rsidRPr="004345EE">
        <w:rPr>
          <w:sz w:val="16"/>
        </w:rPr>
        <w:t xml:space="preserve">, which received $75 million dollars in Fiscal Year 2016. </w:t>
      </w:r>
      <w:r w:rsidRPr="004345EE">
        <w:rPr>
          <w:rStyle w:val="StyleUnderline"/>
        </w:rPr>
        <w:t>That</w:t>
      </w:r>
      <w:r w:rsidRPr="004345EE">
        <w:rPr>
          <w:sz w:val="16"/>
        </w:rPr>
        <w:t xml:space="preserve"> funding has </w:t>
      </w:r>
      <w:r w:rsidRPr="004345EE">
        <w:rPr>
          <w:rStyle w:val="StyleUnderline"/>
        </w:rPr>
        <w:t>supported programs that stick to a strict eight-point definition of “abstinence education”</w:t>
      </w:r>
      <w:r w:rsidRPr="004345EE">
        <w:rPr>
          <w:sz w:val="16"/>
        </w:rPr>
        <w:t xml:space="preserve"> (often called the “A-H definition”) that, among other things, tells young people that sex outside of marriage is against societal norms and likely to have harmful physical and psychological effects. </w:t>
      </w:r>
      <w:r w:rsidRPr="004345EE">
        <w:rPr>
          <w:rStyle w:val="StyleUnderline"/>
        </w:rPr>
        <w:t>The federal government does not make rules on what can and cannot be taught in classrooms outside of those programs it funds</w:t>
      </w:r>
      <w:r w:rsidRPr="004345EE">
        <w:rPr>
          <w:sz w:val="16"/>
        </w:rPr>
        <w:t xml:space="preserve">. Broad decisions about topics are made by each state, while more granular decisions—such as what curriculum to use or videos to show—are made by local school districts. </w:t>
      </w:r>
      <w:r w:rsidRPr="004345EE">
        <w:rPr>
          <w:rStyle w:val="StyleUnderline"/>
        </w:rPr>
        <w:t>But the growth of the abstinence-only-until-marriage approach and the industry that spread it</w:t>
      </w:r>
      <w:r w:rsidRPr="004345EE">
        <w:rPr>
          <w:sz w:val="16"/>
        </w:rPr>
        <w:t xml:space="preserve">, researchers say, </w:t>
      </w:r>
      <w:r w:rsidRPr="004345EE">
        <w:rPr>
          <w:rStyle w:val="StyleUnderline"/>
        </w:rPr>
        <w:t>was partially due to federal funding and the government’s “stamp of approval.”</w:t>
      </w:r>
      <w:r>
        <w:rPr>
          <w:rStyle w:val="StyleUnderline"/>
        </w:rPr>
        <w:t xml:space="preserve"> </w:t>
      </w:r>
      <w:r w:rsidRPr="004345EE">
        <w:rPr>
          <w:sz w:val="16"/>
        </w:rPr>
        <w:t xml:space="preserve">Heather </w:t>
      </w:r>
      <w:proofErr w:type="spellStart"/>
      <w:r w:rsidRPr="004345EE">
        <w:rPr>
          <w:sz w:val="16"/>
        </w:rPr>
        <w:t>Boonstra</w:t>
      </w:r>
      <w:proofErr w:type="spellEnd"/>
      <w:r w:rsidRPr="004345EE">
        <w:rPr>
          <w:sz w:val="16"/>
        </w:rPr>
        <w:t xml:space="preserve">, director of public policy at the </w:t>
      </w:r>
      <w:proofErr w:type="spellStart"/>
      <w:r w:rsidRPr="004345EE">
        <w:rPr>
          <w:sz w:val="16"/>
        </w:rPr>
        <w:t>Guttmacher</w:t>
      </w:r>
      <w:proofErr w:type="spellEnd"/>
      <w:r w:rsidRPr="004345EE">
        <w:rPr>
          <w:sz w:val="16"/>
        </w:rPr>
        <w:t xml:space="preserve"> Institute and a co-author of its study, told Rewire: “My sense is that [government endorsement] really spurred the proliferation of a whole industry and gave legitimacy—and still does—to this very narrow approach.” The money—$1.5 billion total between 1996 and 2010—was, of course, at the heart of a lot of that growth. School districts, community-based organizations, and faith-based institutions created programs using federal and state money. And a network of abstinence-only-until-marriage organizations grew up to provide the curricula and materials these programs needed. But the reach was broader than that: A number of states changed the rules governing sex education to insist that schools stress abstinence. Some even quoted all or part of the A-H definition in their state laws. </w:t>
      </w:r>
      <w:r w:rsidRPr="004345EE">
        <w:rPr>
          <w:rStyle w:val="StyleUnderline"/>
        </w:rPr>
        <w:t>REHYA</w:t>
      </w:r>
      <w:r w:rsidRPr="004345EE">
        <w:rPr>
          <w:sz w:val="16"/>
        </w:rPr>
        <w:t xml:space="preserve"> would provide less money to comprehensive education than the abstinence-only-until-marriage funding streams did to their respective programs, but most advocates agree that it is important nonetheless. As </w:t>
      </w:r>
      <w:proofErr w:type="spellStart"/>
      <w:r w:rsidRPr="004345EE">
        <w:rPr>
          <w:sz w:val="16"/>
        </w:rPr>
        <w:t>Jesseca</w:t>
      </w:r>
      <w:proofErr w:type="spellEnd"/>
      <w:r w:rsidRPr="004345EE">
        <w:rPr>
          <w:sz w:val="16"/>
        </w:rPr>
        <w:t xml:space="preserve"> Boyer, vice president at the Sexuality Information and Education Council of the United States (SIECUS), told Rewire, “It </w:t>
      </w:r>
      <w:r w:rsidRPr="004345EE">
        <w:rPr>
          <w:rStyle w:val="StyleUnderline"/>
        </w:rPr>
        <w:t>establishes a vision of what the</w:t>
      </w:r>
      <w:bookmarkStart w:id="0" w:name="_GoBack"/>
      <w:bookmarkEnd w:id="0"/>
      <w:r w:rsidRPr="004345EE">
        <w:rPr>
          <w:rStyle w:val="StyleUnderline"/>
        </w:rPr>
        <w:t xml:space="preserve"> government could do in terms of supporting sex education.”</w:t>
      </w:r>
      <w:r>
        <w:rPr>
          <w:rStyle w:val="StyleUnderline"/>
        </w:rPr>
        <w:t xml:space="preserve"> </w:t>
      </w:r>
      <w:proofErr w:type="spellStart"/>
      <w:r w:rsidRPr="004345EE">
        <w:rPr>
          <w:sz w:val="16"/>
        </w:rPr>
        <w:t>Boonstra</w:t>
      </w:r>
      <w:proofErr w:type="spellEnd"/>
      <w:r w:rsidRPr="004345EE">
        <w:rPr>
          <w:sz w:val="16"/>
        </w:rPr>
        <w:t xml:space="preserve"> noted that </w:t>
      </w:r>
      <w:r w:rsidRPr="004345EE">
        <w:rPr>
          <w:rStyle w:val="StyleUnderline"/>
        </w:rPr>
        <w:t>by providing the model for good programs and some money that would help organizations develop materials for those programs, REHYA could have a broader reach than just the programs it would directly fund.</w:t>
      </w:r>
    </w:p>
    <w:p w:rsidR="00A02692" w:rsidRPr="004345EE" w:rsidRDefault="00A02692" w:rsidP="00A02692"/>
    <w:p w:rsidR="00A02692" w:rsidRDefault="00A02692" w:rsidP="00A02692">
      <w:pPr>
        <w:pStyle w:val="Heading4"/>
      </w:pPr>
      <w:r>
        <w:t xml:space="preserve">US federal sexual health policy should be scientifically based and inclusive of all marginalized students. </w:t>
      </w:r>
      <w:proofErr w:type="spellStart"/>
      <w:r>
        <w:t>SexEd</w:t>
      </w:r>
      <w:proofErr w:type="spellEnd"/>
      <w:r>
        <w:t xml:space="preserve"> policy that </w:t>
      </w:r>
      <w:r w:rsidRPr="008B550B">
        <w:t>acknowledge</w:t>
      </w:r>
      <w:r>
        <w:t>s</w:t>
      </w:r>
      <w:r w:rsidRPr="008B550B">
        <w:t xml:space="preserve"> the role that structural and contextual factors play</w:t>
      </w:r>
      <w:r>
        <w:t xml:space="preserve"> is essential to break down the hegemonic ideologies surround sexuality in the status quo</w:t>
      </w:r>
    </w:p>
    <w:p w:rsidR="00A02692" w:rsidRPr="008B550B" w:rsidRDefault="00A02692" w:rsidP="00A02692">
      <w:proofErr w:type="spellStart"/>
      <w:r>
        <w:rPr>
          <w:rStyle w:val="Style13ptBold"/>
        </w:rPr>
        <w:t>Schalet</w:t>
      </w:r>
      <w:proofErr w:type="spellEnd"/>
      <w:r>
        <w:rPr>
          <w:rStyle w:val="Style13ptBold"/>
        </w:rPr>
        <w:t xml:space="preserve">, Santelli, and Russell et al. 2014 </w:t>
      </w:r>
      <w:r w:rsidRPr="00AB1D31">
        <w:t>[</w:t>
      </w:r>
      <w:proofErr w:type="spellStart"/>
      <w:r w:rsidRPr="00AB1D31">
        <w:t>Schalet</w:t>
      </w:r>
      <w:proofErr w:type="spellEnd"/>
      <w:r w:rsidRPr="00AB1D31">
        <w:t xml:space="preserve">, A.T., Santelli, J.S., Russell, S.T. et al. </w:t>
      </w:r>
      <w:r w:rsidRPr="00AB1D31">
        <w:rPr>
          <w:bCs/>
        </w:rPr>
        <w:t xml:space="preserve">“Invited Commentary: Broadening the Evidence for Adolescent Sexual and Reproductive Health and Education in the United States.” </w:t>
      </w:r>
      <w:r w:rsidRPr="00AB1D31">
        <w:t>J Youth Adolescence (2014) 43: 1595. doi:10.1007/s10964-014-0178-8</w:t>
      </w:r>
      <w:r>
        <w:t>. SPS.</w:t>
      </w:r>
      <w:r w:rsidRPr="00AB1D31">
        <w:t>]</w:t>
      </w:r>
    </w:p>
    <w:p w:rsidR="00A02692" w:rsidRPr="003442DF" w:rsidRDefault="00A02692" w:rsidP="00A02692">
      <w:pPr>
        <w:rPr>
          <w:rStyle w:val="StyleUnderline"/>
        </w:rPr>
      </w:pPr>
      <w:r w:rsidRPr="003442DF">
        <w:rPr>
          <w:rStyle w:val="StyleUnderline"/>
        </w:rPr>
        <w:t>US federal sexual health policy has come a long way since the introduction of AOUM policies when federally funded programs were often medically inaccurate</w:t>
      </w:r>
      <w:r w:rsidRPr="003442DF">
        <w:rPr>
          <w:sz w:val="14"/>
        </w:rPr>
        <w:t xml:space="preserve">, were prohibited from teaching the health benefits of condoms and contraception, and were required to teach students that sex outside of heterosexual marriage would damage them. In providing our critique we acknowledge the strides that have been made in current federal policies and initiatives, and </w:t>
      </w:r>
      <w:r w:rsidRPr="003442DF">
        <w:rPr>
          <w:rStyle w:val="StyleUnderline"/>
        </w:rPr>
        <w:t>we also acknowledge that US sexual health education programs and policies exist in a cultural and political context that is not fully conducive to holistic approaches to adolescent sexual health education, or to the full range of contemporary science in this field</w:t>
      </w:r>
      <w:r w:rsidRPr="003442DF">
        <w:rPr>
          <w:sz w:val="14"/>
        </w:rPr>
        <w:t xml:space="preserve">. The current “evidence-based” policy, while a significant leap forward, is limited in a number of ways. </w:t>
      </w:r>
      <w:r w:rsidRPr="003442DF">
        <w:rPr>
          <w:rStyle w:val="StyleUnderline"/>
        </w:rPr>
        <w:t xml:space="preserve">The US federal policy continues to fund abstinence-only programs as part of its Teen Pregnancy Prevention Initiative as well as other funding streams. But more important, the definition of scientific evidence is limited to a narrow understanding of what constitutes the broad scientific evidence for adolescent sexual and reproductive health. The current policy does not require programs to be engaged with the breadth of current scientific thinking about adolescents and their sexual health. </w:t>
      </w:r>
      <w:r w:rsidRPr="003442DF">
        <w:rPr>
          <w:sz w:val="14"/>
        </w:rPr>
        <w:t xml:space="preserve">We have sought to highlight the limitations of EBIs by examining three bodies of literature on topics about which there is growing scientific consensus. This evidence indicates that </w:t>
      </w:r>
      <w:r w:rsidRPr="003442DF">
        <w:rPr>
          <w:rStyle w:val="StyleUnderline"/>
        </w:rPr>
        <w:t>adolescent sexual health is undermined by the exclusion and stigmatization of LGBTQ youth, gender inequities and stereotypes, and poverty and structural racism.</w:t>
      </w:r>
      <w:r w:rsidRPr="003442DF">
        <w:rPr>
          <w:sz w:val="14"/>
        </w:rPr>
        <w:t xml:space="preserve"> Likewise, the research shows that greater inclusiveness, more gender and economic equity, and freedom from harmful stereotypes, all benefit young people and their sexual health. And yet, although there are some excellent programs that approach adolescent sexuality holistically (see for instance, International Sexuality and HIV Curriculum Working Group </w:t>
      </w:r>
      <w:hyperlink r:id="rId125" w:anchor="CR500" w:tooltip="View reference" w:history="1">
        <w:r w:rsidRPr="003442DF">
          <w:rPr>
            <w:sz w:val="14"/>
          </w:rPr>
          <w:t>2011</w:t>
        </w:r>
      </w:hyperlink>
      <w:r w:rsidRPr="003442DF">
        <w:rPr>
          <w:sz w:val="14"/>
        </w:rPr>
        <w:t xml:space="preserve">), </w:t>
      </w:r>
      <w:r w:rsidRPr="003442DF">
        <w:rPr>
          <w:rStyle w:val="StyleUnderline"/>
        </w:rPr>
        <w:t>federal policy does not require its recipients of funds to address these critical topics, and indeed very few federally funded programs do.</w:t>
      </w:r>
      <w:hyperlink r:id="rId126" w:anchor="Fn8" w:history="1">
        <w:r w:rsidRPr="003442DF">
          <w:rPr>
            <w:sz w:val="14"/>
          </w:rPr>
          <w:t>8</w:t>
        </w:r>
      </w:hyperlink>
      <w:r w:rsidRPr="003442DF">
        <w:rPr>
          <w:sz w:val="14"/>
        </w:rPr>
        <w:t xml:space="preserve"> </w:t>
      </w:r>
      <w:r w:rsidRPr="003442DF">
        <w:rPr>
          <w:rStyle w:val="StyleUnderline"/>
        </w:rPr>
        <w:t xml:space="preserve">When federally funded sexual health education does not intentionally address these topics, it may overtly or inadvertently promulgate gender, sexual orientation, class, and racial stereotyping, and fail to give youth resources to combat them. Gender, heterosexual, economic and racial biases in sexual health education leave youth without the personal agency and the critical knowledge they need to make safer sexual choices. </w:t>
      </w:r>
      <w:r w:rsidRPr="003442DF">
        <w:rPr>
          <w:sz w:val="14"/>
        </w:rPr>
        <w:t xml:space="preserve">Based on these considerations, </w:t>
      </w:r>
      <w:r w:rsidRPr="003442DF">
        <w:rPr>
          <w:rStyle w:val="StyleUnderline"/>
        </w:rPr>
        <w:t>we offer several recommendations for federal sexual health education policy,</w:t>
      </w:r>
      <w:r w:rsidRPr="003442DF">
        <w:rPr>
          <w:sz w:val="14"/>
        </w:rPr>
        <w:t xml:space="preserve"> as well as for more effective translation of science into policymaking and programming. </w:t>
      </w:r>
      <w:r w:rsidRPr="003442DF">
        <w:rPr>
          <w:rStyle w:val="StyleUnderline"/>
        </w:rPr>
        <w:t>First, adolescent sexual and reproductive health policy should be based on scientific input from a broad range of disciplines, including social, behavioral, medical, and public health sciences. The full range of scientific evidence should guide</w:t>
      </w:r>
      <w:r w:rsidRPr="003442DF">
        <w:rPr>
          <w:sz w:val="14"/>
        </w:rPr>
        <w:t xml:space="preserve"> adolescent sexual and reproductive health policies, including </w:t>
      </w:r>
      <w:r w:rsidRPr="003442DF">
        <w:rPr>
          <w:rStyle w:val="StyleUnderline"/>
        </w:rPr>
        <w:t>adolescent sexual health education</w:t>
      </w:r>
      <w:r w:rsidRPr="003442DF">
        <w:rPr>
          <w:sz w:val="14"/>
        </w:rPr>
        <w:t xml:space="preserve">. </w:t>
      </w:r>
      <w:r w:rsidRPr="003442DF">
        <w:rPr>
          <w:rStyle w:val="StyleUnderline"/>
        </w:rPr>
        <w:t>Federally-funded programs must address gender, poverty, and lesbian, gay, bisexual, transgender, queer, and questioning (LGBTQ) youth.</w:t>
      </w:r>
      <w:r w:rsidRPr="003442DF">
        <w:rPr>
          <w:sz w:val="14"/>
        </w:rPr>
        <w:t xml:space="preserve"> Federal policy makers should engage in conversation with the broad range of scientific communities and professional societies. Policy makers and federal program administrators must draw on scientific advisors to help translate the broader evidence base, and guide the development of interventions that reflect current scientific thinking. Further, scientists must become actively engaged in the translation of their work for policy and practice. </w:t>
      </w:r>
      <w:r w:rsidRPr="003442DF">
        <w:rPr>
          <w:rStyle w:val="StyleUnderline"/>
        </w:rPr>
        <w:t>Second, sexual health education should be inclusive of a wide range of viewpoints and populations without stigmatizing any group. It should avoid heteronormative approaches and aim to strengthen young people’s capacity to challenge harmful stereotypes</w:t>
      </w:r>
      <w:r w:rsidRPr="003442DF">
        <w:rPr>
          <w:sz w:val="14"/>
        </w:rPr>
        <w:t xml:space="preserve">. In cooperation with scientists and health professional associations, content </w:t>
      </w:r>
      <w:r w:rsidRPr="003442DF">
        <w:rPr>
          <w:rStyle w:val="StyleUnderline"/>
        </w:rPr>
        <w:t>guidelines should be established for federally-funded sexuality education programs to assure medical accuracy as well as gender equity and inclusion of LGBTQ youth</w:t>
      </w:r>
      <w:r w:rsidRPr="003442DF">
        <w:rPr>
          <w:sz w:val="14"/>
        </w:rPr>
        <w:t xml:space="preserve">. This should be a priority across federal agencies and throughout the Department of Health and Human Services, including the CDC, Administration for Children and Families, and the Office of Adolescent Health (in particular, in its next round of teen pregnancy prevention programs). </w:t>
      </w:r>
      <w:r w:rsidRPr="003442DF">
        <w:rPr>
          <w:rStyle w:val="StyleUnderline"/>
        </w:rPr>
        <w:t>Finally, sexuality education programs and policies must acknowledge the role that structural and contextual factors play in sexual risk.</w:t>
      </w:r>
      <w:r w:rsidRPr="003442DF">
        <w:rPr>
          <w:sz w:val="14"/>
        </w:rPr>
        <w:t xml:space="preserve"> Comprehensive </w:t>
      </w:r>
      <w:r w:rsidRPr="003442DF">
        <w:rPr>
          <w:rStyle w:val="StyleUnderline"/>
        </w:rPr>
        <w:t>sexuality education should recognize personal, interpersonal, social, economic and cultural factors that shape adolescents’ sexual motivations and behaviors. A fundamental goal must be the removal of economic, gender and LGBTQ disparities in adolescent sexual and reproductive health through laws, regulations, and funding requirements. Structural inequalities that are critical barriers to adolescent sexual health promotion are at the heart of some of the most contested issues in American society: the sexual orientation of adolescents, concepts of gender, and economic and racial inequalities. When federally funded health interventions do not engage directly with these issues, and thus ignore the broader scientific consensus regarding adolescent sexual and reproductive health, they run the risk of reproducing these inequalities</w:t>
      </w:r>
      <w:r w:rsidRPr="003442DF">
        <w:rPr>
          <w:sz w:val="14"/>
        </w:rPr>
        <w:t xml:space="preserve"> (Fine and McClelland </w:t>
      </w:r>
      <w:hyperlink r:id="rId127" w:anchor="CR46" w:tooltip="View reference" w:history="1">
        <w:r w:rsidRPr="003442DF">
          <w:rPr>
            <w:sz w:val="14"/>
          </w:rPr>
          <w:t>2006</w:t>
        </w:r>
      </w:hyperlink>
      <w:r w:rsidRPr="003442DF">
        <w:rPr>
          <w:sz w:val="14"/>
        </w:rPr>
        <w:t xml:space="preserve">). </w:t>
      </w:r>
      <w:r w:rsidRPr="003442DF">
        <w:rPr>
          <w:rStyle w:val="StyleUnderline"/>
        </w:rPr>
        <w:t>By incorporating the full range of scientific evidence regarding adolescent sexual and reproductive health, federa</w:t>
      </w:r>
      <w:r w:rsidRPr="003442DF">
        <w:rPr>
          <w:sz w:val="14"/>
        </w:rPr>
        <w:t xml:space="preserve">l, state, and local </w:t>
      </w:r>
      <w:r w:rsidRPr="003442DF">
        <w:rPr>
          <w:rStyle w:val="StyleUnderline"/>
        </w:rPr>
        <w:t xml:space="preserve">efforts will be best positioned to promote adolescent health and well-being. </w:t>
      </w:r>
    </w:p>
    <w:p w:rsidR="00A02692" w:rsidRDefault="00A02692" w:rsidP="00A02692">
      <w:pPr>
        <w:pStyle w:val="Heading4"/>
      </w:pPr>
      <w:r>
        <w:t>Critical pedagogy and anti-oppressive education in the context of inclusive sexual education leads to a democratic form of engagement focused on lived experiences that is capable of challenging current dominant ideologies surrounding sex and sexuality.</w:t>
      </w:r>
    </w:p>
    <w:p w:rsidR="00A02692" w:rsidRDefault="005919EA" w:rsidP="00A02692">
      <w:hyperlink r:id="rId128" w:history="1">
        <w:r w:rsidR="00A02692">
          <w:rPr>
            <w:rStyle w:val="Style13ptBold"/>
          </w:rPr>
          <w:t xml:space="preserve">Elia and Tokunaga, 2015 </w:t>
        </w:r>
        <w:r w:rsidR="00A02692">
          <w:rPr>
            <w:rStyle w:val="Style13ptBold"/>
            <w:b w:val="0"/>
          </w:rPr>
          <w:t>[</w:t>
        </w:r>
        <w:r w:rsidR="00A02692" w:rsidRPr="00A10245">
          <w:t>John P. Elia</w:t>
        </w:r>
      </w:hyperlink>
      <w:r w:rsidR="00A02692" w:rsidRPr="00A10245">
        <w:t>,</w:t>
      </w:r>
      <w:r w:rsidR="00A02692">
        <w:t xml:space="preserve"> </w:t>
      </w:r>
      <w:hyperlink r:id="rId129" w:history="1">
        <w:r w:rsidR="00A02692" w:rsidRPr="00A10245">
          <w:t>Jessica Tokunaga</w:t>
        </w:r>
      </w:hyperlink>
      <w:r w:rsidR="00A02692" w:rsidRPr="00A10245">
        <w:t>, (2015) "Sexuality education: implications for health, equity, and social justice in the United States",</w:t>
      </w:r>
      <w:r w:rsidR="00A02692">
        <w:t xml:space="preserve"> </w:t>
      </w:r>
      <w:r w:rsidR="00A02692" w:rsidRPr="00A10245">
        <w:t>Health Education, Vol. 115 Issue: 1, pp.105-120,</w:t>
      </w:r>
      <w:r w:rsidR="00A02692">
        <w:t xml:space="preserve"> </w:t>
      </w:r>
      <w:hyperlink r:id="rId130" w:history="1">
        <w:r w:rsidR="00A02692" w:rsidRPr="00A10245">
          <w:t>https://doi-org.ezproxy.lib.utexas.edu/10.1108/HE-01-2014-0001</w:t>
        </w:r>
      </w:hyperlink>
      <w:r w:rsidR="00A02692">
        <w:t xml:space="preserve">. SPS] </w:t>
      </w:r>
    </w:p>
    <w:p w:rsidR="00A02692" w:rsidRPr="003442DF" w:rsidRDefault="00A02692" w:rsidP="00A02692">
      <w:pPr>
        <w:rPr>
          <w:rStyle w:val="StyleUnderline"/>
        </w:rPr>
      </w:pPr>
      <w:r w:rsidRPr="003442DF">
        <w:rPr>
          <w:rStyle w:val="StyleUnderline"/>
        </w:rPr>
        <w:t>Two useful</w:t>
      </w:r>
      <w:r w:rsidRPr="003442DF">
        <w:t xml:space="preserve"> theoretical and practical (not that these two features are neatly separable) </w:t>
      </w:r>
      <w:r w:rsidRPr="003442DF">
        <w:rPr>
          <w:rStyle w:val="StyleUnderline"/>
        </w:rPr>
        <w:t>interventions in education</w:t>
      </w:r>
      <w:r w:rsidRPr="003442DF">
        <w:t xml:space="preserve"> that can be leveraged as we re-envision sexuality education </w:t>
      </w:r>
      <w:r w:rsidRPr="003442DF">
        <w:rPr>
          <w:rStyle w:val="StyleUnderline"/>
        </w:rPr>
        <w:t>are critical pedagogy and anti-oppressive education.</w:t>
      </w:r>
      <w:r w:rsidRPr="003442DF">
        <w:t xml:space="preserve"> Ira Shor, a major figure in critical pedagogy, sums up the tenets of </w:t>
      </w:r>
      <w:r w:rsidRPr="003442DF">
        <w:rPr>
          <w:rStyle w:val="StyleUnderline"/>
        </w:rPr>
        <w:t>critical pedagogy</w:t>
      </w:r>
      <w:r w:rsidRPr="003442DF">
        <w:t xml:space="preserve"> rather well by stating </w:t>
      </w:r>
      <w:r w:rsidRPr="003442DF">
        <w:rPr>
          <w:rStyle w:val="StyleUnderline"/>
        </w:rPr>
        <w:t>it involves “habits of thought, reading, writing, and speaking which go beneath surface meaning, first impressions, dominant myths, official pronouncements, traditional clichés,</w:t>
      </w:r>
      <w:r w:rsidRPr="003442DF">
        <w:t xml:space="preserve"> received wisdom, and mere opinions, </w:t>
      </w:r>
      <w:r w:rsidRPr="003442DF">
        <w:rPr>
          <w:rStyle w:val="StyleUnderline"/>
        </w:rPr>
        <w:t>to understand the deep meaning, root causes, social context, ideology, and personal consequences of any action, event, object, process</w:t>
      </w:r>
      <w:r w:rsidRPr="003442DF">
        <w:t xml:space="preserve">, organization, experience, text, subject matter, policy, mass media, or discourse” (Shor, 1992, p. 129). </w:t>
      </w:r>
      <w:r w:rsidRPr="003442DF">
        <w:rPr>
          <w:rStyle w:val="StyleUnderline"/>
        </w:rPr>
        <w:t>In the context of sexuality education, critical pedagogy would necessarily involve a democratic process of engaging in a critical appraisal of many aspects of the curriculum</w:t>
      </w:r>
      <w:r w:rsidRPr="003442DF">
        <w:t xml:space="preserve"> (e.g. the basis of a </w:t>
      </w:r>
      <w:proofErr w:type="spellStart"/>
      <w:r w:rsidRPr="003442DF">
        <w:t>biomedicalized</w:t>
      </w:r>
      <w:proofErr w:type="spellEnd"/>
      <w:r w:rsidRPr="003442DF">
        <w:t xml:space="preserve"> curriculum, a critical examination of whose “facts” have been represented in sexuality education and how those facts end up impacting individuals’ lived experiences, an analysis of who has been silenced in the process of carrying out conventional sexuality education efforts, etc.). In many ways, following </w:t>
      </w:r>
      <w:r w:rsidRPr="003442DF">
        <w:rPr>
          <w:rStyle w:val="StyleUnderline"/>
        </w:rPr>
        <w:t>a critical pedagogy approach would allow sexuality education curricula and practices to be “turned upside down” and “inside out” in the interest of exposing the ideologies of the curriculum; understanding the personal and social implications for the curriculum; creating a learning atmosphere in which students can learn about, and engage in, (sexual) health promotion both for themselves and for the communities in which they are a part. This means that students would be guided to question long-held facts or “truths” about sexuality and then engage in a critical acquisition of sexual knowledge. The definition of “sex” can be used as an example of how sexuality education students can be guided through critical inquiry</w:t>
      </w:r>
      <w:r w:rsidRPr="003442DF">
        <w:t xml:space="preserve">. For instance, most students learn in the context of a biological science course or health education unit that “sex” is defined as “either of the two major forms that occur in many living things and are designated male or female according to their role in reproduction” (The Merriam-Webster Dictionary, 1998, p. 477). This can be viewed as problematic. For instance, the prominent Brown University biologist Anne Fausto-Sterling (1993) proposes that there are five sexes, not just two, as commonly believed, and </w:t>
      </w:r>
      <w:r w:rsidRPr="003442DF">
        <w:rPr>
          <w:rStyle w:val="StyleUnderline"/>
        </w:rPr>
        <w:t>challenges the binary gender system that is often unthinkingly accepted in US society and perpetuated in sexuality education curricula</w:t>
      </w:r>
      <w:r w:rsidRPr="003442DF">
        <w:t xml:space="preserve">. Fausto-Sterling also makes the point that there are biological variations among males and females. In other words, it is not as simple as categorizing individuals as either in one camp or the other. </w:t>
      </w:r>
      <w:r w:rsidRPr="003442DF">
        <w:rPr>
          <w:rStyle w:val="StyleUnderline"/>
        </w:rPr>
        <w:t xml:space="preserve">Most individuals know about intersex individuals, yet there seems to be an investment in espousing the binary system in which people think about humans and other animals as inhabiting either male or female bodies. Our tightly held notion of “opposite sex” is another way we reproduce and reify this fictitious binary. The repetitious unreflective use of “opposite sex” and ensuing actions have implications for equity, social justice and health. There is a presumed heterosexuality and a privileging of reproductive sexuality </w:t>
      </w:r>
      <w:r w:rsidRPr="003442DF">
        <w:t xml:space="preserve">within marriage. </w:t>
      </w:r>
      <w:r w:rsidRPr="003442DF">
        <w:rPr>
          <w:rStyle w:val="StyleUnderline"/>
        </w:rPr>
        <w:t xml:space="preserve">The binary system makes it easier to categorize individuals and create hierarchies. </w:t>
      </w:r>
      <w:r w:rsidRPr="003442DF">
        <w:t xml:space="preserve">Sexism is a good example of how a whole group of people (i.e. girls and women) have been oppressed and relegated to second-class status and suffer − more or less depending on other social signifiers − all of the educational, financial, social and health implications. </w:t>
      </w:r>
      <w:r w:rsidRPr="003442DF">
        <w:rPr>
          <w:rStyle w:val="StyleUnderline"/>
        </w:rPr>
        <w:t>It is these kinds of foundational issues that need to be taught from a critical pedagogical perspective to begin to unearth and undo some of the harmful aspects of what have become mainstays in school-based sexuality education. In the words of bell hooks, “critical pedagogy encompasses all the areas of study that aim to redress biases that have informed ways of teaching and knowing in our society ever since the first public school opened”</w:t>
      </w:r>
      <w:r w:rsidRPr="003442DF">
        <w:t xml:space="preserve"> (Hooks, 2010, p. 23). Besides the example of the implications of exploring “sex” </w:t>
      </w:r>
      <w:proofErr w:type="spellStart"/>
      <w:r w:rsidRPr="003442DF">
        <w:t>froma</w:t>
      </w:r>
      <w:proofErr w:type="spellEnd"/>
      <w:r w:rsidRPr="003442DF">
        <w:t xml:space="preserve"> critical perspective, </w:t>
      </w:r>
      <w:r w:rsidRPr="003442DF">
        <w:rPr>
          <w:rStyle w:val="StyleUnderline"/>
        </w:rPr>
        <w:t>teachers and students can interrogate the status quo of sexuality education including specific lessons that focus on privileging certain forms of sexuality (e.g. middle-class, white heterosexuality involving able-bodied individuals</w:t>
      </w:r>
      <w:r w:rsidRPr="003442DF">
        <w:t xml:space="preserve">); </w:t>
      </w:r>
      <w:r w:rsidRPr="003442DF">
        <w:rPr>
          <w:rStyle w:val="StyleUnderline"/>
        </w:rPr>
        <w:t>a discourse of danger and disease connected with sexual activity; and anti-pleasure messages. Critical pedagogy can be a useful pedagogical tool to encourage teachers and students to engage in meaningful analyses to mark the assumptions, inequities, and harmful aspects of school-based sexuality education and provide a corrective educational experience.</w:t>
      </w:r>
      <w:r w:rsidRPr="003442DF">
        <w:t xml:space="preserve"> Anti-oppressive education </w:t>
      </w:r>
      <w:r w:rsidRPr="003442DF">
        <w:rPr>
          <w:rStyle w:val="StyleUnderline"/>
        </w:rPr>
        <w:t>Anti-oppressive education is an approach to understand and undo the inequitable and oppressive aspects of schooling</w:t>
      </w:r>
      <w:r w:rsidRPr="003442DF">
        <w:t xml:space="preserve">. In his seminal article, </w:t>
      </w:r>
      <w:proofErr w:type="spellStart"/>
      <w:r w:rsidRPr="003442DF">
        <w:t>Kumashiro</w:t>
      </w:r>
      <w:proofErr w:type="spellEnd"/>
      <w:r w:rsidRPr="003442DF">
        <w:t xml:space="preserve"> (2000) characterizes anti-oppressive education as “[…] </w:t>
      </w:r>
      <w:r w:rsidRPr="003442DF">
        <w:rPr>
          <w:rStyle w:val="StyleUnderline"/>
        </w:rPr>
        <w:t>an attempt to address the myriad ways in which racism, classism, sexism, heterosexism, and other forms of oppression play out in schools, educators and educational researchers have engaged in two types of projects: understanding the dynamics of oppression and articulating ways of working against it</w:t>
      </w:r>
      <w:r w:rsidRPr="003442DF">
        <w:t>” (</w:t>
      </w:r>
      <w:proofErr w:type="spellStart"/>
      <w:r w:rsidRPr="003442DF">
        <w:t>Kumashiro</w:t>
      </w:r>
      <w:proofErr w:type="spellEnd"/>
      <w:r w:rsidRPr="003442DF">
        <w:t xml:space="preserve">, 2000, p. 25). Oppression happens when individuals and/or communities are </w:t>
      </w:r>
      <w:proofErr w:type="spellStart"/>
      <w:r w:rsidRPr="003442DF">
        <w:t>othered</w:t>
      </w:r>
      <w:proofErr w:type="spellEnd"/>
      <w:r w:rsidRPr="003442DF">
        <w:t xml:space="preserve"> (i.e. marginalized in some way as “other” than the accepted norm). </w:t>
      </w:r>
      <w:r w:rsidRPr="003442DF">
        <w:rPr>
          <w:rStyle w:val="StyleUnderline"/>
        </w:rPr>
        <w:t xml:space="preserve">Given what we know about how sexuality education has been taught in schools, there have been systematic and ongoing ways in which individuals, communities, and sexualities have been </w:t>
      </w:r>
      <w:proofErr w:type="spellStart"/>
      <w:r w:rsidRPr="003442DF">
        <w:rPr>
          <w:rStyle w:val="StyleUnderline"/>
        </w:rPr>
        <w:t>othered</w:t>
      </w:r>
      <w:proofErr w:type="spellEnd"/>
      <w:r w:rsidRPr="003442DF">
        <w:rPr>
          <w:rStyle w:val="StyleUnderline"/>
        </w:rPr>
        <w:t xml:space="preserve">. </w:t>
      </w:r>
      <w:r w:rsidRPr="003442DF">
        <w:t>For example, and as mentioned earlier</w:t>
      </w:r>
      <w:r w:rsidRPr="003442DF">
        <w:rPr>
          <w:rStyle w:val="StyleUnderline"/>
        </w:rPr>
        <w:t xml:space="preserve">, youth of color, disabled youth, and LGBTQ youth continue to be </w:t>
      </w:r>
      <w:proofErr w:type="spellStart"/>
      <w:r w:rsidRPr="003442DF">
        <w:rPr>
          <w:rStyle w:val="StyleUnderline"/>
        </w:rPr>
        <w:t>othered</w:t>
      </w:r>
      <w:proofErr w:type="spellEnd"/>
      <w:r w:rsidRPr="003442DF">
        <w:rPr>
          <w:rStyle w:val="StyleUnderline"/>
        </w:rPr>
        <w:t>. Further groups include those who do not fit the expected norm, such as young women who show sexual interests and students who have an openly positive view of sexuality.</w:t>
      </w:r>
      <w:r w:rsidRPr="003442DF">
        <w:t xml:space="preserve"> </w:t>
      </w:r>
      <w:proofErr w:type="spellStart"/>
      <w:r w:rsidRPr="003442DF">
        <w:t>Kumashiro</w:t>
      </w:r>
      <w:proofErr w:type="spellEnd"/>
      <w:r w:rsidRPr="003442DF">
        <w:t xml:space="preserve"> (2000) provides a useful framework with four modes of educational action that can help address oppression in schools. Specifically, he suggests that there be education for the other; education about the other; education that is critical of privileging and othering; and education that changes students and society. Creating (socio-sexual) health promotion through sexuality education </w:t>
      </w:r>
      <w:proofErr w:type="spellStart"/>
      <w:r w:rsidRPr="003442DF">
        <w:t>Section:Previous</w:t>
      </w:r>
      <w:proofErr w:type="spellEnd"/>
      <w:r w:rsidRPr="003442DF">
        <w:t xml:space="preserve"> </w:t>
      </w:r>
      <w:proofErr w:type="spellStart"/>
      <w:r w:rsidRPr="003442DF">
        <w:t>sectionNext</w:t>
      </w:r>
      <w:proofErr w:type="spellEnd"/>
      <w:r w:rsidRPr="003442DF">
        <w:t xml:space="preserve"> section </w:t>
      </w:r>
      <w:r w:rsidRPr="003442DF">
        <w:rPr>
          <w:rStyle w:val="StyleUnderline"/>
        </w:rPr>
        <w:t>Our analysis above demonstrates the alarming extent to which much of school-based sexuality education is likely to be health degrading rather than health promoting due to such aspects as perpetuating heteronormativity and overlooking LGBTQ, racial and disability issues related to sexuality.</w:t>
      </w:r>
      <w:r w:rsidRPr="003442DF">
        <w:t xml:space="preserve"> In contrast, </w:t>
      </w:r>
      <w:r w:rsidRPr="003442DF">
        <w:rPr>
          <w:rStyle w:val="StyleUnderline"/>
        </w:rPr>
        <w:t>a multifaceted approach to sexuality education in the schools is necessary to improve the (socio-sexual) health of youth. The first and foremost consideration is to view sexual health broadly. A more holistic view of sexual health ought to be considered rather than simply disease prevention on the physical realm.</w:t>
      </w:r>
      <w:r w:rsidRPr="003442DF">
        <w:t xml:space="preserve"> Even going beyond the World Health Organization’s definition of sexual health, which encompasses physical, social, and emotional sexual well-being (World Health Organization, 2014), it is important to add intellectual and spiritual aspects of sexual health. The following are brief examples of aspects that might fall within some of the less well-trodden categories of sexual health: social sexual health − social connectedness with family, friends, and community related to one’s and others ‘sexuality; emotional sexual health − feeling fulfilled, safe, and secure about one’s sexuality; spiritual sexual health − feelings of contentment about various aspects of one’s sexuality and how they align with one’s spiritual and/or religious affiliations and practices; and intellectual sexual health − curiosity about one’s sexuality, learning about sexuality. </w:t>
      </w:r>
      <w:r w:rsidRPr="003442DF">
        <w:rPr>
          <w:rStyle w:val="StyleUnderline"/>
        </w:rPr>
        <w:t>The sexual health of the individual falls on a continuum and is dynamic depending upon circumstances. The aim of school-based sexuality education could be to increase students’ sexual health in all categories. However, unless both critical pedagogy and anti-oppressive education efforts are deployed in earnest, such efforts will be severely compromised and relatively ineffective given that the foundations of school-based sexuality education are so fundamentally flawed</w:t>
      </w:r>
      <w:r w:rsidRPr="003442DF">
        <w:t xml:space="preserve">. Conclusion </w:t>
      </w:r>
      <w:proofErr w:type="spellStart"/>
      <w:r w:rsidRPr="003442DF">
        <w:t>Section:Previous</w:t>
      </w:r>
      <w:proofErr w:type="spellEnd"/>
      <w:r w:rsidRPr="003442DF">
        <w:t xml:space="preserve"> </w:t>
      </w:r>
      <w:proofErr w:type="spellStart"/>
      <w:r w:rsidRPr="003442DF">
        <w:t>sectionNext</w:t>
      </w:r>
      <w:proofErr w:type="spellEnd"/>
      <w:r w:rsidRPr="003442DF">
        <w:t xml:space="preserve"> section </w:t>
      </w:r>
      <w:r w:rsidRPr="003442DF">
        <w:rPr>
          <w:rStyle w:val="StyleUnderline"/>
        </w:rPr>
        <w:t>The history of school-based sexuality education and the analysis of current major sexuality education efforts in the USA reveal significant areas in need of improvement so that sexuality education will promote students’ sexual health</w:t>
      </w:r>
      <w:r w:rsidRPr="003442DF">
        <w:t xml:space="preserve"> (e.g. along physical, social, emotional, intellectual, and spiritual lines). For this to be successful, </w:t>
      </w:r>
      <w:r w:rsidRPr="003442DF">
        <w:rPr>
          <w:rStyle w:val="StyleUnderline"/>
        </w:rPr>
        <w:t xml:space="preserve">several structural issues need to be remedied. </w:t>
      </w:r>
      <w:r w:rsidRPr="003442DF">
        <w:t xml:space="preserve">Perhaps the very first step is for school administrators, teachers, parents, and students to do an honest assessment of which categories of individuals (according to their sexuality) and forms of sexualities and genders get privileged and which get denigrated in the educational experience. </w:t>
      </w:r>
      <w:r w:rsidRPr="003442DF">
        <w:rPr>
          <w:rStyle w:val="StyleUnderline"/>
        </w:rPr>
        <w:t>Heteronormativity (and sex negativity) with all of its trappings regarding sexual and gender behaviors needs to be neutralized. Integrating LGBTQ, racial/ethnic, and disability studies into the sexuality education curriculum is of paramount importance. We suggest using critical pedagogy and anti-oppressive education concepts as a guide for major reform efforts. All this is not about “adding things on” to an already troubled curriculum, but truly integrating curricular materials, methods, activities, personnel, materials, and resources to offer the students the very best sexuality education possible in the interest of enhancing the quality of their sexual health.</w:t>
      </w:r>
    </w:p>
    <w:p w:rsidR="00A02692" w:rsidRDefault="00A02692" w:rsidP="00A02692">
      <w:pPr>
        <w:pStyle w:val="Heading4"/>
      </w:pPr>
      <w:r>
        <w:t xml:space="preserve">Inclusive frameworks for sexual education should incorporate concepts of desire that challenge the state and the religious right’s attempts to shape educational policy. Rather than move away from the state and giving up on sexual education, we should engage in a politics of wanting that demands publicly subsidized educational, social, and interpersonal opportunities for youth. An interrogation into the way the state intersects with sexual bodies is essential to critical thinking and political action, schools and the policies that shape them are a critical starting point. </w:t>
      </w:r>
    </w:p>
    <w:p w:rsidR="00A02692" w:rsidRPr="000812BD" w:rsidRDefault="00A02692" w:rsidP="00A02692">
      <w:r>
        <w:rPr>
          <w:rStyle w:val="Style13ptBold"/>
        </w:rPr>
        <w:t xml:space="preserve">Fine and McClelland 2006 </w:t>
      </w:r>
      <w:r w:rsidRPr="00AB1D31">
        <w:t xml:space="preserve">[MICHELLE FINE and SARA </w:t>
      </w:r>
      <w:proofErr w:type="spellStart"/>
      <w:r w:rsidRPr="00AB1D31">
        <w:t>McCLELLAND</w:t>
      </w:r>
      <w:proofErr w:type="spellEnd"/>
      <w:r w:rsidRPr="00AB1D31">
        <w:t> (2006) Sexuality Education and Desire: Still Missing after All These Years. Harvard Educational Review: September 2006, Vol. 76, No. 3, pp. 297-338.</w:t>
      </w:r>
      <w:r>
        <w:t xml:space="preserve"> SPS.</w:t>
      </w:r>
      <w:r w:rsidRPr="00AB1D31">
        <w:t>]</w:t>
      </w:r>
    </w:p>
    <w:p w:rsidR="00A02692" w:rsidRPr="003442DF" w:rsidRDefault="00A02692" w:rsidP="00A02692">
      <w:pPr>
        <w:rPr>
          <w:rStyle w:val="StyleUnderline"/>
        </w:rPr>
      </w:pPr>
      <w:r w:rsidRPr="003442DF">
        <w:rPr>
          <w:rStyle w:val="StyleUnderline"/>
        </w:rPr>
        <w:t>Thick desire places sexual activity for all people, regardless of age or gender, within a larger context of social and interpersonal structures that enable a person to engage in the political act of wanting. Wanting</w:t>
      </w:r>
      <w:r w:rsidRPr="003442DF">
        <w:rPr>
          <w:sz w:val="14"/>
        </w:rPr>
        <w:t xml:space="preserve"> can be interpreted in any number of ways, but it </w:t>
      </w:r>
      <w:r w:rsidRPr="003442DF">
        <w:rPr>
          <w:rStyle w:val="StyleUnderline"/>
        </w:rPr>
        <w:t>necessarily positions a young person as feeling entitled to that which comes in the future. It includes wanting to have unhindered access to structural and institutional supports, such as education, health care, and protection from coercion</w:t>
      </w:r>
      <w:r w:rsidRPr="003442DF">
        <w:rPr>
          <w:sz w:val="14"/>
        </w:rPr>
        <w:t xml:space="preserve">. </w:t>
      </w:r>
      <w:r w:rsidRPr="003442DF">
        <w:rPr>
          <w:rStyle w:val="StyleUnderline"/>
        </w:rPr>
        <w:t>With wanting securely in place and thick desire as an organizing frame, it is possible to theorize about young women’s sexual and reproductive freedoms not</w:t>
      </w:r>
      <w:r w:rsidRPr="003442DF">
        <w:rPr>
          <w:sz w:val="14"/>
        </w:rPr>
        <w:t xml:space="preserve"> merely </w:t>
      </w:r>
      <w:r w:rsidRPr="003442DF">
        <w:rPr>
          <w:rStyle w:val="StyleUnderline"/>
        </w:rPr>
        <w:t>from a perspective of</w:t>
      </w:r>
      <w:r w:rsidRPr="003442DF">
        <w:rPr>
          <w:sz w:val="14"/>
        </w:rPr>
        <w:t xml:space="preserve"> minimal </w:t>
      </w:r>
      <w:r w:rsidRPr="003442DF">
        <w:rPr>
          <w:rStyle w:val="StyleUnderline"/>
        </w:rPr>
        <w:t>loss,</w:t>
      </w:r>
      <w:r w:rsidRPr="003442DF">
        <w:rPr>
          <w:sz w:val="14"/>
        </w:rPr>
        <w:t xml:space="preserve"> but </w:t>
      </w:r>
      <w:r w:rsidRPr="003442DF">
        <w:rPr>
          <w:rStyle w:val="StyleUnderline"/>
        </w:rPr>
        <w:t>from a perspective that sees them as entitled to desire in all of its forms; entitled to publicly funded enabling conditions across racial, ethnic, class, sexual, geographic, and disability lines.</w:t>
      </w:r>
      <w:r w:rsidRPr="003442DF">
        <w:rPr>
          <w:sz w:val="14"/>
        </w:rPr>
        <w:t xml:space="preserve"> </w:t>
      </w:r>
      <w:r w:rsidRPr="003442DF">
        <w:rPr>
          <w:rStyle w:val="StyleUnderline"/>
        </w:rPr>
        <w:t>This essay has interrogated two kinds of desire: the unbridled desire of the state and the religious Right to re-create public education in their own image, and the thick desire of youth to create lives filled with educational and economic opportunity, free of violence, and protected by knowledge of and resources for sexual and reproductive health.</w:t>
      </w:r>
      <w:r w:rsidRPr="003442DF">
        <w:rPr>
          <w:sz w:val="14"/>
        </w:rPr>
        <w:t xml:space="preserve"> </w:t>
      </w:r>
      <w:r w:rsidRPr="003442DF">
        <w:rPr>
          <w:rStyle w:val="StyleUnderline"/>
        </w:rPr>
        <w:t>We have documented</w:t>
      </w:r>
      <w:r w:rsidRPr="003442DF">
        <w:rPr>
          <w:sz w:val="14"/>
        </w:rPr>
        <w:t xml:space="preserve"> </w:t>
      </w:r>
      <w:r w:rsidRPr="003442DF">
        <w:rPr>
          <w:rStyle w:val="StyleUnderline"/>
        </w:rPr>
        <w:t>the geographic spread of the religious Right in terms of policy incursions into many of the “private” sites where young women and men seek</w:t>
      </w:r>
      <w:r w:rsidRPr="003442DF">
        <w:rPr>
          <w:sz w:val="14"/>
        </w:rPr>
        <w:t xml:space="preserve"> assistance, resources, and support for </w:t>
      </w:r>
      <w:r w:rsidRPr="003442DF">
        <w:rPr>
          <w:rStyle w:val="StyleUnderline"/>
        </w:rPr>
        <w:t>healthy sexual development</w:t>
      </w:r>
      <w:r w:rsidRPr="003442DF">
        <w:rPr>
          <w:sz w:val="14"/>
        </w:rPr>
        <w:t xml:space="preserve">. And </w:t>
      </w:r>
      <w:r w:rsidRPr="003442DF">
        <w:rPr>
          <w:rStyle w:val="StyleUnderline"/>
        </w:rPr>
        <w:t>yet</w:t>
      </w:r>
      <w:r w:rsidRPr="003442DF">
        <w:rPr>
          <w:sz w:val="14"/>
        </w:rPr>
        <w:t xml:space="preserve">, more importantly, we want to leave the reader with a sense of how we might educate and research with the recognition that </w:t>
      </w:r>
      <w:r w:rsidRPr="003442DF">
        <w:rPr>
          <w:rStyle w:val="StyleUnderline"/>
        </w:rPr>
        <w:t>young minds, souls, and bodies desire broadly, in areas that are economic, educational</w:t>
      </w:r>
      <w:r w:rsidRPr="003442DF">
        <w:rPr>
          <w:sz w:val="14"/>
        </w:rPr>
        <w:t xml:space="preserve">, health-minded, </w:t>
      </w:r>
      <w:r w:rsidRPr="003442DF">
        <w:rPr>
          <w:rStyle w:val="StyleUnderline"/>
        </w:rPr>
        <w:t>and, indeed, sexual</w:t>
      </w:r>
      <w:r w:rsidRPr="003442DF">
        <w:rPr>
          <w:sz w:val="14"/>
        </w:rPr>
        <w:t>. That is, young people carry thick desires for a tomorrow of meaning, hoping for rich enabling contexts where they can feed these desires in conversation with peers and elders (</w:t>
      </w:r>
      <w:proofErr w:type="spellStart"/>
      <w:r w:rsidRPr="003442DF">
        <w:rPr>
          <w:sz w:val="14"/>
        </w:rPr>
        <w:t>Chavkin</w:t>
      </w:r>
      <w:proofErr w:type="spellEnd"/>
      <w:r w:rsidRPr="003442DF">
        <w:rPr>
          <w:sz w:val="14"/>
        </w:rPr>
        <w:t xml:space="preserve"> &amp; </w:t>
      </w:r>
      <w:proofErr w:type="spellStart"/>
      <w:r w:rsidRPr="003442DF">
        <w:rPr>
          <w:sz w:val="14"/>
        </w:rPr>
        <w:t>Chesler</w:t>
      </w:r>
      <w:proofErr w:type="spellEnd"/>
      <w:r w:rsidRPr="003442DF">
        <w:rPr>
          <w:sz w:val="14"/>
        </w:rPr>
        <w:t xml:space="preserve">, 2005; Diamond, 2000; Levine, 2002; </w:t>
      </w:r>
      <w:proofErr w:type="spellStart"/>
      <w:r w:rsidRPr="003442DF">
        <w:rPr>
          <w:sz w:val="14"/>
        </w:rPr>
        <w:t>Lipman</w:t>
      </w:r>
      <w:proofErr w:type="spellEnd"/>
      <w:r w:rsidRPr="003442DF">
        <w:rPr>
          <w:sz w:val="14"/>
        </w:rPr>
        <w:t xml:space="preserve">, 2005; Rose, 2003; Santelli et al., 2006a; </w:t>
      </w:r>
      <w:proofErr w:type="spellStart"/>
      <w:r w:rsidRPr="003442DF">
        <w:rPr>
          <w:sz w:val="14"/>
        </w:rPr>
        <w:t>Tolman</w:t>
      </w:r>
      <w:proofErr w:type="spellEnd"/>
      <w:r w:rsidRPr="003442DF">
        <w:rPr>
          <w:sz w:val="14"/>
        </w:rPr>
        <w:t xml:space="preserve">, 2006). To elaborate on a vision for critical sexuality studies, we argue that </w:t>
      </w:r>
      <w:r w:rsidRPr="003442DF">
        <w:rPr>
          <w:rStyle w:val="StyleUnderline"/>
        </w:rPr>
        <w:t>youth sexuality be theorized about and studied inside a stew of desires for opportunity, community, pleasure, and protection</w:t>
      </w:r>
      <w:r w:rsidRPr="003442DF">
        <w:rPr>
          <w:sz w:val="14"/>
        </w:rPr>
        <w:t xml:space="preserve"> from coercion and danger. </w:t>
      </w:r>
      <w:r w:rsidRPr="003442DF">
        <w:rPr>
          <w:rStyle w:val="StyleUnderline"/>
        </w:rPr>
        <w:t>Adolescents need good schools, health-care, and freedom from violence (structural, institutional, family, and intimate) in order to develop healthy sexual subjectivities.</w:t>
      </w:r>
      <w:r w:rsidRPr="003442DF">
        <w:rPr>
          <w:sz w:val="14"/>
        </w:rPr>
        <w:t xml:space="preserve"> Given this frame, </w:t>
      </w:r>
      <w:r w:rsidRPr="003442DF">
        <w:rPr>
          <w:rStyle w:val="StyleUnderline"/>
        </w:rPr>
        <w:t xml:space="preserve">sexuality and reproductive struggles must be linked to fights for equity in school finance, civil/queer/feminist/disability rights, health care, school and prison reform, affirmative action, and access to higher education. Economic, social, and corporeal struggles must be linked through the bodies, imaginations, dreams, and demands of young women and men. </w:t>
      </w:r>
      <w:r w:rsidRPr="003442DF">
        <w:rPr>
          <w:sz w:val="14"/>
        </w:rPr>
        <w:t xml:space="preserve">Further, comprehensive sexuality education and youth development must help young women and men navigate across the dialectics of danger and pleasure. </w:t>
      </w:r>
      <w:r w:rsidRPr="003442DF">
        <w:rPr>
          <w:rStyle w:val="StyleUnderline"/>
        </w:rPr>
        <w:t>Risk cannot be severed from pleasure.</w:t>
      </w:r>
      <w:r w:rsidRPr="003442DF">
        <w:rPr>
          <w:sz w:val="14"/>
        </w:rPr>
        <w:t xml:space="preserve"> They are braided, parasitic, nested inside one another. </w:t>
      </w:r>
      <w:r w:rsidRPr="003442DF">
        <w:rPr>
          <w:rStyle w:val="StyleUnderline"/>
        </w:rPr>
        <w:t>An exclusive focus on risk not only alienates, but also distorts the complexity of human relations and sexual desire.</w:t>
      </w:r>
      <w:r w:rsidRPr="003442DF">
        <w:rPr>
          <w:sz w:val="14"/>
        </w:rPr>
        <w:t xml:space="preserve"> </w:t>
      </w:r>
      <w:r w:rsidRPr="003442DF">
        <w:rPr>
          <w:rStyle w:val="StyleUnderline"/>
        </w:rPr>
        <w:t>Therefore, it is naïve to educate for pleasure without attending to risk; but more perverse to imagine that teaching only about risk will transform human behavior.</w:t>
      </w:r>
      <w:r w:rsidRPr="003442DF">
        <w:rPr>
          <w:sz w:val="14"/>
        </w:rPr>
        <w:t xml:space="preserve"> We have also tried to advance, theoretically and methodologically, a framework for thinking through how </w:t>
      </w:r>
      <w:r w:rsidRPr="003442DF">
        <w:rPr>
          <w:rStyle w:val="StyleUnderline"/>
        </w:rPr>
        <w:t>state policy penetrates bodies at embodied intersections.</w:t>
      </w:r>
      <w:r w:rsidRPr="003442DF">
        <w:rPr>
          <w:sz w:val="14"/>
        </w:rPr>
        <w:t xml:space="preserve"> We have tried to model how </w:t>
      </w:r>
      <w:r w:rsidRPr="003442DF">
        <w:rPr>
          <w:rStyle w:val="StyleUnderline"/>
        </w:rPr>
        <w:t>gender intersects with race, ethnicity, class, sexuality, disability,</w:t>
      </w:r>
      <w:r w:rsidRPr="003442DF">
        <w:rPr>
          <w:sz w:val="14"/>
        </w:rPr>
        <w:t xml:space="preserve"> geography, and institutional biographies, and </w:t>
      </w:r>
      <w:r w:rsidRPr="003442DF">
        <w:rPr>
          <w:rStyle w:val="StyleUnderline"/>
        </w:rPr>
        <w:t>to document the disparate impact state laws, public policy, and educational practice have on differentially situated young bodies</w:t>
      </w:r>
      <w:r w:rsidRPr="003442DF">
        <w:rPr>
          <w:sz w:val="14"/>
        </w:rPr>
        <w:t xml:space="preserve">. Whether researchers rely on hierarchical linear modeling or sophisticated narrative analysis or both; whether we study youth in privileged communities or in long-neglected neighborhoods; whether we conduct life histories or delve into the statistical archives of seemingly unrelated public institutions like schools, prisons, and health clinics — </w:t>
      </w:r>
      <w:r w:rsidRPr="003442DF">
        <w:rPr>
          <w:rStyle w:val="StyleUnderline"/>
        </w:rPr>
        <w:t>this article is a call to recognize, study, and document how broadly and deeply state policies slice into the seemingly private lives of very differently situated youth, most particularly those with no private safety net.</w:t>
      </w:r>
      <w:r w:rsidRPr="003442DF">
        <w:rPr>
          <w:sz w:val="14"/>
        </w:rPr>
        <w:t xml:space="preserve"> Turning now to the question of sexuality education, we repeat the words of young people we met from various communities, ranging from those in extreme poverty to those more middle class. When we asked, “What do you need in the way of sexuality education?” young people were clear: “More conversations like this, where we’re asked what we think, what we want to know.” And yet, according to one of the speakers at the Network for Family Life Education conference in New Jersey in 2005, such pedagogical contexts are unfortunately growing extinct: “In sexuality education, talk is becoming a </w:t>
      </w:r>
      <w:proofErr w:type="spellStart"/>
      <w:r w:rsidRPr="003442DF">
        <w:rPr>
          <w:sz w:val="14"/>
        </w:rPr>
        <w:t>fourletter</w:t>
      </w:r>
      <w:proofErr w:type="spellEnd"/>
      <w:r w:rsidRPr="003442DF">
        <w:rPr>
          <w:sz w:val="14"/>
        </w:rPr>
        <w:t xml:space="preserve"> word” (Rodriguez, 2005). </w:t>
      </w:r>
      <w:r w:rsidRPr="003442DF">
        <w:rPr>
          <w:rStyle w:val="StyleUnderline"/>
        </w:rPr>
        <w:t>We are tempted, of course, to argue that the era of comprehensive sexuality education is over in public schools, that educators and youth workers would be better off creating safe spaces for this kind of talk outside of schools</w:t>
      </w:r>
      <w:r w:rsidRPr="003442DF">
        <w:rPr>
          <w:sz w:val="14"/>
        </w:rPr>
        <w:t xml:space="preserve">, in local community centers, churches, synagogues, mosques, LGBTQQ community centers, health clinics, the YMCA, and the Girl Scouts. </w:t>
      </w:r>
      <w:r w:rsidRPr="003442DF">
        <w:rPr>
          <w:rStyle w:val="StyleUnderline"/>
        </w:rPr>
        <w:t xml:space="preserve">While we believe all of this should happen, we are more sure than ever that we cannot abandon schools — the place where all children and youth are required to attend, and attend together; the place where intellectual, political, and personal possibilities are inspired; </w:t>
      </w:r>
      <w:r w:rsidRPr="003442DF">
        <w:rPr>
          <w:rStyle w:val="StyleUnderline"/>
          <w:sz w:val="14"/>
          <w:u w:val="none"/>
        </w:rPr>
        <w:t>where democracy, inquiry, and human rights are supposed to be fundamental.</w:t>
      </w:r>
      <w:r w:rsidRPr="003442DF">
        <w:rPr>
          <w:sz w:val="14"/>
        </w:rPr>
        <w:t xml:space="preserve"> Turning then to schools, we recognize that </w:t>
      </w:r>
      <w:r w:rsidRPr="003442DF">
        <w:rPr>
          <w:rStyle w:val="StyleUnderline"/>
        </w:rPr>
        <w:t>young people spend 30 percent of their day in classrooms; they are one of the most important places for talk, learning, and building skills</w:t>
      </w:r>
      <w:r w:rsidRPr="003442DF">
        <w:rPr>
          <w:sz w:val="14"/>
        </w:rPr>
        <w:t>. The evidence gathered here and confirmed in conversations with educators and youth, suggests that</w:t>
      </w:r>
      <w:r w:rsidRPr="003442DF">
        <w:rPr>
          <w:rStyle w:val="StyleUnderline"/>
        </w:rPr>
        <w:t xml:space="preserve"> schools </w:t>
      </w:r>
      <w:r w:rsidRPr="003442DF">
        <w:rPr>
          <w:sz w:val="14"/>
        </w:rPr>
        <w:t xml:space="preserve">and </w:t>
      </w:r>
      <w:proofErr w:type="spellStart"/>
      <w:r w:rsidRPr="003442DF">
        <w:rPr>
          <w:sz w:val="14"/>
        </w:rPr>
        <w:t>schoolbased</w:t>
      </w:r>
      <w:proofErr w:type="spellEnd"/>
      <w:r w:rsidRPr="003442DF">
        <w:rPr>
          <w:sz w:val="14"/>
        </w:rPr>
        <w:t xml:space="preserve"> health clinics (see </w:t>
      </w:r>
      <w:proofErr w:type="spellStart"/>
      <w:r w:rsidRPr="003442DF">
        <w:rPr>
          <w:sz w:val="14"/>
        </w:rPr>
        <w:t>Geierstanger</w:t>
      </w:r>
      <w:proofErr w:type="spellEnd"/>
      <w:r w:rsidRPr="003442DF">
        <w:rPr>
          <w:sz w:val="14"/>
        </w:rPr>
        <w:t xml:space="preserve"> &amp; Amaral, 2005) </w:t>
      </w:r>
      <w:r w:rsidRPr="003442DF">
        <w:rPr>
          <w:rStyle w:val="StyleUnderline"/>
        </w:rPr>
        <w:t>are precisely the places where young people can be engaged in</w:t>
      </w:r>
      <w:r w:rsidRPr="003442DF">
        <w:rPr>
          <w:sz w:val="14"/>
        </w:rPr>
        <w:t xml:space="preserve"> safe, </w:t>
      </w:r>
      <w:r w:rsidRPr="003442DF">
        <w:rPr>
          <w:rStyle w:val="StyleUnderline"/>
        </w:rPr>
        <w:t>critical talk about bodies, sexuality, relationships, violence, contraception, abortion, disability rights, LGBTQQ struggles, gender equality, and sexuality</w:t>
      </w:r>
      <w:r w:rsidRPr="003442DF">
        <w:rPr>
          <w:sz w:val="14"/>
        </w:rPr>
        <w:t xml:space="preserve"> as a human right. In language arts, history, science, math, and in courses on the visual and performing arts, </w:t>
      </w:r>
      <w:r w:rsidRPr="003442DF">
        <w:rPr>
          <w:rStyle w:val="StyleUnderline"/>
        </w:rPr>
        <w:t>young people can learn the skills of critical inquiry and democratic engagement, the power of dissent and action on one’s own behalf and for a larger political project.</w:t>
      </w:r>
      <w:r w:rsidRPr="003442DF">
        <w:rPr>
          <w:sz w:val="14"/>
        </w:rPr>
        <w:t xml:space="preserve"> Young people need to develop skills for finding key pieces of information and resources; building trusting relations with peers, adults, and professionals; speaking publicly for social justice (see </w:t>
      </w:r>
      <w:proofErr w:type="spellStart"/>
      <w:r w:rsidRPr="003442DF">
        <w:rPr>
          <w:sz w:val="14"/>
        </w:rPr>
        <w:t>Rogow</w:t>
      </w:r>
      <w:proofErr w:type="spellEnd"/>
      <w:r w:rsidRPr="003442DF">
        <w:rPr>
          <w:sz w:val="14"/>
        </w:rPr>
        <w:t xml:space="preserve"> &amp; </w:t>
      </w:r>
      <w:proofErr w:type="spellStart"/>
      <w:r w:rsidRPr="003442DF">
        <w:rPr>
          <w:sz w:val="14"/>
        </w:rPr>
        <w:t>Haberland</w:t>
      </w:r>
      <w:proofErr w:type="spellEnd"/>
      <w:r w:rsidRPr="003442DF">
        <w:rPr>
          <w:sz w:val="14"/>
        </w:rPr>
        <w:t xml:space="preserve">, 2005). Though we take the question of skill seriously, we are concerned that the definition of skill within AOUM policies has atrophied. </w:t>
      </w:r>
      <w:r w:rsidRPr="003442DF">
        <w:rPr>
          <w:rStyle w:val="StyleUnderline"/>
        </w:rPr>
        <w:t xml:space="preserve">Skills to express political and sexual agency are just the kind of muscles young people need to develop in order to undertake critical analysis, </w:t>
      </w:r>
      <w:r w:rsidRPr="003442DF">
        <w:rPr>
          <w:sz w:val="14"/>
        </w:rPr>
        <w:t xml:space="preserve">trusting conversation, and help-seeking, and finally, </w:t>
      </w:r>
      <w:r w:rsidRPr="003442DF">
        <w:rPr>
          <w:rStyle w:val="StyleUnderline"/>
        </w:rPr>
        <w:t>to negotiate risk and pursue pleasure.</w:t>
      </w:r>
      <w:r w:rsidRPr="003442DF">
        <w:rPr>
          <w:sz w:val="14"/>
        </w:rPr>
        <w:t xml:space="preserve"> </w:t>
      </w:r>
      <w:r w:rsidRPr="003442DF">
        <w:rPr>
          <w:rStyle w:val="StyleUnderline"/>
        </w:rPr>
        <w:t>Having skills merely to say no does not help young people make tough decisions, but instead simply drains decision-making from them and places them in the hands of more powerful others — the state, the media, advertisements, a partner, abuser, or predator.</w:t>
      </w:r>
      <w:r w:rsidRPr="003442DF">
        <w:rPr>
          <w:sz w:val="14"/>
        </w:rPr>
        <w:t xml:space="preserve"> The echoes of lost skill reverberate for a lifetime in the student — we see the loss when a student is afraid to speak to a teacher or health practitioner or pharmacist about contraception or an STD; when he feels afraid to use a condom because he learned it will probably fail; when she finds herself not knowing that she is entitled to pleasure or to resist aggression; when she or he tries to find an identity as a lesbian, gay man, or transgendered person in a sea of “silver rings” (see Alwyn, 2004 for description of the “Silver Ring Thing,” a Christian abstinence group which encourages the use of silver rings to signify young people’s pledges of abstinence until marriage) and promises of sexual bliss in the confines of marriage. One young woman in a high school focus group explained to us, “I do not want to have sex until I am married. So I don’t really need these conversations.” Later in the group she spoke again, a bit less calm and detached, “But, when I am ready, where will I learn about contraception or even about what might feel good for me? Where will I learn about sexuality after high school? Will it magically happen when I marry?” Denied sexuality education, she will likely lack the knowledge, sense of entitlement, and skills to find out in the future what she doesn’t know but needs to. It is important to note that </w:t>
      </w:r>
      <w:r w:rsidRPr="003442DF">
        <w:rPr>
          <w:rStyle w:val="StyleUnderline"/>
        </w:rPr>
        <w:t>sexuality education is the only academic content area that is taught as if the knowledge gained in the classroom is meant to exclusively serve the young person’s present situation</w:t>
      </w:r>
      <w:r w:rsidRPr="003442DF">
        <w:rPr>
          <w:sz w:val="14"/>
        </w:rPr>
        <w:t xml:space="preserve">. In an editorial in the journal Contraception, a group of physicians and medical researchers wrote, “School is intended to prepare young people with skills they need for the future. There is no controversy about good math education even though few teens have a compelling need for algebra in their daily lives” (Stewart, Shields, &amp; Hwang, 2004, p. 345). </w:t>
      </w:r>
      <w:r w:rsidRPr="003442DF">
        <w:rPr>
          <w:rStyle w:val="StyleUnderline"/>
        </w:rPr>
        <w:t>A national commitment to abstinence only until marriage casts a wide net that will ensnare us all; it creeps into our imaginations and into our beds by prescribing a constricted form of sexual expression for young people</w:t>
      </w:r>
      <w:r w:rsidRPr="003442DF">
        <w:rPr>
          <w:sz w:val="14"/>
        </w:rPr>
        <w:t xml:space="preserve">, as well as adults, leaving clouds of shame, guilt, ignorance, and silence </w:t>
      </w:r>
      <w:r w:rsidRPr="003442DF">
        <w:rPr>
          <w:rStyle w:val="StyleUnderline"/>
        </w:rPr>
        <w:t>where knowledge, skills, and safe conversation should grow</w:t>
      </w:r>
      <w:r w:rsidRPr="003442DF">
        <w:rPr>
          <w:sz w:val="14"/>
        </w:rPr>
        <w:t xml:space="preserve">. We introduced the concept of thick desire in this discussion, and we hope to make it a lens through which to conceptualize and evaluate youth-based education and social policies across public institutions. </w:t>
      </w:r>
      <w:r w:rsidRPr="003442DF">
        <w:rPr>
          <w:rStyle w:val="StyleUnderline"/>
        </w:rPr>
        <w:t>Instead of merely documenting risk and loss, we call for policies and research that recognize how macro-structures, public institutions, practices, and relationships affect “personal decisions,” particularly for those without private supports and buffers. Thick desire is offered as a framework to move us away from mourning the “missing discourse of desire” and on to demanding more publicly subsidized educational, social, legal, economic, and health care supports for young people as they develop complex social and sexual biographies</w:t>
      </w:r>
      <w:r w:rsidRPr="003442DF">
        <w:rPr>
          <w:sz w:val="14"/>
        </w:rPr>
        <w:t xml:space="preserve"> in adolescence and beyond. It is a way of evaluating policies, both local and global. </w:t>
      </w:r>
      <w:r w:rsidRPr="003442DF">
        <w:rPr>
          <w:rStyle w:val="StyleUnderline"/>
        </w:rPr>
        <w:t>Thick desire is meant to be a tool to see what is missing and to say what needs to be in place.</w:t>
      </w:r>
      <w:r w:rsidRPr="003442DF">
        <w:rPr>
          <w:sz w:val="14"/>
        </w:rPr>
        <w:t xml:space="preserve"> In this spirit, we invite </w:t>
      </w:r>
      <w:r w:rsidRPr="003442DF">
        <w:rPr>
          <w:rStyle w:val="StyleUnderline"/>
        </w:rPr>
        <w:t>educators, youth organizers, policy analysts, community activists,</w:t>
      </w:r>
      <w:r w:rsidRPr="003442DF">
        <w:rPr>
          <w:sz w:val="14"/>
        </w:rPr>
        <w:t xml:space="preserve"> YMCA directors, health clinic professionals, and </w:t>
      </w:r>
      <w:r w:rsidRPr="003442DF">
        <w:rPr>
          <w:rStyle w:val="StyleUnderline"/>
        </w:rPr>
        <w:t>youth</w:t>
      </w:r>
      <w:r w:rsidRPr="003442DF">
        <w:rPr>
          <w:sz w:val="14"/>
        </w:rPr>
        <w:t xml:space="preserve"> to </w:t>
      </w:r>
      <w:r w:rsidRPr="003442DF">
        <w:rPr>
          <w:rStyle w:val="StyleUnderline"/>
        </w:rPr>
        <w:t>create a surge of information and conversation about sexuality, power, and justice.</w:t>
      </w:r>
      <w:r w:rsidRPr="003442DF">
        <w:rPr>
          <w:sz w:val="14"/>
        </w:rPr>
        <w:t xml:space="preserve"> Researchers, educators, community workers, lawyers, youth, and progressive clergy can come together to demand that thick desire be the benchmark — a progressive form of accountability — for measuring the extent to which a community supports full youth development (for an example, see the Forum for Youth Investment, http://www.forumforyouthinvestment.org). Campaigns and research projects for healthy youth development can be launched in schools, community centers, libraries, clinics, afterschool programs, and on the Internet, in which conversations </w:t>
      </w:r>
      <w:r w:rsidRPr="003442DF">
        <w:rPr>
          <w:rStyle w:val="StyleUnderline"/>
        </w:rPr>
        <w:t>about desire, danger, power, and bodies can be reclaimed as spaces for doubt, giggles, honesty, negotiation, struggle, pleasure, pain, and information. Young people are dying for good conversation about sexuality, and are dying without it.</w:t>
      </w:r>
    </w:p>
    <w:p w:rsidR="00A02692" w:rsidRPr="002A6688" w:rsidRDefault="00A02692" w:rsidP="00A02692">
      <w:pPr>
        <w:rPr>
          <w:rStyle w:val="StyleUnderline"/>
        </w:rPr>
      </w:pPr>
    </w:p>
    <w:p w:rsidR="00A02692" w:rsidRDefault="00A02692" w:rsidP="00A02692">
      <w:pPr>
        <w:jc w:val="both"/>
        <w:rPr>
          <w:sz w:val="16"/>
        </w:rPr>
      </w:pPr>
    </w:p>
    <w:p w:rsidR="00A02692" w:rsidRDefault="00A02692" w:rsidP="00A02692">
      <w:pPr>
        <w:pStyle w:val="Heading2"/>
      </w:pPr>
      <w:r>
        <w:t>Framing</w:t>
      </w:r>
    </w:p>
    <w:p w:rsidR="00A02692" w:rsidRPr="006E301C" w:rsidRDefault="00A02692" w:rsidP="00A02692">
      <w:pPr>
        <w:pStyle w:val="Heading4"/>
        <w:rPr>
          <w:rStyle w:val="Style13ptBold"/>
          <w:b/>
        </w:rPr>
      </w:pPr>
      <w:r w:rsidRPr="006E301C">
        <w:rPr>
          <w:rStyle w:val="Style13ptBold"/>
          <w:b/>
        </w:rPr>
        <w:t>Don’t prioritize large scale spectacles of violence—everyday acts of dehumanization produce a will to violence that makes large scale conflicts possible</w:t>
      </w:r>
    </w:p>
    <w:p w:rsidR="00A02692" w:rsidRPr="00AE4FF0" w:rsidRDefault="00A02692" w:rsidP="00A02692">
      <w:pPr>
        <w:jc w:val="both"/>
        <w:rPr>
          <w:rStyle w:val="Style13ptBold"/>
          <w:b w:val="0"/>
        </w:rPr>
      </w:pPr>
      <w:proofErr w:type="spellStart"/>
      <w:r>
        <w:rPr>
          <w:rStyle w:val="Style13ptBold"/>
        </w:rPr>
        <w:t>Kappeler</w:t>
      </w:r>
      <w:proofErr w:type="spellEnd"/>
      <w:r>
        <w:rPr>
          <w:rStyle w:val="Style13ptBold"/>
        </w:rPr>
        <w:t xml:space="preserve"> 1995 </w:t>
      </w:r>
      <w:r>
        <w:rPr>
          <w:rStyle w:val="Style13ptBold"/>
          <w:b w:val="0"/>
        </w:rPr>
        <w:t xml:space="preserve">[Susanne. Former lecturer in English at the University of East Anglia and an Associate Professor at the School of Humanities and Social Sciences. </w:t>
      </w:r>
      <w:r>
        <w:rPr>
          <w:rStyle w:val="Style13ptBold"/>
          <w:b w:val="0"/>
          <w:i/>
        </w:rPr>
        <w:t>The Will to Violence: The Politics of Personal Behavior</w:t>
      </w:r>
      <w:r>
        <w:rPr>
          <w:rStyle w:val="Style13ptBold"/>
          <w:b w:val="0"/>
        </w:rPr>
        <w:t>. Polity Press. ISBN 0 7456 130555. Pg. at bottom]</w:t>
      </w:r>
    </w:p>
    <w:p w:rsidR="00A02692" w:rsidRPr="00AF0906" w:rsidRDefault="00A02692" w:rsidP="00A02692">
      <w:pPr>
        <w:rPr>
          <w:rStyle w:val="StyleUnderline"/>
        </w:rPr>
      </w:pPr>
      <w:r w:rsidRPr="00AF0906">
        <w:rPr>
          <w:sz w:val="16"/>
        </w:rPr>
        <w:t xml:space="preserve">A decision to violate is not necessarily synonymous with a decision to be ‘bad’ or to commit an injustice. Rather, </w:t>
      </w:r>
      <w:r w:rsidRPr="00AF0906">
        <w:rPr>
          <w:rStyle w:val="StyleUnderline"/>
        </w:rPr>
        <w:t>we have at our disposal structures of thought and argumentation which make such a decision appear rational</w:t>
      </w:r>
      <w:r w:rsidRPr="00AF0906">
        <w:rPr>
          <w:sz w:val="16"/>
        </w:rPr>
        <w:t xml:space="preserve">, justified or even necessary. These structures of thought are </w:t>
      </w:r>
      <w:r w:rsidRPr="00AF0906">
        <w:rPr>
          <w:rStyle w:val="StyleUnderline"/>
        </w:rPr>
        <w:t>deeply rooted in our everyday thinking:</w:t>
      </w:r>
      <w:r w:rsidRPr="00AF0906">
        <w:rPr>
          <w:sz w:val="16"/>
        </w:rPr>
        <w:t xml:space="preserve"> they are part of the dominant ideology. </w:t>
      </w:r>
      <w:r w:rsidRPr="00AF0906">
        <w:rPr>
          <w:rStyle w:val="StyleUnderline"/>
        </w:rPr>
        <w:t xml:space="preserve">We use them in our daily decisions for action - actions which are not necessarily acts of bodily injury and murder, of arson and larceny, and which do not necessarily unleash a major war, but which none the less are acts of violence: violation of the rights and integrity of other people, violation of their dignity and personhood, suppression of their freedom of choice and their </w:t>
      </w:r>
      <w:proofErr w:type="spellStart"/>
      <w:r w:rsidRPr="00AF0906">
        <w:rPr>
          <w:rStyle w:val="StyleUnderline"/>
        </w:rPr>
        <w:t>self</w:t>
      </w:r>
      <w:r w:rsidRPr="00AF0906">
        <w:rPr>
          <w:rStyle w:val="StyleUnderline"/>
        </w:rPr>
        <w:softHyphen/>
        <w:t>determination</w:t>
      </w:r>
      <w:proofErr w:type="spellEnd"/>
      <w:r w:rsidRPr="00AF0906">
        <w:rPr>
          <w:rStyle w:val="StyleUnderline"/>
        </w:rPr>
        <w:t>, acts of objectification and of exploitation at every conceivable level — in other words, war, on a small scale</w:t>
      </w:r>
      <w:r w:rsidRPr="00AF0906">
        <w:rPr>
          <w:sz w:val="16"/>
        </w:rPr>
        <w:t xml:space="preserve"> and against our nearest if not our dearest. What is remarkable is that this everyday </w:t>
      </w:r>
      <w:proofErr w:type="spellStart"/>
      <w:r w:rsidRPr="00AF0906">
        <w:rPr>
          <w:sz w:val="16"/>
        </w:rPr>
        <w:t>behaviour</w:t>
      </w:r>
      <w:proofErr w:type="spellEnd"/>
      <w:r w:rsidRPr="00AF0906">
        <w:rPr>
          <w:sz w:val="16"/>
        </w:rPr>
        <w:t xml:space="preserve">, in so far as it does not fall within the competence of criminal law, is hardly the subject of a serious theoretical discussion.4 Neither does it attract explicit legitimation; rather, </w:t>
      </w:r>
      <w:r w:rsidRPr="00AF0906">
        <w:rPr>
          <w:rStyle w:val="StyleUnderline"/>
        </w:rPr>
        <w:t xml:space="preserve">the violence of everyday </w:t>
      </w:r>
      <w:proofErr w:type="spellStart"/>
      <w:r w:rsidRPr="00AF0906">
        <w:rPr>
          <w:rStyle w:val="StyleUnderline"/>
        </w:rPr>
        <w:t>behaviour</w:t>
      </w:r>
      <w:proofErr w:type="spellEnd"/>
      <w:r w:rsidRPr="00AF0906">
        <w:rPr>
          <w:rStyle w:val="StyleUnderline"/>
        </w:rPr>
        <w:t xml:space="preserve"> draws its legitimacy from the ubiquity of such </w:t>
      </w:r>
      <w:proofErr w:type="spellStart"/>
      <w:r w:rsidRPr="00AF0906">
        <w:rPr>
          <w:rStyle w:val="StyleUnderline"/>
        </w:rPr>
        <w:t>behaviour</w:t>
      </w:r>
      <w:proofErr w:type="spellEnd"/>
      <w:r w:rsidRPr="00AF0906">
        <w:rPr>
          <w:rStyle w:val="StyleUnderline"/>
        </w:rPr>
        <w:t xml:space="preserve"> in our society and the social consensus about its relative ‘harmlessness’ compared with other</w:t>
      </w:r>
      <w:r w:rsidRPr="00AF0906">
        <w:rPr>
          <w:sz w:val="16"/>
        </w:rPr>
        <w:t xml:space="preserve">, that is, </w:t>
      </w:r>
      <w:r w:rsidRPr="00AF0906">
        <w:rPr>
          <w:rStyle w:val="StyleUnderline"/>
        </w:rPr>
        <w:t>recognized forms of violence</w:t>
      </w:r>
      <w:r w:rsidRPr="00AF0906">
        <w:rPr>
          <w:sz w:val="16"/>
        </w:rPr>
        <w:t xml:space="preserve">. That is to say, </w:t>
      </w:r>
      <w:r w:rsidRPr="00AF0906">
        <w:rPr>
          <w:rStyle w:val="StyleUnderline"/>
        </w:rPr>
        <w:t xml:space="preserve">everyday </w:t>
      </w:r>
      <w:proofErr w:type="spellStart"/>
      <w:r w:rsidRPr="00AF0906">
        <w:rPr>
          <w:rStyle w:val="StyleUnderline"/>
        </w:rPr>
        <w:t>behaviour</w:t>
      </w:r>
      <w:proofErr w:type="spellEnd"/>
      <w:r w:rsidRPr="00AF0906">
        <w:rPr>
          <w:rStyle w:val="StyleUnderline"/>
        </w:rPr>
        <w:t xml:space="preserve"> takes its orientation from the tradition of social practice, reproducing itself through recourse to the status quo</w:t>
      </w:r>
      <w:r w:rsidRPr="00AF0906">
        <w:rPr>
          <w:sz w:val="16"/>
        </w:rPr>
        <w:t>. It is so natur</w:t>
      </w:r>
      <w:r w:rsidRPr="00AF0906">
        <w:rPr>
          <w:sz w:val="16"/>
        </w:rPr>
        <w:softHyphen/>
        <w:t>alized, in fact, that it is not violent action which attracts attention, but any resistance to it: leaving a violent relationship or situations of violence, resisting bullying, pressure and blackmail, refusing to fight back. Even a discourse on ethics which we might expect to address this issue increasingly addresses problems of a collective social respons</w:t>
      </w:r>
      <w:r w:rsidRPr="00AF0906">
        <w:rPr>
          <w:sz w:val="16"/>
        </w:rPr>
        <w:softHyphen/>
        <w:t xml:space="preserve">ibility — leading indeed to enlightened guidelines for social policy, yet leaving the question of personal responsibility unanswered. For an analysis of collective social responsibility tends not to differentiate between the respective responsibility of the members of that collective according to their diverse situations. Yet the single person has to act, has to decide how to act, even if this does not cause a war or change the world at one stroke. It is these decisions for action within the range of competence of persons which are the topic of this book. This does not mean that I deem the obvious and systematic forms of violence - from the violence of men against women and children, the racist violence of whites against Black people and people of the Third World, to the violence of the state and its military forces, or violence against animals and nature (which is hardly even discussed in the context of violence) — a less urgent problem than individual </w:t>
      </w:r>
      <w:proofErr w:type="spellStart"/>
      <w:r w:rsidRPr="00AF0906">
        <w:rPr>
          <w:sz w:val="16"/>
        </w:rPr>
        <w:t>beha</w:t>
      </w:r>
      <w:r w:rsidRPr="00AF0906">
        <w:rPr>
          <w:sz w:val="16"/>
        </w:rPr>
        <w:softHyphen/>
        <w:t>viour</w:t>
      </w:r>
      <w:proofErr w:type="spellEnd"/>
      <w:r w:rsidRPr="00AF0906">
        <w:rPr>
          <w:sz w:val="16"/>
        </w:rPr>
        <w:t xml:space="preserve">. Rather, </w:t>
      </w:r>
      <w:r w:rsidRPr="00AF0906">
        <w:rPr>
          <w:rStyle w:val="StyleUnderline"/>
        </w:rPr>
        <w:t>the obvious importance and magnitude of ‘social’ problems of violence cannot be the pretext for considering apparently ‘lesser’ or more ‘harmless’ forms of ‘personal’ violence</w:t>
      </w:r>
      <w:r w:rsidRPr="00AF0906">
        <w:rPr>
          <w:sz w:val="16"/>
        </w:rPr>
        <w:t xml:space="preserve"> (our own) </w:t>
      </w:r>
      <w:r w:rsidRPr="00AF0906">
        <w:rPr>
          <w:rStyle w:val="StyleUnderline"/>
        </w:rPr>
        <w:t>a matter for postponement until the major problems have been solved. Violence cannot be measured as larger or smaller</w:t>
      </w:r>
      <w:r w:rsidRPr="00AF0906">
        <w:rPr>
          <w:sz w:val="16"/>
        </w:rPr>
        <w:t xml:space="preserve">, more or less, even if the consequences of violence differ enormously. The consequences differ, however, neither in their measurable size as ‘damage’ nor in the size or measure of the violence which caused them, but in terms of the means used on the one hand, and in their specificity, uniqueness and incomparability as experience on the other. </w:t>
      </w:r>
      <w:r w:rsidRPr="00AF0906">
        <w:rPr>
          <w:rStyle w:val="StyleUnderline"/>
        </w:rPr>
        <w:t>Violence as the struc</w:t>
      </w:r>
      <w:r w:rsidRPr="00AF0906">
        <w:rPr>
          <w:rStyle w:val="StyleUnderline"/>
        </w:rPr>
        <w:softHyphen/>
        <w:t>ture of action is neither greater nor lesser</w:t>
      </w:r>
      <w:r w:rsidRPr="00AF0906">
        <w:rPr>
          <w:sz w:val="16"/>
        </w:rPr>
        <w:t xml:space="preserve">: it either is or is not violence. Moreover, personal </w:t>
      </w:r>
      <w:proofErr w:type="spellStart"/>
      <w:r w:rsidRPr="00AF0906">
        <w:rPr>
          <w:sz w:val="16"/>
        </w:rPr>
        <w:t>behaviour</w:t>
      </w:r>
      <w:proofErr w:type="spellEnd"/>
      <w:r w:rsidRPr="00AF0906">
        <w:rPr>
          <w:sz w:val="16"/>
        </w:rPr>
        <w:t xml:space="preserve"> is no alternative to ‘political’ action; there is no question of either/or. My concern, on the contrary, is </w:t>
      </w:r>
      <w:r w:rsidRPr="00AF0906">
        <w:rPr>
          <w:rStyle w:val="StyleUnderline"/>
        </w:rPr>
        <w:t xml:space="preserve">the connection between these recognized forms of violence and the forms of everyday </w:t>
      </w:r>
      <w:proofErr w:type="spellStart"/>
      <w:r w:rsidRPr="00AF0906">
        <w:rPr>
          <w:rStyle w:val="StyleUnderline"/>
        </w:rPr>
        <w:t>behaviour</w:t>
      </w:r>
      <w:proofErr w:type="spellEnd"/>
      <w:r w:rsidRPr="00AF0906">
        <w:rPr>
          <w:rStyle w:val="StyleUnderline"/>
        </w:rPr>
        <w:t xml:space="preserve"> which we consider ‘normal’</w:t>
      </w:r>
      <w:r w:rsidRPr="00AF0906">
        <w:rPr>
          <w:sz w:val="16"/>
        </w:rPr>
        <w:t xml:space="preserve"> but which </w:t>
      </w:r>
      <w:r w:rsidRPr="00AF0906">
        <w:rPr>
          <w:rStyle w:val="StyleUnderline"/>
        </w:rPr>
        <w:t>betray our own will to violence</w:t>
      </w:r>
      <w:r w:rsidRPr="00AF0906">
        <w:rPr>
          <w:sz w:val="16"/>
        </w:rPr>
        <w:t xml:space="preserve"> — the connection, in other words, be</w:t>
      </w:r>
      <w:r w:rsidRPr="00AF0906">
        <w:rPr>
          <w:sz w:val="16"/>
        </w:rPr>
        <w:softHyphen/>
        <w:t xml:space="preserve">tween our own actions and those acts of violence which are normally the focus of our political critiques. Precisely because there is no choice between dedicating oneself either to ‘political issues’ or to ‘personal </w:t>
      </w:r>
      <w:proofErr w:type="spellStart"/>
      <w:r w:rsidRPr="00AF0906">
        <w:rPr>
          <w:sz w:val="16"/>
        </w:rPr>
        <w:t>behaviour</w:t>
      </w:r>
      <w:proofErr w:type="spellEnd"/>
      <w:r w:rsidRPr="00AF0906">
        <w:rPr>
          <w:sz w:val="16"/>
        </w:rPr>
        <w:t xml:space="preserve">’, the question of the politics of personal </w:t>
      </w:r>
      <w:proofErr w:type="spellStart"/>
      <w:r w:rsidRPr="00AF0906">
        <w:rPr>
          <w:sz w:val="16"/>
        </w:rPr>
        <w:t>behaviour</w:t>
      </w:r>
      <w:proofErr w:type="spellEnd"/>
      <w:r w:rsidRPr="00AF0906">
        <w:rPr>
          <w:sz w:val="16"/>
        </w:rPr>
        <w:t xml:space="preserve"> has (also) to be moved into the </w:t>
      </w:r>
      <w:proofErr w:type="spellStart"/>
      <w:r w:rsidRPr="00AF0906">
        <w:rPr>
          <w:sz w:val="16"/>
        </w:rPr>
        <w:t>centre</w:t>
      </w:r>
      <w:proofErr w:type="spellEnd"/>
      <w:r w:rsidRPr="00AF0906">
        <w:rPr>
          <w:sz w:val="16"/>
        </w:rPr>
        <w:t xml:space="preserve"> of our politics and our critique. </w:t>
      </w:r>
      <w:r w:rsidRPr="00AF0906">
        <w:rPr>
          <w:rStyle w:val="StyleUnderline"/>
        </w:rPr>
        <w:t>Violence</w:t>
      </w:r>
      <w:r w:rsidRPr="00AF0906">
        <w:rPr>
          <w:sz w:val="16"/>
        </w:rPr>
        <w:t xml:space="preserve"> — what we usually recognize as such — </w:t>
      </w:r>
      <w:r w:rsidRPr="00AF0906">
        <w:rPr>
          <w:rStyle w:val="StyleUnderline"/>
        </w:rPr>
        <w:t>is no exception to the rules, no deviation from the normal and nothing out of the ordinary, in a society in which exploitation and oppression are the norm</w:t>
      </w:r>
      <w:r w:rsidRPr="00AF0906">
        <w:rPr>
          <w:sz w:val="16"/>
        </w:rPr>
        <w:t xml:space="preserve">, the ordinary and the rule. It is no </w:t>
      </w:r>
      <w:proofErr w:type="spellStart"/>
      <w:r w:rsidRPr="00AF0906">
        <w:rPr>
          <w:sz w:val="16"/>
        </w:rPr>
        <w:t>misbehaviour</w:t>
      </w:r>
      <w:proofErr w:type="spellEnd"/>
      <w:r w:rsidRPr="00AF0906">
        <w:rPr>
          <w:sz w:val="16"/>
        </w:rPr>
        <w:t xml:space="preserve"> of a minority amid good </w:t>
      </w:r>
      <w:proofErr w:type="spellStart"/>
      <w:r w:rsidRPr="00AF0906">
        <w:rPr>
          <w:sz w:val="16"/>
        </w:rPr>
        <w:t>behaviour</w:t>
      </w:r>
      <w:proofErr w:type="spellEnd"/>
      <w:r w:rsidRPr="00AF0906">
        <w:rPr>
          <w:sz w:val="16"/>
        </w:rPr>
        <w:t xml:space="preserve"> by the majority, nor the deeds of inhuman monsters amid humane humans, in a society in 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w:t>
      </w:r>
      <w:r w:rsidRPr="00AF0906">
        <w:rPr>
          <w:sz w:val="16"/>
        </w:rPr>
        <w:softHyphen/>
        <w:t xml:space="preserve">tion by humans. It is no error of judgement, no moral lapse and no transgression against the customs of a culture which is thoroughly steeped in the values of profit and desire, of self-realization, expansion and progress. </w:t>
      </w:r>
      <w:r w:rsidRPr="00AF0906">
        <w:rPr>
          <w:rStyle w:val="StyleUnderline"/>
        </w:rPr>
        <w:t>Violence as we usually perceive it is ‘simply’ a specific</w:t>
      </w:r>
      <w:r w:rsidRPr="00AF0906">
        <w:rPr>
          <w:sz w:val="16"/>
        </w:rPr>
        <w:t xml:space="preserve"> — and to us still visible — </w:t>
      </w:r>
      <w:r w:rsidRPr="00AF0906">
        <w:rPr>
          <w:rStyle w:val="StyleUnderline"/>
        </w:rPr>
        <w:t>form of violence, the consistent and logical application of the principles of our culture and everyday life. War does not suddenly break out in a peaceful society; sexual violence is not the disturbance of otherwise equal gender relations</w:t>
      </w:r>
      <w:r w:rsidRPr="00AF0906">
        <w:rPr>
          <w:sz w:val="16"/>
        </w:rPr>
        <w:t>. Racist attacks do not shoot like lightning out of a non-racist sky, and the sexual exploitation of children is no solitary problem in a world other</w:t>
      </w:r>
      <w:r w:rsidRPr="00AF0906">
        <w:rPr>
          <w:sz w:val="16"/>
        </w:rPr>
        <w:softHyphen/>
        <w:t xml:space="preserve">wise just to children. </w:t>
      </w:r>
      <w:r w:rsidRPr="00AF0906">
        <w:rPr>
          <w:rStyle w:val="StyleUnderline"/>
        </w:rPr>
        <w:t>The violence of our most commonsense everyday thinking, and especially our personal will to violence, constitute the conceptual preparation, the ideological armament and the intellectual mobilization which make the ‘outbreak’ of war, of sexual violence, of racist attacks, of murder and destruction possible at all.</w:t>
      </w:r>
    </w:p>
    <w:p w:rsidR="00A02692" w:rsidRPr="00AF0906" w:rsidRDefault="00A02692" w:rsidP="00A02692">
      <w:r w:rsidRPr="00AF0906">
        <w:t>7-9</w:t>
      </w:r>
    </w:p>
    <w:p w:rsidR="00A02692" w:rsidRPr="006E301C" w:rsidRDefault="00A02692" w:rsidP="00A02692">
      <w:pPr>
        <w:pStyle w:val="Heading4"/>
        <w:rPr>
          <w:rStyle w:val="Style13ptBold"/>
          <w:b/>
        </w:rPr>
      </w:pPr>
      <w:r w:rsidRPr="006E301C">
        <w:rPr>
          <w:rStyle w:val="Style13ptBold"/>
          <w:b/>
        </w:rPr>
        <w:t>Sexuality is uniquely key to this culture of violence—sexual panics are deeply tied to the reproduction of structural violence and its ideological legitimation</w:t>
      </w:r>
    </w:p>
    <w:p w:rsidR="00A02692" w:rsidRPr="005C1741" w:rsidRDefault="00A02692" w:rsidP="00A02692">
      <w:pPr>
        <w:rPr>
          <w:rStyle w:val="Style13ptBold"/>
          <w:b w:val="0"/>
        </w:rPr>
      </w:pPr>
      <w:proofErr w:type="spellStart"/>
      <w:r>
        <w:rPr>
          <w:rStyle w:val="Style13ptBold"/>
        </w:rPr>
        <w:t>Herdt</w:t>
      </w:r>
      <w:proofErr w:type="spellEnd"/>
      <w:r>
        <w:rPr>
          <w:rStyle w:val="Style13ptBold"/>
        </w:rPr>
        <w:t xml:space="preserve"> 09 </w:t>
      </w:r>
      <w:r w:rsidRPr="005C1741">
        <w:rPr>
          <w:rStyle w:val="Style13ptBold"/>
          <w:b w:val="0"/>
          <w:sz w:val="16"/>
          <w:szCs w:val="16"/>
        </w:rPr>
        <w:t xml:space="preserve">[Gilbert. June 2009. Professor of Human Sexuality Studies and Anthropology and a Founder of the Department of Sexuality Studies and National Sexuality Resource Center at San Francisco State University. “Introduction: Moral Panics, Sexual Rights, and Cultural Anger.” </w:t>
      </w:r>
      <w:r w:rsidRPr="005C1741">
        <w:rPr>
          <w:rStyle w:val="Style13ptBold"/>
          <w:b w:val="0"/>
          <w:i/>
          <w:sz w:val="16"/>
          <w:szCs w:val="16"/>
        </w:rPr>
        <w:t xml:space="preserve">Moral Panics, Sex Panics: Fear and the Fight over Sexual Rights. </w:t>
      </w:r>
      <w:r w:rsidRPr="005C1741">
        <w:rPr>
          <w:rStyle w:val="Style13ptBold"/>
          <w:b w:val="0"/>
          <w:sz w:val="16"/>
          <w:szCs w:val="16"/>
        </w:rPr>
        <w:t>NYU Press. SH.]</w:t>
      </w:r>
    </w:p>
    <w:p w:rsidR="00A02692" w:rsidRPr="005C1741" w:rsidRDefault="00A02692" w:rsidP="00A02692">
      <w:pPr>
        <w:jc w:val="both"/>
        <w:rPr>
          <w:sz w:val="16"/>
        </w:rPr>
      </w:pPr>
      <w:r w:rsidRPr="005C1741">
        <w:rPr>
          <w:rStyle w:val="StyleUnderline"/>
        </w:rPr>
        <w:t>Human societies across time and space often have experienced times of dread, anxiety, fear, panic, disgust, depression, and denial to such an extreme degree that social collapse seemed possible</w:t>
      </w:r>
      <w:r w:rsidRPr="005C1741">
        <w:rPr>
          <w:sz w:val="16"/>
        </w:rPr>
        <w:t xml:space="preserve">. Some of these events may simply be random, as when natural disasters result in ecological collapse, depopulation, and social decline,99 as Hurricane Katrina revealed. </w:t>
      </w:r>
      <w:r w:rsidRPr="005C1741">
        <w:rPr>
          <w:rStyle w:val="StyleUnderline"/>
        </w:rPr>
        <w:t>Linked to such histories are the politics of adaptation, survival, and colonization amid the usual fault lines of structural inequalities</w:t>
      </w:r>
      <w:r w:rsidRPr="005C1741">
        <w:rPr>
          <w:sz w:val="16"/>
        </w:rPr>
        <w:t xml:space="preserve"> (such as racism, for example). While examining a variety of forms of social deviance, including sexuality, Stanley Cohen and others in this line of theory were not primarily concerned with structural violence as a determinant of panics, as we think of these today. Cohen’s (2002) retrospective reveals cases of sexualized panics, particularly sexual abuse, and these are not without interest. Hall and his colleagues (1978) did look at the effect of media panics’ impact on racism. Clearly, in the modern period, </w:t>
      </w:r>
      <w:r w:rsidRPr="005C1741">
        <w:rPr>
          <w:rStyle w:val="StyleUnderline"/>
        </w:rPr>
        <w:t>systematic forms of discrimination within and across societies have been pivotal in the production of panics. Moral panics expose the ideologies, hierarchies, and social fissures of societies, typically registered</w:t>
      </w:r>
      <w:r w:rsidRPr="005C1741">
        <w:rPr>
          <w:sz w:val="16"/>
        </w:rPr>
        <w:t xml:space="preserve">, as with many human phenomena, </w:t>
      </w:r>
      <w:r w:rsidRPr="005C1741">
        <w:rPr>
          <w:rStyle w:val="StyleUnderline"/>
        </w:rPr>
        <w:t>along the lines of systemic forms of structural violence. Nowhere is this more pernicious than in the reproduction of sex and gender differences</w:t>
      </w:r>
      <w:r w:rsidRPr="005C1741">
        <w:rPr>
          <w:sz w:val="16"/>
        </w:rPr>
        <w:t xml:space="preserve">.100 Medical anthropologist Paul Farmer has defined poverty, racism, and inadequate health care as among the greatest threats to common human dignity.101 A recent review adds homophobia, heterosexism, ableism, classism, and xenophobia to the list of forms of discrimination and dehumanization that result in violence against the self and sexuality.102 AIDS has been particularly shaped by the social disparities of society.103 Farmer has also raised the fundamental question of how or through what mechanisms “social forces ranging from poverty to racism become embodied in individual experience?”104 As will now be apparent, </w:t>
      </w:r>
      <w:r w:rsidRPr="005C1741">
        <w:rPr>
          <w:rStyle w:val="StyleUnderline"/>
        </w:rPr>
        <w:t>I view sexual panics today as among the most pivotal mechanisms—political, economic, and religious— that reproduce structural violence of all kinds: they serve to embody fear, disgust, and social exclusion in speech, meanings, and practices</w:t>
      </w:r>
      <w:r w:rsidRPr="005C1741">
        <w:rPr>
          <w:sz w:val="16"/>
        </w:rPr>
        <w:t xml:space="preserve">.105 </w:t>
      </w:r>
      <w:proofErr w:type="spellStart"/>
      <w:r w:rsidRPr="005C1741">
        <w:rPr>
          <w:sz w:val="16"/>
        </w:rPr>
        <w:t>Teunis</w:t>
      </w:r>
      <w:proofErr w:type="spellEnd"/>
      <w:r w:rsidRPr="005C1741">
        <w:rPr>
          <w:sz w:val="16"/>
        </w:rPr>
        <w:t xml:space="preserve"> and </w:t>
      </w:r>
      <w:proofErr w:type="spellStart"/>
      <w:r w:rsidRPr="005C1741">
        <w:rPr>
          <w:sz w:val="16"/>
        </w:rPr>
        <w:t>Herdt</w:t>
      </w:r>
      <w:proofErr w:type="spellEnd"/>
      <w:r w:rsidRPr="005C1741">
        <w:rPr>
          <w:sz w:val="16"/>
        </w:rPr>
        <w:t xml:space="preserve"> (2006) have examined several critical cases </w:t>
      </w:r>
      <w:r w:rsidRPr="005C1741">
        <w:rPr>
          <w:rStyle w:val="StyleUnderline"/>
        </w:rPr>
        <w:t>linking sexual inequality to systematic structural violence, including</w:t>
      </w:r>
      <w:r w:rsidRPr="005C1741">
        <w:rPr>
          <w:sz w:val="16"/>
        </w:rPr>
        <w:t xml:space="preserve"> gay-straight alliances in schools, people with disabilities, young women of color in classrooms </w:t>
      </w:r>
      <w:r w:rsidRPr="005C1741">
        <w:rPr>
          <w:rStyle w:val="StyleUnderline"/>
        </w:rPr>
        <w:t>teaching sexual education,</w:t>
      </w:r>
      <w:r w:rsidRPr="005C1741">
        <w:rPr>
          <w:sz w:val="16"/>
        </w:rPr>
        <w:t xml:space="preserve"> gay men involved in circuit parties—</w:t>
      </w:r>
      <w:r w:rsidRPr="005C1741">
        <w:rPr>
          <w:rStyle w:val="StyleUnderline"/>
        </w:rPr>
        <w:t>all of which reveal moral panics, pivoting on the violation of norms and normative citizenship</w:t>
      </w:r>
      <w:r w:rsidRPr="005C1741">
        <w:rPr>
          <w:sz w:val="16"/>
        </w:rPr>
        <w:t xml:space="preserve">. Connecting the literature on moral panics in the United Kingdom and the emergence of a cultural model dealing with sexual panics in the United States is the work of Gayle </w:t>
      </w:r>
      <w:r w:rsidRPr="005C1741">
        <w:rPr>
          <w:rStyle w:val="StyleUnderline"/>
        </w:rPr>
        <w:t>Rubin</w:t>
      </w:r>
      <w:r w:rsidRPr="005C1741">
        <w:rPr>
          <w:sz w:val="16"/>
        </w:rPr>
        <w:t xml:space="preserve"> (1984). Her classic paper </w:t>
      </w:r>
      <w:r w:rsidRPr="005C1741">
        <w:rPr>
          <w:rStyle w:val="StyleUnderline"/>
        </w:rPr>
        <w:t>anticipated the structural violence analyses</w:t>
      </w:r>
      <w:r w:rsidRPr="005C1741">
        <w:rPr>
          <w:sz w:val="16"/>
        </w:rPr>
        <w:t xml:space="preserve"> to be followed in the 90s through Lisa Duggan.106 Cohen’s work preceded the problematic of heteronormativity, sexual citizenship, </w:t>
      </w:r>
      <w:r w:rsidRPr="005C1741">
        <w:rPr>
          <w:rStyle w:val="StyleUnderline"/>
        </w:rPr>
        <w:t>and the politics of using moral panics to “coerce people into normality</w:t>
      </w:r>
      <w:r w:rsidRPr="005C1741">
        <w:rPr>
          <w:sz w:val="16"/>
        </w:rPr>
        <w:t xml:space="preserve">,” that distinguished the deep, organic analysis of Rubin. Her influential critique of feminist resistance to sexuality analysis laid the groundwork for the new thinking of the 90s by feminists and those who followed.107 In the modern period, </w:t>
      </w:r>
      <w:r w:rsidRPr="005C1741">
        <w:rPr>
          <w:rStyle w:val="StyleUnderline"/>
        </w:rPr>
        <w:t>Rubin understood that sexual panics were a means of inflicting structural regulation on categories of people</w:t>
      </w:r>
      <w:r w:rsidRPr="005C1741">
        <w:rPr>
          <w:sz w:val="16"/>
        </w:rPr>
        <w:t xml:space="preserve">. By examining what she called “sexual hierarchies” or ideologies, including those of medicine, on contemporary thought, her anthropological perspective raised critical questions about the role that normativity and cultural anger play in the management of sexual citizenships in societies: </w:t>
      </w:r>
      <w:r w:rsidRPr="005C1741">
        <w:rPr>
          <w:rStyle w:val="StyleUnderline"/>
        </w:rPr>
        <w:t>All these hierarchies</w:t>
      </w:r>
      <w:r w:rsidRPr="005C1741">
        <w:rPr>
          <w:sz w:val="16"/>
        </w:rPr>
        <w:t xml:space="preserve"> of sexual value–religious, psychiatric, and popular— function in much the same way, as do ideological systems of racism, ethnocentrism, and religious chauvinism. They </w:t>
      </w:r>
      <w:r w:rsidRPr="005C1741">
        <w:rPr>
          <w:rStyle w:val="StyleUnderline"/>
        </w:rPr>
        <w:t xml:space="preserve">rationalized </w:t>
      </w:r>
      <w:proofErr w:type="spellStart"/>
      <w:r w:rsidRPr="005C1741">
        <w:rPr>
          <w:rStyle w:val="StyleUnderline"/>
        </w:rPr>
        <w:t>well being</w:t>
      </w:r>
      <w:proofErr w:type="spellEnd"/>
      <w:r w:rsidRPr="005C1741">
        <w:rPr>
          <w:rStyle w:val="StyleUnderline"/>
        </w:rPr>
        <w:t xml:space="preserve"> of the sexually privileged and the adversity of the sexual rabble</w:t>
      </w:r>
      <w:r w:rsidRPr="005C1741">
        <w:rPr>
          <w:sz w:val="16"/>
        </w:rPr>
        <w:t>. It is difficult to develop a pluralistic sexual ethics without a concept of benign sexual variation. Variation is the property of all life. . . . Yet sexuality is supposed to conform to a single standard. One of most tenacious ideas about sex is that there is one best way to do it, and that everyone should do it that way.10</w:t>
      </w:r>
    </w:p>
    <w:p w:rsidR="00A02692" w:rsidRPr="001802F1" w:rsidRDefault="00A02692" w:rsidP="00A02692">
      <w:pPr>
        <w:pStyle w:val="Heading1"/>
      </w:pPr>
      <w:r>
        <w:t>***2AC***</w:t>
      </w:r>
    </w:p>
    <w:p w:rsidR="00A02692" w:rsidRDefault="00A02692" w:rsidP="00A02692"/>
    <w:p w:rsidR="00A02692" w:rsidRDefault="00A02692" w:rsidP="00A02692"/>
    <w:p w:rsidR="00A02692" w:rsidRDefault="00A02692" w:rsidP="00A02692"/>
    <w:p w:rsidR="00A02692" w:rsidRDefault="00A02692" w:rsidP="00A02692">
      <w:pPr>
        <w:pStyle w:val="Heading2"/>
      </w:pPr>
      <w:r>
        <w:t>Case</w:t>
      </w:r>
    </w:p>
    <w:p w:rsidR="00A02692" w:rsidRDefault="00A02692" w:rsidP="00A02692">
      <w:pPr>
        <w:pStyle w:val="Heading3"/>
      </w:pPr>
      <w:r>
        <w:t>A2: parents</w:t>
      </w:r>
    </w:p>
    <w:p w:rsidR="00A02692" w:rsidRDefault="00A02692" w:rsidP="00A02692">
      <w:pPr>
        <w:pStyle w:val="Heading4"/>
      </w:pPr>
      <w:r>
        <w:t>Parents believe that topics such as identity and pleasure are important, but have little knowledge of available education standards.</w:t>
      </w:r>
    </w:p>
    <w:p w:rsidR="00A02692" w:rsidRPr="002B438C" w:rsidRDefault="00A02692" w:rsidP="00A02692">
      <w:r w:rsidRPr="001F1AE6">
        <w:rPr>
          <w:rStyle w:val="Style13ptBold"/>
        </w:rPr>
        <w:t>Peter, Tasker, and Horn 15</w:t>
      </w:r>
      <w:r>
        <w:t xml:space="preserve"> </w:t>
      </w:r>
      <w:r w:rsidRPr="001F1AE6">
        <w:rPr>
          <w:sz w:val="16"/>
          <w:szCs w:val="16"/>
        </w:rPr>
        <w:t xml:space="preserve">[Christina R. Peter, Timothy B. Tasker, Stacey S. Horn, (2015) Department of Educational Psychology, University of Illinois at Chicago, Chicago, Illinois, USA  "Parents’ attitudes toward comprehensive and inclusive sexuality education: Beliefs about sexual health topics and forms of curricula", Health Education, Vol. 115 Issue: 1, https://doi.org/10.1108/HE-01-2014-0003 Permanent link to this document: </w:t>
      </w:r>
      <w:hyperlink r:id="rId131" w:history="1">
        <w:r w:rsidRPr="001F1AE6">
          <w:rPr>
            <w:rStyle w:val="Hyperlink"/>
            <w:sz w:val="16"/>
            <w:szCs w:val="16"/>
          </w:rPr>
          <w:t>https://doi.org/10.1108/HE-01-2014-0003</w:t>
        </w:r>
      </w:hyperlink>
      <w:r w:rsidRPr="001F1AE6">
        <w:rPr>
          <w:sz w:val="16"/>
          <w:szCs w:val="16"/>
        </w:rPr>
        <w:t xml:space="preserve"> pg. 71-72] Calculus BC</w:t>
      </w:r>
    </w:p>
    <w:p w:rsidR="00A02692" w:rsidRDefault="00A02692" w:rsidP="00A02692">
      <w:pPr>
        <w:rPr>
          <w:sz w:val="16"/>
        </w:rPr>
      </w:pPr>
      <w:r w:rsidRPr="002B438C">
        <w:rPr>
          <w:sz w:val="16"/>
        </w:rPr>
        <w:t xml:space="preserve">Purpose – </w:t>
      </w:r>
      <w:r w:rsidRPr="002B438C">
        <w:rPr>
          <w:u w:val="single"/>
        </w:rPr>
        <w:t>Parents are sometimes perceived as barriers to providing comprehensive and inclusive sexuality education to young people</w:t>
      </w:r>
      <w:r w:rsidRPr="002B438C">
        <w:rPr>
          <w:sz w:val="16"/>
        </w:rPr>
        <w:t xml:space="preserve">. However, little is known about parents’ actual attitudes towards providing such broad information to young people. The purpose of this paper is to examine two different approaches tom </w:t>
      </w:r>
      <w:proofErr w:type="spellStart"/>
      <w:r w:rsidRPr="002B438C">
        <w:rPr>
          <w:sz w:val="16"/>
        </w:rPr>
        <w:t>easuring</w:t>
      </w:r>
      <w:proofErr w:type="spellEnd"/>
      <w:r w:rsidRPr="002B438C">
        <w:rPr>
          <w:sz w:val="16"/>
        </w:rPr>
        <w:t xml:space="preserve"> parents’ attitudes towards sexuality information, a </w:t>
      </w:r>
      <w:proofErr w:type="spellStart"/>
      <w:r w:rsidRPr="002B438C">
        <w:rPr>
          <w:sz w:val="16"/>
        </w:rPr>
        <w:t>programme</w:t>
      </w:r>
      <w:proofErr w:type="spellEnd"/>
      <w:r w:rsidRPr="002B438C">
        <w:rPr>
          <w:sz w:val="16"/>
        </w:rPr>
        <w:t xml:space="preserve"> title approach and a topic-</w:t>
      </w:r>
      <w:proofErr w:type="spellStart"/>
      <w:r w:rsidRPr="002B438C">
        <w:rPr>
          <w:sz w:val="16"/>
        </w:rPr>
        <w:t>centred</w:t>
      </w:r>
      <w:proofErr w:type="spellEnd"/>
      <w:r w:rsidRPr="002B438C">
        <w:rPr>
          <w:sz w:val="16"/>
        </w:rPr>
        <w:t xml:space="preserve"> approach. Design/methodology/approach – Illinois </w:t>
      </w:r>
      <w:r w:rsidRPr="002B438C">
        <w:rPr>
          <w:u w:val="single"/>
        </w:rPr>
        <w:t>parents of adolescents</w:t>
      </w:r>
      <w:r w:rsidRPr="002B438C">
        <w:rPr>
          <w:sz w:val="16"/>
        </w:rPr>
        <w:t xml:space="preserve"> (n¼301) </w:t>
      </w:r>
      <w:r w:rsidRPr="002B438C">
        <w:rPr>
          <w:u w:val="single"/>
        </w:rPr>
        <w:t xml:space="preserve">indicated their knowledge about and attitudes towards sexuality education </w:t>
      </w:r>
      <w:proofErr w:type="spellStart"/>
      <w:r w:rsidRPr="002B438C">
        <w:rPr>
          <w:u w:val="single"/>
        </w:rPr>
        <w:t>programmes</w:t>
      </w:r>
      <w:proofErr w:type="spellEnd"/>
      <w:r w:rsidRPr="002B438C">
        <w:rPr>
          <w:u w:val="single"/>
        </w:rPr>
        <w:t xml:space="preserve"> and 18 sexual health topics via online survey. Confirmatory factor analysis was used to examine whether parents’ attitudes were more consistent with a </w:t>
      </w:r>
      <w:proofErr w:type="spellStart"/>
      <w:r w:rsidRPr="002B438C">
        <w:rPr>
          <w:u w:val="single"/>
        </w:rPr>
        <w:t>programme-centred</w:t>
      </w:r>
      <w:proofErr w:type="spellEnd"/>
      <w:r w:rsidRPr="002B438C">
        <w:rPr>
          <w:u w:val="single"/>
        </w:rPr>
        <w:t xml:space="preserve"> (i.e. abstinence-only, comprehensive) or a topic </w:t>
      </w:r>
      <w:proofErr w:type="spellStart"/>
      <w:r w:rsidRPr="002B438C">
        <w:rPr>
          <w:u w:val="single"/>
        </w:rPr>
        <w:t>centred</w:t>
      </w:r>
      <w:proofErr w:type="spellEnd"/>
      <w:r w:rsidRPr="002B438C">
        <w:rPr>
          <w:u w:val="single"/>
        </w:rPr>
        <w:t xml:space="preserve"> (i.e. physical health, sexual and gender identity, pleasure, and relationships) approach</w:t>
      </w:r>
      <w:r w:rsidRPr="002B438C">
        <w:rPr>
          <w:sz w:val="16"/>
        </w:rPr>
        <w:t xml:space="preserve">. Findings – </w:t>
      </w:r>
      <w:r w:rsidRPr="002B438C">
        <w:rPr>
          <w:u w:val="single"/>
        </w:rPr>
        <w:t xml:space="preserve">Parents were uncertain about what form of sexuality education was offered but most were equally comfortable with both abstinence-only and comprehensive </w:t>
      </w:r>
      <w:proofErr w:type="spellStart"/>
      <w:r w:rsidRPr="002B438C">
        <w:rPr>
          <w:u w:val="single"/>
        </w:rPr>
        <w:t>programmes</w:t>
      </w:r>
      <w:proofErr w:type="spellEnd"/>
      <w:r w:rsidRPr="002B438C">
        <w:rPr>
          <w:sz w:val="16"/>
        </w:rPr>
        <w:t>. Parents’ ratings of topics grouped significantly better by the topic-</w:t>
      </w:r>
      <w:proofErr w:type="spellStart"/>
      <w:r w:rsidRPr="002B438C">
        <w:rPr>
          <w:sz w:val="16"/>
        </w:rPr>
        <w:t>centred</w:t>
      </w:r>
      <w:proofErr w:type="spellEnd"/>
      <w:r w:rsidRPr="002B438C">
        <w:rPr>
          <w:sz w:val="16"/>
        </w:rPr>
        <w:t xml:space="preserve"> than the </w:t>
      </w:r>
      <w:proofErr w:type="spellStart"/>
      <w:r w:rsidRPr="002B438C">
        <w:rPr>
          <w:sz w:val="16"/>
        </w:rPr>
        <w:t>programme-centred</w:t>
      </w:r>
      <w:proofErr w:type="spellEnd"/>
      <w:r w:rsidRPr="002B438C">
        <w:rPr>
          <w:sz w:val="16"/>
        </w:rPr>
        <w:t xml:space="preserve"> approach. </w:t>
      </w:r>
      <w:r w:rsidRPr="002B438C">
        <w:rPr>
          <w:u w:val="single"/>
        </w:rPr>
        <w:t>Parents rated all four subjects as important, with the highest mean ratings given to physical health topics. Further, parents’ ratings of importance by subject matter were largely independent of their reported programming preference. Together these findings provide evidence that parents believe it is important for their children to have access to a broad range of sexual health education information. Originality/value – This study is one of the first to document parents’ support for information for young people that goes beyond being comprehensive to include topics such as identities and pleasure.</w:t>
      </w:r>
      <w:r w:rsidRPr="002B438C">
        <w:rPr>
          <w:sz w:val="16"/>
        </w:rPr>
        <w:t xml:space="preserve"> Health Education Vol. 115 No. 1, 2015 pp. 71-92 ©</w:t>
      </w:r>
      <w:proofErr w:type="spellStart"/>
      <w:r w:rsidRPr="002B438C">
        <w:rPr>
          <w:sz w:val="16"/>
        </w:rPr>
        <w:t>EmeraldGroupPublishingLimited</w:t>
      </w:r>
      <w:proofErr w:type="spellEnd"/>
      <w:r w:rsidRPr="002B438C">
        <w:rPr>
          <w:sz w:val="16"/>
        </w:rPr>
        <w:t xml:space="preserve"> 0965-4283 DOI 10.1108/HE-01-2014-0003 Received 14 January 2014 Revised 19 March 2014 10 May 2014 Accepted 10 May 2014 The current issue and full text archive of this journal is available on Emerald Insight at: www.emeraldinsight.com/0965-4283.htm The authors thank the entire </w:t>
      </w:r>
      <w:proofErr w:type="spellStart"/>
      <w:r w:rsidRPr="002B438C">
        <w:rPr>
          <w:sz w:val="16"/>
        </w:rPr>
        <w:t>SafeSPACES</w:t>
      </w:r>
      <w:proofErr w:type="spellEnd"/>
      <w:r w:rsidRPr="002B438C">
        <w:rPr>
          <w:sz w:val="16"/>
        </w:rPr>
        <w:t xml:space="preserve"> Project team for their support and recommendations. The research presented here was funded in part by a grant from the Ford Foundation to Stacey Horn, PhD, University of Illinois at Chicago and Shannon Sullivan, MPH, Illinois Safe Schools Alliance. This study was approved by the University of Illinois at Chicago Institutional Review Board under protocol No. 2012-1092. Portions of this study have been presented in poster format at the 2013 Biennial Meeting of the Society for Research in Child Development in Seattle, WA on 18April2013andtheNationalSafeSchoolsRoundtable,Chicago,IL,November2012.Inaddition, someofthesedatawereincludedinapaperdetailingthecollaborativeprocess </w:t>
      </w:r>
      <w:proofErr w:type="spellStart"/>
      <w:r w:rsidRPr="002B438C">
        <w:rPr>
          <w:sz w:val="16"/>
        </w:rPr>
        <w:t>ofourUniversityCommunity</w:t>
      </w:r>
      <w:proofErr w:type="spellEnd"/>
      <w:r w:rsidRPr="002B438C">
        <w:rPr>
          <w:sz w:val="16"/>
        </w:rPr>
        <w:t xml:space="preserve"> Partnership, as noted in text. 71 Comprehensive and inclusive sexuality education Downloaded by 74.192.212.56 At 20:35 16 June 2017 (PT) In addition, parents’ lack of knowledge about sexuality education programming may obscure their support for sexual health information. Measuring support by specific topics, however, can help to overcome issues due to parents’ lack of knowledge about programming. </w:t>
      </w:r>
    </w:p>
    <w:p w:rsidR="00A02692" w:rsidRDefault="00A02692" w:rsidP="00A02692">
      <w:pPr>
        <w:rPr>
          <w:sz w:val="16"/>
        </w:rPr>
      </w:pPr>
    </w:p>
    <w:p w:rsidR="00A02692" w:rsidRDefault="00A02692" w:rsidP="00A02692">
      <w:pPr>
        <w:pStyle w:val="Heading4"/>
      </w:pPr>
      <w:r>
        <w:t>Parents aren’t the best source of information, and children often avoid discussions whilst forming an identity.</w:t>
      </w:r>
    </w:p>
    <w:p w:rsidR="00A02692" w:rsidRPr="00253E91" w:rsidRDefault="00A02692" w:rsidP="00A02692">
      <w:proofErr w:type="spellStart"/>
      <w:r w:rsidRPr="00253E91">
        <w:rPr>
          <w:rStyle w:val="Style13ptBold"/>
        </w:rPr>
        <w:t>Shtarkshall</w:t>
      </w:r>
      <w:proofErr w:type="spellEnd"/>
      <w:r w:rsidRPr="00253E91">
        <w:rPr>
          <w:rStyle w:val="Style13ptBold"/>
        </w:rPr>
        <w:t>, Santelli, and Hirsch 2k7</w:t>
      </w:r>
      <w:r>
        <w:t xml:space="preserve"> </w:t>
      </w:r>
      <w:r w:rsidRPr="00253E91">
        <w:rPr>
          <w:sz w:val="16"/>
          <w:szCs w:val="16"/>
        </w:rPr>
        <w:t xml:space="preserve">[Ronny A. </w:t>
      </w:r>
      <w:proofErr w:type="spellStart"/>
      <w:r w:rsidRPr="00253E91">
        <w:rPr>
          <w:sz w:val="16"/>
          <w:szCs w:val="16"/>
        </w:rPr>
        <w:t>Shtarkshall</w:t>
      </w:r>
      <w:proofErr w:type="spellEnd"/>
      <w:r w:rsidRPr="00253E91">
        <w:rPr>
          <w:sz w:val="16"/>
          <w:szCs w:val="16"/>
        </w:rPr>
        <w:t xml:space="preserve"> is head of the Social Science and Health Behavior Program, Braun School of Public Health, and of community medicine at the Hebrew University and Hadassah Medical Organization, Jerusalem. John S. Santelli is professor of clinical population and family health and clinical pediatrics, </w:t>
      </w:r>
      <w:proofErr w:type="spellStart"/>
      <w:r w:rsidRPr="00253E91">
        <w:rPr>
          <w:sz w:val="16"/>
          <w:szCs w:val="16"/>
        </w:rPr>
        <w:t>Heilbrunn</w:t>
      </w:r>
      <w:proofErr w:type="spellEnd"/>
      <w:r w:rsidRPr="00253E91">
        <w:rPr>
          <w:sz w:val="16"/>
          <w:szCs w:val="16"/>
        </w:rPr>
        <w:t xml:space="preserve"> Department of Population and Family Health; and Jennifer S. Hirsch is associate professor of </w:t>
      </w:r>
      <w:proofErr w:type="spellStart"/>
      <w:r w:rsidRPr="00253E91">
        <w:rPr>
          <w:sz w:val="16"/>
          <w:szCs w:val="16"/>
        </w:rPr>
        <w:t>sociomedical</w:t>
      </w:r>
      <w:proofErr w:type="spellEnd"/>
      <w:r w:rsidRPr="00253E91">
        <w:rPr>
          <w:sz w:val="16"/>
          <w:szCs w:val="16"/>
        </w:rPr>
        <w:t xml:space="preserve"> sciences—both at the Mailman School of Public Health, Columbia University, New York. </w:t>
      </w:r>
      <w:proofErr w:type="spellStart"/>
      <w:r w:rsidRPr="00253E91">
        <w:rPr>
          <w:sz w:val="16"/>
          <w:szCs w:val="16"/>
        </w:rPr>
        <w:t>Guttmacher</w:t>
      </w:r>
      <w:proofErr w:type="spellEnd"/>
      <w:r w:rsidRPr="00253E91">
        <w:rPr>
          <w:sz w:val="16"/>
          <w:szCs w:val="16"/>
        </w:rPr>
        <w:t xml:space="preserve"> institute, Sex Education and Sexual Socialization: Roles for Educators and Parents, </w:t>
      </w:r>
      <w:hyperlink r:id="rId132" w:history="1">
        <w:r w:rsidRPr="00253E91">
          <w:rPr>
            <w:rStyle w:val="Hyperlink"/>
            <w:sz w:val="16"/>
            <w:szCs w:val="16"/>
          </w:rPr>
          <w:t>https://www.guttmacher.org/journals/psrh/2007/sex-education-and-sexual-socialization-roles-educators-and-parents</w:t>
        </w:r>
      </w:hyperlink>
      <w:r w:rsidRPr="00253E91">
        <w:rPr>
          <w:sz w:val="16"/>
          <w:szCs w:val="16"/>
        </w:rPr>
        <w:t>] Calculus BC</w:t>
      </w:r>
    </w:p>
    <w:p w:rsidR="00A02692" w:rsidRPr="00253E91" w:rsidRDefault="00A02692" w:rsidP="00A02692">
      <w:pPr>
        <w:rPr>
          <w:u w:val="single"/>
        </w:rPr>
      </w:pPr>
      <w:r w:rsidRPr="00253E91">
        <w:rPr>
          <w:sz w:val="16"/>
        </w:rPr>
        <w:t xml:space="preserve">First, theories of adolescent development support the idea that </w:t>
      </w:r>
      <w:r w:rsidRPr="00253E91">
        <w:rPr>
          <w:u w:val="single"/>
        </w:rPr>
        <w:t>while parents are, and should be, the primary socializing agents for most children, they may not be the best providers of specific factual information and social skills training.</w:t>
      </w:r>
      <w:r w:rsidRPr="00253E91">
        <w:rPr>
          <w:sz w:val="16"/>
        </w:rPr>
        <w:t xml:space="preserve">14,15 During adolescence, a </w:t>
      </w:r>
      <w:r w:rsidRPr="00253E91">
        <w:rPr>
          <w:u w:val="single"/>
        </w:rPr>
        <w:t>young person begins to create a new identity, building upon parental role models but turning increasingly from parents to peers and social institutions, such as schools, to define his or her own social values.16,17 Erikson characterized this key developmental task as identity formation</w:t>
      </w:r>
      <w:r w:rsidRPr="00253E91">
        <w:rPr>
          <w:sz w:val="16"/>
        </w:rPr>
        <w:t xml:space="preserve">.15 As part of normal development, adolescents form new peer relationships and become increasingly interested in romantic and potentially intimate sexual partners. In addition, </w:t>
      </w:r>
      <w:r w:rsidRPr="00253E91">
        <w:rPr>
          <w:u w:val="single"/>
        </w:rPr>
        <w:t>adolescents crave privacy in a variety of realms, including matters related to their bodies and their relationships with peers. Consequently, parents often are the last persons an adolescent will consult for information about new physical and social realities; rather, peers, educators and other adults may become important new data sources and confidants. Second, research on parental influences on adolescent sexuality suggests that while parents influence their children in critical ways, they rarely provide the type of information that schools or health programs do</w:t>
      </w:r>
      <w:r w:rsidRPr="00253E91">
        <w:rPr>
          <w:sz w:val="16"/>
        </w:rPr>
        <w:t xml:space="preserve">.18 Parental monitoring and parent-adolescent relationship quality—forms of socialization—are strongly influential on adolescents’ sexual behaviors. Parental monitoring, or supervision of adolescents’ social activities, has been consistently associated with delayed sexual initiation and a decrease in sexual risk behavior.19–22 Adolescents who describe their relationship with at least one parent as warm and supportive, compared with those who do not describe their relationships this way, are more likely to delay the initiation of sexual activity and less likely to engage in frequent sexual intercourse.23–25 Connectedness to family (as well as to school) is another important factor in reducing adolescent sexual </w:t>
      </w:r>
      <w:proofErr w:type="spellStart"/>
      <w:r w:rsidRPr="00253E91">
        <w:rPr>
          <w:sz w:val="16"/>
        </w:rPr>
        <w:t>risktaking</w:t>
      </w:r>
      <w:proofErr w:type="spellEnd"/>
      <w:r w:rsidRPr="00253E91">
        <w:rPr>
          <w:sz w:val="16"/>
        </w:rPr>
        <w:t xml:space="preserve">. When parents disapprove of adolescent sexual activity, adolescents are less likely to be sexually active and, if they are sexually active, tend to have fewer sex partners.23,26,27 By itself, however, </w:t>
      </w:r>
      <w:r w:rsidRPr="00253E91">
        <w:rPr>
          <w:u w:val="single"/>
        </w:rPr>
        <w:t>verbal communication between parents and adolescents seems to have little or no influence on initiation of sexual intercourse or selected other sexual behaviors.28 Many adolescents find it difficult to talk to their parents about sex, and the majority of parents, especially fathers, feel uncomfortable broaching the subject.29,30 For example, in one study, adolescents reported that communications with their parents on sexual topics not only were infrequent, but commonly were limited in scope and included only certain family members (mothers and daughters, for example).30</w:t>
      </w:r>
      <w:r>
        <w:rPr>
          <w:u w:val="single"/>
        </w:rPr>
        <w:t xml:space="preserve"> Parents often have incomplete or inaccurate information on issues such as the medical effectiveness and safety of condoms and other contraceptives. In addition, communication with parents about sexual matters often happens only after adolescents initiate coitus.31 And finally, parents and adolescents often disagree on what was actually discussed, suggesting that parents may not be communicating the messages they think they are.</w:t>
      </w:r>
    </w:p>
    <w:p w:rsidR="00A02692" w:rsidRPr="001B429D" w:rsidRDefault="00A02692" w:rsidP="00A02692"/>
    <w:p w:rsidR="00A02692" w:rsidRDefault="00A02692" w:rsidP="00A02692">
      <w:pPr>
        <w:pStyle w:val="Heading3"/>
      </w:pPr>
      <w:r>
        <w:t>A2: religion</w:t>
      </w:r>
    </w:p>
    <w:p w:rsidR="00A02692" w:rsidRDefault="00A02692" w:rsidP="00A02692">
      <w:pPr>
        <w:pStyle w:val="Heading4"/>
      </w:pPr>
      <w:r>
        <w:t xml:space="preserve">The Vatican’s sex </w:t>
      </w:r>
      <w:proofErr w:type="spellStart"/>
      <w:r>
        <w:t>ed</w:t>
      </w:r>
      <w:proofErr w:type="spellEnd"/>
      <w:r>
        <w:t xml:space="preserve"> isn’t inclusive.</w:t>
      </w:r>
    </w:p>
    <w:p w:rsidR="00A02692" w:rsidRPr="00925D9A" w:rsidRDefault="00A02692" w:rsidP="00A02692">
      <w:r w:rsidRPr="00925D9A">
        <w:rPr>
          <w:rStyle w:val="Style13ptBold"/>
        </w:rPr>
        <w:t>Bradley 16</w:t>
      </w:r>
      <w:r>
        <w:t xml:space="preserve"> </w:t>
      </w:r>
      <w:r w:rsidRPr="00925D9A">
        <w:rPr>
          <w:sz w:val="16"/>
          <w:szCs w:val="16"/>
        </w:rPr>
        <w:t xml:space="preserve">[Glen Bradley, Staff Writer, new ways ministry, Revealing the Potential Harm of the Vatican’s Sex Education Curriculum, </w:t>
      </w:r>
      <w:hyperlink r:id="rId133" w:history="1">
        <w:r w:rsidRPr="00925D9A">
          <w:rPr>
            <w:rStyle w:val="Hyperlink"/>
            <w:sz w:val="16"/>
            <w:szCs w:val="16"/>
          </w:rPr>
          <w:t>https://newwaysministryblog.wordpress.com/2016/09/03/revealing-the-potential-harm-of-the-vaticans-sex-education-curriculum/</w:t>
        </w:r>
      </w:hyperlink>
      <w:r w:rsidRPr="00925D9A">
        <w:rPr>
          <w:sz w:val="16"/>
          <w:szCs w:val="16"/>
        </w:rPr>
        <w:t>] Calculus BC</w:t>
      </w:r>
    </w:p>
    <w:p w:rsidR="00A02692" w:rsidRPr="00925D9A" w:rsidRDefault="00A02692" w:rsidP="00A02692">
      <w:pPr>
        <w:rPr>
          <w:u w:val="single"/>
        </w:rPr>
      </w:pPr>
      <w:r w:rsidRPr="00925D9A">
        <w:rPr>
          <w:sz w:val="16"/>
        </w:rPr>
        <w:t xml:space="preserve">As </w:t>
      </w:r>
      <w:proofErr w:type="spellStart"/>
      <w:r w:rsidRPr="00925D9A">
        <w:rPr>
          <w:sz w:val="16"/>
        </w:rPr>
        <w:t>Bondings</w:t>
      </w:r>
      <w:proofErr w:type="spellEnd"/>
      <w:r w:rsidRPr="00925D9A">
        <w:rPr>
          <w:sz w:val="16"/>
        </w:rPr>
        <w:t xml:space="preserve"> 2.0 reported last week, </w:t>
      </w:r>
      <w:r w:rsidRPr="00925D9A">
        <w:rPr>
          <w:u w:val="single"/>
        </w:rPr>
        <w:t>the Vatican’s new sexual education program (The Meeting Point) inadequately educates youth on sexuality and gender because it does not include LGBTQ inclusive material and instead relies on strong heterosexist and cis-sexist biases–which privilege the lives and experiences of heterosexual people and people whose gender identity/expression conforms to societal norms and with their sex assigned at birth</w:t>
      </w:r>
      <w:r w:rsidRPr="00925D9A">
        <w:rPr>
          <w:sz w:val="16"/>
        </w:rPr>
        <w:t xml:space="preserve">. The Vatican’s negligent program excludes the reality of LGBTQ people in our world today and poses serious threats to all students–LGBTQ and straight-cisgender alike–by potentially negatively impacting their academic performance, personal development and health. </w:t>
      </w:r>
      <w:r w:rsidRPr="00925D9A">
        <w:rPr>
          <w:u w:val="single"/>
        </w:rPr>
        <w:t xml:space="preserve">Not only would students at Catholic schools be </w:t>
      </w:r>
      <w:proofErr w:type="spellStart"/>
      <w:r w:rsidRPr="00925D9A">
        <w:rPr>
          <w:u w:val="single"/>
        </w:rPr>
        <w:t>miseducated</w:t>
      </w:r>
      <w:proofErr w:type="spellEnd"/>
      <w:r w:rsidRPr="00925D9A">
        <w:rPr>
          <w:u w:val="single"/>
        </w:rPr>
        <w:t xml:space="preserve"> on the realities of sexuality and gender, research has found that sexual education excluding LGBTQ identities and relationships create health and development risks. GLSEN’s National School Climate Survey found that LGBTQ children who did not receive LGBTQ-inclusive sexual education programs were less likely to feel safe at school, more likely to miss school because they felt unsafe or uncomfortable less likely to feel comfortable talking about LGBTQ issues with school personnel less likely to be able to identify educators who were supportive of LGBTQ students (GLSEN).</w:t>
      </w:r>
    </w:p>
    <w:p w:rsidR="00A02692" w:rsidRPr="00A01C92" w:rsidRDefault="00A02692" w:rsidP="00A02692"/>
    <w:p w:rsidR="00A02692" w:rsidRPr="00531B4B" w:rsidRDefault="00A02692" w:rsidP="00A02692">
      <w:pPr>
        <w:pStyle w:val="Heading3"/>
      </w:pPr>
      <w:r w:rsidRPr="00531B4B">
        <w:t xml:space="preserve">Framing—continuum of violence </w:t>
      </w:r>
    </w:p>
    <w:p w:rsidR="00A02692" w:rsidRPr="00334F00" w:rsidRDefault="00A02692" w:rsidP="00A02692">
      <w:pPr>
        <w:pStyle w:val="Heading4"/>
        <w:tabs>
          <w:tab w:val="left" w:pos="7880"/>
        </w:tabs>
        <w:rPr>
          <w:rStyle w:val="Style13ptBold"/>
          <w:b/>
        </w:rPr>
      </w:pPr>
      <w:r>
        <w:rPr>
          <w:rStyle w:val="Style13ptBold"/>
          <w:b/>
        </w:rPr>
        <w:t xml:space="preserve">Prioritize structural violence—violence operates on a continuum that mediates the manifestation of direct violence and forms its condition of possibility. Reject a symptomatic approach to violence that normalizes everyday atrocities. </w:t>
      </w:r>
    </w:p>
    <w:p w:rsidR="00A02692" w:rsidRPr="007125AA" w:rsidRDefault="00A02692" w:rsidP="00A02692">
      <w:pPr>
        <w:rPr>
          <w:rStyle w:val="Style13ptBold"/>
          <w:b w:val="0"/>
        </w:rPr>
      </w:pPr>
      <w:proofErr w:type="spellStart"/>
      <w:r>
        <w:rPr>
          <w:rStyle w:val="Style13ptBold"/>
        </w:rPr>
        <w:t>Rylko</w:t>
      </w:r>
      <w:proofErr w:type="spellEnd"/>
      <w:r>
        <w:rPr>
          <w:rStyle w:val="Style13ptBold"/>
        </w:rPr>
        <w:t xml:space="preserve">-Bauer and Farmer </w:t>
      </w:r>
      <w:r w:rsidRPr="007125AA">
        <w:rPr>
          <w:rStyle w:val="Style13ptBold"/>
          <w:b w:val="0"/>
          <w:sz w:val="16"/>
          <w:szCs w:val="16"/>
        </w:rPr>
        <w:t xml:space="preserve">[Barbara and Paul. Barbara </w:t>
      </w:r>
      <w:proofErr w:type="spellStart"/>
      <w:r w:rsidRPr="007125AA">
        <w:rPr>
          <w:rStyle w:val="Style13ptBold"/>
          <w:b w:val="0"/>
          <w:sz w:val="16"/>
          <w:szCs w:val="16"/>
        </w:rPr>
        <w:t>Rylko</w:t>
      </w:r>
      <w:proofErr w:type="spellEnd"/>
      <w:r w:rsidRPr="007125AA">
        <w:rPr>
          <w:rStyle w:val="Style13ptBold"/>
          <w:b w:val="0"/>
          <w:sz w:val="16"/>
          <w:szCs w:val="16"/>
        </w:rPr>
        <w:t xml:space="preserve">-Bauer, Adjunct Associate Professor of Anthropology, Michigan State University. Paul Farmer, </w:t>
      </w:r>
      <w:proofErr w:type="spellStart"/>
      <w:r w:rsidRPr="007125AA">
        <w:rPr>
          <w:rStyle w:val="Style13ptBold"/>
          <w:b w:val="0"/>
          <w:sz w:val="16"/>
          <w:szCs w:val="16"/>
        </w:rPr>
        <w:t>Kolokotrones</w:t>
      </w:r>
      <w:proofErr w:type="spellEnd"/>
      <w:r w:rsidRPr="007125AA">
        <w:rPr>
          <w:rStyle w:val="Style13ptBold"/>
          <w:b w:val="0"/>
          <w:sz w:val="16"/>
          <w:szCs w:val="16"/>
        </w:rPr>
        <w:t xml:space="preserve"> University Professor of Global Health and Social Medicine, Harvard University. “Structural Violence, Poverty, and Social Suffering.” </w:t>
      </w:r>
      <w:r w:rsidRPr="007125AA">
        <w:rPr>
          <w:rStyle w:val="Style13ptBold"/>
          <w:b w:val="0"/>
          <w:i/>
          <w:sz w:val="16"/>
          <w:szCs w:val="16"/>
        </w:rPr>
        <w:t xml:space="preserve">The Oxford Handbook of the Social Science of Poverty. </w:t>
      </w:r>
      <w:r w:rsidRPr="007125AA">
        <w:rPr>
          <w:rStyle w:val="Style13ptBold"/>
          <w:b w:val="0"/>
          <w:sz w:val="16"/>
          <w:szCs w:val="16"/>
        </w:rPr>
        <w:t>May 2016. Edited by David Brady and Linda M. Burton.]</w:t>
      </w:r>
    </w:p>
    <w:p w:rsidR="00A02692" w:rsidRPr="007125AA" w:rsidRDefault="00A02692" w:rsidP="00A02692">
      <w:pPr>
        <w:rPr>
          <w:sz w:val="16"/>
        </w:rPr>
      </w:pPr>
      <w:r w:rsidRPr="007125AA">
        <w:rPr>
          <w:sz w:val="16"/>
        </w:rPr>
        <w:t xml:space="preserve">In an effort to address violence as a global public health problem, the World Health Organization (WHO), developed a typology (Krug et al. 2002) that focuses on </w:t>
      </w:r>
      <w:r w:rsidRPr="007125AA">
        <w:rPr>
          <w:rStyle w:val="StyleUnderline"/>
        </w:rPr>
        <w:t>a</w:t>
      </w:r>
      <w:r w:rsidRPr="007125AA">
        <w:rPr>
          <w:sz w:val="16"/>
        </w:rPr>
        <w:t xml:space="preserve"> (p. 53) “</w:t>
      </w:r>
      <w:r w:rsidRPr="007125AA">
        <w:rPr>
          <w:rStyle w:val="StyleUnderline"/>
        </w:rPr>
        <w:t>minimalist” notion of violence as direct and physical force</w:t>
      </w:r>
      <w:r w:rsidRPr="007125AA">
        <w:rPr>
          <w:sz w:val="16"/>
        </w:rPr>
        <w:t>, with no mention of structural violence despite recognizing poverty as an important risk factor in all kinds of violence (</w:t>
      </w:r>
      <w:proofErr w:type="spellStart"/>
      <w:r w:rsidRPr="007125AA">
        <w:rPr>
          <w:sz w:val="16"/>
        </w:rPr>
        <w:t>Bufacchi</w:t>
      </w:r>
      <w:proofErr w:type="spellEnd"/>
      <w:r w:rsidRPr="007125AA">
        <w:rPr>
          <w:sz w:val="16"/>
        </w:rPr>
        <w:t xml:space="preserve"> 2007:23; Perry 2009:377). As this example illustrates, typologies of violence, while useful (Rutherford et al. 2007), </w:t>
      </w:r>
      <w:r w:rsidRPr="007125AA">
        <w:rPr>
          <w:rStyle w:val="StyleUnderline"/>
        </w:rPr>
        <w:t>can lead to narrow conceptualizations of social issues</w:t>
      </w:r>
      <w:r w:rsidRPr="007125AA">
        <w:rPr>
          <w:sz w:val="16"/>
        </w:rPr>
        <w:t xml:space="preserve">. In addition, within real-life contexts, such categories are fluid and not so easily delineated. For example, in their discussion of how </w:t>
      </w:r>
      <w:r w:rsidRPr="007125AA">
        <w:rPr>
          <w:rStyle w:val="StyleUnderline"/>
        </w:rPr>
        <w:t>interpersonal physical violence</w:t>
      </w:r>
      <w:r w:rsidRPr="007125AA">
        <w:rPr>
          <w:sz w:val="16"/>
        </w:rPr>
        <w:t xml:space="preserve"> becomes a routine part of everyday urban life for vulnerable and marginalized groups, Singer and Erickson (2011a) identify the subsets of “street violence” and “private violence,” subcategories that often overlap or merge. Rape, especially gang rape, can be a form of street violence but most often (certainly in the United States) occurs out of public view. In both instances it </w:t>
      </w:r>
      <w:r w:rsidRPr="007125AA">
        <w:rPr>
          <w:rStyle w:val="StyleUnderline"/>
        </w:rPr>
        <w:t>is often linked to structural factors, such as poverty and gender inequality, and to sociocultural meanings ascribed to women and their bodies. Rape can also be political violence when used systematically as a weapon of aggression or war</w:t>
      </w:r>
      <w:r w:rsidRPr="007125AA">
        <w:rPr>
          <w:sz w:val="16"/>
        </w:rPr>
        <w:t xml:space="preserve"> (Stark and </w:t>
      </w:r>
      <w:proofErr w:type="spellStart"/>
      <w:r w:rsidRPr="007125AA">
        <w:rPr>
          <w:sz w:val="16"/>
        </w:rPr>
        <w:t>Wessells</w:t>
      </w:r>
      <w:proofErr w:type="spellEnd"/>
      <w:r w:rsidRPr="007125AA">
        <w:rPr>
          <w:sz w:val="16"/>
        </w:rPr>
        <w:t xml:space="preserve"> 2012), and its consequences often lead to increased structural violence. </w:t>
      </w:r>
      <w:r w:rsidRPr="007125AA">
        <w:rPr>
          <w:rStyle w:val="StyleUnderline"/>
        </w:rPr>
        <w:t>The global distribution of the AIDS epidemic, for example, is determined to a large degree by structural violence and “rape is a major factor driving the AIDS epidemic</w:t>
      </w:r>
      <w:r w:rsidRPr="007125AA">
        <w:rPr>
          <w:sz w:val="16"/>
        </w:rPr>
        <w:t xml:space="preserve">” (Mukherjee 2007:117). In such circumstances, </w:t>
      </w:r>
      <w:r w:rsidRPr="007125AA">
        <w:rPr>
          <w:rStyle w:val="StyleUnderline"/>
        </w:rPr>
        <w:t>rape encompasses several kinds of violence, with roots well established in “peacetime meanings of sexuality</w:t>
      </w:r>
      <w:r w:rsidRPr="007125AA">
        <w:rPr>
          <w:sz w:val="16"/>
        </w:rPr>
        <w:t>” (</w:t>
      </w:r>
      <w:proofErr w:type="spellStart"/>
      <w:r w:rsidRPr="007125AA">
        <w:rPr>
          <w:sz w:val="16"/>
        </w:rPr>
        <w:t>Olujic</w:t>
      </w:r>
      <w:proofErr w:type="spellEnd"/>
      <w:r w:rsidRPr="007125AA">
        <w:rPr>
          <w:sz w:val="16"/>
        </w:rPr>
        <w:t xml:space="preserve"> 1998b:33). Similarly, in the context of refugee and IDP (internally displaced persons) camps, rape may have all of these connotations and be a manifestation of structural violence, since it goes largely unreported and is often dismissed by humanitarian organizations and their staff as an “unfortunate” part of the refugee context (</w:t>
      </w:r>
      <w:proofErr w:type="spellStart"/>
      <w:r w:rsidRPr="007125AA">
        <w:rPr>
          <w:sz w:val="16"/>
        </w:rPr>
        <w:t>Whiteford</w:t>
      </w:r>
      <w:proofErr w:type="spellEnd"/>
      <w:r w:rsidRPr="007125AA">
        <w:rPr>
          <w:sz w:val="16"/>
        </w:rPr>
        <w:t xml:space="preserve"> 2009). </w:t>
      </w:r>
      <w:r w:rsidRPr="007125AA">
        <w:rPr>
          <w:rStyle w:val="StyleUnderline"/>
        </w:rPr>
        <w:t>This complex relationship between direct and structural violence was noted</w:t>
      </w:r>
      <w:r w:rsidRPr="007125AA">
        <w:rPr>
          <w:sz w:val="16"/>
        </w:rPr>
        <w:t xml:space="preserve"> over 150 years ago </w:t>
      </w:r>
      <w:r w:rsidRPr="007125AA">
        <w:rPr>
          <w:rStyle w:val="StyleUnderline"/>
        </w:rPr>
        <w:t xml:space="preserve">by German physician and anthropologist </w:t>
      </w:r>
      <w:proofErr w:type="spellStart"/>
      <w:r w:rsidRPr="007125AA">
        <w:rPr>
          <w:rStyle w:val="StyleUnderline"/>
        </w:rPr>
        <w:t>Rudoph</w:t>
      </w:r>
      <w:proofErr w:type="spellEnd"/>
      <w:r w:rsidRPr="007125AA">
        <w:rPr>
          <w:rStyle w:val="StyleUnderline"/>
        </w:rPr>
        <w:t xml:space="preserve"> Virchow, who wrote that “war, plague and famine condition each other</w:t>
      </w:r>
      <w:r w:rsidRPr="007125AA">
        <w:rPr>
          <w:sz w:val="16"/>
        </w:rPr>
        <w:t xml:space="preserve">” (cited in Rather 1985:115). There is ample evidence that war and political violence have grave impacts on the health and well-being of individuals, communities, and nations—beyond the immediacy of conflict-induced injury and death (Geneva Declaration Secretariat 2008; Levy and </w:t>
      </w:r>
      <w:proofErr w:type="spellStart"/>
      <w:r w:rsidRPr="007125AA">
        <w:rPr>
          <w:sz w:val="16"/>
        </w:rPr>
        <w:t>Sidel</w:t>
      </w:r>
      <w:proofErr w:type="spellEnd"/>
      <w:r w:rsidRPr="007125AA">
        <w:rPr>
          <w:sz w:val="16"/>
        </w:rPr>
        <w:t xml:space="preserve"> 2008; Pedersen 2002; </w:t>
      </w:r>
      <w:proofErr w:type="spellStart"/>
      <w:r w:rsidRPr="007125AA">
        <w:rPr>
          <w:sz w:val="16"/>
        </w:rPr>
        <w:t>Taipale</w:t>
      </w:r>
      <w:proofErr w:type="spellEnd"/>
      <w:r w:rsidRPr="007125AA">
        <w:rPr>
          <w:sz w:val="16"/>
        </w:rPr>
        <w:t xml:space="preserve"> et al. 2002). Anthropologists, in particular, have shown that war and conflict not only affect infrastructures supporting local health care, education, markets, and farming activities, but also disrupt families and community support systems, damage the environment, interrupt means of livelihood, and displace populations (Leatherman and Thomas 2008; </w:t>
      </w:r>
      <w:proofErr w:type="spellStart"/>
      <w:r w:rsidRPr="007125AA">
        <w:rPr>
          <w:sz w:val="16"/>
        </w:rPr>
        <w:t>Rylko</w:t>
      </w:r>
      <w:proofErr w:type="spellEnd"/>
      <w:r w:rsidRPr="007125AA">
        <w:rPr>
          <w:sz w:val="16"/>
        </w:rPr>
        <w:t xml:space="preserve">-Bauer and Singer 2010; </w:t>
      </w:r>
      <w:proofErr w:type="spellStart"/>
      <w:r w:rsidRPr="007125AA">
        <w:rPr>
          <w:sz w:val="16"/>
        </w:rPr>
        <w:t>Rylko</w:t>
      </w:r>
      <w:proofErr w:type="spellEnd"/>
      <w:r w:rsidRPr="007125AA">
        <w:rPr>
          <w:sz w:val="16"/>
        </w:rPr>
        <w:t xml:space="preserve">-Bauer, </w:t>
      </w:r>
      <w:proofErr w:type="spellStart"/>
      <w:r w:rsidRPr="007125AA">
        <w:rPr>
          <w:sz w:val="16"/>
        </w:rPr>
        <w:t>Whiteford</w:t>
      </w:r>
      <w:proofErr w:type="spellEnd"/>
      <w:r w:rsidRPr="007125AA">
        <w:rPr>
          <w:sz w:val="16"/>
        </w:rPr>
        <w:t xml:space="preserve">, and Farmer 2009; Singer and Hodge 2010). These </w:t>
      </w:r>
      <w:r w:rsidRPr="007125AA">
        <w:rPr>
          <w:rStyle w:val="StyleUnderline"/>
        </w:rPr>
        <w:t>impacts are often mediated by preexisting forms of structural violence which, in the aftermath of conflict, contribute to even greater levels of poverty, political marginalization, and racism</w:t>
      </w:r>
      <w:r w:rsidRPr="007125AA">
        <w:rPr>
          <w:sz w:val="16"/>
        </w:rPr>
        <w:t xml:space="preserve"> (</w:t>
      </w:r>
      <w:proofErr w:type="spellStart"/>
      <w:r w:rsidRPr="007125AA">
        <w:rPr>
          <w:sz w:val="16"/>
        </w:rPr>
        <w:t>Fassin</w:t>
      </w:r>
      <w:proofErr w:type="spellEnd"/>
      <w:r w:rsidRPr="007125AA">
        <w:rPr>
          <w:sz w:val="16"/>
        </w:rPr>
        <w:t xml:space="preserve"> 2009; Miller and Rasmussen 2010; Nordstrom 2004; </w:t>
      </w:r>
      <w:proofErr w:type="spellStart"/>
      <w:r w:rsidRPr="007125AA">
        <w:rPr>
          <w:sz w:val="16"/>
        </w:rPr>
        <w:t>Panter</w:t>
      </w:r>
      <w:proofErr w:type="spellEnd"/>
      <w:r w:rsidRPr="007125AA">
        <w:rPr>
          <w:sz w:val="16"/>
        </w:rPr>
        <w:t xml:space="preserve">-Brick 2010; Quesada 2009). Moreover, these consequences often have a long half-life (Becker, </w:t>
      </w:r>
      <w:proofErr w:type="spellStart"/>
      <w:r w:rsidRPr="007125AA">
        <w:rPr>
          <w:sz w:val="16"/>
        </w:rPr>
        <w:t>Beyene</w:t>
      </w:r>
      <w:proofErr w:type="spellEnd"/>
      <w:r w:rsidRPr="007125AA">
        <w:rPr>
          <w:sz w:val="16"/>
        </w:rPr>
        <w:t xml:space="preserve">, and Ken 2000; Das 2007; Johnston 2007, 2011; Johnston and Barker 2008). </w:t>
      </w:r>
      <w:r w:rsidRPr="007125AA">
        <w:rPr>
          <w:rStyle w:val="StyleUnderline"/>
        </w:rPr>
        <w:t>Women are especially victimized by multiple forms of violence, which often interact and are shaped by both gendered dimensions of conflict and preexisting gender discrimination</w:t>
      </w:r>
      <w:r w:rsidRPr="007125AA">
        <w:rPr>
          <w:sz w:val="16"/>
        </w:rPr>
        <w:t xml:space="preserve"> (Annan and Brier 2010). And children are (p. 54) particularly vulnerable, but the “costs [they] pay for the actions of war and its devastating aftermath … are often neglected” (Quesada 1998:64–65; see also Kent 2006; McEvoy-Levy 2001; Nordstrom 2009; </w:t>
      </w:r>
      <w:proofErr w:type="spellStart"/>
      <w:r w:rsidRPr="007125AA">
        <w:rPr>
          <w:sz w:val="16"/>
        </w:rPr>
        <w:t>Olujic</w:t>
      </w:r>
      <w:proofErr w:type="spellEnd"/>
      <w:r w:rsidRPr="007125AA">
        <w:rPr>
          <w:sz w:val="16"/>
        </w:rPr>
        <w:t xml:space="preserve"> 1998a). </w:t>
      </w:r>
      <w:r w:rsidRPr="007125AA">
        <w:rPr>
          <w:rStyle w:val="StyleUnderline"/>
        </w:rPr>
        <w:t>Structural violence, in turn, contributes in complex ways to the preconditions for explosive direct violence</w:t>
      </w:r>
      <w:r w:rsidRPr="007125AA">
        <w:rPr>
          <w:sz w:val="16"/>
        </w:rPr>
        <w:t xml:space="preserve"> (</w:t>
      </w:r>
      <w:proofErr w:type="spellStart"/>
      <w:r w:rsidRPr="007125AA">
        <w:rPr>
          <w:sz w:val="16"/>
        </w:rPr>
        <w:t>Bonnefoy</w:t>
      </w:r>
      <w:proofErr w:type="spellEnd"/>
      <w:r w:rsidRPr="007125AA">
        <w:rPr>
          <w:sz w:val="16"/>
        </w:rPr>
        <w:t xml:space="preserve">, </w:t>
      </w:r>
      <w:proofErr w:type="spellStart"/>
      <w:r w:rsidRPr="007125AA">
        <w:rPr>
          <w:sz w:val="16"/>
        </w:rPr>
        <w:t>Burgat</w:t>
      </w:r>
      <w:proofErr w:type="spellEnd"/>
      <w:r w:rsidRPr="007125AA">
        <w:rPr>
          <w:sz w:val="16"/>
        </w:rPr>
        <w:t xml:space="preserve">, and </w:t>
      </w:r>
      <w:proofErr w:type="spellStart"/>
      <w:r w:rsidRPr="007125AA">
        <w:rPr>
          <w:sz w:val="16"/>
        </w:rPr>
        <w:t>Menoret</w:t>
      </w:r>
      <w:proofErr w:type="spellEnd"/>
      <w:r w:rsidRPr="007125AA">
        <w:rPr>
          <w:sz w:val="16"/>
        </w:rPr>
        <w:t xml:space="preserve"> 2011; </w:t>
      </w:r>
      <w:proofErr w:type="spellStart"/>
      <w:r w:rsidRPr="007125AA">
        <w:rPr>
          <w:sz w:val="16"/>
        </w:rPr>
        <w:t>Rylko</w:t>
      </w:r>
      <w:proofErr w:type="spellEnd"/>
      <w:r w:rsidRPr="007125AA">
        <w:rPr>
          <w:sz w:val="16"/>
        </w:rPr>
        <w:t xml:space="preserve">-Bauer and Singer 2010; </w:t>
      </w:r>
      <w:proofErr w:type="spellStart"/>
      <w:r w:rsidRPr="007125AA">
        <w:rPr>
          <w:sz w:val="16"/>
        </w:rPr>
        <w:t>Rylko</w:t>
      </w:r>
      <w:proofErr w:type="spellEnd"/>
      <w:r w:rsidRPr="007125AA">
        <w:rPr>
          <w:sz w:val="16"/>
        </w:rPr>
        <w:t xml:space="preserve">-Bauer et al. 2009; Singer and Hodge 2010). </w:t>
      </w:r>
      <w:r w:rsidRPr="007125AA">
        <w:rPr>
          <w:rStyle w:val="StyleUnderline"/>
        </w:rPr>
        <w:t>Armed conflict is more likely in low to middle-income countries with slower economic growth, greater gaps in income and resource distribution, and high rates of poverty, hunger, and poor health</w:t>
      </w:r>
      <w:r w:rsidRPr="007125AA">
        <w:rPr>
          <w:sz w:val="16"/>
        </w:rPr>
        <w:t xml:space="preserve"> (Krug et al. 2002; </w:t>
      </w:r>
      <w:proofErr w:type="spellStart"/>
      <w:r w:rsidRPr="007125AA">
        <w:rPr>
          <w:sz w:val="16"/>
        </w:rPr>
        <w:t>Pinstrup</w:t>
      </w:r>
      <w:proofErr w:type="spellEnd"/>
      <w:r w:rsidRPr="007125AA">
        <w:rPr>
          <w:sz w:val="16"/>
        </w:rPr>
        <w:t xml:space="preserve">-Andersen and </w:t>
      </w:r>
      <w:proofErr w:type="spellStart"/>
      <w:r w:rsidRPr="007125AA">
        <w:rPr>
          <w:sz w:val="16"/>
        </w:rPr>
        <w:t>Shimokawa</w:t>
      </w:r>
      <w:proofErr w:type="spellEnd"/>
      <w:r w:rsidRPr="007125AA">
        <w:rPr>
          <w:sz w:val="16"/>
        </w:rPr>
        <w:t xml:space="preserve"> 2008; Stewart 2002). Structural violence has even been examined as a form of genocide (Ahmed 2007; Lewy 2007). Rwanda is a compelling example. Decades of colonial and imperialist exploitation, coupled with the construction of ethnic difference, laid the groundwork for the explosive violence of 1994 (Farmer 2009). Western development aid ignored structural inequities and human rights violations, thus contributing to already existing poverty, unequal distribution of land and resources, social exclusion, and class divisions—so that by “the 1990s, the interaction between structural violence and racism created the conditions for genocidal manipulation by the elites” (</w:t>
      </w:r>
      <w:proofErr w:type="spellStart"/>
      <w:r w:rsidRPr="007125AA">
        <w:rPr>
          <w:sz w:val="16"/>
        </w:rPr>
        <w:t>Uvin</w:t>
      </w:r>
      <w:proofErr w:type="spellEnd"/>
      <w:r w:rsidRPr="007125AA">
        <w:rPr>
          <w:sz w:val="16"/>
        </w:rPr>
        <w:t xml:space="preserve"> 1999:54). Several models have been proposed for exploring how </w:t>
      </w:r>
      <w:r w:rsidRPr="007125AA">
        <w:rPr>
          <w:rStyle w:val="StyleUnderline"/>
        </w:rPr>
        <w:t>both direct and indirect violence serve as precursors to collective physical violence</w:t>
      </w:r>
      <w:r w:rsidRPr="007125AA">
        <w:rPr>
          <w:sz w:val="16"/>
        </w:rPr>
        <w:t xml:space="preserve"> (De Jong 2010). One example is the notion of </w:t>
      </w:r>
      <w:r w:rsidRPr="007125AA">
        <w:rPr>
          <w:rStyle w:val="StyleUnderline"/>
        </w:rPr>
        <w:t>a continuum of violence</w:t>
      </w:r>
      <w:r w:rsidRPr="007125AA">
        <w:rPr>
          <w:sz w:val="16"/>
        </w:rPr>
        <w:t xml:space="preserve"> (</w:t>
      </w:r>
      <w:proofErr w:type="spellStart"/>
      <w:r w:rsidRPr="007125AA">
        <w:rPr>
          <w:sz w:val="16"/>
        </w:rPr>
        <w:t>Scheper</w:t>
      </w:r>
      <w:proofErr w:type="spellEnd"/>
      <w:r w:rsidRPr="007125AA">
        <w:rPr>
          <w:sz w:val="16"/>
        </w:rPr>
        <w:t xml:space="preserve">-Hughes 1996, 2007; </w:t>
      </w:r>
      <w:proofErr w:type="spellStart"/>
      <w:r w:rsidRPr="007125AA">
        <w:rPr>
          <w:sz w:val="16"/>
        </w:rPr>
        <w:t>Scheper</w:t>
      </w:r>
      <w:proofErr w:type="spellEnd"/>
      <w:r w:rsidRPr="007125AA">
        <w:rPr>
          <w:sz w:val="16"/>
        </w:rPr>
        <w:t xml:space="preserve">-Hughes and </w:t>
      </w:r>
      <w:proofErr w:type="spellStart"/>
      <w:r w:rsidRPr="007125AA">
        <w:rPr>
          <w:sz w:val="16"/>
        </w:rPr>
        <w:t>Bourgois</w:t>
      </w:r>
      <w:proofErr w:type="spellEnd"/>
      <w:r w:rsidRPr="007125AA">
        <w:rPr>
          <w:sz w:val="16"/>
        </w:rPr>
        <w:t xml:space="preserve"> 2004), </w:t>
      </w:r>
      <w:r w:rsidRPr="007125AA">
        <w:rPr>
          <w:rStyle w:val="StyleUnderline"/>
        </w:rPr>
        <w:t>based on the recognition that social tolerance of “everyday” structural violence, and the humiliation that accompanies it, sets the stage for normalization of more overt and visible forms, from police brutality and state-directed political violence to massacres and genocides</w:t>
      </w:r>
      <w:r w:rsidRPr="007125AA">
        <w:rPr>
          <w:sz w:val="16"/>
        </w:rPr>
        <w:t xml:space="preserve"> (</w:t>
      </w:r>
      <w:proofErr w:type="spellStart"/>
      <w:r w:rsidRPr="007125AA">
        <w:rPr>
          <w:sz w:val="16"/>
        </w:rPr>
        <w:t>Scheper</w:t>
      </w:r>
      <w:proofErr w:type="spellEnd"/>
      <w:r w:rsidRPr="007125AA">
        <w:rPr>
          <w:sz w:val="16"/>
        </w:rPr>
        <w:t xml:space="preserve">-Hughes 1996; </w:t>
      </w:r>
      <w:proofErr w:type="spellStart"/>
      <w:r w:rsidRPr="007125AA">
        <w:rPr>
          <w:sz w:val="16"/>
        </w:rPr>
        <w:t>Uvin</w:t>
      </w:r>
      <w:proofErr w:type="spellEnd"/>
      <w:r w:rsidRPr="007125AA">
        <w:rPr>
          <w:sz w:val="16"/>
        </w:rPr>
        <w:t xml:space="preserve"> 1999). This is particularly applicable to Latin America where there has been a shift from the brutal political violence of the latter twentieth century to the more recent growth in criminal and interpersonal violence (</w:t>
      </w:r>
      <w:proofErr w:type="spellStart"/>
      <w:r w:rsidRPr="007125AA">
        <w:rPr>
          <w:sz w:val="16"/>
        </w:rPr>
        <w:t>Briceño</w:t>
      </w:r>
      <w:proofErr w:type="spellEnd"/>
      <w:r w:rsidRPr="007125AA">
        <w:rPr>
          <w:sz w:val="16"/>
        </w:rPr>
        <w:t xml:space="preserve">-León and </w:t>
      </w:r>
      <w:proofErr w:type="spellStart"/>
      <w:r w:rsidRPr="007125AA">
        <w:rPr>
          <w:sz w:val="16"/>
        </w:rPr>
        <w:t>Zubillaga</w:t>
      </w:r>
      <w:proofErr w:type="spellEnd"/>
      <w:r w:rsidRPr="007125AA">
        <w:rPr>
          <w:sz w:val="16"/>
        </w:rPr>
        <w:t xml:space="preserve"> 2002; Sanchez 2006). These rates correlate with lower levels of development and higher income inequality within the region (Bliss 2010; United Nations Office on Drugs and Crime 2011). While conventional analyses link these trends to drug trafficking, gang membership, readily available firearms, and a weak criminal justice system (World Bank 2011), a number of anthropologists see a deeper link with the past (</w:t>
      </w:r>
      <w:proofErr w:type="spellStart"/>
      <w:r w:rsidRPr="007125AA">
        <w:rPr>
          <w:sz w:val="16"/>
        </w:rPr>
        <w:t>Bourgois</w:t>
      </w:r>
      <w:proofErr w:type="spellEnd"/>
      <w:r w:rsidRPr="007125AA">
        <w:rPr>
          <w:sz w:val="16"/>
        </w:rPr>
        <w:t xml:space="preserve"> 2001; </w:t>
      </w:r>
      <w:proofErr w:type="spellStart"/>
      <w:r w:rsidRPr="007125AA">
        <w:rPr>
          <w:sz w:val="16"/>
        </w:rPr>
        <w:t>Heggenhougen</w:t>
      </w:r>
      <w:proofErr w:type="spellEnd"/>
      <w:r w:rsidRPr="007125AA">
        <w:rPr>
          <w:sz w:val="16"/>
        </w:rPr>
        <w:t xml:space="preserve"> 2009; </w:t>
      </w:r>
      <w:proofErr w:type="spellStart"/>
      <w:r w:rsidRPr="007125AA">
        <w:rPr>
          <w:sz w:val="16"/>
        </w:rPr>
        <w:t>Manz</w:t>
      </w:r>
      <w:proofErr w:type="spellEnd"/>
      <w:r w:rsidRPr="007125AA">
        <w:rPr>
          <w:sz w:val="16"/>
        </w:rPr>
        <w:t xml:space="preserve"> 2009; Metz, Mariano, and García 2010), a “continuum of violence spanning the civil war years to the present … [the] outcome of a history of structural violence, gender norms, and political repression” as well as racism directed against indigenous populations (</w:t>
      </w:r>
      <w:proofErr w:type="spellStart"/>
      <w:r w:rsidRPr="007125AA">
        <w:rPr>
          <w:sz w:val="16"/>
        </w:rPr>
        <w:t>Bourgois</w:t>
      </w:r>
      <w:proofErr w:type="spellEnd"/>
      <w:r w:rsidRPr="007125AA">
        <w:rPr>
          <w:sz w:val="16"/>
        </w:rPr>
        <w:t xml:space="preserve"> 2009:36). Layered upon this legacy of political violence is the more recent “structural violence [of] rampant economic inequality, social exclusion, and persistent poverty arising from the imposition of neoliberal economic policies,” namely structural adjustment programs linked to development aid and unfair international trade agreements (Sanchez 2006:179; Quesada 2009). Similar processes in other parts of the Global South have exacerbated the poverty, dislocation, and lack of jobs in the (p. 55) formal economy that serve “as a trigger” for growing rates of “reactive” social and criminal violence (Winton 2004:166–67). Understanding Invisible Violence Structural violence is only one among several forms of less visible violence that are interconnected in complex ways. Anthropologist Philippe </w:t>
      </w:r>
      <w:proofErr w:type="spellStart"/>
      <w:r w:rsidRPr="007125AA">
        <w:rPr>
          <w:sz w:val="16"/>
        </w:rPr>
        <w:t>Bourgois</w:t>
      </w:r>
      <w:proofErr w:type="spellEnd"/>
      <w:r w:rsidRPr="007125AA">
        <w:rPr>
          <w:sz w:val="16"/>
        </w:rPr>
        <w:t xml:space="preserve"> (2009) has proposed a conceptual framework for critically examining how </w:t>
      </w:r>
      <w:r w:rsidRPr="007125AA">
        <w:rPr>
          <w:rStyle w:val="StyleUnderline"/>
        </w:rPr>
        <w:t>the invisible processes of structural, as well as symbolic, and normalized violence are linked across time and space to various kinds of direct violence. A central element in all three concepts is the normalization of unequal power relations. Symbolic violence</w:t>
      </w:r>
      <w:r w:rsidRPr="007125AA">
        <w:rPr>
          <w:sz w:val="16"/>
        </w:rPr>
        <w:t xml:space="preserve"> is associated with sociologist Pierre Bourdieu (2000) and </w:t>
      </w:r>
      <w:r w:rsidRPr="007125AA">
        <w:rPr>
          <w:rStyle w:val="StyleUnderline"/>
        </w:rPr>
        <w:t>refers to sociocultural mechanisms and relations of unequal power and domination that exist within interpersonal relationships and in other spheres of life</w:t>
      </w:r>
      <w:r w:rsidRPr="007125AA">
        <w:rPr>
          <w:sz w:val="16"/>
        </w:rPr>
        <w:t xml:space="preserve">. It is </w:t>
      </w:r>
      <w:r w:rsidRPr="007125AA">
        <w:rPr>
          <w:rStyle w:val="StyleUnderline"/>
        </w:rPr>
        <w:t>embedded in ordinary daily life, manifested through language, symbolism, and actions that are perceived by both perpetrator and victim as normal or deserved</w:t>
      </w:r>
      <w:r w:rsidRPr="007125AA">
        <w:rPr>
          <w:sz w:val="16"/>
        </w:rPr>
        <w:t xml:space="preserve">, a legitimate and inevitable part of the natural social order. “Symbolic violence is … so powerful precisely because it is unrecognizable for what it is.” Its power “rests precisely in its lack of visibility—in the fact that for those exposed to it the doubts and the fear engendered by it cause them to question themselves” (Morgan and </w:t>
      </w:r>
      <w:proofErr w:type="spellStart"/>
      <w:r w:rsidRPr="007125AA">
        <w:rPr>
          <w:sz w:val="16"/>
        </w:rPr>
        <w:t>Björkert</w:t>
      </w:r>
      <w:proofErr w:type="spellEnd"/>
      <w:r w:rsidRPr="007125AA">
        <w:rPr>
          <w:sz w:val="16"/>
        </w:rPr>
        <w:t xml:space="preserve"> 2006:448). A classic example is that of intimate partner violence, where women blame themselves and are blamed by others for the violence perpetrated against them. Symbolic violence harms both psychologically and emotionally and is often used to justify everyday interpersonal and structural violence, as </w:t>
      </w:r>
      <w:proofErr w:type="spellStart"/>
      <w:r w:rsidRPr="007125AA">
        <w:rPr>
          <w:sz w:val="16"/>
        </w:rPr>
        <w:t>Simić</w:t>
      </w:r>
      <w:proofErr w:type="spellEnd"/>
      <w:r w:rsidRPr="007125AA">
        <w:rPr>
          <w:sz w:val="16"/>
        </w:rPr>
        <w:t xml:space="preserve"> and Rhodes (2009) demonstrate in their study of street sex workers in Serbia. Similarly, in his research of Puerto Rican crack dealers in New York’s East Harlem, </w:t>
      </w:r>
      <w:proofErr w:type="spellStart"/>
      <w:r w:rsidRPr="007125AA">
        <w:rPr>
          <w:sz w:val="16"/>
        </w:rPr>
        <w:t>Bourgois</w:t>
      </w:r>
      <w:proofErr w:type="spellEnd"/>
      <w:r w:rsidRPr="007125AA">
        <w:rPr>
          <w:sz w:val="16"/>
        </w:rPr>
        <w:t xml:space="preserve"> (2003) shows how </w:t>
      </w:r>
      <w:r w:rsidRPr="007125AA">
        <w:rPr>
          <w:rStyle w:val="StyleUnderline"/>
        </w:rPr>
        <w:t>structural and symbolic violence interact and set conditions for the everyday interpersonal conflicts</w:t>
      </w:r>
      <w:r w:rsidRPr="007125AA">
        <w:rPr>
          <w:sz w:val="16"/>
        </w:rPr>
        <w:t xml:space="preserve"> “that the socially vulnerable inflict mainly onto themselves (via substance abuse), onto their kin and friends (through domestic violence and adolescent gang rape), and onto their neighbors and community” (</w:t>
      </w:r>
      <w:proofErr w:type="spellStart"/>
      <w:r w:rsidRPr="007125AA">
        <w:rPr>
          <w:sz w:val="16"/>
        </w:rPr>
        <w:t>Bourgois</w:t>
      </w:r>
      <w:proofErr w:type="spellEnd"/>
      <w:r w:rsidRPr="007125AA">
        <w:rPr>
          <w:sz w:val="16"/>
        </w:rPr>
        <w:t xml:space="preserve"> 2001:11). The normalized violence that </w:t>
      </w:r>
      <w:proofErr w:type="spellStart"/>
      <w:r w:rsidRPr="007125AA">
        <w:rPr>
          <w:sz w:val="16"/>
        </w:rPr>
        <w:t>Bourgois</w:t>
      </w:r>
      <w:proofErr w:type="spellEnd"/>
      <w:r w:rsidRPr="007125AA">
        <w:rPr>
          <w:sz w:val="16"/>
        </w:rPr>
        <w:t xml:space="preserve"> (2001, 2009) refers to is an adaptation of the concept of everyday violence initially developed by </w:t>
      </w:r>
      <w:proofErr w:type="spellStart"/>
      <w:r w:rsidRPr="007125AA">
        <w:rPr>
          <w:sz w:val="16"/>
        </w:rPr>
        <w:t>Scheper</w:t>
      </w:r>
      <w:proofErr w:type="spellEnd"/>
      <w:r w:rsidRPr="007125AA">
        <w:rPr>
          <w:sz w:val="16"/>
        </w:rPr>
        <w:t>-Hughes (1992) to highlight the extreme poverty and high infant and child mortality that characterized life in Brazilian shantytowns. She later applied this concept to life circumstances affecting other socially marginalized people, such as Brazilian and South African street youth or the elderly in U.S. nursing homes (</w:t>
      </w:r>
      <w:proofErr w:type="spellStart"/>
      <w:r w:rsidRPr="007125AA">
        <w:rPr>
          <w:sz w:val="16"/>
        </w:rPr>
        <w:t>Scheper</w:t>
      </w:r>
      <w:proofErr w:type="spellEnd"/>
      <w:r w:rsidRPr="007125AA">
        <w:rPr>
          <w:sz w:val="16"/>
        </w:rPr>
        <w:t xml:space="preserve">-Hughes 1996, 2007). The concept of </w:t>
      </w:r>
      <w:r w:rsidRPr="007125AA">
        <w:rPr>
          <w:rStyle w:val="StyleUnderline"/>
        </w:rPr>
        <w:t>normalized violence recognizes the indifference in broader society and identifies mechanisms by which violence becomes an inevitable part of daily life for its victims</w:t>
      </w:r>
      <w:r w:rsidRPr="007125AA">
        <w:rPr>
          <w:sz w:val="16"/>
        </w:rPr>
        <w:t xml:space="preserve">. For example, in his life history of a street drug addict named Tony, Merrill Singer (2006:72) observes that “the threat of violence—emotional and physical—daily preparation for violence on the street, and enduring the agony of violence-inflicted (p. 56) pain were all commonplace to [Tony] as an integral part of the world of street drug use and sales. He had come to accept violence as he had bad weather, harsh but unavoidable.” Some scholars have called for more detailed and nuanced analysis. For example, in examining the “routinization of political violence as a social violence of the everyday” in communist China, </w:t>
      </w:r>
      <w:proofErr w:type="spellStart"/>
      <w:r w:rsidRPr="007125AA">
        <w:rPr>
          <w:sz w:val="16"/>
        </w:rPr>
        <w:t>Kleinman</w:t>
      </w:r>
      <w:proofErr w:type="spellEnd"/>
      <w:r w:rsidRPr="007125AA">
        <w:rPr>
          <w:sz w:val="16"/>
        </w:rPr>
        <w:t xml:space="preserve"> (2000:235) concludes that we should pay closer attention to the “multiplicity of </w:t>
      </w:r>
      <w:proofErr w:type="spellStart"/>
      <w:r w:rsidRPr="007125AA">
        <w:rPr>
          <w:sz w:val="16"/>
        </w:rPr>
        <w:t>violences</w:t>
      </w:r>
      <w:proofErr w:type="spellEnd"/>
      <w:r w:rsidRPr="007125AA">
        <w:rPr>
          <w:sz w:val="16"/>
        </w:rPr>
        <w:t xml:space="preserve"> of everyday life” across classes of people and social contexts, each with “different histories, sustained by different social dynamics,” and varied “outcome[s]‌ in trauma and suffering.” </w:t>
      </w:r>
    </w:p>
    <w:p w:rsidR="00A02692" w:rsidRPr="007125AA" w:rsidRDefault="00A02692" w:rsidP="00A02692"/>
    <w:p w:rsidR="00A02692" w:rsidRDefault="00A02692" w:rsidP="00A02692">
      <w:pPr>
        <w:pStyle w:val="Heading3"/>
      </w:pPr>
      <w:r>
        <w:t xml:space="preserve">Framing—Structural Violence </w:t>
      </w:r>
    </w:p>
    <w:p w:rsidR="00A02692" w:rsidRPr="00A27559" w:rsidRDefault="00A02692" w:rsidP="00A02692">
      <w:pPr>
        <w:pStyle w:val="Heading4"/>
        <w:rPr>
          <w:rStyle w:val="Style13ptBold"/>
          <w:b/>
        </w:rPr>
      </w:pPr>
      <w:r w:rsidRPr="00A27559">
        <w:rPr>
          <w:rStyle w:val="Style13ptBold"/>
          <w:b/>
        </w:rPr>
        <w:t>Structural violence is invisible and entrenched in society through normalized routines.</w:t>
      </w:r>
    </w:p>
    <w:p w:rsidR="00A02692" w:rsidRPr="00CF6491" w:rsidRDefault="00A02692" w:rsidP="00A02692">
      <w:pPr>
        <w:rPr>
          <w:rStyle w:val="Style13ptBold"/>
          <w:b w:val="0"/>
        </w:rPr>
      </w:pPr>
      <w:r>
        <w:rPr>
          <w:rStyle w:val="Style13ptBold"/>
        </w:rPr>
        <w:t xml:space="preserve">Pauline 15 </w:t>
      </w:r>
      <w:r w:rsidRPr="00CF6491">
        <w:rPr>
          <w:rStyle w:val="Style13ptBold"/>
          <w:b w:val="0"/>
          <w:sz w:val="16"/>
          <w:szCs w:val="16"/>
        </w:rPr>
        <w:t xml:space="preserve">[Leah. Co-Founder, Director of Finance and Communication at </w:t>
      </w:r>
      <w:proofErr w:type="spellStart"/>
      <w:r w:rsidRPr="00CF6491">
        <w:rPr>
          <w:rStyle w:val="Style13ptBold"/>
          <w:b w:val="0"/>
          <w:sz w:val="16"/>
          <w:szCs w:val="16"/>
        </w:rPr>
        <w:t>Musana</w:t>
      </w:r>
      <w:proofErr w:type="spellEnd"/>
      <w:r w:rsidRPr="00CF6491">
        <w:rPr>
          <w:rStyle w:val="Style13ptBold"/>
          <w:b w:val="0"/>
          <w:sz w:val="16"/>
          <w:szCs w:val="16"/>
        </w:rPr>
        <w:t xml:space="preserve"> Community Development Organization. “Sex, Gender, and Culture: The Emergence of Structural Violence While Seeking a Sexual Health Transformation in Uganda.” </w:t>
      </w:r>
      <w:r w:rsidRPr="00CF6491">
        <w:rPr>
          <w:sz w:val="16"/>
          <w:szCs w:val="16"/>
        </w:rPr>
        <w:t>MA IDS Thesis Projects. Paper 27. SH]</w:t>
      </w:r>
    </w:p>
    <w:p w:rsidR="00A02692" w:rsidRDefault="00A02692" w:rsidP="00A02692">
      <w:pPr>
        <w:jc w:val="both"/>
        <w:rPr>
          <w:sz w:val="16"/>
        </w:rPr>
      </w:pPr>
      <w:r w:rsidRPr="00CF6491">
        <w:rPr>
          <w:sz w:val="16"/>
        </w:rPr>
        <w:t xml:space="preserve">While the expression of violence is often most noticeable at the relational level, violence theorists now argue that the origins of </w:t>
      </w:r>
      <w:r w:rsidRPr="00CF6491">
        <w:rPr>
          <w:rStyle w:val="StyleUnderline"/>
        </w:rPr>
        <w:t>interpersonal violence is rooted in larger societal norms and practices</w:t>
      </w:r>
      <w:r w:rsidRPr="00CF6491">
        <w:rPr>
          <w:sz w:val="16"/>
        </w:rPr>
        <w:t xml:space="preserve">. In 1969, conflict theorist, Johan </w:t>
      </w:r>
      <w:proofErr w:type="spellStart"/>
      <w:r w:rsidRPr="00CF6491">
        <w:rPr>
          <w:sz w:val="16"/>
        </w:rPr>
        <w:t>Galtung</w:t>
      </w:r>
      <w:proofErr w:type="spellEnd"/>
      <w:r w:rsidRPr="00CF6491">
        <w:rPr>
          <w:sz w:val="16"/>
        </w:rPr>
        <w:t>, coined the term “</w:t>
      </w:r>
      <w:r w:rsidRPr="00CF6491">
        <w:rPr>
          <w:rStyle w:val="StyleUnderline"/>
        </w:rPr>
        <w:t>structural violence</w:t>
      </w:r>
      <w:r w:rsidRPr="00CF6491">
        <w:rPr>
          <w:sz w:val="16"/>
        </w:rPr>
        <w:t xml:space="preserve">” to </w:t>
      </w:r>
      <w:r w:rsidRPr="00CF6491">
        <w:rPr>
          <w:rStyle w:val="StyleUnderline"/>
        </w:rPr>
        <w:t>describe the invisible phenomenon that often shapes the lives of the poor and marginalized</w:t>
      </w:r>
      <w:r w:rsidRPr="00CF6491">
        <w:rPr>
          <w:sz w:val="16"/>
        </w:rPr>
        <w:t xml:space="preserve">. In his argument for structural violence, </w:t>
      </w:r>
      <w:proofErr w:type="spellStart"/>
      <w:r w:rsidRPr="00CF6491">
        <w:rPr>
          <w:sz w:val="16"/>
        </w:rPr>
        <w:t>Galtung</w:t>
      </w:r>
      <w:proofErr w:type="spellEnd"/>
      <w:r w:rsidRPr="00CF6491">
        <w:rPr>
          <w:sz w:val="16"/>
        </w:rPr>
        <w:t xml:space="preserve"> </w:t>
      </w:r>
      <w:r w:rsidRPr="00CF6491">
        <w:rPr>
          <w:rStyle w:val="StyleUnderline"/>
        </w:rPr>
        <w:t>broadened the concept of violence from direct violence that takes place by an actor to indirect violence that lacks an actor but is embedded in the structural fabric of society</w:t>
      </w:r>
      <w:r w:rsidRPr="00CF6491">
        <w:rPr>
          <w:sz w:val="16"/>
        </w:rPr>
        <w:t>. He explained that structural violence is “</w:t>
      </w:r>
      <w:r w:rsidRPr="00CF6491">
        <w:rPr>
          <w:rStyle w:val="StyleUnderline"/>
        </w:rPr>
        <w:t>the difference between the potential and the actual, between what could have been and what is,” recognizing it as “unequal power and consequently as unequal life chances</w:t>
      </w:r>
      <w:r w:rsidRPr="00CF6491">
        <w:rPr>
          <w:sz w:val="16"/>
        </w:rPr>
        <w:t>” (</w:t>
      </w:r>
      <w:proofErr w:type="spellStart"/>
      <w:r w:rsidRPr="00CF6491">
        <w:rPr>
          <w:sz w:val="16"/>
        </w:rPr>
        <w:t>Galtung</w:t>
      </w:r>
      <w:proofErr w:type="spellEnd"/>
      <w:r w:rsidRPr="00CF6491">
        <w:rPr>
          <w:sz w:val="16"/>
        </w:rPr>
        <w:t xml:space="preserve">, 1969, p. 167 &amp;171). He considers the lack of resources that help develop oneself to the full human potential, blaming the systematic exclusion of one’s group. Direct violence, he contended, is horrific and its brutality gets attention. On the other hand, </w:t>
      </w:r>
      <w:r w:rsidRPr="00CF6491">
        <w:rPr>
          <w:rStyle w:val="StyleUnderline"/>
        </w:rPr>
        <w:t>structural violence is indirect and is almost always invisible</w:t>
      </w:r>
      <w:r w:rsidRPr="00CF6491">
        <w:rPr>
          <w:sz w:val="16"/>
        </w:rPr>
        <w:t xml:space="preserve">. According to </w:t>
      </w:r>
      <w:proofErr w:type="spellStart"/>
      <w:r w:rsidRPr="00CF6491">
        <w:rPr>
          <w:sz w:val="16"/>
        </w:rPr>
        <w:t>Samantroy</w:t>
      </w:r>
      <w:proofErr w:type="spellEnd"/>
      <w:r w:rsidRPr="00CF6491">
        <w:rPr>
          <w:sz w:val="16"/>
        </w:rPr>
        <w:t xml:space="preserve"> (2010), it is </w:t>
      </w:r>
      <w:r w:rsidRPr="00CF6491">
        <w:rPr>
          <w:rStyle w:val="StyleUnderline"/>
        </w:rPr>
        <w:t>embedded in ever-present social structure and is almost normalized by routine and stability. The world does not recognize that this structural violence produces death and suffering as much or even more than direct violence. It just takes place slower and subtly, is more common, and is almost impossible to repair as it is rooted in societal structure</w:t>
      </w:r>
      <w:r w:rsidRPr="00CF6491">
        <w:rPr>
          <w:sz w:val="16"/>
        </w:rPr>
        <w:t xml:space="preserve">. Anthropologist and physician, Paul Farmer (2003), built on the idea of structural violence: Structural violence is one way of describing social arrangements that put individuals and populations in harm’s way… The arrangements are structural because </w:t>
      </w:r>
      <w:r w:rsidRPr="00CF6491">
        <w:rPr>
          <w:rStyle w:val="StyleUnderline"/>
        </w:rPr>
        <w:t>they are embedded in the political and economic organization of our social world; they are violent because they cause injury to people</w:t>
      </w:r>
      <w:r w:rsidRPr="00CF6491">
        <w:rPr>
          <w:sz w:val="16"/>
        </w:rPr>
        <w:t xml:space="preserve"> … neither culture nor pure individual will is at fault; rather, historically given (and often economically driven) processes and forces conspire to constrain individual agency. Structural violence is visited upon all those whose social status denies them access to the fruits of scientific and social progress. (p. 2) Structural violence, according to Farmer, refers to suffering that is “</w:t>
      </w:r>
      <w:r w:rsidRPr="00CF6491">
        <w:rPr>
          <w:rStyle w:val="StyleUnderline"/>
        </w:rPr>
        <w:t>structured” by history and economic drive that through routine, ritual, or life in general, create norms or expectations within society and are pushed by human agency</w:t>
      </w:r>
      <w:r w:rsidRPr="00CF6491">
        <w:rPr>
          <w:sz w:val="16"/>
        </w:rPr>
        <w:t xml:space="preserve">. It supports the idea that choices and opportunities are limited due to racism, sexism, political violence, and grinding poverty. The idea of structural violence as described by </w:t>
      </w:r>
      <w:proofErr w:type="spellStart"/>
      <w:r w:rsidRPr="00CF6491">
        <w:rPr>
          <w:sz w:val="16"/>
        </w:rPr>
        <w:t>Galtung</w:t>
      </w:r>
      <w:proofErr w:type="spellEnd"/>
      <w:r w:rsidRPr="00CF6491">
        <w:rPr>
          <w:sz w:val="16"/>
        </w:rPr>
        <w:t xml:space="preserve"> and Farmer becomes key in understanding the various dimensions of violence. </w:t>
      </w:r>
    </w:p>
    <w:p w:rsidR="00D45AF7" w:rsidRDefault="00D45AF7" w:rsidP="00A02692">
      <w:pPr>
        <w:pStyle w:val="Heading3"/>
      </w:pPr>
      <w:r>
        <w:t>Framing—Risk Calculations</w:t>
      </w:r>
    </w:p>
    <w:p w:rsidR="00D45AF7" w:rsidRPr="008565B4" w:rsidRDefault="00D45AF7" w:rsidP="00D45AF7">
      <w:pPr>
        <w:pStyle w:val="Heading4"/>
      </w:pPr>
      <w:r>
        <w:t>R</w:t>
      </w:r>
      <w:r w:rsidRPr="008565B4">
        <w:t xml:space="preserve">isk assessment </w:t>
      </w:r>
      <w:r>
        <w:t xml:space="preserve">that prioritizes magnitude </w:t>
      </w:r>
      <w:r w:rsidRPr="008565B4">
        <w:t xml:space="preserve">is biased towards white male elites who discount </w:t>
      </w:r>
      <w:r>
        <w:t>localized everyday violence that</w:t>
      </w:r>
      <w:r w:rsidRPr="008565B4">
        <w:t xml:space="preserve"> </w:t>
      </w:r>
      <w:r>
        <w:t>affects marginalized populations.</w:t>
      </w:r>
    </w:p>
    <w:p w:rsidR="00D45AF7" w:rsidRPr="00340BB1" w:rsidRDefault="00D45AF7" w:rsidP="00D45AF7">
      <w:pPr>
        <w:rPr>
          <w:rStyle w:val="Style13ptBold"/>
        </w:rPr>
      </w:pPr>
      <w:proofErr w:type="spellStart"/>
      <w:r w:rsidRPr="00340BB1">
        <w:rPr>
          <w:rStyle w:val="Style13ptBold"/>
        </w:rPr>
        <w:t>Verchick</w:t>
      </w:r>
      <w:proofErr w:type="spellEnd"/>
      <w:r w:rsidRPr="00340BB1">
        <w:rPr>
          <w:rStyle w:val="Style13ptBold"/>
        </w:rPr>
        <w:t xml:space="preserve"> 96 </w:t>
      </w:r>
    </w:p>
    <w:p w:rsidR="00D45AF7" w:rsidRDefault="00D45AF7" w:rsidP="00D45AF7">
      <w:r>
        <w:t>(</w:t>
      </w:r>
      <w:r w:rsidRPr="008565B4">
        <w:t>Robert, Assistant Professor, University of Missouri -- Kansas City School of Law. J.D., Harvard Law School, 1989, “IN A GREENER VOICE: FEMINIST THEORY AND ENVIRONMENTAL JU</w:t>
      </w:r>
      <w:r>
        <w:t xml:space="preserve">STICE” 19 </w:t>
      </w:r>
      <w:proofErr w:type="spellStart"/>
      <w:r>
        <w:t>Harv</w:t>
      </w:r>
      <w:proofErr w:type="spellEnd"/>
      <w:r>
        <w:t>. Women's L.J. 23)</w:t>
      </w:r>
    </w:p>
    <w:p w:rsidR="00D45AF7" w:rsidRPr="008565B4" w:rsidRDefault="00D45AF7" w:rsidP="00D45AF7"/>
    <w:p w:rsidR="00D45AF7" w:rsidRPr="00D45AF7" w:rsidRDefault="00D45AF7" w:rsidP="00D45AF7">
      <w:r w:rsidRPr="003E009F">
        <w:rPr>
          <w:rStyle w:val="Emphasis"/>
        </w:rPr>
        <w:t>Because risk assessment is based on</w:t>
      </w:r>
      <w:r w:rsidRPr="003E009F">
        <w:rPr>
          <w:rStyle w:val="StyleUnderline"/>
        </w:rPr>
        <w:t xml:space="preserve"> </w:t>
      </w:r>
      <w:r w:rsidRPr="003E009F">
        <w:rPr>
          <w:rStyle w:val="Emphasis"/>
        </w:rPr>
        <w:t>statistical measures of risk, policymakers view it as an accurate and objective</w:t>
      </w:r>
      <w:r w:rsidRPr="003E009F">
        <w:rPr>
          <w:rStyle w:val="StyleUnderline"/>
        </w:rPr>
        <w:t xml:space="preserve"> </w:t>
      </w:r>
      <w:r w:rsidRPr="003E009F">
        <w:rPr>
          <w:sz w:val="14"/>
        </w:rPr>
        <w:t>tool in establishing environmental standards. n275 n277 As</w:t>
      </w:r>
      <w:r w:rsidRPr="003E009F">
        <w:rPr>
          <w:sz w:val="14"/>
          <w:szCs w:val="12"/>
        </w:rPr>
        <w:t xml:space="preserve"> a result, </w:t>
      </w:r>
      <w:r w:rsidRPr="003E009F">
        <w:rPr>
          <w:rStyle w:val="Emphasis"/>
        </w:rPr>
        <w:t>the language of risk assessment</w:t>
      </w:r>
      <w:r w:rsidRPr="003E009F">
        <w:rPr>
          <w:rStyle w:val="StyleUnderline"/>
        </w:rPr>
        <w:t xml:space="preserve"> -- </w:t>
      </w:r>
      <w:r w:rsidRPr="003E009F">
        <w:rPr>
          <w:sz w:val="14"/>
        </w:rPr>
        <w:t>and of related environmental safety standards -- often carry an air of irrebuttable precision and certainty. The EPA, for example, defines the standard acceptable level of risk under Superfund as "10&lt;-6&gt;" -- that is, the probability that one person in a million would develop cancer due to exposure to site contamination. n278 [*76] Feminism challenges this model of scientific risk assessment</w:t>
      </w:r>
      <w:r w:rsidRPr="003E009F">
        <w:rPr>
          <w:sz w:val="14"/>
          <w:szCs w:val="12"/>
        </w:rPr>
        <w:t xml:space="preserve"> on at least three levels. First, feminism questions the assumption that scientific inquiry is value-neutral, that is, free of societal bias or prejudice. n279 Indeed, as many have pointed out, one's perspective unavoidably influences the practice of science. n280 Western science may be infused with its </w:t>
      </w:r>
      <w:r w:rsidRPr="003E009F">
        <w:rPr>
          <w:sz w:val="14"/>
        </w:rPr>
        <w:t>own ideology, perpetuating, in the view of the ecofeminists, cycles of discrimination, domination, and exploitation. n281 Second, even if scientific inquiry by itself were value-neutral, environmental regulation based on such inquiry would still contain subjective elements. Environmental regulation, like any other product of democracy, inevitably reflects elements of subjectivity, compromise, and self-interest. The technocratic language of regulation</w:t>
      </w:r>
      <w:r w:rsidRPr="003E009F">
        <w:rPr>
          <w:rStyle w:val="StyleUnderline"/>
        </w:rPr>
        <w:t xml:space="preserve"> </w:t>
      </w:r>
      <w:r w:rsidRPr="003E009F">
        <w:rPr>
          <w:rStyle w:val="Emphasis"/>
        </w:rPr>
        <w:t>serves only to "mask, not eliminate, political and social considerations</w:t>
      </w:r>
      <w:r w:rsidRPr="003E009F">
        <w:rPr>
          <w:sz w:val="14"/>
          <w:szCs w:val="12"/>
        </w:rPr>
        <w:t xml:space="preserve">." n282 We have already seen how </w:t>
      </w:r>
      <w:r w:rsidRPr="003E009F">
        <w:rPr>
          <w:rStyle w:val="Emphasis"/>
        </w:rPr>
        <w:t>the subjective decision to prefer white men as subjects for epidemiological study can skew risk assessments against the interests of women and people of color</w:t>
      </w:r>
      <w:r w:rsidRPr="003E009F">
        <w:rPr>
          <w:sz w:val="14"/>
          <w:szCs w:val="12"/>
        </w:rPr>
        <w:t xml:space="preserve">. </w:t>
      </w:r>
      <w:r w:rsidRPr="003E009F">
        <w:rPr>
          <w:sz w:val="14"/>
        </w:rPr>
        <w:t>The focus of many assessments on the risk of cancer deaths, but not, say, the risks of birth defects or miscarriages, is yet another example of how a policymaker's subjective decision of what to look for can influence what is ultimately seen. n283 Once risk data are collected and placed in a statistical form, the ultimate translation of that information into rules and standards of conduct once again reflects value judgments. A safety threshold of one in a million or a preference for "best conventional technology" does not spring from the periodic table, but rather evolves from the application [*77] of human experience and judgment to scientific information. Whose experience? Whose judgment? Which information? These are the questions that feminism prompts, and they will be discussed shortly. Finally, feminists would argue that questions involving the risk of death and disease should not even aspire to value neutrality. Such</w:t>
      </w:r>
      <w:r w:rsidRPr="003E009F">
        <w:rPr>
          <w:rStyle w:val="StyleUnderline"/>
        </w:rPr>
        <w:t xml:space="preserve"> </w:t>
      </w:r>
      <w:r w:rsidRPr="003E009F">
        <w:rPr>
          <w:rStyle w:val="Emphasis"/>
        </w:rPr>
        <w:t>decisions</w:t>
      </w:r>
      <w:r w:rsidRPr="003E009F">
        <w:rPr>
          <w:rStyle w:val="StyleUnderline"/>
        </w:rPr>
        <w:t xml:space="preserve"> </w:t>
      </w:r>
      <w:r w:rsidRPr="003E009F">
        <w:rPr>
          <w:sz w:val="14"/>
        </w:rPr>
        <w:t>-- which affect not only today's generations, but those of the future --</w:t>
      </w:r>
      <w:r w:rsidRPr="003E009F">
        <w:rPr>
          <w:rStyle w:val="StyleUnderline"/>
        </w:rPr>
        <w:t xml:space="preserve"> </w:t>
      </w:r>
      <w:r w:rsidRPr="003E009F">
        <w:rPr>
          <w:rStyle w:val="Emphasis"/>
        </w:rPr>
        <w:t>should be made with all</w:t>
      </w:r>
      <w:r w:rsidRPr="003E009F">
        <w:rPr>
          <w:rStyle w:val="StyleUnderline"/>
        </w:rPr>
        <w:t xml:space="preserve"> </w:t>
      </w:r>
      <w:r w:rsidRPr="003E009F">
        <w:rPr>
          <w:sz w:val="14"/>
        </w:rPr>
        <w:t>related political and</w:t>
      </w:r>
      <w:r w:rsidRPr="003E009F">
        <w:rPr>
          <w:rStyle w:val="StyleUnderline"/>
        </w:rPr>
        <w:t xml:space="preserve"> </w:t>
      </w:r>
      <w:r w:rsidRPr="003E009F">
        <w:rPr>
          <w:rStyle w:val="Emphasis"/>
        </w:rPr>
        <w:t>moral considerations plainly on the table</w:t>
      </w:r>
      <w:r w:rsidRPr="003E009F">
        <w:rPr>
          <w:sz w:val="14"/>
          <w:szCs w:val="12"/>
        </w:rPr>
        <w:t xml:space="preserve">. n284 In addition, </w:t>
      </w:r>
      <w:r w:rsidRPr="003E009F">
        <w:rPr>
          <w:rStyle w:val="Emphasis"/>
        </w:rPr>
        <w:t>policymakers should look to all perspectives, especially those of society's most vulnerable members</w:t>
      </w:r>
      <w:r w:rsidRPr="003E009F">
        <w:rPr>
          <w:rStyle w:val="StyleUnderline"/>
        </w:rPr>
        <w:t xml:space="preserve">, </w:t>
      </w:r>
      <w:r w:rsidRPr="003E009F">
        <w:rPr>
          <w:sz w:val="14"/>
        </w:rPr>
        <w:t xml:space="preserve">to develop as complete a picture of the moral issues as possible. Debates about scientific risk assessment and public values often appear as a tug of war between the "technicians," who would apply only value-neutral criteria to set regulatory standards, and the "public," who demand that psychological perceptions and contextual factors also be considered. n285 Environmental justice advocates, strongly concerned with the practical experiences of threatened communities, argue convincingly for the latter position. n286 A feminist critique of the issue, however, suggests that the debate is much richer and more complicated than a bipolar view allows. For feminists, the notion of value neutrality simply does not exist. The debate between technicians and the public, according to feminists, is not merely a contest between science and feelings, but a broader discussion about the sets of methods, values, and attitudes to which each group subscribes. Furthermore, feminists might argue, the parties to this discussion divide into more than two categories. Because one's world view is premised on many things, including personal experience, one might expect that subgroups within either category might differ in significant ways from other subgroups. Therefore, feminists would anticipate a broad spectrum of views concerning scientific risk assessment and public values. Intuitively, this makes sense. Certainly scientists disagree among themselves about the hazards of nuclear waste, ozone depletion, and global warming. n287 Many critics have argued that scientists, despite their allegiance [*78] to rational method, are nonetheless influenced by personal and political views. n288 Similarly, members of the public are a widely divergent group. One would not be surprised to see politicians, land developers, and blue-collar workers disagreeing about environmental standards for essentially non-scientific reasons. Politicians and bureaucrats are two sets of the non-scientific community that affect environmental standards in fundamental ways. Their adherence to vocal, though not always broadly representative, constituencies may lead them to disfavor less advantaged socioeconomic groups when addressing environmental concerns. n289 In order to understand a diversity of risk perception and to see how attitudes and social status affect the risk assessment process, we must return to the feminist inquiry that explores the relationship between attitudes and identity. 1. The Diversity of Risk Perception A recent national survey, conducted by James Flynn, Paul </w:t>
      </w:r>
      <w:proofErr w:type="spellStart"/>
      <w:r w:rsidRPr="003E009F">
        <w:rPr>
          <w:sz w:val="14"/>
        </w:rPr>
        <w:t>Slovic</w:t>
      </w:r>
      <w:proofErr w:type="spellEnd"/>
      <w:r w:rsidRPr="003E009F">
        <w:rPr>
          <w:sz w:val="14"/>
        </w:rPr>
        <w:t>, and C.K. Mertz, measured the risk perceptions of a group of 1512 people that included numbers of men, women, whites, and non-whites proportional to their ratios in society. n290 Respondents answered questions about the health risks of twenty-five environmental, technological, and "life-style" hazards, including such hazards as ozone depletion, chemical waste, and cigarette smoking. n291 The researchers asked them to rate each hazard as posing "almost no health risk," a "slight health risk," a "moderate health risk," or a "high health risk." The researchers then analyzed [*79] the responses to determine whether the randomly selected groups of white men, white women, non-white men, and non-white women differed in any way. The researchers found that perceptions of risk generally differed on the lines of gender and race. Women, for instance, perceived greater risk from most hazards than did men. n292 Furthermore, non-whites as a group perceived greater risk from most hazards than did whites. n293 Yet the most striking results appeared when the researchers considered differences in gender and race together. They found that "</w:t>
      </w:r>
      <w:r w:rsidRPr="003E009F">
        <w:rPr>
          <w:rStyle w:val="Emphasis"/>
        </w:rPr>
        <w:t>white males</w:t>
      </w:r>
      <w:r w:rsidRPr="003E009F">
        <w:rPr>
          <w:sz w:val="14"/>
        </w:rPr>
        <w:t xml:space="preserve"> tended to differ from everyone else in their attitudes and perceptions -- on average, they</w:t>
      </w:r>
      <w:r w:rsidRPr="003E009F">
        <w:rPr>
          <w:sz w:val="14"/>
          <w:szCs w:val="12"/>
        </w:rPr>
        <w:t xml:space="preserve"> </w:t>
      </w:r>
      <w:r w:rsidRPr="003E009F">
        <w:rPr>
          <w:rStyle w:val="Emphasis"/>
        </w:rPr>
        <w:t>perceived risks as much smaller and much more acceptable than</w:t>
      </w:r>
      <w:r w:rsidRPr="003E009F">
        <w:rPr>
          <w:rStyle w:val="StyleUnderline"/>
        </w:rPr>
        <w:t xml:space="preserve"> </w:t>
      </w:r>
      <w:r w:rsidRPr="003E009F">
        <w:rPr>
          <w:sz w:val="14"/>
        </w:rPr>
        <w:t>did</w:t>
      </w:r>
      <w:r w:rsidRPr="003E009F">
        <w:rPr>
          <w:rStyle w:val="StyleUnderline"/>
        </w:rPr>
        <w:t xml:space="preserve"> </w:t>
      </w:r>
      <w:r w:rsidRPr="003E009F">
        <w:rPr>
          <w:rStyle w:val="Emphasis"/>
        </w:rPr>
        <w:t>other people</w:t>
      </w:r>
      <w:r w:rsidRPr="003E009F">
        <w:rPr>
          <w:sz w:val="14"/>
        </w:rPr>
        <w:t>." n294 Indeed, without exception, the pool of white men perceived each of the twenty-five hazards as less risky than did non-white men, white women, or non-white women. n295 Wary that other factors associated with gender or race could be influencing their findings, the researchers later conducted several multiple regression analyses to correct for differences in income, education, political orientation, the presence of children in the home, and age, among others. Yet even after all corrections, "gender, race, and 'white male' [status] remained highly significant predictors" of perceptions of risk. n296 2. Explaining the Diversity From a feminist perspective, these findings are important because they suggest that</w:t>
      </w:r>
      <w:r w:rsidRPr="003E009F">
        <w:rPr>
          <w:sz w:val="14"/>
          <w:szCs w:val="12"/>
        </w:rPr>
        <w:t xml:space="preserve"> </w:t>
      </w:r>
      <w:r w:rsidRPr="003E009F">
        <w:rPr>
          <w:rStyle w:val="Emphasis"/>
        </w:rPr>
        <w:t>risk assessors</w:t>
      </w:r>
      <w:r w:rsidRPr="003E009F">
        <w:rPr>
          <w:rStyle w:val="StyleUnderline"/>
        </w:rPr>
        <w:t xml:space="preserve">, </w:t>
      </w:r>
      <w:r w:rsidRPr="003E009F">
        <w:rPr>
          <w:sz w:val="14"/>
        </w:rPr>
        <w:t>politicians, and bureaucrats -- the large</w:t>
      </w:r>
      <w:r w:rsidRPr="003E009F">
        <w:rPr>
          <w:rStyle w:val="StyleUnderline"/>
        </w:rPr>
        <w:t xml:space="preserve"> </w:t>
      </w:r>
      <w:r w:rsidRPr="003E009F">
        <w:rPr>
          <w:rStyle w:val="Emphasis"/>
        </w:rPr>
        <w:t>majority of whom are white men</w:t>
      </w:r>
      <w:r w:rsidRPr="003E009F">
        <w:rPr>
          <w:sz w:val="14"/>
          <w:szCs w:val="12"/>
        </w:rPr>
        <w:t xml:space="preserve"> </w:t>
      </w:r>
      <w:r w:rsidRPr="003E009F">
        <w:rPr>
          <w:sz w:val="14"/>
        </w:rPr>
        <w:t>n297 -- may be</w:t>
      </w:r>
      <w:r w:rsidRPr="003E009F">
        <w:rPr>
          <w:rStyle w:val="StyleUnderline"/>
        </w:rPr>
        <w:t xml:space="preserve"> </w:t>
      </w:r>
      <w:r w:rsidRPr="003E009F">
        <w:rPr>
          <w:rStyle w:val="Emphasis"/>
        </w:rPr>
        <w:t>act</w:t>
      </w:r>
      <w:r w:rsidRPr="003E009F">
        <w:rPr>
          <w:sz w:val="14"/>
        </w:rPr>
        <w:t>ing</w:t>
      </w:r>
      <w:r w:rsidRPr="003E009F">
        <w:rPr>
          <w:rStyle w:val="StyleUnderline"/>
        </w:rPr>
        <w:t xml:space="preserve"> </w:t>
      </w:r>
      <w:r w:rsidRPr="003E009F">
        <w:rPr>
          <w:rStyle w:val="Emphasis"/>
        </w:rPr>
        <w:t>on attitudes about security and risk that women and people of color do not</w:t>
      </w:r>
      <w:r w:rsidRPr="003E009F">
        <w:rPr>
          <w:rStyle w:val="StyleUnderline"/>
        </w:rPr>
        <w:t xml:space="preserve"> </w:t>
      </w:r>
      <w:r w:rsidRPr="003E009F">
        <w:rPr>
          <w:sz w:val="14"/>
        </w:rPr>
        <w:t xml:space="preserve">widely share. If this is so, white men, as the "measurers of all things," have crafted a system of environmental protection that is biased toward their subjective understandings of the world. n298 [*80] Flynn, </w:t>
      </w:r>
      <w:proofErr w:type="spellStart"/>
      <w:r w:rsidRPr="003E009F">
        <w:rPr>
          <w:sz w:val="14"/>
        </w:rPr>
        <w:t>Slovic</w:t>
      </w:r>
      <w:proofErr w:type="spellEnd"/>
      <w:r w:rsidRPr="003E009F">
        <w:rPr>
          <w:sz w:val="14"/>
        </w:rPr>
        <w:t>, and Mertz speculate that white men's perceptions of risk may differ from those of others because in many ways</w:t>
      </w:r>
      <w:r w:rsidRPr="003E009F">
        <w:rPr>
          <w:sz w:val="14"/>
          <w:szCs w:val="12"/>
        </w:rPr>
        <w:t xml:space="preserve"> </w:t>
      </w:r>
      <w:r w:rsidRPr="003E009F">
        <w:rPr>
          <w:rStyle w:val="Emphasis"/>
        </w:rPr>
        <w:t>women and people of color are "more vulnerable, because</w:t>
      </w:r>
      <w:r w:rsidRPr="003E009F">
        <w:rPr>
          <w:sz w:val="14"/>
          <w:szCs w:val="12"/>
        </w:rPr>
        <w:t xml:space="preserve"> they benefit less from many of [society's] technologies and institutions, and because </w:t>
      </w:r>
      <w:r w:rsidRPr="003E009F">
        <w:rPr>
          <w:rStyle w:val="Emphasis"/>
        </w:rPr>
        <w:t>they have less power</w:t>
      </w:r>
      <w:r w:rsidRPr="003E009F">
        <w:rPr>
          <w:rStyle w:val="StyleUnderline"/>
        </w:rPr>
        <w:t xml:space="preserve"> </w:t>
      </w:r>
      <w:r w:rsidRPr="003E009F">
        <w:rPr>
          <w:sz w:val="14"/>
        </w:rPr>
        <w:t xml:space="preserve">and control." n299 Although Flynn, </w:t>
      </w:r>
      <w:proofErr w:type="spellStart"/>
      <w:r w:rsidRPr="003E009F">
        <w:rPr>
          <w:sz w:val="14"/>
        </w:rPr>
        <w:t>Slovic</w:t>
      </w:r>
      <w:proofErr w:type="spellEnd"/>
      <w:r w:rsidRPr="003E009F">
        <w:rPr>
          <w:sz w:val="14"/>
        </w:rPr>
        <w:t>, and Mertz are careful to acknowledge that they have not yet tested this hypothesis empirically, their explanation appears consistent with the life experiences of less empowered groups and comports with previous understandings about the roles of control and risk perception. n300 Women and people of color, for instance, are more vulnerable to environmental threat in several ways. Such groups are sometimes more biologically vulnerable than are white men. n301 People of color are more likely to live near hazardous waste sites, to breathe dirty air in urban communities, and to be otherwise exposed to environmental harm. [*83] The toxic rivers of Mississippi's "Cancer Alley," n321 the extensive poisoning of rural Indian land, n322 and the mismanaged cleanup of the weapons manufacturing site in Hanford, Washington n323 only promote the feeling that environmental policy in the United States sacrifices the weak for the benefit of the strong. In addition, the catastrophic potential that groups other than white men associate with a risk may explain the perception gap between those groups and white males. Studies of risk perception show that, in general, individuals harbor particularly great fears of catastrophe. n324 For this reason, earthquakes, terrorist bombings, and other disasters in which high concentrations of people are killed or injured prove particularly disturbing to the lay public. Local environmental threats involving toxic dumps, aging smelters, or poisoned wells also produce high concentrations of localized harm that can appear catastrophic to those involved. n325 Some commentators contend that the</w:t>
      </w:r>
      <w:r w:rsidRPr="003E009F">
        <w:rPr>
          <w:rStyle w:val="StyleUnderline"/>
        </w:rPr>
        <w:t xml:space="preserve"> </w:t>
      </w:r>
      <w:r w:rsidRPr="003E009F">
        <w:rPr>
          <w:rStyle w:val="Emphasis"/>
        </w:rPr>
        <w:t>catastrophic potential</w:t>
      </w:r>
      <w:r w:rsidRPr="003E009F">
        <w:rPr>
          <w:rStyle w:val="StyleUnderline"/>
        </w:rPr>
        <w:t xml:space="preserve"> </w:t>
      </w:r>
      <w:r w:rsidRPr="003E009F">
        <w:rPr>
          <w:sz w:val="14"/>
        </w:rPr>
        <w:t>of a risk</w:t>
      </w:r>
      <w:r w:rsidRPr="003E009F">
        <w:rPr>
          <w:rStyle w:val="StyleUnderline"/>
        </w:rPr>
        <w:t xml:space="preserve"> </w:t>
      </w:r>
      <w:r w:rsidRPr="003E009F">
        <w:rPr>
          <w:rStyle w:val="Emphasis"/>
        </w:rPr>
        <w:t>should influence risk assessment in only minimal ways</w:t>
      </w:r>
      <w:r w:rsidRPr="003E009F">
        <w:rPr>
          <w:rStyle w:val="StyleUnderline"/>
        </w:rPr>
        <w:t>.</w:t>
      </w:r>
      <w:r w:rsidRPr="003E009F">
        <w:rPr>
          <w:sz w:val="14"/>
          <w:szCs w:val="12"/>
        </w:rPr>
        <w:t xml:space="preserve"> </w:t>
      </w:r>
      <w:r w:rsidRPr="003E009F">
        <w:rPr>
          <w:sz w:val="14"/>
        </w:rPr>
        <w:t xml:space="preserve">n326 Considering public </w:t>
      </w:r>
      <w:r w:rsidRPr="003E009F">
        <w:rPr>
          <w:rStyle w:val="Emphasis"/>
        </w:rPr>
        <w:t>fear of catastrophes</w:t>
      </w:r>
      <w:r w:rsidRPr="003E009F">
        <w:rPr>
          <w:sz w:val="14"/>
        </w:rPr>
        <w:t xml:space="preserve">, they argue, </w:t>
      </w:r>
      <w:r w:rsidRPr="003E009F">
        <w:rPr>
          <w:rStyle w:val="Emphasis"/>
        </w:rPr>
        <w:t>will irrationally lead policymakers to battle more dramatic but statistically less threatening hazards, while accepting more harmful but more mundane hazards</w:t>
      </w:r>
      <w:r w:rsidRPr="003E009F">
        <w:rPr>
          <w:sz w:val="14"/>
        </w:rPr>
        <w:t xml:space="preserve">. n327 [*84] At least two reasons explain why the catastrophic potential of environmental hazards must be given weight in risk assessment. First, concentrated and localized environmental hazards do not simply harm individuals, they erode family ties and community relationships. An onslaught of miscarriages or birth defects in a neighborhood, for instance, will create community-wide stress that will debilitate the neighborhood in emotional, sociological, and economic ways. n328 To ignore this communal harm is to underestimate severely the true risk involved. n329 Second, because concentrated and localized environmental hazards tend to be unevenly distributed on the basis of race and income level, any resulting mass injury to a threatened population takes on profound moral character. For this reason, Native Americans often characterize the military's poisoning of Indian land as genocide. n330 [*85] 3. Understanding Through Diversity Flynn, </w:t>
      </w:r>
      <w:proofErr w:type="spellStart"/>
      <w:r w:rsidRPr="003E009F">
        <w:rPr>
          <w:sz w:val="14"/>
        </w:rPr>
        <w:t>Slovic</w:t>
      </w:r>
      <w:proofErr w:type="spellEnd"/>
      <w:r w:rsidRPr="003E009F">
        <w:rPr>
          <w:sz w:val="14"/>
        </w:rPr>
        <w:t>, and Mertz challenge the traditional, static view of statistical risk with a richer, more vibrant image involving relationships of power, status, and trust. n331 "In short, 'riskiness' means more to people than 'expected number of fatalities.'" n332 These findings affirm the feminist claim that public policy must consider both logic and local experience in addressing a problem. n333 Current attempts to "re-educate" fearful communities with only risk assessments and scientific seminars are, therefore, destined to fail. n334 By the same token, even dual approaches that combine science and experience will fall short if the appeal to experience does not track local priorities and values. Cynthia Hamilton illustrates these points in her inspiring account of how a South Central Los Angeles community group, consisting mainly of working-class women, battled a proposed solid waste incinerator. n335 At one point, the state sent out consultants and environmental experts to put the community's fears into perspective. The consultants first appealed to the community's practical, experience-based side, by explaining how the new incinerator would bring needed employment to the area and by offering $ 2 million in community development. n336 But the community group found the promise of "real development" unrealistic and the cash gift insulting. n337 When experts then turned to quantifying the risks "scientifically" their attempts backfired again. Hamilton reports that "expert assurance that health risks associated with dioxin exposure were less than those associated with 'eating peanut butter' unleashed a flurry of dissent. All of the women, young and old, working-class and professional, had made peanut butter sandwiches for years." n338 The sandwich analogy, even assuming its statistical validity, could not convince the women because it did not consider other valid risk factors (voluntariness, dread, and so on) and because it did not appear plausible in the group members' experience. In the end, Hamilton explains that the superficial explanations and sarcastic responses of the male "experts" left the women even more united and convinced that "working-class women's [*86] concerns cannot be dismissed." n339 Thus even the "science" of</w:t>
      </w:r>
      <w:r w:rsidRPr="003E009F">
        <w:rPr>
          <w:rStyle w:val="StyleUnderline"/>
        </w:rPr>
        <w:t xml:space="preserve"> </w:t>
      </w:r>
      <w:r w:rsidRPr="003E009F">
        <w:rPr>
          <w:rStyle w:val="Emphasis"/>
        </w:rPr>
        <w:t>risk assessment</w:t>
      </w:r>
      <w:r w:rsidRPr="003E009F">
        <w:rPr>
          <w:sz w:val="14"/>
        </w:rPr>
        <w:t xml:space="preserve">, if it is to serve effectively, </w:t>
      </w:r>
      <w:r w:rsidRPr="003E009F">
        <w:rPr>
          <w:rStyle w:val="Emphasis"/>
        </w:rPr>
        <w:t>must include the voices of those typically excluded</w:t>
      </w:r>
      <w:r w:rsidRPr="003E009F">
        <w:rPr>
          <w:rStyle w:val="StyleUnderline"/>
        </w:rPr>
        <w:t xml:space="preserve"> </w:t>
      </w:r>
      <w:r w:rsidRPr="003E009F">
        <w:rPr>
          <w:sz w:val="14"/>
        </w:rPr>
        <w:t>from its practice.</w:t>
      </w:r>
    </w:p>
    <w:p w:rsidR="00A02692" w:rsidRDefault="00A02692" w:rsidP="00A02692">
      <w:pPr>
        <w:pStyle w:val="Heading3"/>
      </w:pPr>
      <w:r>
        <w:t>Inherency—Budget Cuts</w:t>
      </w:r>
    </w:p>
    <w:p w:rsidR="00A02692" w:rsidRDefault="00A02692" w:rsidP="00A02692">
      <w:pPr>
        <w:pStyle w:val="Heading4"/>
      </w:pPr>
      <w:r>
        <w:t xml:space="preserve">Teen Pregnancy Prevention cut in the Trump Budget and it’s SUBSTANTIAL </w:t>
      </w:r>
    </w:p>
    <w:p w:rsidR="00A02692" w:rsidRPr="00A557B1" w:rsidRDefault="00A02692" w:rsidP="00A02692">
      <w:pPr>
        <w:rPr>
          <w:rStyle w:val="Style13ptBold"/>
        </w:rPr>
      </w:pPr>
      <w:r>
        <w:rPr>
          <w:rStyle w:val="Style13ptBold"/>
        </w:rPr>
        <w:t>Gordon 5/25/2017</w:t>
      </w:r>
      <w:r w:rsidRPr="00A557B1">
        <w:rPr>
          <w:rStyle w:val="Style13ptBold"/>
          <w:sz w:val="16"/>
          <w:szCs w:val="16"/>
        </w:rPr>
        <w:t xml:space="preserve"> (ROBERT GORDON, May 25, 2017, “What Happened to Teen Pregnancy Prevention? A Trump budget mystery”, &lt;</w:t>
      </w:r>
      <w:r w:rsidRPr="00A557B1">
        <w:rPr>
          <w:sz w:val="16"/>
          <w:szCs w:val="16"/>
        </w:rPr>
        <w:t xml:space="preserve"> </w:t>
      </w:r>
      <w:hyperlink r:id="rId134" w:history="1">
        <w:r w:rsidRPr="00DE3E96">
          <w:rPr>
            <w:rStyle w:val="Hyperlink"/>
            <w:sz w:val="16"/>
            <w:szCs w:val="16"/>
          </w:rPr>
          <w:t>http://democracyjournal.org/briefing-book/what-happened-to-teen-pregnancy-prevention/&gt;)//PS</w:t>
        </w:r>
      </w:hyperlink>
      <w:r>
        <w:rPr>
          <w:rStyle w:val="Style13ptBold"/>
          <w:sz w:val="16"/>
          <w:szCs w:val="16"/>
        </w:rPr>
        <w:t xml:space="preserve"> </w:t>
      </w:r>
    </w:p>
    <w:p w:rsidR="00A02692" w:rsidRPr="00CF143C" w:rsidRDefault="00A02692" w:rsidP="00A02692">
      <w:pPr>
        <w:rPr>
          <w:sz w:val="16"/>
        </w:rPr>
      </w:pPr>
      <w:r w:rsidRPr="00CF143C">
        <w:rPr>
          <w:sz w:val="16"/>
        </w:rPr>
        <w:t xml:space="preserve">Mick </w:t>
      </w:r>
      <w:proofErr w:type="spellStart"/>
      <w:r w:rsidRPr="00CF143C">
        <w:rPr>
          <w:sz w:val="16"/>
        </w:rPr>
        <w:t>Mulvaney</w:t>
      </w:r>
      <w:proofErr w:type="spellEnd"/>
      <w:r w:rsidRPr="00CF143C">
        <w:rPr>
          <w:sz w:val="16"/>
        </w:rPr>
        <w:t xml:space="preserve"> is usually proud to make his case for domestic spending cuts, however destructive. So it is strange and perhaps telling that </w:t>
      </w:r>
      <w:r w:rsidRPr="00FE2139">
        <w:rPr>
          <w:rStyle w:val="Emphasis"/>
        </w:rPr>
        <w:t>OMB buried its decision to kill the important Teen Pregnancy Prevention program</w:t>
      </w:r>
      <w:r w:rsidRPr="00CF143C">
        <w:rPr>
          <w:sz w:val="16"/>
        </w:rPr>
        <w:t>. Although the cut is no rival to the devastation of Medicaid or SNAP, it is striking nonetheless</w:t>
      </w:r>
      <w:r w:rsidRPr="00FE2139">
        <w:rPr>
          <w:rStyle w:val="Emphasis"/>
        </w:rPr>
        <w:t>.</w:t>
      </w:r>
      <w:r w:rsidRPr="00CF143C">
        <w:rPr>
          <w:sz w:val="16"/>
        </w:rPr>
        <w:t xml:space="preserve"> </w:t>
      </w:r>
      <w:r w:rsidRPr="00FE2139">
        <w:rPr>
          <w:rStyle w:val="Emphasis"/>
        </w:rPr>
        <w:t xml:space="preserve">Teen Pregnancy Prevention (TPP) was one of several evidence-based programs created in the second Bush and Obama administrations. It addresses a serious social problem with vast costs spanning generations. And it works. The decision to terminate the program was based on ideology rather than evidence. </w:t>
      </w:r>
      <w:r w:rsidRPr="00CF143C">
        <w:rPr>
          <w:sz w:val="16"/>
        </w:rPr>
        <w:t>Yet the decision to hide its termination is somewhat of a mystery.</w:t>
      </w:r>
      <w:r w:rsidRPr="00FE2139">
        <w:rPr>
          <w:rStyle w:val="Emphasis"/>
        </w:rPr>
        <w:t xml:space="preserve"> Like other evidence-based initiatives, the Teen Pregnancy Prevention program requires local initiatives to undergo evaluations and funds those with positive impacts.</w:t>
      </w:r>
      <w:r w:rsidRPr="00CF143C">
        <w:rPr>
          <w:sz w:val="16"/>
        </w:rPr>
        <w:t xml:space="preserve"> The Department of Health and Human Services (HHS) maintains a helpful website with the evaluation results. Programs typically include both the promotion of abstinence and explanations about contraception, but there is a lot of variation; </w:t>
      </w:r>
      <w:r w:rsidRPr="00FE2139">
        <w:rPr>
          <w:rStyle w:val="Emphasis"/>
        </w:rPr>
        <w:t>TPP is designed around getting results, not using any one approach.</w:t>
      </w:r>
      <w:r w:rsidRPr="00CF143C">
        <w:rPr>
          <w:sz w:val="16"/>
        </w:rPr>
        <w:t xml:space="preserve"> During the last budget fight, OMB proposed to cut, not kill, TPP. Instead, Congress ignored that proposal and provided $101 million, roughly the same as previous years. (See here, p. 401, under General Departmental Management.) </w:t>
      </w:r>
      <w:r w:rsidRPr="00CF143C">
        <w:rPr>
          <w:rStyle w:val="Emphasis"/>
        </w:rPr>
        <w:t xml:space="preserve">The new Trump budget kills TPP, without ever saying it. OMB’s volume entitled “Major Savings and Reforms” describes more than 100 cuts. Far smaller items receive a whole page, including the Susan Harwood training grants at the Occupational Safety and Health Administration (which are being cut by $11 million) and the Woodrow Wilson International Center for Scholars (-$4 million). </w:t>
      </w:r>
      <w:r w:rsidRPr="00CF143C">
        <w:rPr>
          <w:sz w:val="16"/>
        </w:rPr>
        <w:t>There is nothing about the $100 million Teen Pregnancy Prevention cut. In OMB’s door-stopping budget appendix, the program just disappears from appropriations language. (See here, p. 468, also under General Departmental Management.) Precisely the same approach carries over into HHS’s “Budget in Brief,” the 104-page document which usually explains decisions of any consequence (here, p. 89). It’s like the program never existed. So to find out what happened, you have to dig into the congressional justifications, which are usually read only by Hill staff and lobbyists. Here we learn: “The Budget eliminates the TPP program</w:t>
      </w:r>
      <w:r w:rsidRPr="00CF143C">
        <w:rPr>
          <w:rStyle w:val="Emphasis"/>
        </w:rPr>
        <w:t>. The teenage pregnancy rate has declined significantly over recent years, but it does not appear this program has been a major driver in that reduction.”</w:t>
      </w:r>
      <w:r w:rsidRPr="00CF143C">
        <w:rPr>
          <w:sz w:val="16"/>
        </w:rPr>
        <w:t xml:space="preserve"> That’s it. This is an absurd </w:t>
      </w:r>
      <w:r w:rsidRPr="00CF143C">
        <w:rPr>
          <w:rStyle w:val="Emphasis"/>
        </w:rPr>
        <w:t>rationale. While teen pregnancy rates have improved greatly, the problem is far from solved. Our teenage pregnancy rate is still 50 percent higher than that of England or Australia. Children of teen parents are two or three times likelier than children of parents at 20 or 21 to go to prison or grow up to be teen moms.</w:t>
      </w:r>
      <w:r w:rsidRPr="00CF143C">
        <w:rPr>
          <w:sz w:val="16"/>
        </w:rPr>
        <w:t xml:space="preserve"> TPP funds programs that often prove effective; 12 different models have been shown in evaluations to get results. Many more may well be working, but due to evaluation design, results are inconclusive. As for whether TPP caused teen pregnancy to define nationwide, it would be a very hard question to study seriously, and, to my knowledge, nobody has tried. But as many of us have said repeatedly now, absence of evidence is not evidence of absence. Yet this small, effective program gets the axe. What really mattered? Look in the budget where Teen Pregnancy Prevention used to be. There, the Trump budget preserves an abstinence-only education program, described as follows: </w:t>
      </w:r>
      <w:r w:rsidRPr="00CF143C">
        <w:rPr>
          <w:rStyle w:val="Emphasis"/>
        </w:rPr>
        <w:t xml:space="preserve">This program supports an evidence-based approach defined as voluntarily refraining from non-marital sexual activity. So, rather than maintaining a program that develops and uses actual evidence, the Trump Administration decrees what approach is evidence-based. And that approach, based on the best research available (conducted during the Bush Administration!), mostly does not work to reduce teen pregnancy. If the decision to kill the TPP program is about ideology, why was the decision buried? Timing may be the answer. OMB’s budget volumes go to print weeks ahead of the budget’s rollout. Congressional justifications are finalized much later on. </w:t>
      </w:r>
      <w:r w:rsidRPr="00CF143C">
        <w:rPr>
          <w:sz w:val="16"/>
        </w:rPr>
        <w:t xml:space="preserve">Probably somebody decided very late in the day that they really had to kill the evidence-based teen pregnancy prevention program. We may never know for sure exactly what went on behind the scenes when this decision was made. </w:t>
      </w:r>
      <w:r w:rsidRPr="00CF143C">
        <w:rPr>
          <w:rStyle w:val="Emphasis"/>
        </w:rPr>
        <w:t>But this much is certain: The Trump Administration is trying to eliminate a program that has helped scores of teens keep their lives on track. And, whatever the case, it is safe to assume, as with many parts of this budget proposal, that it had nothing at all to do with evidence.</w:t>
      </w:r>
    </w:p>
    <w:p w:rsidR="00A02692" w:rsidRDefault="00A02692" w:rsidP="00A02692">
      <w:pPr>
        <w:pStyle w:val="Heading4"/>
      </w:pPr>
      <w:r>
        <w:t>US unintended pregnancy and STI rates are higher than other developed nations now, and proposed budget fails</w:t>
      </w:r>
    </w:p>
    <w:p w:rsidR="00A02692" w:rsidRPr="00F63407" w:rsidRDefault="00A02692" w:rsidP="00A02692">
      <w:proofErr w:type="spellStart"/>
      <w:r w:rsidRPr="00F63407">
        <w:rPr>
          <w:rStyle w:val="Style13ptBold"/>
        </w:rPr>
        <w:t>Merelli</w:t>
      </w:r>
      <w:proofErr w:type="spellEnd"/>
      <w:r w:rsidRPr="00F63407">
        <w:rPr>
          <w:rStyle w:val="Style13ptBold"/>
        </w:rPr>
        <w:t xml:space="preserve"> and Timmons 5/23/17</w:t>
      </w:r>
      <w:r>
        <w:t xml:space="preserve"> </w:t>
      </w:r>
      <w:r w:rsidRPr="00F63407">
        <w:rPr>
          <w:sz w:val="16"/>
          <w:szCs w:val="16"/>
        </w:rPr>
        <w:t xml:space="preserve">[Annalisa is a reporter at Quartz. She was the founding editor of art, culture and lifestyle portal The India Tube and a writer and editor at Narratively, Global Voices, Timbuktu, Motherland, W+K Delhi, and </w:t>
      </w:r>
      <w:proofErr w:type="spellStart"/>
      <w:r w:rsidRPr="00F63407">
        <w:rPr>
          <w:sz w:val="16"/>
          <w:szCs w:val="16"/>
        </w:rPr>
        <w:t>Fabrica</w:t>
      </w:r>
      <w:proofErr w:type="spellEnd"/>
      <w:r w:rsidRPr="00F63407">
        <w:rPr>
          <w:sz w:val="16"/>
          <w:szCs w:val="16"/>
        </w:rPr>
        <w:t xml:space="preserve">. She holds a master's degree in semiotics and a bachelor's degree in mass communication from the University of Bologna. Heather Timmons is QZ's first White House correspondent. Previously she was the QZ bureau chief for Asia, based in Hong Kong, where she ran a team covering China's global rise. She spent 10 years with The New York Times in London and New Delhi, covering business and finance. Before the Times, Heather was the banking editor at BusinessWeek in New York, where she covered risky lending, corruption on Wall Street, and a post-9/11 city. She began writing about banking and finance as a reporter with the Daily Deal and American Banker. Trump’s budget would devote $277 million to the least effective contraceptive method known to humankind </w:t>
      </w:r>
      <w:hyperlink r:id="rId135" w:history="1">
        <w:r w:rsidRPr="00F63407">
          <w:rPr>
            <w:rStyle w:val="Hyperlink"/>
            <w:sz w:val="16"/>
            <w:szCs w:val="16"/>
          </w:rPr>
          <w:t>https://qz.com/989317/budget-trump-is-devoting-almost-300-million-to-abstinence-only-sexual-education/</w:t>
        </w:r>
      </w:hyperlink>
      <w:r w:rsidRPr="00F63407">
        <w:rPr>
          <w:sz w:val="16"/>
          <w:szCs w:val="16"/>
        </w:rPr>
        <w:t>] Calculus BC *table</w:t>
      </w:r>
      <w:r>
        <w:rPr>
          <w:sz w:val="16"/>
          <w:szCs w:val="16"/>
        </w:rPr>
        <w:t>s</w:t>
      </w:r>
      <w:r w:rsidRPr="00F63407">
        <w:rPr>
          <w:sz w:val="16"/>
          <w:szCs w:val="16"/>
        </w:rPr>
        <w:t xml:space="preserve"> omitted</w:t>
      </w:r>
    </w:p>
    <w:p w:rsidR="00A02692" w:rsidRPr="00F63407" w:rsidRDefault="00A02692" w:rsidP="00A02692">
      <w:pPr>
        <w:rPr>
          <w:u w:val="single"/>
        </w:rPr>
      </w:pPr>
      <w:r w:rsidRPr="00F63407">
        <w:rPr>
          <w:u w:val="single"/>
        </w:rPr>
        <w:t>About half of pregnancies in the US are unintended. That’s significantly higher than the global average of 40%, and the US also has higher teen pregnancy and sexually transmitted disease rates than other developed nations</w:t>
      </w:r>
      <w:r w:rsidRPr="00F63407">
        <w:rPr>
          <w:sz w:val="16"/>
        </w:rPr>
        <w:t>, so it makes sense that the latest federal spending budget would set aside serious money for contraception and sexual education. Or it would make sense, if that money was going to be spent on improving access to reproductive services, contraception, and science-based sexual education (</w:t>
      </w:r>
      <w:r w:rsidRPr="00F63407">
        <w:rPr>
          <w:u w:val="single"/>
        </w:rPr>
        <w:t xml:space="preserve">currently, only 13 US states mandate that sex </w:t>
      </w:r>
      <w:proofErr w:type="spellStart"/>
      <w:r w:rsidRPr="00F63407">
        <w:rPr>
          <w:u w:val="single"/>
        </w:rPr>
        <w:t>ed</w:t>
      </w:r>
      <w:proofErr w:type="spellEnd"/>
      <w:r w:rsidRPr="00F63407">
        <w:rPr>
          <w:u w:val="single"/>
        </w:rPr>
        <w:t xml:space="preserve"> be medically accurate</w:t>
      </w:r>
      <w:r w:rsidRPr="00F63407">
        <w:rPr>
          <w:sz w:val="16"/>
        </w:rPr>
        <w:t xml:space="preserve">). After all, only funding programs that work is key to the new budget, the White House says. “We’re no longer going to measure compassion by the number of programs or people on them,” Mick </w:t>
      </w:r>
      <w:proofErr w:type="spellStart"/>
      <w:r w:rsidRPr="00F63407">
        <w:rPr>
          <w:sz w:val="16"/>
        </w:rPr>
        <w:t>Mulvaney</w:t>
      </w:r>
      <w:proofErr w:type="spellEnd"/>
      <w:r w:rsidRPr="00F63407">
        <w:rPr>
          <w:sz w:val="16"/>
        </w:rPr>
        <w:t xml:space="preserve">, the director of the Office of Management and Budget said May 22, when presenting the new budget. “We’re going to measure success by the number of people we actually help.” But not only does </w:t>
      </w:r>
      <w:r w:rsidRPr="00F63407">
        <w:rPr>
          <w:u w:val="single"/>
        </w:rPr>
        <w:t>US president Donald Trump’s budget proposal significantly cut funding to Medicaid (which accounts for 75% of publicly funded contraceptive services) and bar any health clinics that offer abortions amongst their reproductive services (such as Planned Parenthood centers) from federal funding, it also funnels money towards the promotion of the least effective type of contraceptive and sexual education: abstinence. The budget proposal released May 22 calls for a $277 million investment in “extend[</w:t>
      </w:r>
      <w:proofErr w:type="spellStart"/>
      <w:r w:rsidRPr="00F63407">
        <w:rPr>
          <w:u w:val="single"/>
        </w:rPr>
        <w:t>ing</w:t>
      </w:r>
      <w:proofErr w:type="spellEnd"/>
      <w:r w:rsidRPr="00F63407">
        <w:rPr>
          <w:u w:val="single"/>
        </w:rPr>
        <w:t xml:space="preserve">] abstinence education and personal responsibility education program” between 2018 and 2024. That’s despite the overwhelming scientific evidence that abstinence programs are completely ineffective at preventing unintended pregnancies or sexually transmitted diseases. Rather unsurprisingly, the states that top the US for teen pregnancies—like Oklahoma and Mississippi, which both near 35 pregnancies per 1,000 girls between 15 and 19, and Arkansas, where the rate is 38 per 1,000—all have sex </w:t>
      </w:r>
      <w:proofErr w:type="spellStart"/>
      <w:r w:rsidRPr="00F63407">
        <w:rPr>
          <w:u w:val="single"/>
        </w:rPr>
        <w:t>ed</w:t>
      </w:r>
      <w:proofErr w:type="spellEnd"/>
      <w:r w:rsidRPr="00F63407">
        <w:rPr>
          <w:u w:val="single"/>
        </w:rPr>
        <w:t xml:space="preserve"> policies that stress the importance of abstinence (table 2) compared to other methods. By comparison, the European Union rate is 15 per 1,000 girls.</w:t>
      </w:r>
    </w:p>
    <w:p w:rsidR="00A02692" w:rsidRDefault="00A02692" w:rsidP="00A02692">
      <w:pPr>
        <w:pStyle w:val="Heading4"/>
        <w:tabs>
          <w:tab w:val="left" w:pos="3410"/>
        </w:tabs>
      </w:pPr>
      <w:r>
        <w:t>Federal education budget cuts now</w:t>
      </w:r>
      <w:r>
        <w:tab/>
      </w:r>
    </w:p>
    <w:p w:rsidR="00A02692" w:rsidRPr="00F438FE" w:rsidRDefault="00A02692" w:rsidP="00A02692">
      <w:r w:rsidRPr="00F438FE">
        <w:rPr>
          <w:rStyle w:val="Style13ptBold"/>
        </w:rPr>
        <w:t>Alpert</w:t>
      </w:r>
      <w:r>
        <w:t xml:space="preserve"> </w:t>
      </w:r>
      <w:r w:rsidRPr="00F438FE">
        <w:rPr>
          <w:rStyle w:val="Style13ptBold"/>
        </w:rPr>
        <w:t>5/29/2017</w:t>
      </w:r>
      <w:r>
        <w:t xml:space="preserve"> </w:t>
      </w:r>
      <w:r w:rsidRPr="00F438FE">
        <w:rPr>
          <w:sz w:val="16"/>
          <w:szCs w:val="16"/>
        </w:rPr>
        <w:t>[Bruce, Bruce Alpert reported on this story for VOA Learning English. George Grow was the editor. US Congress Reviews Plan to Cut Education Budget,</w:t>
      </w:r>
      <w:r>
        <w:rPr>
          <w:sz w:val="16"/>
          <w:szCs w:val="16"/>
        </w:rPr>
        <w:t xml:space="preserve"> </w:t>
      </w:r>
      <w:hyperlink r:id="rId136" w:history="1">
        <w:r w:rsidRPr="00F438FE">
          <w:rPr>
            <w:rStyle w:val="Hyperlink"/>
            <w:sz w:val="16"/>
            <w:szCs w:val="16"/>
          </w:rPr>
          <w:t>https://learningenglish.voanews.com/a/us-congress-considers-plan-to-cut-education-budget/3872981.html</w:t>
        </w:r>
      </w:hyperlink>
      <w:r w:rsidRPr="00F438FE">
        <w:rPr>
          <w:sz w:val="16"/>
          <w:szCs w:val="16"/>
        </w:rPr>
        <w:t>] Calculus BC</w:t>
      </w:r>
    </w:p>
    <w:p w:rsidR="00A02692" w:rsidRPr="00F438FE" w:rsidRDefault="00A02692" w:rsidP="00A02692">
      <w:pPr>
        <w:rPr>
          <w:sz w:val="16"/>
        </w:rPr>
      </w:pPr>
      <w:r w:rsidRPr="00F438FE">
        <w:rPr>
          <w:u w:val="single"/>
        </w:rPr>
        <w:t>President Donald Trump’s first budget proposes a 13 percent cut in federal spending on education.</w:t>
      </w:r>
      <w:r w:rsidRPr="00F438FE">
        <w:rPr>
          <w:sz w:val="16"/>
        </w:rPr>
        <w:t xml:space="preserve"> But like most budget proposals, the United States Congress is sure to make changes. Tom Cole of Oklahoma is a member of the House of Representatives. He heads the House subcommittee that oversees federal spending on education. Congressman Tom Cole. Congressman Tom Cole. </w:t>
      </w:r>
      <w:r w:rsidRPr="00F438FE">
        <w:rPr>
          <w:u w:val="single"/>
        </w:rPr>
        <w:t xml:space="preserve">Cole belongs to the Republican Party, just like Trump. But at a hearing on Wednesday, he told Education Secretary Betsy </w:t>
      </w:r>
      <w:proofErr w:type="spellStart"/>
      <w:r w:rsidRPr="00F438FE">
        <w:rPr>
          <w:u w:val="single"/>
        </w:rPr>
        <w:t>DeVos</w:t>
      </w:r>
      <w:proofErr w:type="spellEnd"/>
      <w:r w:rsidRPr="00F438FE">
        <w:rPr>
          <w:u w:val="single"/>
        </w:rPr>
        <w:t xml:space="preserve"> that some of the proposed cuts are “short-sighted,”</w:t>
      </w:r>
      <w:r w:rsidRPr="00F438FE">
        <w:rPr>
          <w:sz w:val="16"/>
        </w:rPr>
        <w:t xml:space="preserve"> meaning not well thought out. Cole noted proposals to cut programs that provide part-time jobs for college students and help students from poor families attend college. “Frankly, I will advise you, I have a different point of view,” Cole told </w:t>
      </w:r>
      <w:proofErr w:type="spellStart"/>
      <w:r w:rsidRPr="00F438FE">
        <w:rPr>
          <w:sz w:val="16"/>
        </w:rPr>
        <w:t>DeVos</w:t>
      </w:r>
      <w:proofErr w:type="spellEnd"/>
      <w:r w:rsidRPr="00F438FE">
        <w:rPr>
          <w:sz w:val="16"/>
        </w:rPr>
        <w:t xml:space="preserve">. Thinking of taxpayers Mick </w:t>
      </w:r>
      <w:proofErr w:type="spellStart"/>
      <w:r w:rsidRPr="00F438FE">
        <w:rPr>
          <w:sz w:val="16"/>
        </w:rPr>
        <w:t>Mulvaney</w:t>
      </w:r>
      <w:proofErr w:type="spellEnd"/>
      <w:r w:rsidRPr="00F438FE">
        <w:rPr>
          <w:sz w:val="16"/>
        </w:rPr>
        <w:t xml:space="preserve"> is director of the Office of Management and Budget. He said that Trump’s budget does what many earlier budget proposals did not -- consider the needs of Americans who pay for federal programs through taxes. “This is I think the first time in a long time that an administration has written a budget through the eyes of the people who are actually paying the taxes,” </w:t>
      </w:r>
      <w:proofErr w:type="spellStart"/>
      <w:r w:rsidRPr="00F438FE">
        <w:rPr>
          <w:sz w:val="16"/>
        </w:rPr>
        <w:t>Mulvaney</w:t>
      </w:r>
      <w:proofErr w:type="spellEnd"/>
      <w:r w:rsidRPr="00F438FE">
        <w:rPr>
          <w:sz w:val="16"/>
        </w:rPr>
        <w:t xml:space="preserve"> said. Some proposed cuts hit international programs The State Department oversees American education programs worldwide. </w:t>
      </w:r>
      <w:r w:rsidRPr="00F438FE">
        <w:rPr>
          <w:u w:val="single"/>
        </w:rPr>
        <w:t>The Trump budget proposes $148.6 million for international academic programs, down 52 percent from 2017. The largest one, the Fulbright Program, would be cut by 47 percent -- from $235.6 million in 2017 to $125.6 million. The Fulbright program offers federal money so Americans can study, teach and do research outside the United States. It also provides funding for international students and scholars at American colleges and research groups.</w:t>
      </w:r>
      <w:r w:rsidRPr="00F438FE">
        <w:rPr>
          <w:sz w:val="16"/>
        </w:rPr>
        <w:t xml:space="preserve"> The program was started in 1946, after World War II, and named for Senator, J. William Fulbright of Arkansas. Among the federal programs proposed for elimination is the international food for education program. It provides food to students in poor countries. In its budget proposal, the Trump administration said the program has not been shown to be effective. </w:t>
      </w:r>
      <w:r w:rsidRPr="00F438FE">
        <w:rPr>
          <w:u w:val="single"/>
        </w:rPr>
        <w:t>English Language programs, which provide English teaching and teaching materials worldwide, would receive $10 million, down 75 percent from 2017.</w:t>
      </w:r>
      <w:r w:rsidRPr="00F438FE">
        <w:rPr>
          <w:sz w:val="16"/>
        </w:rPr>
        <w:t xml:space="preserve"> Secretary of State Rex </w:t>
      </w:r>
      <w:proofErr w:type="spellStart"/>
      <w:r w:rsidRPr="00F438FE">
        <w:rPr>
          <w:sz w:val="16"/>
        </w:rPr>
        <w:t>Tillerson</w:t>
      </w:r>
      <w:proofErr w:type="spellEnd"/>
      <w:r w:rsidRPr="00F438FE">
        <w:rPr>
          <w:sz w:val="16"/>
        </w:rPr>
        <w:t xml:space="preserve"> says the budget proposal for international education puts a priority on “proven successful programs, such as Fulbright and International Visitor Leadership.” </w:t>
      </w:r>
      <w:r w:rsidRPr="00F438FE">
        <w:rPr>
          <w:u w:val="single"/>
        </w:rPr>
        <w:t xml:space="preserve">The budget proposals are part of President Trump’s plan to put “America First,” in terms of spending decisions, he said. U.S. Secretary of State Rex </w:t>
      </w:r>
      <w:proofErr w:type="spellStart"/>
      <w:r w:rsidRPr="00F438FE">
        <w:rPr>
          <w:u w:val="single"/>
        </w:rPr>
        <w:t>Tillerson</w:t>
      </w:r>
      <w:proofErr w:type="spellEnd"/>
      <w:r w:rsidRPr="00F438FE">
        <w:rPr>
          <w:u w:val="single"/>
        </w:rPr>
        <w:t xml:space="preserve"> U.S. Secretary of State Rex </w:t>
      </w:r>
      <w:proofErr w:type="spellStart"/>
      <w:r w:rsidRPr="00F438FE">
        <w:rPr>
          <w:u w:val="single"/>
        </w:rPr>
        <w:t>Tillerson</w:t>
      </w:r>
      <w:proofErr w:type="spellEnd"/>
      <w:r w:rsidRPr="00F438FE">
        <w:rPr>
          <w:u w:val="single"/>
        </w:rPr>
        <w:t xml:space="preserve"> The visitor program brings current and future leaders from around the world to the U.S. to experience American culture, education and business first-hand. The Trump budget provides $49.3 million for the program, down about 45 percent from the current budget</w:t>
      </w:r>
      <w:r w:rsidRPr="00F438FE">
        <w:rPr>
          <w:sz w:val="16"/>
        </w:rPr>
        <w:t xml:space="preserve">. The budget also calls for big cuts in scientific research at the Department of Energy, Environmental Protection Agency and the National Institutes of Health. Much of the federally funded research is done by universities across the country. </w:t>
      </w:r>
      <w:r w:rsidRPr="00F438FE">
        <w:rPr>
          <w:u w:val="single"/>
        </w:rPr>
        <w:t>Mary Sue Coleman is president of the Association of American Universities. Coleman said that federally funded research by American colleges helped develop important medicines, created the internet, put a man on the moon and produced smart phones. She said cuts in research funding would badly damage the programs that produced “all those things.”</w:t>
      </w:r>
      <w:r w:rsidRPr="00F438FE">
        <w:rPr>
          <w:sz w:val="16"/>
        </w:rPr>
        <w:t xml:space="preserve"> Education Secretary </w:t>
      </w:r>
      <w:proofErr w:type="spellStart"/>
      <w:r w:rsidRPr="00F438FE">
        <w:rPr>
          <w:sz w:val="16"/>
        </w:rPr>
        <w:t>DeVos</w:t>
      </w:r>
      <w:proofErr w:type="spellEnd"/>
      <w:r w:rsidRPr="00F438FE">
        <w:rPr>
          <w:sz w:val="16"/>
        </w:rPr>
        <w:t xml:space="preserve"> said the cuts in education spending are designed, in part, to fund a program Trump proposed during the 2016 election campaign – “school choice.” It would give poor families the ability to choose the school their children attend -- whether public or private. </w:t>
      </w:r>
      <w:proofErr w:type="spellStart"/>
      <w:r w:rsidRPr="00F438FE">
        <w:rPr>
          <w:sz w:val="16"/>
        </w:rPr>
        <w:t>DeVos</w:t>
      </w:r>
      <w:proofErr w:type="spellEnd"/>
      <w:r w:rsidRPr="00F438FE">
        <w:rPr>
          <w:sz w:val="16"/>
        </w:rPr>
        <w:t xml:space="preserve"> said school choice would help low-income parents find a better school for their children when the local public school is not providing a good education. But opponents said school choice takes money away from public schools, which, unlike private schools, must accept all students, including those with learning problems. Derrell Bradford is the executive vice president of 50CAN, which supports school choice. He praises Trump for his school choice proposal, but opposes the proposed education spending cuts. “But people should know that this is a political document, the start of what will be a long process,” Bradford told VOA. “The majority of the cuts will not survive Congress.”</w:t>
      </w:r>
    </w:p>
    <w:p w:rsidR="00A02692" w:rsidRDefault="00A02692" w:rsidP="00A02692">
      <w:pPr>
        <w:rPr>
          <w:sz w:val="16"/>
        </w:rPr>
      </w:pPr>
    </w:p>
    <w:p w:rsidR="00A02692" w:rsidRPr="009E4E30" w:rsidRDefault="00A02692" w:rsidP="00A02692"/>
    <w:p w:rsidR="00A02692" w:rsidRDefault="00A02692" w:rsidP="00A02692">
      <w:pPr>
        <w:pStyle w:val="Heading3"/>
        <w:tabs>
          <w:tab w:val="left" w:pos="6660"/>
        </w:tabs>
      </w:pPr>
      <w:r>
        <w:t>Inherency—TPPP &amp; Access</w:t>
      </w:r>
    </w:p>
    <w:p w:rsidR="00A02692" w:rsidRDefault="00A02692" w:rsidP="00A02692">
      <w:pPr>
        <w:pStyle w:val="Heading4"/>
      </w:pPr>
      <w:r>
        <w:t xml:space="preserve">Federal funded, evidence based education is key. Current state programs are insufficient and Republican’s focus on abstinence isn’t effective. </w:t>
      </w:r>
    </w:p>
    <w:p w:rsidR="00A02692" w:rsidRPr="00D664B9" w:rsidRDefault="00A02692" w:rsidP="00A02692">
      <w:r w:rsidRPr="003C788B">
        <w:rPr>
          <w:rStyle w:val="Style13ptBold"/>
        </w:rPr>
        <w:t>Buchanan</w:t>
      </w:r>
      <w:r>
        <w:t xml:space="preserve"> 5/26/</w:t>
      </w:r>
      <w:r w:rsidRPr="003C788B">
        <w:rPr>
          <w:rStyle w:val="Style13ptBold"/>
        </w:rPr>
        <w:t>16</w:t>
      </w:r>
      <w:r>
        <w:t xml:space="preserve"> </w:t>
      </w:r>
      <w:r w:rsidRPr="00D664B9">
        <w:rPr>
          <w:sz w:val="16"/>
          <w:szCs w:val="16"/>
        </w:rPr>
        <w:t>[Maggie Jo Buchanan is the Associate Director of the Women’s Health and Rights Program at the Center for American Progress. “Even When Teen Pregnancy Rates Fall, Disparities Remain The CDC’s teen pregnancy report should serve as a call to action] Calculus BC</w:t>
      </w:r>
    </w:p>
    <w:p w:rsidR="00A02692" w:rsidRDefault="00A02692" w:rsidP="00A02692">
      <w:pPr>
        <w:rPr>
          <w:u w:val="single"/>
        </w:rPr>
      </w:pPr>
      <w:r w:rsidRPr="00D664B9">
        <w:rPr>
          <w:sz w:val="16"/>
        </w:rPr>
        <w:t>The Most Effective Teen Pregnancy Prevention Programs Are Evidence-</w:t>
      </w:r>
      <w:r w:rsidRPr="00D664B9">
        <w:rPr>
          <w:u w:val="single"/>
        </w:rPr>
        <w:t>Based A key component of the federal Teen Pregnancy Prevention Program is an extensive evidence-based review of all prevention initiatives to help ensure federal dollars are being spent wisely</w:t>
      </w:r>
      <w:r w:rsidRPr="00D664B9">
        <w:rPr>
          <w:sz w:val="16"/>
        </w:rPr>
        <w:t xml:space="preserve">. This review should make the program an attractive one to fund. But just </w:t>
      </w:r>
      <w:r w:rsidRPr="00D664B9">
        <w:rPr>
          <w:u w:val="single"/>
        </w:rPr>
        <w:t>last year, House Republicans proposed cutting the program by 90 percent to just $10 million. Even now, not all states have active Teen Pregnancy Prevention Program grants — in fact, Alabama, which ranks among those states with the highest rates of teen pregnancy, does not currently have a program. In contrast, the $75 million in federal funding that currently goes toward abstinence-only programs has no evidence requirement</w:t>
      </w:r>
      <w:r w:rsidRPr="00D664B9">
        <w:rPr>
          <w:sz w:val="16"/>
        </w:rPr>
        <w:t xml:space="preserve">. As explained above, that deficiency is likely to be expected, as abstinence-only has been proven ineffective in reducing teen pregnancy time and time again. In fact, </w:t>
      </w:r>
      <w:r w:rsidRPr="00D664B9">
        <w:rPr>
          <w:u w:val="single"/>
        </w:rPr>
        <w:t>abstinence-only programs have actually been shown to have negative consequences for teens. But Congress acted to recently increase abstinence-only funding. Currently, even including abstinence-only programs, total federal funding for teen pregnancy prevention is about $280 million annually, with only $175 million of that going toward evidence-based initiatives. Less than 2 percent of teens have access to these programs. The CDC’s recent report shows that further declines in the teen birth rate are possible. But the report also shows where we must target investment to further improve outcomes and reduce disparities, and speaks to the best way of doing so — evidence-based investments. Lawmakers would do well to pay attention to the report’s findings and send federal funding for pregnancy prevention to where it can do the most good.</w:t>
      </w:r>
    </w:p>
    <w:p w:rsidR="00A02692" w:rsidRPr="00EB6886" w:rsidRDefault="00A02692" w:rsidP="00A02692">
      <w:pPr>
        <w:pStyle w:val="Heading3"/>
      </w:pPr>
      <w:r>
        <w:t xml:space="preserve">Inherency—State Laws </w:t>
      </w:r>
    </w:p>
    <w:p w:rsidR="00A02692" w:rsidRDefault="00A02692" w:rsidP="00A02692">
      <w:pPr>
        <w:pStyle w:val="Heading4"/>
      </w:pPr>
      <w:r>
        <w:t>Current state laws regarding sex education are generally abstinence only, aren’t required to be medically accurate, and are even required to posit not heteronormative encounters as negative. Very few programs are not biased.</w:t>
      </w:r>
    </w:p>
    <w:p w:rsidR="00A02692" w:rsidRPr="0060300D" w:rsidRDefault="00A02692" w:rsidP="00A02692">
      <w:pPr>
        <w:rPr>
          <w:sz w:val="16"/>
          <w:szCs w:val="16"/>
        </w:rPr>
      </w:pPr>
      <w:proofErr w:type="spellStart"/>
      <w:r w:rsidRPr="0060300D">
        <w:rPr>
          <w:rStyle w:val="Style13ptBold"/>
        </w:rPr>
        <w:t>Guttmacher</w:t>
      </w:r>
      <w:proofErr w:type="spellEnd"/>
      <w:r w:rsidRPr="0060300D">
        <w:rPr>
          <w:rStyle w:val="Style13ptBold"/>
        </w:rPr>
        <w:t xml:space="preserve"> Institute 6/1/2017</w:t>
      </w:r>
      <w:r>
        <w:t xml:space="preserve"> </w:t>
      </w:r>
      <w:r w:rsidRPr="0060300D">
        <w:rPr>
          <w:sz w:val="16"/>
          <w:szCs w:val="16"/>
        </w:rPr>
        <w:t xml:space="preserve">[State laws and policies, Sex and HIV Education, </w:t>
      </w:r>
      <w:hyperlink r:id="rId137" w:history="1">
        <w:r w:rsidRPr="0060300D">
          <w:rPr>
            <w:rStyle w:val="Hyperlink"/>
            <w:sz w:val="16"/>
            <w:szCs w:val="16"/>
          </w:rPr>
          <w:t>https://www.guttmacher.org/state-policy/explore/sex-and-hiv-education</w:t>
        </w:r>
      </w:hyperlink>
      <w:r w:rsidRPr="0060300D">
        <w:rPr>
          <w:sz w:val="16"/>
          <w:szCs w:val="16"/>
        </w:rPr>
        <w:t>] Calculus BC</w:t>
      </w:r>
    </w:p>
    <w:p w:rsidR="00A02692" w:rsidRDefault="00A02692" w:rsidP="00A02692">
      <w:pPr>
        <w:rPr>
          <w:sz w:val="16"/>
        </w:rPr>
      </w:pPr>
      <w:r w:rsidRPr="0060300D">
        <w:rPr>
          <w:sz w:val="16"/>
        </w:rPr>
        <w:t xml:space="preserve">GENERAL REQUIREMENTS: SEX EDUCATION AND HIV EDUCATION </w:t>
      </w:r>
      <w:r w:rsidRPr="0060300D">
        <w:rPr>
          <w:b/>
          <w:u w:val="single"/>
        </w:rPr>
        <w:t>24 states</w:t>
      </w:r>
      <w:r w:rsidRPr="0060300D">
        <w:rPr>
          <w:u w:val="single"/>
        </w:rPr>
        <w:t xml:space="preserve"> and the District of Columbia </w:t>
      </w:r>
      <w:r w:rsidRPr="0060300D">
        <w:rPr>
          <w:b/>
          <w:u w:val="single"/>
        </w:rPr>
        <w:t>mandate sex education</w:t>
      </w:r>
      <w:r w:rsidRPr="0060300D">
        <w:rPr>
          <w:sz w:val="16"/>
        </w:rPr>
        <w:t xml:space="preserve">. 22 states and the District of Columbia mandate both sex education and HIV education. 2 states only mandate sex education. 34 states and the District of Columbia mandate HIV education; of these states, 12 mandate only HIV education. </w:t>
      </w:r>
      <w:r w:rsidRPr="0060300D">
        <w:rPr>
          <w:u w:val="single"/>
        </w:rPr>
        <w:t xml:space="preserve">27 states and the District of Columbia mandate that, when provided, sex and HIV education programs meet certain general requirements. </w:t>
      </w:r>
      <w:r w:rsidRPr="0060300D">
        <w:rPr>
          <w:b/>
          <w:u w:val="single"/>
        </w:rPr>
        <w:t>13 states require that the instruction be medically accurate</w:t>
      </w:r>
      <w:r w:rsidRPr="0060300D">
        <w:rPr>
          <w:sz w:val="16"/>
        </w:rPr>
        <w:t xml:space="preserve">. 26 states and the District of Columbia require that the information be appropriate for the students' age. </w:t>
      </w:r>
      <w:r w:rsidRPr="0060300D">
        <w:rPr>
          <w:u w:val="single"/>
        </w:rPr>
        <w:t>8 states require that the program must provide instruction that is appropriate for a student’s cultural background and not be biased against any race, sex or ethnicity.</w:t>
      </w:r>
      <w:r>
        <w:rPr>
          <w:u w:val="single"/>
        </w:rPr>
        <w:t xml:space="preserve"> </w:t>
      </w:r>
      <w:r w:rsidRPr="0060300D">
        <w:rPr>
          <w:sz w:val="16"/>
        </w:rPr>
        <w:t xml:space="preserve">2 states prohibit the program from promoting religion. </w:t>
      </w:r>
      <w:r w:rsidRPr="0060300D">
        <w:rPr>
          <w:u w:val="single"/>
        </w:rPr>
        <w:t>38 states and the District of Columbia require school districts to involve parents in sex education, HIV education or both.</w:t>
      </w:r>
      <w:r w:rsidRPr="0060300D">
        <w:rPr>
          <w:sz w:val="16"/>
        </w:rPr>
        <w:t xml:space="preserve"> 22 states and the District of Columbia require that parents be notified that sex education or HIV education will be provided. 3 states require parental consent for students to participate in sex education or HIV education. </w:t>
      </w:r>
      <w:r w:rsidRPr="0060300D">
        <w:rPr>
          <w:u w:val="single"/>
        </w:rPr>
        <w:t>36 states and the District of Columbia allow parents to remove their children from instruction</w:t>
      </w:r>
      <w:r w:rsidRPr="0060300D">
        <w:rPr>
          <w:sz w:val="16"/>
        </w:rPr>
        <w:t xml:space="preserve">. CONTENT REQUIREMENTS WHEN SEX EDUCATION IS TAUGHT 18 states and the District of Columbia require that information on contraception be provided. </w:t>
      </w:r>
      <w:r w:rsidRPr="0060300D">
        <w:rPr>
          <w:u w:val="single"/>
        </w:rPr>
        <w:t>37 states require that information on abstinence be provided</w:t>
      </w:r>
      <w:r w:rsidRPr="0060300D">
        <w:rPr>
          <w:sz w:val="16"/>
        </w:rPr>
        <w:t xml:space="preserve">. </w:t>
      </w:r>
      <w:r w:rsidRPr="0060300D">
        <w:rPr>
          <w:b/>
          <w:u w:val="single"/>
        </w:rPr>
        <w:t>26 states require</w:t>
      </w:r>
      <w:r w:rsidRPr="0060300D">
        <w:rPr>
          <w:u w:val="single"/>
        </w:rPr>
        <w:t xml:space="preserve"> that </w:t>
      </w:r>
      <w:r w:rsidRPr="0060300D">
        <w:rPr>
          <w:b/>
          <w:u w:val="single"/>
        </w:rPr>
        <w:t>abstinence</w:t>
      </w:r>
      <w:r w:rsidRPr="0060300D">
        <w:rPr>
          <w:u w:val="single"/>
        </w:rPr>
        <w:t xml:space="preserve"> be </w:t>
      </w:r>
      <w:r w:rsidRPr="0060300D">
        <w:rPr>
          <w:b/>
          <w:u w:val="single"/>
        </w:rPr>
        <w:t>stressed</w:t>
      </w:r>
      <w:r w:rsidRPr="0060300D">
        <w:rPr>
          <w:u w:val="single"/>
        </w:rPr>
        <w:t>.</w:t>
      </w:r>
      <w:r>
        <w:rPr>
          <w:u w:val="single"/>
        </w:rPr>
        <w:t xml:space="preserve"> </w:t>
      </w:r>
      <w:r w:rsidRPr="0060300D">
        <w:rPr>
          <w:sz w:val="16"/>
        </w:rPr>
        <w:t xml:space="preserve">11 states require that abstinence be covered. </w:t>
      </w:r>
      <w:r w:rsidRPr="0060300D">
        <w:rPr>
          <w:u w:val="single"/>
        </w:rPr>
        <w:t>19 states require that instruction on the importance of engaging in sexual activity only within marriage be provided</w:t>
      </w:r>
      <w:r w:rsidRPr="0060300D">
        <w:rPr>
          <w:sz w:val="16"/>
        </w:rPr>
        <w:t xml:space="preserve">. </w:t>
      </w:r>
      <w:r w:rsidRPr="0060300D">
        <w:rPr>
          <w:u w:val="single"/>
        </w:rPr>
        <w:t>12 states require discussion of sexual orientation</w:t>
      </w:r>
      <w:r w:rsidRPr="0060300D">
        <w:rPr>
          <w:sz w:val="16"/>
        </w:rPr>
        <w:t xml:space="preserve">. 9 states require that discussion of sexual orientation be inclusive. </w:t>
      </w:r>
      <w:r w:rsidRPr="0060300D">
        <w:rPr>
          <w:u w:val="single"/>
        </w:rPr>
        <w:t>3 states require only negative information on sexual orientation.</w:t>
      </w:r>
      <w:r>
        <w:rPr>
          <w:u w:val="single"/>
        </w:rPr>
        <w:t xml:space="preserve"> </w:t>
      </w:r>
      <w:r w:rsidRPr="0060300D">
        <w:rPr>
          <w:sz w:val="16"/>
        </w:rPr>
        <w:t>13 states require the inclusion of information on the negative outcomes of teen sex and pregnancy</w:t>
      </w:r>
      <w:r w:rsidRPr="0060300D">
        <w:rPr>
          <w:u w:val="single"/>
        </w:rPr>
        <w:t>. 28 states and the District of Columbia require the provision of information about skills for healthy sexuality (including avoiding coerced sex), healthy decision making and family communication when sex education is taught</w:t>
      </w:r>
      <w:r w:rsidRPr="0060300D">
        <w:rPr>
          <w:sz w:val="16"/>
        </w:rPr>
        <w:t xml:space="preserve">. 21 states and the District of Columbia require that sex education include information about skills for avoiding coerced sex. 22 states require that sex education include information on making healthy decisions around sexuality. 11 states require that sex education include instruction on how to talk to family members, especially parents, about sex. CONTENT REQUIREMENTS WHEN HIV EDUCATION IS TAUGHT 20 states require information on condoms or contraception. </w:t>
      </w:r>
      <w:r w:rsidRPr="0060300D">
        <w:rPr>
          <w:u w:val="single"/>
        </w:rPr>
        <w:t>39 states require that abstinence be included</w:t>
      </w:r>
      <w:r>
        <w:rPr>
          <w:u w:val="single"/>
        </w:rPr>
        <w:t xml:space="preserve"> </w:t>
      </w:r>
      <w:r w:rsidRPr="0060300D">
        <w:rPr>
          <w:u w:val="single"/>
        </w:rPr>
        <w:t>27 states require that abstinence be stressed</w:t>
      </w:r>
      <w:r w:rsidRPr="0060300D">
        <w:rPr>
          <w:sz w:val="16"/>
        </w:rPr>
        <w:t>. 12 states require that abstinence be covered.</w:t>
      </w:r>
    </w:p>
    <w:p w:rsidR="00A02692" w:rsidRPr="00EB6886" w:rsidRDefault="00A02692" w:rsidP="00A02692">
      <w:pPr>
        <w:pStyle w:val="Heading3"/>
      </w:pPr>
      <w:r>
        <w:t xml:space="preserve">Inherency—State Laws </w:t>
      </w:r>
    </w:p>
    <w:p w:rsidR="00A02692" w:rsidRPr="0060300D" w:rsidRDefault="00A02692" w:rsidP="00A02692">
      <w:pPr>
        <w:rPr>
          <w:sz w:val="16"/>
        </w:rPr>
      </w:pPr>
    </w:p>
    <w:p w:rsidR="00A02692" w:rsidRDefault="00A02692" w:rsidP="00A02692">
      <w:pPr>
        <w:pStyle w:val="Heading4"/>
      </w:pPr>
      <w:r>
        <w:t>States teach negative stigma and avoid serious issues like abortion and LGBTQ+ identity</w:t>
      </w:r>
    </w:p>
    <w:p w:rsidR="00A02692" w:rsidRDefault="00A02692" w:rsidP="00A02692">
      <w:proofErr w:type="spellStart"/>
      <w:r w:rsidRPr="00604ACA">
        <w:rPr>
          <w:rStyle w:val="Style13ptBold"/>
        </w:rPr>
        <w:t>Slatton</w:t>
      </w:r>
      <w:proofErr w:type="spellEnd"/>
      <w:r w:rsidRPr="00604ACA">
        <w:rPr>
          <w:rStyle w:val="Style13ptBold"/>
        </w:rPr>
        <w:t xml:space="preserve"> 14</w:t>
      </w:r>
      <w:r>
        <w:t xml:space="preserve"> </w:t>
      </w:r>
      <w:r w:rsidRPr="00604ACA">
        <w:rPr>
          <w:sz w:val="16"/>
          <w:szCs w:val="16"/>
        </w:rPr>
        <w:t xml:space="preserve">[Victoria </w:t>
      </w:r>
      <w:proofErr w:type="spellStart"/>
      <w:r w:rsidRPr="00604ACA">
        <w:rPr>
          <w:sz w:val="16"/>
          <w:szCs w:val="16"/>
        </w:rPr>
        <w:t>Slatton</w:t>
      </w:r>
      <w:proofErr w:type="spellEnd"/>
      <w:r w:rsidRPr="00604ACA">
        <w:rPr>
          <w:sz w:val="16"/>
          <w:szCs w:val="16"/>
        </w:rPr>
        <w:t xml:space="preserve"> is a second year law student at Pepperdine University and a passionate advocate for human and civil rights. My Southern Sexual Education: What I Was Taught And What I Had To Learn For Myself. </w:t>
      </w:r>
      <w:hyperlink r:id="rId138" w:history="1">
        <w:r w:rsidRPr="00604ACA">
          <w:rPr>
            <w:rStyle w:val="Hyperlink"/>
            <w:sz w:val="16"/>
            <w:szCs w:val="16"/>
          </w:rPr>
          <w:t>http://thoughtcatalog.com/victoria-slatton/2014/04/my-southern-sexual-education-what-i-was-taught-and-what-i-had-to-learn-for-myself/</w:t>
        </w:r>
      </w:hyperlink>
      <w:r w:rsidRPr="00604ACA">
        <w:rPr>
          <w:sz w:val="16"/>
          <w:szCs w:val="16"/>
        </w:rPr>
        <w:t>] Calculus BC</w:t>
      </w:r>
    </w:p>
    <w:p w:rsidR="00A02692" w:rsidRPr="00604ACA" w:rsidRDefault="00A02692" w:rsidP="00A02692">
      <w:pPr>
        <w:rPr>
          <w:sz w:val="16"/>
        </w:rPr>
      </w:pPr>
      <w:r w:rsidRPr="00604ACA">
        <w:rPr>
          <w:sz w:val="16"/>
        </w:rPr>
        <w:t>To shed light on the subject, I compiled a list of my own experiences</w:t>
      </w:r>
      <w:r w:rsidRPr="00EB6886">
        <w:rPr>
          <w:u w:val="single"/>
        </w:rPr>
        <w:t xml:space="preserve">. If you think the following sentiments are at all exaggerated, I highly suggest watching “The Education of Shelby Knox,” a documentary made in West Texas about a girl with similar experiences. </w:t>
      </w:r>
      <w:r w:rsidRPr="00EB6886">
        <w:rPr>
          <w:b/>
          <w:u w:val="single"/>
        </w:rPr>
        <w:t xml:space="preserve">Things I was taught: 1. The bubble gum analogy. </w:t>
      </w:r>
      <w:r w:rsidRPr="00EB6886">
        <w:rPr>
          <w:u w:val="single"/>
        </w:rPr>
        <w:t xml:space="preserve">We were told that a virgin girl was like an un-chewed piece of bubble gum. However, once she had sex she was all chewed up, and nobody wants a used piece of gum. The more times she was “chewed” the more disgusting she became. </w:t>
      </w:r>
      <w:r w:rsidRPr="00EB6886">
        <w:rPr>
          <w:b/>
          <w:u w:val="single"/>
        </w:rPr>
        <w:t>2. The condom industry lies to teenagers to make money.</w:t>
      </w:r>
      <w:r w:rsidRPr="00604ACA">
        <w:rPr>
          <w:b/>
          <w:sz w:val="16"/>
        </w:rPr>
        <w:t xml:space="preserve"> </w:t>
      </w:r>
      <w:r w:rsidRPr="00604ACA">
        <w:rPr>
          <w:sz w:val="16"/>
        </w:rPr>
        <w:t xml:space="preserve">Perhaps the banana demonstration is a bit unnecessary, </w:t>
      </w:r>
      <w:r w:rsidRPr="00EB6886">
        <w:rPr>
          <w:u w:val="single"/>
        </w:rPr>
        <w:t>but true statistics about condoms are an important aspect of a comprehensive education. I was taught that condoms were only 86% effective, and this number was actually inflated by condom companies</w:t>
      </w:r>
      <w:r w:rsidRPr="00604ACA">
        <w:rPr>
          <w:sz w:val="16"/>
        </w:rPr>
        <w:t xml:space="preserve"> in an attempt to sell more of their product. </w:t>
      </w:r>
      <w:r w:rsidRPr="00EB6886">
        <w:rPr>
          <w:b/>
          <w:u w:val="single"/>
        </w:rPr>
        <w:t>3. Shaking hands can lead to STDs</w:t>
      </w:r>
      <w:r w:rsidRPr="00604ACA">
        <w:rPr>
          <w:b/>
          <w:sz w:val="16"/>
        </w:rPr>
        <w:t xml:space="preserve">. </w:t>
      </w:r>
      <w:r w:rsidRPr="00604ACA">
        <w:rPr>
          <w:sz w:val="16"/>
        </w:rPr>
        <w:t xml:space="preserve">Nope, I’m not making this up. There was a very specific monologue </w:t>
      </w:r>
      <w:r w:rsidRPr="00EB6886">
        <w:rPr>
          <w:u w:val="single"/>
        </w:rPr>
        <w:t xml:space="preserve">each year our guest speaker would go through about the danger of shaking hands and then subsequently masturbating: “you don’t know where that hand has been, what it’s been doing, or who it’s been doing it with.” </w:t>
      </w:r>
      <w:r w:rsidRPr="00EB6886">
        <w:rPr>
          <w:b/>
          <w:u w:val="single"/>
        </w:rPr>
        <w:t xml:space="preserve">4. Pregnancy without sex is not only possible, it’s in fact quite common. </w:t>
      </w:r>
      <w:r w:rsidRPr="00EB6886">
        <w:rPr>
          <w:u w:val="single"/>
        </w:rPr>
        <w:t>I was told multiple horror stories about girls who got pregnant without actual penetration</w:t>
      </w:r>
      <w:r w:rsidRPr="00604ACA">
        <w:rPr>
          <w:sz w:val="16"/>
        </w:rPr>
        <w:t>. Of course, this is entirely avoidable, but it took me a long time before I could relax in a hot tub with members of the opposite sex</w:t>
      </w:r>
      <w:r w:rsidRPr="00EB6886">
        <w:rPr>
          <w:u w:val="single"/>
        </w:rPr>
        <w:t xml:space="preserve">. </w:t>
      </w:r>
      <w:r w:rsidRPr="00EB6886">
        <w:rPr>
          <w:b/>
          <w:u w:val="single"/>
        </w:rPr>
        <w:t>5. The “wheel of consequence” demonstration.</w:t>
      </w:r>
      <w:r w:rsidRPr="00604ACA">
        <w:rPr>
          <w:b/>
          <w:sz w:val="16"/>
        </w:rPr>
        <w:t xml:space="preserve"> </w:t>
      </w:r>
      <w:r w:rsidRPr="00604ACA">
        <w:rPr>
          <w:sz w:val="16"/>
        </w:rPr>
        <w:t xml:space="preserve">Each year, a lucky student got to spin the “wheel of consequence” (which ironically resembled the wheel of fortune). </w:t>
      </w:r>
      <w:r w:rsidRPr="00EB6886">
        <w:rPr>
          <w:u w:val="single"/>
        </w:rPr>
        <w:t xml:space="preserve">This had multiple STDs, teen pregnancy, and emotional dilemmas. Only ten percent of the wheel was labeled “no consequences.” </w:t>
      </w:r>
      <w:r w:rsidRPr="00EB6886">
        <w:rPr>
          <w:b/>
          <w:u w:val="single"/>
        </w:rPr>
        <w:t xml:space="preserve">Things I was not taught: 1. Different methods of preventative birth control for women </w:t>
      </w:r>
      <w:r w:rsidRPr="00EB6886">
        <w:rPr>
          <w:u w:val="single"/>
        </w:rPr>
        <w:t>I had no comprehension of the multitude of birth control options available</w:t>
      </w:r>
      <w:r w:rsidRPr="00604ACA">
        <w:rPr>
          <w:sz w:val="16"/>
        </w:rPr>
        <w:t xml:space="preserve">. I was never taught the side effects of birth control, the effectiveness of each method, or the different reasons people take it. </w:t>
      </w:r>
      <w:r w:rsidRPr="00EB6886">
        <w:rPr>
          <w:u w:val="single"/>
        </w:rPr>
        <w:t xml:space="preserve">The Plan B pill was also a complete taboo, and I still have friends who don’t understand how it’s different from an abortion pill. </w:t>
      </w:r>
      <w:r w:rsidRPr="00EB6886">
        <w:rPr>
          <w:b/>
          <w:u w:val="single"/>
        </w:rPr>
        <w:t>2. Birth controls that don’t work</w:t>
      </w:r>
      <w:r w:rsidRPr="00604ACA">
        <w:rPr>
          <w:sz w:val="16"/>
        </w:rPr>
        <w:t>. I remember when my friend found “sperm-o-</w:t>
      </w:r>
      <w:proofErr w:type="spellStart"/>
      <w:r w:rsidRPr="00604ACA">
        <w:rPr>
          <w:sz w:val="16"/>
        </w:rPr>
        <w:t>cide</w:t>
      </w:r>
      <w:proofErr w:type="spellEnd"/>
      <w:r w:rsidRPr="00604ACA">
        <w:rPr>
          <w:sz w:val="16"/>
        </w:rPr>
        <w:t xml:space="preserve">,” and was somehow under the impression that this was a revolutionary preventative tactic. She now has a beautiful five year old boy. </w:t>
      </w:r>
      <w:r w:rsidRPr="00EB6886">
        <w:rPr>
          <w:b/>
          <w:u w:val="single"/>
        </w:rPr>
        <w:t>3. Various types of STDs</w:t>
      </w:r>
      <w:r w:rsidRPr="00EB6886">
        <w:rPr>
          <w:u w:val="single"/>
        </w:rPr>
        <w:t>.</w:t>
      </w:r>
      <w:r w:rsidRPr="00604ACA">
        <w:rPr>
          <w:sz w:val="16"/>
        </w:rPr>
        <w:t xml:space="preserve"> Well this is embarrassing, but in my early years I was under the impression that all STDs were incurable, and condoms did practically nothing to protect against their spread. </w:t>
      </w:r>
      <w:r w:rsidRPr="00604ACA">
        <w:rPr>
          <w:b/>
          <w:u w:val="single"/>
        </w:rPr>
        <w:t>4. Methods of abortion</w:t>
      </w:r>
      <w:r w:rsidRPr="00604ACA">
        <w:rPr>
          <w:u w:val="single"/>
        </w:rPr>
        <w:t xml:space="preserve">. </w:t>
      </w:r>
      <w:r w:rsidRPr="00604ACA">
        <w:rPr>
          <w:sz w:val="16"/>
        </w:rPr>
        <w:t>I realize this is a tough subject, but the Supreme Court has ruled that abortion is a woman’s legal right. My point is that no matter what your beliefs are on the subject, this is a reality.</w:t>
      </w:r>
      <w:r w:rsidRPr="00604ACA">
        <w:rPr>
          <w:u w:val="single"/>
        </w:rPr>
        <w:t xml:space="preserve"> There are various methods of abortion, various places to get an abortion, various options in financing an abortion, various reasons for getting an abortion, and a limited window when a woman can have an abortion. I was taught nothing about any of this</w:t>
      </w:r>
      <w:r w:rsidRPr="00604ACA">
        <w:rPr>
          <w:sz w:val="16"/>
        </w:rPr>
        <w:t xml:space="preserve">. </w:t>
      </w:r>
      <w:r w:rsidRPr="00604ACA">
        <w:rPr>
          <w:b/>
          <w:sz w:val="16"/>
        </w:rPr>
        <w:t xml:space="preserve">5. What to do after a sexual assault. </w:t>
      </w:r>
      <w:r w:rsidRPr="00604ACA">
        <w:rPr>
          <w:sz w:val="16"/>
        </w:rPr>
        <w:t xml:space="preserve">Today, I know that a victim should immediately go to a hospital and report an episode of this nature, but I wouldn’t have understood that during my early teenage years. Of course, television gave me some vague understanding of a “rape kit,” but I had no clue what that actually entailed. </w:t>
      </w:r>
      <w:r w:rsidRPr="00604ACA">
        <w:rPr>
          <w:u w:val="single"/>
        </w:rPr>
        <w:t xml:space="preserve">Knowledge brings preparation, understanding, and prevention. There are also many different types of sexual assaults young people should be aware of. Many of my friends were abused, but didn’t understand what was happening until it was too late to report. </w:t>
      </w:r>
      <w:r w:rsidRPr="00604ACA">
        <w:rPr>
          <w:b/>
          <w:u w:val="single"/>
        </w:rPr>
        <w:t>6. Anatomy</w:t>
      </w:r>
      <w:r w:rsidRPr="00604ACA">
        <w:rPr>
          <w:u w:val="single"/>
        </w:rPr>
        <w:t xml:space="preserve">. A friend of mine in high school once informed me that a woman can only get pregnant several days out of the month (she apparently didn’t spin the wheel of consequence). I scoffed at her, until I took biology in college and learned what actually occurs inside of my own body. </w:t>
      </w:r>
      <w:r w:rsidRPr="00604ACA">
        <w:rPr>
          <w:b/>
          <w:u w:val="single"/>
        </w:rPr>
        <w:t>7. LGBTQ education</w:t>
      </w:r>
      <w:r w:rsidRPr="00604ACA">
        <w:rPr>
          <w:u w:val="single"/>
        </w:rPr>
        <w:t xml:space="preserve">. LGBTQ youth have specific sexual education needs, but this subject was literally never visited at any point during my time in public education. </w:t>
      </w:r>
      <w:r w:rsidRPr="00604ACA">
        <w:rPr>
          <w:b/>
          <w:u w:val="single"/>
        </w:rPr>
        <w:t>8. A woman is not defined by her sexual history</w:t>
      </w:r>
      <w:r w:rsidRPr="00604ACA">
        <w:rPr>
          <w:u w:val="single"/>
        </w:rPr>
        <w:t>. This is an unfortunate stigma that was instilled in us at an early age.</w:t>
      </w:r>
      <w:r w:rsidRPr="00604ACA">
        <w:rPr>
          <w:sz w:val="16"/>
        </w:rPr>
        <w:t xml:space="preserve"> I watched a lot of my friends have sex once and somehow believe they deserved a scarlet letter for their transgressions. </w:t>
      </w:r>
    </w:p>
    <w:p w:rsidR="00A02692" w:rsidRDefault="00A02692" w:rsidP="00A02692">
      <w:pPr>
        <w:pStyle w:val="Heading3"/>
      </w:pPr>
      <w:r>
        <w:t xml:space="preserve">Inherency – </w:t>
      </w:r>
      <w:proofErr w:type="spellStart"/>
      <w:r>
        <w:t>squo</w:t>
      </w:r>
      <w:proofErr w:type="spellEnd"/>
      <w:r>
        <w:t xml:space="preserve"> sex </w:t>
      </w:r>
      <w:proofErr w:type="spellStart"/>
      <w:r>
        <w:t>ed</w:t>
      </w:r>
      <w:proofErr w:type="spellEnd"/>
      <w:r>
        <w:t xml:space="preserve"> = heteropatriarchal</w:t>
      </w:r>
    </w:p>
    <w:p w:rsidR="00A02692" w:rsidRDefault="00A02692" w:rsidP="00A02692">
      <w:pPr>
        <w:pStyle w:val="Heading4"/>
      </w:pPr>
      <w:r>
        <w:t>Abstinence only programs promote heteronormative structures and criminalize single mothers.</w:t>
      </w:r>
    </w:p>
    <w:p w:rsidR="00A02692" w:rsidRPr="00E66DCD" w:rsidRDefault="00A02692" w:rsidP="00A02692">
      <w:r w:rsidRPr="00AA3E56">
        <w:rPr>
          <w:rStyle w:val="Style13ptBold"/>
        </w:rPr>
        <w:t>McNeill 13</w:t>
      </w:r>
      <w:r>
        <w:t xml:space="preserve"> </w:t>
      </w:r>
      <w:r w:rsidRPr="00AA3E56">
        <w:rPr>
          <w:sz w:val="16"/>
          <w:szCs w:val="16"/>
        </w:rPr>
        <w:t xml:space="preserve">[Tanya McNeill received her PhD in Sociology with a Certificate in Feminist Studies from the University of California at Santa Cruz in 2008. She has taught in Women’s and Gender Studies, LGBT Studies and Sociology at the University of Wisconsin </w:t>
      </w:r>
      <w:proofErr w:type="spellStart"/>
      <w:r w:rsidRPr="00AA3E56">
        <w:rPr>
          <w:sz w:val="16"/>
          <w:szCs w:val="16"/>
        </w:rPr>
        <w:t>Eau</w:t>
      </w:r>
      <w:proofErr w:type="spellEnd"/>
      <w:r w:rsidRPr="00AA3E56">
        <w:rPr>
          <w:sz w:val="16"/>
          <w:szCs w:val="16"/>
        </w:rPr>
        <w:t xml:space="preserve"> Claire, Wellesley College, the University of California at Davis, and the University of California at Santa Cruz. Her research interests include the production of knowledge about the family, the regulation of gender, race, sexuality, and class, childhood and gender, and LGBT advocacy. Her essay, ‘A nation of families: The codification and (be)longings of heteropatriarchy’ was published in Toward a Sociology of the Trace in 2010. She currently lives in Eugene, Oregon, where she is researching cultural and political representations of gender creative (or gender non-conforming) children. </w:t>
      </w:r>
      <w:hyperlink r:id="rId139" w:history="1">
        <w:r w:rsidRPr="00827469">
          <w:rPr>
            <w:rStyle w:val="Hyperlink"/>
            <w:sz w:val="16"/>
            <w:szCs w:val="16"/>
          </w:rPr>
          <w:t>file:///C:/Users/Benny/Downloads/sex%20education%20and%20the%20promotion%20of%20heteronormativity.pdf</w:t>
        </w:r>
      </w:hyperlink>
      <w:r>
        <w:rPr>
          <w:sz w:val="16"/>
          <w:szCs w:val="16"/>
        </w:rPr>
        <w:t xml:space="preserve"> </w:t>
      </w:r>
      <w:r w:rsidRPr="00AA3E56">
        <w:rPr>
          <w:sz w:val="16"/>
          <w:szCs w:val="16"/>
        </w:rPr>
        <w:t>“Sex education and the promotion of heteronormativity”</w:t>
      </w:r>
      <w:r>
        <w:rPr>
          <w:sz w:val="16"/>
          <w:szCs w:val="16"/>
        </w:rPr>
        <w:t xml:space="preserve"> pg. 5-7</w:t>
      </w:r>
      <w:r w:rsidRPr="00AA3E56">
        <w:rPr>
          <w:sz w:val="16"/>
          <w:szCs w:val="16"/>
        </w:rPr>
        <w:t>] Calculus BC</w:t>
      </w:r>
    </w:p>
    <w:p w:rsidR="00A02692" w:rsidRPr="001229B9" w:rsidRDefault="00A02692" w:rsidP="00A02692">
      <w:pPr>
        <w:rPr>
          <w:sz w:val="12"/>
        </w:rPr>
      </w:pPr>
      <w:r w:rsidRPr="00E66DCD">
        <w:rPr>
          <w:u w:val="single"/>
        </w:rPr>
        <w:t xml:space="preserve">The federal government’s emphasis on abstinence-only sexuality education has been a key aspect of its regulation of poor women’s sexuality for over 30 years. Welfare policy has always been a racial project (Omi and </w:t>
      </w:r>
      <w:proofErr w:type="spellStart"/>
      <w:r w:rsidRPr="00E66DCD">
        <w:rPr>
          <w:u w:val="single"/>
        </w:rPr>
        <w:t>Winant</w:t>
      </w:r>
      <w:proofErr w:type="spellEnd"/>
      <w:r w:rsidRPr="00E66DCD">
        <w:rPr>
          <w:u w:val="single"/>
        </w:rPr>
        <w:t>, 1994) that regulates sexuality, race, and gender and imposes heteronormative (white, marital, monogamous, heterosexual, and middle-class) familial standards on poor women</w:t>
      </w:r>
      <w:r w:rsidRPr="001229B9">
        <w:rPr>
          <w:sz w:val="12"/>
        </w:rPr>
        <w:t xml:space="preserve"> (Mink, 1995; see also Collins’ discussion of the ‘normative yardstick’ 1990: 46). </w:t>
      </w:r>
      <w:r w:rsidRPr="00E66DCD">
        <w:rPr>
          <w:u w:val="single"/>
        </w:rPr>
        <w:t>The 1996 Personal Responsibility Act, which draws on language eerily similar to 830 Sexualities 16(7) the Moynihan report,9 pathologizes single mothers (who were racialized as black and Latina during the welfare reform debates of the late 20th Century) and disproportionately regulates the reproductive and familial lives of women of color, created a new funding source for abstinence-only-until-marriage programs through Title V, Section 510(b) of the Social Security Act. Title V sexuality education is described in the law as an educational or motivational program which ... (A) has as its exclusive purpose, teaching the social, psychological, and health gains to be realized by abstaining from sexual activity; (B) teaches abstinence from sexual activity outside marriage as the expected standard for all school age children; (C) teaches that abstinence from sexual activity is the only certain way to avoid out</w:t>
      </w:r>
      <w:r>
        <w:rPr>
          <w:u w:val="single"/>
        </w:rPr>
        <w:t xml:space="preserve"> </w:t>
      </w:r>
      <w:r w:rsidRPr="00E66DCD">
        <w:rPr>
          <w:u w:val="single"/>
        </w:rPr>
        <w:t xml:space="preserve">of-wedlock pregnancy, sexually transmitted diseases, and other associated health problems; (D) teaches that a mutually faithful monogamous relationship in context of marriage is the expected standard of human sexual activity; (E) teaches that sexual activity outside of the context of marriage is likely to have harmful psychological and physical effects; (F) teaches that bearing children out-of-wedlock is likely to have harmful consequences for the child, the child’s parents, and society; (G) teaches young people how to reject sexual advances and how alcohol and drug use increases vulnerability to sexual advances; </w:t>
      </w:r>
      <w:r w:rsidRPr="001229B9">
        <w:rPr>
          <w:sz w:val="12"/>
        </w:rPr>
        <w:t xml:space="preserve">and (H) teaches the importance of attaining self-sufficiency before engaging in sexual activity </w:t>
      </w:r>
      <w:r w:rsidRPr="00E66DCD">
        <w:rPr>
          <w:u w:val="single"/>
        </w:rPr>
        <w:t xml:space="preserve">(Section 510 of Title V of the Social Security Act). While there has been some variation in how strictly states have been required to meet these standards,10 Title V may be the federal government’s most explicit articulation and promotion of heteronormativity. It lays out a set of sexual standards for US citizens and emphasizes the importance of teaching these sexual standards </w:t>
      </w:r>
      <w:r w:rsidRPr="001229B9">
        <w:rPr>
          <w:u w:val="single"/>
        </w:rPr>
        <w:t>in schools</w:t>
      </w:r>
      <w:r w:rsidRPr="001229B9">
        <w:rPr>
          <w:sz w:val="12"/>
        </w:rPr>
        <w:t xml:space="preserve">. While I focus here on Title V sexuality education funds, there are </w:t>
      </w:r>
      <w:r w:rsidRPr="001229B9">
        <w:rPr>
          <w:u w:val="single"/>
        </w:rPr>
        <w:t xml:space="preserve">at least three other programs through which the federal government funds abstinence-only education. </w:t>
      </w:r>
      <w:r w:rsidRPr="001229B9">
        <w:rPr>
          <w:sz w:val="12"/>
        </w:rPr>
        <w:t xml:space="preserve">In 1981, the federal government passed </w:t>
      </w:r>
      <w:r w:rsidRPr="001229B9">
        <w:rPr>
          <w:u w:val="single"/>
        </w:rPr>
        <w:t>the Adolescent Family Life Act, (AFLA) which funds abstinence-only education in an effort to prevent teen pregnancy</w:t>
      </w:r>
      <w:r w:rsidRPr="001229B9">
        <w:rPr>
          <w:sz w:val="12"/>
        </w:rPr>
        <w:t xml:space="preserve"> (Perrin and </w:t>
      </w:r>
      <w:proofErr w:type="spellStart"/>
      <w:r w:rsidRPr="001229B9">
        <w:rPr>
          <w:sz w:val="12"/>
        </w:rPr>
        <w:t>DeJoy</w:t>
      </w:r>
      <w:proofErr w:type="spellEnd"/>
      <w:r w:rsidRPr="001229B9">
        <w:rPr>
          <w:sz w:val="12"/>
        </w:rPr>
        <w:t xml:space="preserve">, 2003). Additional abstinence-only funds are available to McNeill 831 state and community organizations through </w:t>
      </w:r>
      <w:r w:rsidRPr="001229B9">
        <w:rPr>
          <w:u w:val="single"/>
        </w:rPr>
        <w:t>Community Based Abstinence Education grants, established by the federal government in 2001. In 2010, Congress created the Personal Responsibility Education Program, which funds comprehensive sexuality education. The range of federal funding streams for sexuality education are emblematic of the ambivalence of federal policy and of sexuality education as a flexible and varied form of regulation. For example, even as Title V policies require sexuality education to follow heteronormative guidelines, the call for proposals for Personal Responsibility Education Program (PREP) grants suggests that states should take into account the needs of LGBTQ youth and to strive to be ‘inclusive ... and non-stigmatizing.’ While this is a clear move away from the explicit heteronormativity of Title V and AFLA sexuality education funds, the fact that states can apply for both Title V and PREP funds means that sexuality education curricula can be contradictory within a given state. This demonstrates a peculiar kind of ambivalence on the part of federal and state policy around the regulation of sexuality.</w:t>
      </w:r>
      <w:r w:rsidRPr="001229B9">
        <w:rPr>
          <w:sz w:val="12"/>
        </w:rPr>
        <w:t xml:space="preserve"> </w:t>
      </w:r>
      <w:r w:rsidRPr="001229B9">
        <w:rPr>
          <w:u w:val="single"/>
        </w:rPr>
        <w:t>Curricula that promote abstinence – particularly abstinence until marriage – assume that full belonging as an adult and a citizen in the community, family, and nation requires heteronormative family relations. This co-exists with a national imaginary of an American character of fairness, equality, and tolerance, which creates a contradiction emblematic of the state’s attitude towards gender nonconformity and non-heteronormative sexualities</w:t>
      </w:r>
      <w:r w:rsidRPr="001229B9">
        <w:rPr>
          <w:sz w:val="12"/>
        </w:rPr>
        <w:t xml:space="preserve"> (heterosexual, and LGBTQ). As Cohen (1997) points out, </w:t>
      </w:r>
      <w:r w:rsidRPr="001229B9">
        <w:rPr>
          <w:u w:val="single"/>
        </w:rPr>
        <w:t>the promotion of heteronormativity not only pathologies LGBTQ families and individuals, but relies on the stigmatization of single mothers, particularly poor women of color</w:t>
      </w:r>
      <w:r w:rsidRPr="001229B9">
        <w:rPr>
          <w:sz w:val="12"/>
        </w:rPr>
        <w:t>. The state engages in the affective production and regulation of the family when it upholds heteronormative families and sexuality and gender normativity as desirable by the community and the nation. Even in states where same-sex marriage is permitted (which does not actually change the regulatory logic of heteronormativity</w:t>
      </w:r>
      <w:r w:rsidRPr="001229B9">
        <w:rPr>
          <w:u w:val="single"/>
        </w:rPr>
        <w:t>), abstinence-only curricula pathologize and marginalize all individuals (and families) who do not conform to the marriage mandate, who choose to have non-monogamous relationships, or who otherwise deviate from heteronormativity.</w:t>
      </w:r>
      <w:r w:rsidRPr="001229B9">
        <w:rPr>
          <w:sz w:val="12"/>
        </w:rPr>
        <w:t xml:space="preserve"> In some cases this is achieved through the articulation of the superiority of heteronormative nuclear families in curricula and policy.</w:t>
      </w:r>
    </w:p>
    <w:p w:rsidR="00A02692" w:rsidRPr="00895578" w:rsidRDefault="00A02692" w:rsidP="00A02692"/>
    <w:p w:rsidR="00A02692" w:rsidRDefault="00A02692" w:rsidP="00A02692">
      <w:pPr>
        <w:jc w:val="both"/>
        <w:rPr>
          <w:sz w:val="16"/>
        </w:rPr>
      </w:pPr>
      <w:r>
        <w:rPr>
          <w:sz w:val="16"/>
        </w:rPr>
        <w:t xml:space="preserve"> </w:t>
      </w:r>
    </w:p>
    <w:p w:rsidR="00A02692" w:rsidRDefault="00A02692" w:rsidP="00A02692">
      <w:pPr>
        <w:pStyle w:val="Heading3"/>
      </w:pPr>
      <w:r>
        <w:t>Inherency—Abstinence Only Fails</w:t>
      </w:r>
    </w:p>
    <w:p w:rsidR="00A02692" w:rsidRDefault="00A02692" w:rsidP="00A02692">
      <w:pPr>
        <w:pStyle w:val="Heading4"/>
        <w:rPr>
          <w:rStyle w:val="Style13ptBold"/>
        </w:rPr>
      </w:pPr>
      <w:r>
        <w:rPr>
          <w:rStyle w:val="Style13ptBold"/>
          <w:b/>
        </w:rPr>
        <w:t xml:space="preserve">Abstinence only programs fail—comprehensive sex </w:t>
      </w:r>
      <w:proofErr w:type="spellStart"/>
      <w:r>
        <w:rPr>
          <w:rStyle w:val="Style13ptBold"/>
          <w:b/>
        </w:rPr>
        <w:t>ed</w:t>
      </w:r>
      <w:proofErr w:type="spellEnd"/>
      <w:r>
        <w:rPr>
          <w:rStyle w:val="Style13ptBold"/>
          <w:b/>
        </w:rPr>
        <w:t xml:space="preserve"> is key to equity and prevention</w:t>
      </w:r>
    </w:p>
    <w:p w:rsidR="00A02692" w:rsidRDefault="00A02692" w:rsidP="00A02692">
      <w:pPr>
        <w:rPr>
          <w:rStyle w:val="Style13ptBold"/>
          <w:b w:val="0"/>
        </w:rPr>
      </w:pPr>
      <w:r>
        <w:rPr>
          <w:rStyle w:val="Style13ptBold"/>
        </w:rPr>
        <w:t xml:space="preserve">NACCHO 17 </w:t>
      </w:r>
      <w:r>
        <w:rPr>
          <w:rStyle w:val="Style13ptBold"/>
          <w:sz w:val="16"/>
          <w:szCs w:val="16"/>
        </w:rPr>
        <w:t xml:space="preserve">[March 14, 2017. National Association of County &amp; City Health Officials. </w:t>
      </w:r>
      <w:hyperlink r:id="rId140" w:history="1">
        <w:r>
          <w:rPr>
            <w:rStyle w:val="Hyperlink"/>
            <w:sz w:val="16"/>
            <w:szCs w:val="16"/>
          </w:rPr>
          <w:t>http://www.naccho.org/uploads/downloadable-resources/Healthy-Youth-Community-Funding-Requests.pdf</w:t>
        </w:r>
      </w:hyperlink>
      <w:r>
        <w:rPr>
          <w:rStyle w:val="Style13ptBold"/>
          <w:sz w:val="16"/>
          <w:szCs w:val="16"/>
        </w:rPr>
        <w:t>. SH]</w:t>
      </w:r>
    </w:p>
    <w:p w:rsidR="00A02692" w:rsidRDefault="00A02692" w:rsidP="00A02692">
      <w:pPr>
        <w:rPr>
          <w:sz w:val="16"/>
        </w:rPr>
      </w:pPr>
      <w:r>
        <w:rPr>
          <w:rStyle w:val="StyleUnderline"/>
        </w:rPr>
        <w:t>Decades of rigorous research has demonstrated that programs with the sole aim of promoting abstinence-until-marriage</w:t>
      </w:r>
      <w:r>
        <w:rPr>
          <w:sz w:val="16"/>
        </w:rPr>
        <w:t xml:space="preserve"> (AOUM) </w:t>
      </w:r>
      <w:r>
        <w:rPr>
          <w:rStyle w:val="StyleUnderline"/>
        </w:rPr>
        <w:t>are ineffective</w:t>
      </w:r>
      <w:r>
        <w:rPr>
          <w:sz w:val="16"/>
        </w:rPr>
        <w:t xml:space="preserve"> at their sole goal. Federally-funded and independent analyses alike have found that </w:t>
      </w:r>
      <w:r>
        <w:rPr>
          <w:rStyle w:val="StyleUnderline"/>
        </w:rPr>
        <w:t>youth participating in such programs were no more likely to abstain from sexual activity than those who did not participate in the program</w:t>
      </w:r>
      <w:r>
        <w:rPr>
          <w:sz w:val="16"/>
        </w:rPr>
        <w:t xml:space="preserve">. 1 Moreover, </w:t>
      </w:r>
      <w:r>
        <w:rPr>
          <w:rStyle w:val="StyleUnderline"/>
        </w:rPr>
        <w:t>AOUM programs withhold necessary and lifesaving information that allow young people to make informed and responsible decisions about their health</w:t>
      </w:r>
      <w:r>
        <w:rPr>
          <w:sz w:val="16"/>
        </w:rPr>
        <w:t xml:space="preserve">. In addition, AOUM programs have been found to </w:t>
      </w:r>
      <w:r>
        <w:rPr>
          <w:rStyle w:val="StyleUnderline"/>
        </w:rPr>
        <w:t>include content that reinforces gender stereotypes, ostracizes and often denigrates lesbian, gay, bisexual, transgender, queer and questioning (LGBTQ) youth, stigmatizes sexually active young people, and fails to consider the experiences of youth who have been sexually abused</w:t>
      </w:r>
      <w:r>
        <w:rPr>
          <w:sz w:val="16"/>
        </w:rPr>
        <w:t xml:space="preserve">. Rather than protecting and supporting young people, AOUM programs squander opportunities for youth to become empowered to make healthy decisions about their health and well-being. The availability and quality of sexual health information and sexuality education varies drastically across the country. </w:t>
      </w:r>
      <w:r>
        <w:rPr>
          <w:rStyle w:val="StyleUnderline"/>
        </w:rPr>
        <w:t>Less than half of all high schools and only 20% of middle schools in the U.S. provide all 16 of the CDC-identified topics critical to ensuring sexual health</w:t>
      </w:r>
      <w:r>
        <w:rPr>
          <w:sz w:val="16"/>
        </w:rPr>
        <w:t xml:space="preserve">. In addition, many young people face systemic barriers to accessing health information and services, resulting in persistent inequity and health disparities.2 Health and well-being is about more than just the absence of diseases, or in the case of sexual health, the absence of HIV and other sexually transmitted infections (STIs), unintended pregnancy, or sexual violence. The data on these points alone, however, remain largely unchanged and alarming in recent years, continuing to highlight the need for additional resources to serve young people most in need of sexual health education. • </w:t>
      </w:r>
      <w:r>
        <w:rPr>
          <w:rStyle w:val="StyleUnderline"/>
        </w:rPr>
        <w:t>Young people under the age of 25 accounted for more than 1 in 5 new HIV infections in 2014 and HIV infection rates are increasing among young people, particularly among young Black and Latino men who have sex with men.3 • Half of the nearly 20 million estimated new STIs each year in the U.S. occur among people ages 15–24 and young people under age 25 accounted for 64% of all chlamydia cases in 2015. 4 • Pregnancy and birth rates among those ages 15–19 have reached historic lows, yet 75% of pregnancies among these young people are unintended.5 In 2015, 11% of all high school students reported being sexually assaulted by a partner and 10% reported experiencing intimate partner violence within the prior year.6 • Lesbian, gay, and bisexual high school students are more than twice as likely than their heterosexual peers to experience partner violence, be sexually assaulted by a partner, or forced to have sex. LGB students are also nearly twice as likely to be bullied at school and online and more than 1 in 10 LGB students report missing school due to safety concerns.7 Research has shown that access to medically accurate sex education works to promote robust adolescent health. This helps young people delay having sex, use condoms and contraception when they do become sexually active, and reduces unintended pregnancies</w:t>
      </w:r>
      <w:r>
        <w:rPr>
          <w:sz w:val="16"/>
        </w:rPr>
        <w:t xml:space="preserve">.8 Programs that are inclusive of LGBTQ youth and LGBTQ-related resources ultimately promote academic achievement and overall health.9 </w:t>
      </w:r>
      <w:r>
        <w:rPr>
          <w:rStyle w:val="StyleUnderline"/>
        </w:rPr>
        <w:t>Equipping young people with sexual decision-making and relationship skills results in safer sexual behaviors.10 Additionally, promoting gender equity reduces physical aggression between intimate partners and improves safer sex practices for all genders</w:t>
      </w:r>
      <w:r>
        <w:rPr>
          <w:sz w:val="16"/>
        </w:rPr>
        <w:t>.11</w:t>
      </w:r>
    </w:p>
    <w:p w:rsidR="00A02692" w:rsidRDefault="00A02692" w:rsidP="00A02692">
      <w:pPr>
        <w:pStyle w:val="Heading4"/>
      </w:pPr>
      <w:proofErr w:type="spellStart"/>
      <w:r>
        <w:t>Squo</w:t>
      </w:r>
      <w:proofErr w:type="spellEnd"/>
      <w:r>
        <w:t xml:space="preserve"> sex </w:t>
      </w:r>
      <w:proofErr w:type="spellStart"/>
      <w:r>
        <w:t>ed</w:t>
      </w:r>
      <w:proofErr w:type="spellEnd"/>
      <w:r>
        <w:t xml:space="preserve"> funding is directed towards ineffective abstinence only programs </w:t>
      </w:r>
    </w:p>
    <w:p w:rsidR="00A02692" w:rsidRPr="002158C7" w:rsidRDefault="00A02692" w:rsidP="00A02692">
      <w:r w:rsidRPr="002158C7">
        <w:rPr>
          <w:rStyle w:val="Style13ptBold"/>
        </w:rPr>
        <w:t>Abrams 5/25/2017</w:t>
      </w:r>
      <w:r>
        <w:t xml:space="preserve"> </w:t>
      </w:r>
      <w:r w:rsidRPr="002158C7">
        <w:rPr>
          <w:sz w:val="16"/>
          <w:szCs w:val="16"/>
        </w:rPr>
        <w:t xml:space="preserve">[Sean, Sean Abrams is a sex &amp; dating writer for Elite Daily. Trump Apparently Wants America To Stick To Abstinence-Only Education, </w:t>
      </w:r>
      <w:hyperlink r:id="rId141" w:history="1">
        <w:r w:rsidRPr="002158C7">
          <w:rPr>
            <w:rStyle w:val="Hyperlink"/>
            <w:sz w:val="16"/>
            <w:szCs w:val="16"/>
          </w:rPr>
          <w:t>http://elitedaily.com/news/politics/trump-america-abstinence-only-education/1959283/</w:t>
        </w:r>
      </w:hyperlink>
      <w:r w:rsidRPr="002158C7">
        <w:rPr>
          <w:sz w:val="16"/>
          <w:szCs w:val="16"/>
        </w:rPr>
        <w:t>] Calculus BC</w:t>
      </w:r>
    </w:p>
    <w:p w:rsidR="00A02692" w:rsidRPr="00155E03" w:rsidRDefault="00A02692" w:rsidP="00A02692">
      <w:pPr>
        <w:rPr>
          <w:u w:val="single"/>
        </w:rPr>
      </w:pPr>
      <w:r w:rsidRPr="00756216">
        <w:rPr>
          <w:sz w:val="16"/>
        </w:rPr>
        <w:t xml:space="preserve">As if </w:t>
      </w:r>
      <w:r w:rsidRPr="002158C7">
        <w:rPr>
          <w:u w:val="single"/>
        </w:rPr>
        <w:t xml:space="preserve">President Donald Trump’s 2018 budget </w:t>
      </w:r>
      <w:r w:rsidRPr="00756216">
        <w:rPr>
          <w:sz w:val="16"/>
        </w:rPr>
        <w:t xml:space="preserve">hasn’t raised enough red flags, his </w:t>
      </w:r>
      <w:r w:rsidRPr="002158C7">
        <w:rPr>
          <w:u w:val="single"/>
        </w:rPr>
        <w:t>latest move in support of abstinence-only education</w:t>
      </w:r>
      <w:r w:rsidRPr="00756216">
        <w:rPr>
          <w:sz w:val="16"/>
        </w:rPr>
        <w:t xml:space="preserve"> will really leave you further questioning his decisions. To </w:t>
      </w:r>
      <w:r w:rsidRPr="002158C7">
        <w:rPr>
          <w:u w:val="single"/>
        </w:rPr>
        <w:t>add to the fact that he’s taking away Federal funding from organizations in support of women and members of the LGBTQ+ community, new statements have said Trump will back abstinence-only education programs and initiatives with a $227 million budget. Quartz reports that the proposal is calling for the large sum of money to “extend abstinence education and personal responsibility education program” all the way until 2024</w:t>
      </w:r>
      <w:r w:rsidRPr="00756216">
        <w:rPr>
          <w:sz w:val="16"/>
        </w:rPr>
        <w:t xml:space="preserve">. It’s certainly disheartening to see so much money backing programs that haven’t been proven to help our youth in any way. </w:t>
      </w:r>
      <w:r w:rsidRPr="00756216">
        <w:rPr>
          <w:u w:val="single"/>
        </w:rPr>
        <w:t>Abstinence-only sex education only drowns out the idea of sexual intercourse all together, instead of giving younger generations helpful resources that will keep them safe and prepared if they are end up contracting an STDs or having an unwanted pregnancy. The Trump administration continues to ignore the fact that there is no clear evidence these abstinence-only programs have worked in preventing STDs and unplanned pregnancies, and are, in any way, more beneficial than general sexual education.</w:t>
      </w:r>
      <w:r w:rsidRPr="00756216">
        <w:rPr>
          <w:sz w:val="16"/>
        </w:rPr>
        <w:t xml:space="preserve"> </w:t>
      </w:r>
      <w:r w:rsidRPr="00756216">
        <w:rPr>
          <w:u w:val="single"/>
        </w:rPr>
        <w:t xml:space="preserve">According to a 2011 study on abstinence-only education and teen pregnancy rates, national data has proven that “increasing emphasis on abstinence education is positively correlated with teenage pregnancy and birth rates.” Meaning, as one increased, so do the others. If this public information has proven abstinence-only education to be fruitless, it would make sense for the Trump administration not to throw more money toward this specific type of program. If they’d done their research, they’d know sex before marriage is extremely common, and has been for a long, long time. Reports from the </w:t>
      </w:r>
      <w:proofErr w:type="spellStart"/>
      <w:r w:rsidRPr="00756216">
        <w:rPr>
          <w:u w:val="single"/>
        </w:rPr>
        <w:t>Guttmacher</w:t>
      </w:r>
      <w:proofErr w:type="spellEnd"/>
      <w:r w:rsidRPr="00756216">
        <w:rPr>
          <w:u w:val="single"/>
        </w:rPr>
        <w:t xml:space="preserve"> Institute support the concept of providing sexual education to young teens early on so they are prepared for when they do become sexually active</w:t>
      </w:r>
      <w:r w:rsidRPr="00756216">
        <w:rPr>
          <w:sz w:val="16"/>
        </w:rPr>
        <w:t xml:space="preserve">. “The data clearly show that the majority of older teens and adults have already had sex before marriage, which calls into question the federal government’s funding of abstinence-only-until-marriage programs for 12–29-year-olds,” says study author Lawrence Finer, director of domestic research at the </w:t>
      </w:r>
      <w:proofErr w:type="spellStart"/>
      <w:r w:rsidRPr="00756216">
        <w:rPr>
          <w:sz w:val="16"/>
        </w:rPr>
        <w:t>Guttmacher</w:t>
      </w:r>
      <w:proofErr w:type="spellEnd"/>
      <w:r w:rsidRPr="00756216">
        <w:rPr>
          <w:sz w:val="16"/>
        </w:rPr>
        <w:t xml:space="preserve"> Institute. “</w:t>
      </w:r>
      <w:r w:rsidRPr="00756216">
        <w:rPr>
          <w:u w:val="single"/>
        </w:rPr>
        <w:t xml:space="preserve">It would be more effective to provide young people with the skills and information they need to be safe once they become sexually active—which nearly everyone eventually will.” </w:t>
      </w:r>
      <w:r w:rsidRPr="00756216">
        <w:rPr>
          <w:sz w:val="16"/>
        </w:rPr>
        <w:t xml:space="preserve">With a growing number of individuals delaying marriage until later on in life, the chances of them actually holding out from any type of sexual activity until then is low. Needless to say, the fact that the Trump administration is discouraging people from being educated on a topic that affects their lives — particularly their health — so immensely is extremely unsettling. </w:t>
      </w:r>
      <w:r w:rsidRPr="00756216">
        <w:rPr>
          <w:u w:val="single"/>
        </w:rPr>
        <w:t>To vocalize her thoughts on the budget proposal, Debra Hauser, President of Advocates for Youth, had this to say: Advocates for Youth is deeply disappointed in the President’s proposed FY18 budget, which sends a loud and clear message that this Administration just does not care about young people, women, LGBTQ individuals, communities of color, or low-income families. Abstinence-only education is grossly ineffective, fact-free and leaves young people unprepared to take personal responsibility for their sexual health and relationships as they grow into young adults. Instead of catering to special interests and party ideology, President Trump should consider the plethora of research supporting comprehensive sex education.</w:t>
      </w:r>
      <w:r w:rsidRPr="00756216">
        <w:rPr>
          <w:sz w:val="16"/>
        </w:rPr>
        <w:t xml:space="preserve"> </w:t>
      </w:r>
      <w:r w:rsidRPr="00756216">
        <w:rPr>
          <w:u w:val="single"/>
        </w:rPr>
        <w:t>Honest sexual health information, paired with accessible reproductive and sexual health care that includes contraception, HIV and STD prevention, testing and treatment, is a far better investment in our nation. He would also do well to heed the leadership of youth activists all across the country demanding their schools adequately prepare them to lead safe and healthy lives. Advocates for Youth strongly rejects the President’s Budget and urges Congress to do so as well. Though the $277 million is still part of a “proposed” budget to Congress, it’s clear where Trump’s intentions lie when it comes to the future of sexual education.</w:t>
      </w:r>
    </w:p>
    <w:p w:rsidR="00A02692" w:rsidRDefault="00A02692" w:rsidP="00A02692">
      <w:pPr>
        <w:pStyle w:val="Heading3"/>
      </w:pPr>
      <w:r>
        <w:t>Solvency—NSE Standards</w:t>
      </w:r>
    </w:p>
    <w:p w:rsidR="00A02692" w:rsidRDefault="00A02692" w:rsidP="00A02692">
      <w:pPr>
        <w:pStyle w:val="Heading4"/>
        <w:rPr>
          <w:rStyle w:val="Style13ptBold"/>
        </w:rPr>
      </w:pPr>
      <w:r>
        <w:rPr>
          <w:rStyle w:val="Style13ptBold"/>
          <w:b/>
        </w:rPr>
        <w:t>NSE Standards promote comprehensive sex education</w:t>
      </w:r>
    </w:p>
    <w:p w:rsidR="00A02692" w:rsidRDefault="00A02692" w:rsidP="00A02692">
      <w:pPr>
        <w:rPr>
          <w:rStyle w:val="Style13ptBold"/>
          <w:b w:val="0"/>
        </w:rPr>
      </w:pPr>
      <w:r>
        <w:rPr>
          <w:rStyle w:val="Style13ptBold"/>
        </w:rPr>
        <w:t xml:space="preserve">Nelson 14 </w:t>
      </w:r>
      <w:r>
        <w:rPr>
          <w:rStyle w:val="Style13ptBold"/>
          <w:sz w:val="16"/>
          <w:szCs w:val="16"/>
        </w:rPr>
        <w:t xml:space="preserve">[Libby. April 15, 2014. “The movement for scientific, accurate, gay-friendly sex </w:t>
      </w:r>
      <w:proofErr w:type="spellStart"/>
      <w:r>
        <w:rPr>
          <w:rStyle w:val="Style13ptBold"/>
          <w:sz w:val="16"/>
          <w:szCs w:val="16"/>
        </w:rPr>
        <w:t>ed</w:t>
      </w:r>
      <w:proofErr w:type="spellEnd"/>
      <w:r>
        <w:rPr>
          <w:rStyle w:val="Style13ptBold"/>
          <w:sz w:val="16"/>
          <w:szCs w:val="16"/>
        </w:rPr>
        <w:t xml:space="preserve"> is stuck.” </w:t>
      </w:r>
      <w:r>
        <w:rPr>
          <w:rStyle w:val="Style13ptBold"/>
          <w:i/>
          <w:sz w:val="16"/>
          <w:szCs w:val="16"/>
        </w:rPr>
        <w:t xml:space="preserve">Vox. </w:t>
      </w:r>
      <w:hyperlink r:id="rId142" w:history="1">
        <w:r>
          <w:rPr>
            <w:rStyle w:val="Hyperlink"/>
            <w:sz w:val="16"/>
            <w:szCs w:val="16"/>
          </w:rPr>
          <w:t>https://www.vox.com/2014/4/15/5569274/common-core-sexuality-standards</w:t>
        </w:r>
      </w:hyperlink>
      <w:r>
        <w:rPr>
          <w:rStyle w:val="Style13ptBold"/>
          <w:sz w:val="16"/>
          <w:szCs w:val="16"/>
        </w:rPr>
        <w:t>. SH]</w:t>
      </w:r>
    </w:p>
    <w:p w:rsidR="00A02692" w:rsidRDefault="00A02692" w:rsidP="00A02692">
      <w:pPr>
        <w:rPr>
          <w:sz w:val="16"/>
        </w:rPr>
      </w:pPr>
      <w:r>
        <w:rPr>
          <w:sz w:val="16"/>
        </w:rPr>
        <w:t xml:space="preserve">The groups that formed the </w:t>
      </w:r>
      <w:r>
        <w:rPr>
          <w:rStyle w:val="StyleUnderline"/>
        </w:rPr>
        <w:t>Future of Sex Educati</w:t>
      </w:r>
      <w:r>
        <w:rPr>
          <w:sz w:val="16"/>
        </w:rPr>
        <w:t xml:space="preserve">on had long opposed abstinence-only policies. They </w:t>
      </w:r>
      <w:r>
        <w:rPr>
          <w:rStyle w:val="StyleUnderline"/>
        </w:rPr>
        <w:t>expected a surge in state interest as officials began retooling curriculums to qualify for federal grants under the new criteria, which favored "comprehensive sex education."</w:t>
      </w:r>
      <w:r>
        <w:rPr>
          <w:sz w:val="16"/>
        </w:rPr>
        <w:t xml:space="preserve"> Comprehensive sex education is often presented as the mirror image of abstinence-only: teach about condoms, not just chastity. But the standards interpret "comprehensive" much more broadly. </w:t>
      </w:r>
      <w:r>
        <w:rPr>
          <w:rStyle w:val="StyleUnderline"/>
        </w:rPr>
        <w:t>The National Sexuality Education Standards include plenty on contraception</w:t>
      </w:r>
      <w:r>
        <w:rPr>
          <w:sz w:val="16"/>
        </w:rPr>
        <w:t xml:space="preserve">: eighth-graders should be able to discuss the effectiveness, risks and benefits of contraceptive methods, including abstinence; they should be able to describe how to use a condom; and they should be able to identify medically accurate information about emergency contraception. High school seniors should be also to explain how emergency contraception works and understand laws about parenting, abortion and pregnancy. </w:t>
      </w:r>
      <w:r>
        <w:rPr>
          <w:rStyle w:val="StyleUnderline"/>
        </w:rPr>
        <w:t>Abstinence is in there too</w:t>
      </w:r>
      <w:r>
        <w:rPr>
          <w:sz w:val="16"/>
        </w:rPr>
        <w:t xml:space="preserve">: eighth-graders should be able to effectively communicate why they choose not to engage in sex. </w:t>
      </w:r>
      <w:r>
        <w:rPr>
          <w:rStyle w:val="StyleUnderline"/>
        </w:rPr>
        <w:t>But most of the standards don't actually deal with puberty or contraception. Instead, they're about healthy relationships, respect and safety. In the National Sexuality Education Standards fifth-graders, for example, should understand the romantic concept of sexual orientation; eighth-graders should be able to distinguish between sexual orientation, gender expression, and gender identity. By twelfth grade, they should "advocate for school policies and programs that promote dignity and respect for all</w:t>
      </w:r>
      <w:r>
        <w:rPr>
          <w:sz w:val="16"/>
        </w:rPr>
        <w:t xml:space="preserve">." Eighth-graders should be able discuss "bullying, sexual harassment, sexual abuse, sexual assault, incest, rape, and dating violence" and "explain why someone who has been raped or sexually assaulted is not at fault." "If all we cared about is that young people didn't have babies too soon, we could give everybody a chastity belt," Hauser says. "What we're trying to do is provide them with information and skills." An uphill battle When abstinence-only education lost its federal funding, the moment seemed just right. But </w:t>
      </w:r>
      <w:r>
        <w:rPr>
          <w:rStyle w:val="StyleUnderline"/>
        </w:rPr>
        <w:t>there was also something very wrong about the timing: it was right when another set of proposed national standards, Common Core, were becoming controversial</w:t>
      </w:r>
      <w:r>
        <w:rPr>
          <w:sz w:val="16"/>
        </w:rPr>
        <w:t xml:space="preserve">. What commotion the National Sexuality Education Standards have attracted has been from groups who link them to the Common Core. ("This is sex education on steroids," an anti-Common Core group wrote, warning that the reading and math standards start a slippery slope to standardized sex education.) In other words: sex </w:t>
      </w:r>
      <w:proofErr w:type="spellStart"/>
      <w:r>
        <w:rPr>
          <w:sz w:val="16"/>
        </w:rPr>
        <w:t>ed</w:t>
      </w:r>
      <w:proofErr w:type="spellEnd"/>
      <w:r>
        <w:rPr>
          <w:sz w:val="16"/>
        </w:rPr>
        <w:t xml:space="preserve"> has been less controversial, so far, than math and language arts. </w:t>
      </w:r>
      <w:r>
        <w:rPr>
          <w:rStyle w:val="StyleUnderline"/>
        </w:rPr>
        <w:t>The two movements aren't linked</w:t>
      </w:r>
      <w:r>
        <w:rPr>
          <w:sz w:val="16"/>
        </w:rPr>
        <w:t xml:space="preserve">. The Common Core standards were developed by governors and state education officials, and have been adopted much more widely, in part because the Education Department promoted them. </w:t>
      </w:r>
      <w:r>
        <w:rPr>
          <w:rStyle w:val="StyleUnderline"/>
        </w:rPr>
        <w:t>But other national standards movements have been caught in the backlash</w:t>
      </w:r>
      <w:r>
        <w:rPr>
          <w:sz w:val="16"/>
        </w:rPr>
        <w:t xml:space="preserve">. Several states are considering bills to change the process for adopting new state standards. Those bills would get the legislature involved in academic standards, rather than state education officials — and make statewide adoption of the sex education standards much less likely. </w:t>
      </w:r>
      <w:r>
        <w:rPr>
          <w:rStyle w:val="StyleUnderline"/>
        </w:rPr>
        <w:t>This leaves the sex-education landscape a patchwork of different policies. Nineteen states require sex education to include information on contraception.</w:t>
      </w:r>
      <w:r>
        <w:rPr>
          <w:sz w:val="16"/>
        </w:rPr>
        <w:t xml:space="preserve"> (A few are states that also require emphasizing the importance of abstinence until marriage. Sex education is full of contradictions.) For now, their advocates say they work best at providing guidance to districts and states on how their own standards measure up. "It would be surprising to me if one curriculum could meet the needs of every student across this country," Hauser says. "</w:t>
      </w:r>
      <w:r>
        <w:rPr>
          <w:rStyle w:val="StyleUnderline"/>
        </w:rPr>
        <w:t>The standards</w:t>
      </w:r>
      <w:r>
        <w:rPr>
          <w:sz w:val="16"/>
        </w:rPr>
        <w:t xml:space="preserve">, like all of these standards, </w:t>
      </w:r>
      <w:r>
        <w:rPr>
          <w:rStyle w:val="StyleUnderline"/>
        </w:rPr>
        <w:t>are not saying how you should teach, but what young people need to know. They need to know the names of their body parts. They need to know what constitutes a healthy relationship</w:t>
      </w:r>
      <w:r>
        <w:rPr>
          <w:sz w:val="16"/>
        </w:rPr>
        <w:t xml:space="preserve">." </w:t>
      </w:r>
    </w:p>
    <w:p w:rsidR="00A02692" w:rsidRPr="00154821" w:rsidRDefault="00A02692" w:rsidP="00A02692">
      <w:pPr>
        <w:pStyle w:val="Heading3"/>
      </w:pPr>
      <w:r>
        <w:t xml:space="preserve">Solvency—NSE Standards—Consistency </w:t>
      </w:r>
    </w:p>
    <w:p w:rsidR="00A02692" w:rsidRPr="00280F1D" w:rsidRDefault="00A02692" w:rsidP="00A02692">
      <w:pPr>
        <w:pStyle w:val="Heading4"/>
        <w:rPr>
          <w:rStyle w:val="Style13ptBold"/>
          <w:b/>
        </w:rPr>
      </w:pPr>
      <w:r w:rsidRPr="00280F1D">
        <w:rPr>
          <w:rStyle w:val="Style13ptBold"/>
          <w:b/>
        </w:rPr>
        <w:t>National Sexuality Education Standards are key to effective and consistent implementation</w:t>
      </w:r>
    </w:p>
    <w:p w:rsidR="00A02692" w:rsidRPr="00BE46D8" w:rsidRDefault="00A02692" w:rsidP="00A02692">
      <w:pPr>
        <w:rPr>
          <w:rStyle w:val="Style13ptBold"/>
          <w:b w:val="0"/>
        </w:rPr>
      </w:pPr>
      <w:proofErr w:type="spellStart"/>
      <w:r>
        <w:rPr>
          <w:rStyle w:val="Style13ptBold"/>
        </w:rPr>
        <w:t>FoSEI</w:t>
      </w:r>
      <w:proofErr w:type="spellEnd"/>
      <w:r>
        <w:rPr>
          <w:rStyle w:val="Style13ptBold"/>
        </w:rPr>
        <w:t xml:space="preserve"> 12 </w:t>
      </w:r>
      <w:r w:rsidRPr="00BE46D8">
        <w:rPr>
          <w:rStyle w:val="Style13ptBold"/>
          <w:b w:val="0"/>
          <w:sz w:val="16"/>
          <w:szCs w:val="16"/>
        </w:rPr>
        <w:t>[The Future of Sex Education Initiative.</w:t>
      </w:r>
      <w:r>
        <w:rPr>
          <w:rStyle w:val="Style13ptBold"/>
          <w:b w:val="0"/>
          <w:sz w:val="16"/>
          <w:szCs w:val="16"/>
        </w:rPr>
        <w:t xml:space="preserve"> The Future of Sex Education (</w:t>
      </w:r>
      <w:proofErr w:type="spellStart"/>
      <w:r>
        <w:rPr>
          <w:rStyle w:val="Style13ptBold"/>
          <w:b w:val="0"/>
          <w:sz w:val="16"/>
          <w:szCs w:val="16"/>
        </w:rPr>
        <w:t>FoSE</w:t>
      </w:r>
      <w:proofErr w:type="spellEnd"/>
      <w:r>
        <w:rPr>
          <w:rStyle w:val="Style13ptBold"/>
          <w:b w:val="0"/>
          <w:sz w:val="16"/>
          <w:szCs w:val="16"/>
        </w:rPr>
        <w:t>) Initiative is a partnership between Advocates for Youth, Answer and the Sexuality Information and Education Council of the U.S. (SIECUS) that seeks to create a national dialogue about the future of sex education and to promote the institutionalization of comprehensive sexuality education in public schools.</w:t>
      </w:r>
      <w:r w:rsidRPr="00BE46D8">
        <w:rPr>
          <w:rStyle w:val="Style13ptBold"/>
          <w:b w:val="0"/>
          <w:sz w:val="16"/>
          <w:szCs w:val="16"/>
        </w:rPr>
        <w:t xml:space="preserve"> “National Sexuality Education Standards: Core Content and Skills, K-12.” </w:t>
      </w:r>
      <w:hyperlink r:id="rId143" w:history="1">
        <w:r w:rsidRPr="00BE46D8">
          <w:rPr>
            <w:rStyle w:val="Hyperlink"/>
            <w:sz w:val="16"/>
            <w:szCs w:val="16"/>
          </w:rPr>
          <w:t>http://www.futureofsexed.org/documents/josh-fose-standards-web.pdf</w:t>
        </w:r>
      </w:hyperlink>
      <w:r w:rsidRPr="00BE46D8">
        <w:rPr>
          <w:rStyle w:val="Style13ptBold"/>
          <w:b w:val="0"/>
          <w:sz w:val="16"/>
          <w:szCs w:val="16"/>
        </w:rPr>
        <w:t>. SH]</w:t>
      </w:r>
    </w:p>
    <w:p w:rsidR="00A02692" w:rsidRDefault="00A02692" w:rsidP="00A02692">
      <w:pPr>
        <w:rPr>
          <w:sz w:val="16"/>
        </w:rPr>
      </w:pPr>
      <w:r w:rsidRPr="00BE46D8">
        <w:rPr>
          <w:sz w:val="16"/>
        </w:rPr>
        <w:t xml:space="preserve">Specifically, </w:t>
      </w:r>
      <w:r w:rsidRPr="00BE46D8">
        <w:rPr>
          <w:rStyle w:val="StyleUnderline"/>
        </w:rPr>
        <w:t>the National Sexuality Education Standards were developed to address the inconsistent implementation of sexuality education nationwide and the limited time allocated to teaching the topic</w:t>
      </w:r>
      <w:r w:rsidRPr="00BE46D8">
        <w:rPr>
          <w:sz w:val="16"/>
        </w:rPr>
        <w:t xml:space="preserve">. Health education, which typically covers a broad range of topics including sexuality education, is given very little time in the school curriculum. According to the School Health Policies and Practices Study, a national survey conducted by the Centers for Disease Control and Prevention’s Division of Adolescent School Health to assess school health policies and practices, a median total of 17.2 hours is devoted to instruction in HIV, pregnancy and STD prevention: 3.1 hours in elementary, 6 hours in middle and 8.1 hours in high school.[1] Given these realities, the National Sexuality Education Standards were </w:t>
      </w:r>
      <w:r w:rsidRPr="00BE46D8">
        <w:rPr>
          <w:rStyle w:val="StyleUnderline"/>
        </w:rPr>
        <w:t>designed to: • Outline</w:t>
      </w:r>
      <w:r w:rsidRPr="00BE46D8">
        <w:rPr>
          <w:sz w:val="16"/>
        </w:rPr>
        <w:t xml:space="preserve"> what, based on research and extensive professional expertise, are </w:t>
      </w:r>
      <w:r w:rsidRPr="00BE46D8">
        <w:rPr>
          <w:rStyle w:val="StyleUnderline"/>
        </w:rPr>
        <w:t>the minimum, essential content and skills for sexuality education K–12 given student needs, limited teacher preparation and typically available time and resources. • Assist schools in designing and delivering sexuality education K–12 that is planned, sequential and part of a comprehensive school health education approach. • Provide a clear rationale for teaching sexuality education content and skills at different grade levels that is evidence-informed, age-appropriate and theory- driven</w:t>
      </w:r>
      <w:r w:rsidRPr="00BE46D8">
        <w:rPr>
          <w:sz w:val="16"/>
        </w:rPr>
        <w:t xml:space="preserve">. • Support schools in improving academic performance by addressing a content area that is both highly relevant to students and directly related to high school graduation rates. • Present sexual development as a normal, natural, healthy part of human development that should be a part of every health education curriculum. • </w:t>
      </w:r>
      <w:r w:rsidRPr="00BE46D8">
        <w:rPr>
          <w:rStyle w:val="StyleUnderline"/>
        </w:rPr>
        <w:t>Offer clear, concise recommendations for school personnel on what is age-appropriate to teach students at different grade levels</w:t>
      </w:r>
      <w:r w:rsidRPr="00BE46D8">
        <w:rPr>
          <w:sz w:val="16"/>
        </w:rPr>
        <w:t xml:space="preserve">. • Translate an emerging body of research related to school-based sexuality education </w:t>
      </w:r>
      <w:r w:rsidRPr="00BE46D8">
        <w:rPr>
          <w:rStyle w:val="StyleUnderline"/>
        </w:rPr>
        <w:t>so that it can be put into practice in the classroom</w:t>
      </w:r>
      <w:r w:rsidRPr="00BE46D8">
        <w:rPr>
          <w:sz w:val="16"/>
        </w:rPr>
        <w:t xml:space="preserve">. The National Health Education Standards2 (NHES) heavily influenced the development of the National Sexuality Education Standards. First created in 1995 and updated in 2007, the NHES were developed by the Joint Committee on National Health Education Standards of the American Cancer Society and widely adopted by states and local school districts. The NHES focus on a student’s ability to understand key concepts and learn particular skills for using that content. These standards were developed to serve as the underpinning for health education knowledge and skills students should attain by grades 2, 5, 8 and 12. The NHES do not address any specific health content areas, including content for sexuality education. </w:t>
      </w:r>
    </w:p>
    <w:p w:rsidR="00A02692" w:rsidRDefault="00A02692" w:rsidP="00A02692">
      <w:pPr>
        <w:pStyle w:val="Heading3"/>
      </w:pPr>
      <w:r>
        <w:t>Solvency—National Programs</w:t>
      </w:r>
    </w:p>
    <w:p w:rsidR="00A02692" w:rsidRPr="003A2522" w:rsidRDefault="00A02692" w:rsidP="00A02692">
      <w:pPr>
        <w:pStyle w:val="Heading4"/>
        <w:rPr>
          <w:rStyle w:val="Style13ptBold"/>
          <w:b/>
        </w:rPr>
      </w:pPr>
      <w:r w:rsidRPr="003A2522">
        <w:rPr>
          <w:rStyle w:val="Style13ptBold"/>
          <w:b/>
        </w:rPr>
        <w:t>National programs are key and mitigate stigma—Dutch model proves</w:t>
      </w:r>
    </w:p>
    <w:p w:rsidR="00A02692" w:rsidRPr="006365D9" w:rsidRDefault="00A02692" w:rsidP="00A02692">
      <w:pPr>
        <w:rPr>
          <w:rStyle w:val="Style13ptBold"/>
          <w:b w:val="0"/>
        </w:rPr>
      </w:pPr>
      <w:proofErr w:type="spellStart"/>
      <w:r>
        <w:rPr>
          <w:rStyle w:val="Style13ptBold"/>
        </w:rPr>
        <w:t>Hemenway</w:t>
      </w:r>
      <w:proofErr w:type="spellEnd"/>
      <w:r>
        <w:rPr>
          <w:rStyle w:val="Style13ptBold"/>
        </w:rPr>
        <w:t xml:space="preserve"> 16 </w:t>
      </w:r>
      <w:r w:rsidRPr="006365D9">
        <w:rPr>
          <w:rStyle w:val="Style13ptBold"/>
          <w:b w:val="0"/>
          <w:sz w:val="16"/>
          <w:szCs w:val="16"/>
        </w:rPr>
        <w:t xml:space="preserve">[Molly. Molly </w:t>
      </w:r>
      <w:proofErr w:type="spellStart"/>
      <w:r w:rsidRPr="006365D9">
        <w:rPr>
          <w:rStyle w:val="Style13ptBold"/>
          <w:b w:val="0"/>
          <w:sz w:val="16"/>
          <w:szCs w:val="16"/>
        </w:rPr>
        <w:t>Hemenway</w:t>
      </w:r>
      <w:proofErr w:type="spellEnd"/>
      <w:r w:rsidRPr="006365D9">
        <w:rPr>
          <w:rStyle w:val="Style13ptBold"/>
          <w:b w:val="0"/>
          <w:sz w:val="16"/>
          <w:szCs w:val="16"/>
        </w:rPr>
        <w:t xml:space="preserve"> '18 is a US Section Staff Writer for the Brown Political Review. November 29, 2016. “Beyond the Birds and the Bees: Reshaping Sex Ed in American Schools.” </w:t>
      </w:r>
      <w:r w:rsidRPr="006365D9">
        <w:rPr>
          <w:rStyle w:val="Style13ptBold"/>
          <w:b w:val="0"/>
          <w:i/>
          <w:sz w:val="16"/>
          <w:szCs w:val="16"/>
        </w:rPr>
        <w:t xml:space="preserve">Brown Political Review. </w:t>
      </w:r>
      <w:hyperlink r:id="rId144" w:history="1">
        <w:r w:rsidRPr="006365D9">
          <w:rPr>
            <w:rStyle w:val="Hyperlink"/>
            <w:sz w:val="16"/>
            <w:szCs w:val="16"/>
          </w:rPr>
          <w:t>http://www.brownpoliticalreview.org/2016/11/sex-ed-american-schools/</w:t>
        </w:r>
      </w:hyperlink>
      <w:r w:rsidRPr="006365D9">
        <w:rPr>
          <w:rStyle w:val="Style13ptBold"/>
          <w:b w:val="0"/>
          <w:sz w:val="16"/>
          <w:szCs w:val="16"/>
        </w:rPr>
        <w:t>. SH]</w:t>
      </w:r>
    </w:p>
    <w:p w:rsidR="00A02692" w:rsidRPr="006365D9" w:rsidRDefault="00A02692" w:rsidP="00A02692">
      <w:pPr>
        <w:rPr>
          <w:rStyle w:val="StyleUnderline"/>
        </w:rPr>
      </w:pPr>
      <w:r w:rsidRPr="006365D9">
        <w:rPr>
          <w:rStyle w:val="StyleUnderline"/>
        </w:rPr>
        <w:t>Policymakers searching for solutions might</w:t>
      </w:r>
      <w:r w:rsidRPr="006365D9">
        <w:rPr>
          <w:sz w:val="16"/>
        </w:rPr>
        <w:t xml:space="preserve"> do well to </w:t>
      </w:r>
      <w:r w:rsidRPr="006365D9">
        <w:rPr>
          <w:rStyle w:val="StyleUnderline"/>
        </w:rPr>
        <w:t>look across the Atlantic. In the Netherlands, schools are required to teach some form of “sexuality education” each year, starting the first year of elementary school.</w:t>
      </w:r>
      <w:r w:rsidRPr="006365D9">
        <w:rPr>
          <w:sz w:val="16"/>
        </w:rPr>
        <w:t xml:space="preserve"> These programs don’t just talk about sex – the youngest students talk about things like crushes and friendship, while older elementary school students discuss body image and gender stereotypes. By the age of eleven, students start engaging with topics such as contraception and sexual orientation. </w:t>
      </w:r>
      <w:r w:rsidRPr="006365D9">
        <w:rPr>
          <w:rStyle w:val="StyleUnderline"/>
        </w:rPr>
        <w:t>Although there is some flexibility in terms of how schools implement these programs, all schools are obligated to cover certain key topics, including pregnancy, STIs, sexual orientation, homophobia, and healthy sexual practices and attitudes.</w:t>
      </w:r>
      <w:r>
        <w:rPr>
          <w:rStyle w:val="StyleUnderline"/>
        </w:rPr>
        <w:t xml:space="preserve"> </w:t>
      </w:r>
      <w:r w:rsidRPr="006365D9">
        <w:rPr>
          <w:rStyle w:val="StyleUnderline"/>
        </w:rPr>
        <w:t>This comprehensive policy seems to be paying off; the Netherlands has one of the lowest teen pregnancy rates in the world and one of the highest teenage usage rates for hormonal birth control pills. Dutch teens are also more likely than Americans to report a positive and enjoyable first sexual experience</w:t>
      </w:r>
      <w:r w:rsidRPr="006365D9">
        <w:rPr>
          <w:sz w:val="16"/>
        </w:rPr>
        <w:t xml:space="preserve">. Sex </w:t>
      </w:r>
      <w:proofErr w:type="spellStart"/>
      <w:r w:rsidRPr="006365D9">
        <w:rPr>
          <w:sz w:val="16"/>
        </w:rPr>
        <w:t>ed</w:t>
      </w:r>
      <w:proofErr w:type="spellEnd"/>
      <w:r w:rsidRPr="006365D9">
        <w:rPr>
          <w:sz w:val="16"/>
        </w:rPr>
        <w:t xml:space="preserve"> is only one factor contributing to these statistics, but proponents of the Dutch method of sexuality education argue that </w:t>
      </w:r>
      <w:r w:rsidRPr="006365D9">
        <w:rPr>
          <w:rStyle w:val="StyleUnderline"/>
        </w:rPr>
        <w:t>the programs have benefits that extend beyond just STI and pregnancy prevention</w:t>
      </w:r>
      <w:r w:rsidRPr="006365D9">
        <w:rPr>
          <w:sz w:val="16"/>
        </w:rPr>
        <w:t xml:space="preserve">. While implementing a similar approach in the US is not immediately feasible, the Dutch model can at least provide </w:t>
      </w:r>
      <w:r w:rsidRPr="006365D9">
        <w:rPr>
          <w:rStyle w:val="StyleUnderline"/>
        </w:rPr>
        <w:t>a positive example that policymakers could and should reference.</w:t>
      </w:r>
      <w:r>
        <w:rPr>
          <w:rStyle w:val="StyleUnderline"/>
        </w:rPr>
        <w:t xml:space="preserve"> </w:t>
      </w:r>
      <w:r w:rsidRPr="006365D9">
        <w:rPr>
          <w:sz w:val="16"/>
        </w:rPr>
        <w:t xml:space="preserve">American schools currently take a fundamentally different approach to sex </w:t>
      </w:r>
      <w:proofErr w:type="spellStart"/>
      <w:r w:rsidRPr="006365D9">
        <w:rPr>
          <w:sz w:val="16"/>
        </w:rPr>
        <w:t>ed</w:t>
      </w:r>
      <w:proofErr w:type="spellEnd"/>
      <w:r w:rsidRPr="006365D9">
        <w:rPr>
          <w:sz w:val="16"/>
        </w:rPr>
        <w:t xml:space="preserve">, with programs that tend to stigmatize sexual desires and shame young adults into abstinence. A 2012 report about sex education in 108 school districts in New York found that many of the programs contained moral overtones about the value of abstinence, sexuality, and family values. One abstinence-only curriculum, Why Am I Tempted (WAIT), has employed the practice of sticking a piece of tape to a young man’s arm at the beginning of a workshop, explaining that each time the tape is removed, it loses its ability to stick. The tape is supposed to represent a woman’s ability to form close relationships, which is harmed each time she engages in sexual activity. These types of abstinence programs revolve around the presumption that promoting abstinence will delay sex among teens and prevent unplanned pregnancy — but in actuality, studies show that abstinence-only strategies have no effect on when teens first have sex, and they tend to increase the risk of teen pregnancy and STIs by withholding information about contraception. Despite this important progress toward evidence-based sex </w:t>
      </w:r>
      <w:proofErr w:type="spellStart"/>
      <w:r w:rsidRPr="006365D9">
        <w:rPr>
          <w:sz w:val="16"/>
        </w:rPr>
        <w:t>ed</w:t>
      </w:r>
      <w:proofErr w:type="spellEnd"/>
      <w:r w:rsidRPr="006365D9">
        <w:rPr>
          <w:sz w:val="16"/>
        </w:rPr>
        <w:t xml:space="preserve">, Americans could still benefit from policies that treat sex </w:t>
      </w:r>
      <w:proofErr w:type="spellStart"/>
      <w:r w:rsidRPr="006365D9">
        <w:rPr>
          <w:sz w:val="16"/>
        </w:rPr>
        <w:t>ed</w:t>
      </w:r>
      <w:proofErr w:type="spellEnd"/>
      <w:r w:rsidRPr="006365D9">
        <w:rPr>
          <w:sz w:val="16"/>
        </w:rPr>
        <w:t xml:space="preserve"> as more than just prevention. Sex </w:t>
      </w:r>
      <w:proofErr w:type="spellStart"/>
      <w:r w:rsidRPr="006365D9">
        <w:rPr>
          <w:sz w:val="16"/>
        </w:rPr>
        <w:t>ed</w:t>
      </w:r>
      <w:proofErr w:type="spellEnd"/>
      <w:r w:rsidRPr="006365D9">
        <w:rPr>
          <w:sz w:val="16"/>
        </w:rPr>
        <w:t xml:space="preserve"> is an opportunity to shape children’s ability to communicate, form relationships, and practice safe, consensual sexual behavior. The same study also found that many schools failed to discuss topics such as sexual orientation, emergency contraception, or different forms of sex. Despite the fact that most Americans support comprehensive sexual education, only 22 states mandate sex </w:t>
      </w:r>
      <w:proofErr w:type="spellStart"/>
      <w:r w:rsidRPr="006365D9">
        <w:rPr>
          <w:sz w:val="16"/>
        </w:rPr>
        <w:t>ed</w:t>
      </w:r>
      <w:proofErr w:type="spellEnd"/>
      <w:r w:rsidRPr="006365D9">
        <w:rPr>
          <w:sz w:val="16"/>
        </w:rPr>
        <w:t xml:space="preserve"> and only 13 require the information presented in these classes to be medically accurate. Furthermore, only 13 states are required to discuss sexual orientation, and four of these states are only allowed to provide one-sided information, which is often negative and </w:t>
      </w:r>
      <w:proofErr w:type="spellStart"/>
      <w:r w:rsidRPr="006365D9">
        <w:rPr>
          <w:sz w:val="16"/>
        </w:rPr>
        <w:t>noninclusive</w:t>
      </w:r>
      <w:proofErr w:type="spellEnd"/>
      <w:r w:rsidRPr="006365D9">
        <w:rPr>
          <w:sz w:val="16"/>
        </w:rPr>
        <w:t>. Socially conservative and highly religious states, largely in the south, are more likely to support abstinence-only policies and oppose instruction about ideas like homosexuality and abortion that are contradictory to many parents’ personal beliefs. As a result, students often face nonfactual or biased information, which can be particularly devastating to young women and members of the LGBTQ+ community. Many sex-</w:t>
      </w:r>
      <w:proofErr w:type="spellStart"/>
      <w:r w:rsidRPr="006365D9">
        <w:rPr>
          <w:sz w:val="16"/>
        </w:rPr>
        <w:t>ed</w:t>
      </w:r>
      <w:proofErr w:type="spellEnd"/>
      <w:r w:rsidRPr="006365D9">
        <w:rPr>
          <w:sz w:val="16"/>
        </w:rPr>
        <w:t xml:space="preserve"> programs in the US present gender stereotypes as fact, portraying girls as inherently “pure” and boys as unable to control their hormones. This kind of pedagogy teaches young women to feel ashamed of their own sexuality and to carry the burden for male sexual desires. Moreover, many programs teach girls how to “say no” to sex but fail to address topics such as sexual assault, sexual harassment, and coercion. Meanwhile, the lack of inclusive curricula isolates and stigmatizes an already vulnerable group: LGBTQ+ youth are already more likely than their heterosexual peers to experience social isolation and abuse at home, and studies show that LGBTQ+ students who receive abstinence-only education are less likely to feel safe at school and more likely to miss school because they feel uncomfortable. As a result, many teens report seeking information about sexual health online or from their peers, both of which are prone to inaccuracy – this lack of information is particularly dangerous considering that LGBTQ+ youth are at a higher risk for STIs, including HIV. In the United States, states and local communities largely control education laws, so the quality of sexual education varies by geography, and it’s difficult to establish one cure-all solution. However, instead of solely making an effort to update and improve nationwide sex </w:t>
      </w:r>
      <w:proofErr w:type="spellStart"/>
      <w:r w:rsidRPr="006365D9">
        <w:rPr>
          <w:sz w:val="16"/>
        </w:rPr>
        <w:t>ed</w:t>
      </w:r>
      <w:proofErr w:type="spellEnd"/>
      <w:r w:rsidRPr="006365D9">
        <w:rPr>
          <w:sz w:val="16"/>
        </w:rPr>
        <w:t>, the federal government actually continues to subsidize bad practices. Title V in the Welfare Reform Act of 1996 provides federal grants to states for enacting abstinence-only education programs that uphold ideas like “a mutually faithful monogamous relationship in the context of marriage is the expected standard of human sexual activity” and “sexual activity outside the context of marriage is likely to have harmful psychological and physical effects.” Although the Obama Administration has recommended removing federal funding for abstinence-only education, the Republican-controlled Congress approved $75 million in Title V spending and an additional $10 million for community-based abstinence programs for FY 2016. Fortunately, Congress has also made some substantial progress in improving sex ed. In the past few years, there has been an increase in federal funding for comprehensive sex education programs, and many states have established evidence-based sex-</w:t>
      </w:r>
      <w:proofErr w:type="spellStart"/>
      <w:r w:rsidRPr="006365D9">
        <w:rPr>
          <w:sz w:val="16"/>
        </w:rPr>
        <w:t>ed</w:t>
      </w:r>
      <w:proofErr w:type="spellEnd"/>
      <w:r w:rsidRPr="006365D9">
        <w:rPr>
          <w:sz w:val="16"/>
        </w:rPr>
        <w:t xml:space="preserve"> curricula for every school. This fall, California passed a law requiring schools to cover topics including HIV treatment, contraception, sexual orientation, gender identity, and sex trafficking in both middle school and high school. Additionally, the Obama Administration launched the President’s Teen Pregnancy Prevention Initiative in 2010, which provided $100 million in grants for evidence-based, medically accurate programs about preventing teen pregnancy, and the Personal Responsibility Education Program, which provides $75 million in grants for programs that teach about both abstinence and contraception. Despite this important progress toward evidence-based sex </w:t>
      </w:r>
      <w:proofErr w:type="spellStart"/>
      <w:r w:rsidRPr="006365D9">
        <w:rPr>
          <w:sz w:val="16"/>
        </w:rPr>
        <w:t>ed</w:t>
      </w:r>
      <w:proofErr w:type="spellEnd"/>
      <w:r w:rsidRPr="006365D9">
        <w:rPr>
          <w:sz w:val="16"/>
        </w:rPr>
        <w:t xml:space="preserve">, </w:t>
      </w:r>
      <w:r w:rsidRPr="006365D9">
        <w:rPr>
          <w:rStyle w:val="StyleUnderline"/>
        </w:rPr>
        <w:t xml:space="preserve">Americans could still benefit from policies that treat sex </w:t>
      </w:r>
      <w:proofErr w:type="spellStart"/>
      <w:r w:rsidRPr="006365D9">
        <w:rPr>
          <w:rStyle w:val="StyleUnderline"/>
        </w:rPr>
        <w:t>ed</w:t>
      </w:r>
      <w:proofErr w:type="spellEnd"/>
      <w:r w:rsidRPr="006365D9">
        <w:rPr>
          <w:rStyle w:val="StyleUnderline"/>
        </w:rPr>
        <w:t xml:space="preserve"> as more than just prevention</w:t>
      </w:r>
      <w:r w:rsidRPr="006365D9">
        <w:rPr>
          <w:sz w:val="16"/>
        </w:rPr>
        <w:t xml:space="preserve">. Sex </w:t>
      </w:r>
      <w:proofErr w:type="spellStart"/>
      <w:r w:rsidRPr="006365D9">
        <w:rPr>
          <w:sz w:val="16"/>
        </w:rPr>
        <w:t>ed</w:t>
      </w:r>
      <w:proofErr w:type="spellEnd"/>
      <w:r w:rsidRPr="006365D9">
        <w:rPr>
          <w:sz w:val="16"/>
        </w:rPr>
        <w:t xml:space="preserve"> is an opportunity to shape children’s ability to communicate, form relationships, and practice safe, consensual sexual behavior. All of these skills could help fight deeply ingrained societal problems such as abusive relationships, rape culture, and intolerance toward LGBTQ+ people. In fact, </w:t>
      </w:r>
      <w:r w:rsidRPr="006365D9">
        <w:rPr>
          <w:rStyle w:val="StyleUnderline"/>
        </w:rPr>
        <w:t>a new sex-</w:t>
      </w:r>
      <w:proofErr w:type="spellStart"/>
      <w:r w:rsidRPr="006365D9">
        <w:rPr>
          <w:rStyle w:val="StyleUnderline"/>
        </w:rPr>
        <w:t>ed</w:t>
      </w:r>
      <w:proofErr w:type="spellEnd"/>
      <w:r w:rsidRPr="006365D9">
        <w:rPr>
          <w:rStyle w:val="StyleUnderline"/>
        </w:rPr>
        <w:t xml:space="preserve"> policy could play a fundamental role in furthering progress for LGBTQ+ and women’s rights. </w:t>
      </w:r>
      <w:proofErr w:type="spellStart"/>
      <w:r w:rsidRPr="006365D9">
        <w:rPr>
          <w:rStyle w:val="StyleUnderline"/>
        </w:rPr>
        <w:t>Nonstigmatizing</w:t>
      </w:r>
      <w:proofErr w:type="spellEnd"/>
      <w:r w:rsidRPr="006365D9">
        <w:rPr>
          <w:rStyle w:val="StyleUnderline"/>
        </w:rPr>
        <w:t xml:space="preserve">, inclusive sex </w:t>
      </w:r>
      <w:proofErr w:type="spellStart"/>
      <w:r w:rsidRPr="006365D9">
        <w:rPr>
          <w:rStyle w:val="StyleUnderline"/>
        </w:rPr>
        <w:t>ed</w:t>
      </w:r>
      <w:proofErr w:type="spellEnd"/>
      <w:r w:rsidRPr="006365D9">
        <w:rPr>
          <w:rStyle w:val="StyleUnderline"/>
        </w:rPr>
        <w:t xml:space="preserve"> could help LGBTQ+ youth feel welcome and accepted in their communities from a young age and teach students to acknowledge and respect peers with different identities</w:t>
      </w:r>
      <w:r w:rsidRPr="006365D9">
        <w:rPr>
          <w:sz w:val="16"/>
        </w:rPr>
        <w:t xml:space="preserve">. Moreover, </w:t>
      </w:r>
      <w:r w:rsidRPr="006365D9">
        <w:rPr>
          <w:rStyle w:val="StyleUnderline"/>
        </w:rPr>
        <w:t>a more comprehensive and long-term approach to sexuality education like the Netherlands’</w:t>
      </w:r>
      <w:r w:rsidRPr="006365D9">
        <w:rPr>
          <w:sz w:val="16"/>
        </w:rPr>
        <w:t xml:space="preserve">, which aims to promote tolerance and open communication in interpersonal relationships, </w:t>
      </w:r>
      <w:r w:rsidRPr="006365D9">
        <w:rPr>
          <w:rStyle w:val="StyleUnderline"/>
        </w:rPr>
        <w:t>could help to break down some of the gender roles and stereotypes that are used to shame and stigmatize young women and LGBTQ+ youth.</w:t>
      </w:r>
    </w:p>
    <w:p w:rsidR="00A02692" w:rsidRDefault="00A02692" w:rsidP="00A02692">
      <w:pPr>
        <w:pStyle w:val="Heading3"/>
      </w:pPr>
      <w:r>
        <w:t xml:space="preserve">Solvency—Comprehensive Sex Ed </w:t>
      </w:r>
    </w:p>
    <w:p w:rsidR="00A02692" w:rsidRPr="0031176D" w:rsidRDefault="00A02692" w:rsidP="00A02692">
      <w:pPr>
        <w:pStyle w:val="Heading4"/>
        <w:rPr>
          <w:rStyle w:val="Style13ptBold"/>
          <w:b/>
        </w:rPr>
      </w:pPr>
      <w:r w:rsidRPr="0031176D">
        <w:rPr>
          <w:rStyle w:val="Style13ptBold"/>
          <w:b/>
        </w:rPr>
        <w:t>Comprehensive sex education is effective—promotes healthy relationships and reduces pregnancies and STDs</w:t>
      </w:r>
    </w:p>
    <w:p w:rsidR="00A02692" w:rsidRPr="0085216D" w:rsidRDefault="00A02692" w:rsidP="00A02692">
      <w:pPr>
        <w:jc w:val="both"/>
        <w:rPr>
          <w:rStyle w:val="Style13ptBold"/>
          <w:b w:val="0"/>
        </w:rPr>
      </w:pPr>
      <w:r>
        <w:rPr>
          <w:rStyle w:val="Style13ptBold"/>
        </w:rPr>
        <w:t xml:space="preserve">SIECUS 10 </w:t>
      </w:r>
      <w:r w:rsidRPr="0085216D">
        <w:rPr>
          <w:rStyle w:val="Style13ptBold"/>
          <w:b w:val="0"/>
          <w:sz w:val="16"/>
          <w:szCs w:val="16"/>
        </w:rPr>
        <w:t xml:space="preserve">[Sexuality Information and Education Council of the United States. “An Explanation of Federal Funding for More Comprehensive Approaches to Sex Education.” </w:t>
      </w:r>
      <w:hyperlink r:id="rId145" w:history="1">
        <w:r w:rsidRPr="0085216D">
          <w:rPr>
            <w:rStyle w:val="Hyperlink"/>
            <w:sz w:val="16"/>
            <w:szCs w:val="16"/>
          </w:rPr>
          <w:t>http://www.siecus.org/index.cfm?fuseaction=Page.ViewPage&amp;PageID=1262</w:t>
        </w:r>
      </w:hyperlink>
      <w:r w:rsidRPr="0085216D">
        <w:rPr>
          <w:rStyle w:val="Style13ptBold"/>
          <w:b w:val="0"/>
          <w:sz w:val="16"/>
          <w:szCs w:val="16"/>
        </w:rPr>
        <w:t>. SH]</w:t>
      </w:r>
    </w:p>
    <w:p w:rsidR="00A02692" w:rsidRDefault="00A02692" w:rsidP="00A02692">
      <w:pPr>
        <w:jc w:val="both"/>
        <w:rPr>
          <w:sz w:val="16"/>
        </w:rPr>
      </w:pPr>
      <w:r w:rsidRPr="0085216D">
        <w:rPr>
          <w:sz w:val="16"/>
        </w:rPr>
        <w:t xml:space="preserve">COMPREHENSIVE SEXUALITY EDUCATION </w:t>
      </w:r>
      <w:r w:rsidRPr="0085216D">
        <w:rPr>
          <w:rStyle w:val="StyleUnderline"/>
        </w:rPr>
        <w:t>Comprehensive sex education aims to reduce</w:t>
      </w:r>
      <w:r w:rsidRPr="0085216D">
        <w:rPr>
          <w:sz w:val="16"/>
        </w:rPr>
        <w:t xml:space="preserve"> these </w:t>
      </w:r>
      <w:r w:rsidRPr="0085216D">
        <w:rPr>
          <w:rStyle w:val="StyleUnderline"/>
        </w:rPr>
        <w:t>negative health outcomes while giving young people the information they need to make healthy life decisions. It provides age-appropriate and medically accurate information, stressing the value of abstinence and delaying sexual initiation while also preparing young people for making healthy and safe decisions when they choose to become sexually active. These programs also teach about healthy relationships and communication skills, encourage family communication about sexuality between parents and their children, and give young people the skills to make responsible decisions about sexuality, including how to avoid unwanted verbal, physical, and sexual advances and the potential impact of alcohol and drugs on decision-making. Equally important, these programs do not teach or promote religion and do not discriminate against lesbian, gay, bisexual, transgender, and questioning (LGBTQ) youth</w:t>
      </w:r>
      <w:r w:rsidRPr="0085216D">
        <w:rPr>
          <w:sz w:val="16"/>
        </w:rPr>
        <w:t xml:space="preserve">. Research Supports Comprehensive Programs There is strong evidence that more </w:t>
      </w:r>
      <w:r w:rsidRPr="0085216D">
        <w:rPr>
          <w:rStyle w:val="StyleUnderline"/>
        </w:rPr>
        <w:t>comprehensive approaches help young people both withstand the pressure to have sex too soon and learn the skills to build healthy, responsible, and mutually protective relationships when they do become sexually active</w:t>
      </w:r>
      <w:r w:rsidRPr="0085216D">
        <w:rPr>
          <w:sz w:val="16"/>
        </w:rPr>
        <w:t xml:space="preserve">.[5] Contrary to fears of some adults, </w:t>
      </w:r>
      <w:r w:rsidRPr="0085216D">
        <w:rPr>
          <w:rStyle w:val="StyleUnderline"/>
        </w:rPr>
        <w:t>sex education programs that teach about both and contraception do not increase sexual behavior or lead young people to engage in sex at an earlier age</w:t>
      </w:r>
      <w:r w:rsidRPr="0085216D">
        <w:rPr>
          <w:sz w:val="16"/>
        </w:rPr>
        <w:t xml:space="preserve">. In fact, a more comprehensive approach to sex education has been </w:t>
      </w:r>
      <w:r w:rsidRPr="0085216D">
        <w:rPr>
          <w:rStyle w:val="StyleUnderline"/>
        </w:rPr>
        <w:t>shown to help teens delay sexual initiation, reduce the frequency of sexual intercourse, and have fewer sexual partners. Thus, more comprehensive approaches to sex education have actually been proven to do a better job of helping young people remain abstinent than have abstinence-only-until-marriage programs</w:t>
      </w:r>
      <w:r w:rsidRPr="0085216D">
        <w:rPr>
          <w:sz w:val="16"/>
        </w:rPr>
        <w:t xml:space="preserve">. Research has also shown that </w:t>
      </w:r>
      <w:r w:rsidRPr="0085216D">
        <w:rPr>
          <w:rStyle w:val="StyleUnderline"/>
        </w:rPr>
        <w:t>teens exposed to these programs are more likely to use condoms and other contraceptive methods when they do become sexually active</w:t>
      </w:r>
      <w:r w:rsidRPr="0085216D">
        <w:rPr>
          <w:sz w:val="16"/>
        </w:rPr>
        <w:t xml:space="preserve">.[6] This has lifelong implications as studies have shown that </w:t>
      </w:r>
      <w:r w:rsidRPr="0085216D">
        <w:rPr>
          <w:rStyle w:val="StyleUnderline"/>
        </w:rPr>
        <w:t>young people who practiced contraception consistently in their first sexual relationship were more likely to continue doing so than those who used no method or who used a method inconsistently</w:t>
      </w:r>
      <w:r w:rsidRPr="0085216D">
        <w:rPr>
          <w:sz w:val="16"/>
        </w:rPr>
        <w:t xml:space="preserve">.[7] Furthermore, the National Survey of Family Growth recently found that </w:t>
      </w:r>
      <w:r w:rsidRPr="0085216D">
        <w:rPr>
          <w:rStyle w:val="StyleUnderline"/>
        </w:rPr>
        <w:t>teen females are almost twice as likely to have a birth before reaching age 20 if they did not use a contraceptive method at their first sex</w:t>
      </w:r>
      <w:r w:rsidRPr="0085216D">
        <w:rPr>
          <w:sz w:val="16"/>
        </w:rPr>
        <w:t xml:space="preserve">.[8] In addition to this research, </w:t>
      </w:r>
      <w:r w:rsidRPr="0085216D">
        <w:rPr>
          <w:rStyle w:val="StyleUnderline"/>
        </w:rPr>
        <w:t>the CDC’s Task Force</w:t>
      </w:r>
      <w:r w:rsidRPr="0085216D">
        <w:rPr>
          <w:sz w:val="16"/>
        </w:rPr>
        <w:t xml:space="preserve"> on Community Preventive Services </w:t>
      </w:r>
      <w:r w:rsidRPr="0085216D">
        <w:rPr>
          <w:rStyle w:val="StyleUnderline"/>
        </w:rPr>
        <w:t>recently reviewed Comprehensive Risk Reduction programs</w:t>
      </w:r>
      <w:r w:rsidRPr="0085216D">
        <w:rPr>
          <w:sz w:val="16"/>
        </w:rPr>
        <w:t xml:space="preserve">, group-based programs “delivered to adolescents to promote behaviors that prevent or reduce the risk of pregnancy, HIV,” and other STDs, </w:t>
      </w:r>
      <w:r w:rsidRPr="0085216D">
        <w:rPr>
          <w:rStyle w:val="StyleUnderline"/>
        </w:rPr>
        <w:t>and found sufficient evidence to both recommend their use and conclude that such interventions can have a beneficial effect on public health.[9]The recommendation is based on evidence of effectiveness in reducing a number of self-reported risk behaviors, including engagement in any sexual activity, frequency of sexual activity, number of partners, and frequency of unprotected sexual activity; as well as increasing the self-reported use of protection against pregnancy and STDs and reducing the incidence of self-reported or clinically-documented STDs</w:t>
      </w:r>
      <w:r w:rsidRPr="0085216D">
        <w:rPr>
          <w:sz w:val="16"/>
        </w:rPr>
        <w:t>.[10]</w:t>
      </w:r>
    </w:p>
    <w:p w:rsidR="00A02692" w:rsidRDefault="00A02692" w:rsidP="00A02692">
      <w:pPr>
        <w:pStyle w:val="Heading3"/>
      </w:pPr>
      <w:r>
        <w:t xml:space="preserve">Solvency—Sex Ed Equity </w:t>
      </w:r>
    </w:p>
    <w:p w:rsidR="00A02692" w:rsidRDefault="00A02692" w:rsidP="00A02692">
      <w:pPr>
        <w:pStyle w:val="Heading4"/>
      </w:pPr>
      <w:r>
        <w:t xml:space="preserve">Comprehensive sexual education is effective in preventing teen pregnancy and diseases, but is currently underfunded in non-white, urban areas. Federal funding should be allocated towards comprehensive sexual education and made available to under-represented students. </w:t>
      </w:r>
    </w:p>
    <w:p w:rsidR="00A02692" w:rsidRPr="00D65EBD" w:rsidRDefault="00A02692" w:rsidP="00A02692">
      <w:pPr>
        <w:rPr>
          <w:sz w:val="16"/>
          <w:szCs w:val="16"/>
        </w:rPr>
      </w:pPr>
      <w:r w:rsidRPr="00D65EBD">
        <w:rPr>
          <w:rStyle w:val="Style13ptBold"/>
        </w:rPr>
        <w:t>SIECUS</w:t>
      </w:r>
      <w:r>
        <w:t xml:space="preserve"> </w:t>
      </w:r>
      <w:r w:rsidRPr="00D65EBD">
        <w:rPr>
          <w:sz w:val="16"/>
          <w:szCs w:val="16"/>
        </w:rPr>
        <w:t>(date wasn’t listed, but cited sources from as late as 2008)</w:t>
      </w:r>
      <w:r>
        <w:t xml:space="preserve"> </w:t>
      </w:r>
      <w:r w:rsidRPr="00D65EBD">
        <w:rPr>
          <w:sz w:val="16"/>
          <w:szCs w:val="16"/>
        </w:rPr>
        <w:t xml:space="preserve">[Sexuality Information and Education Council of the United States, National Data Shows Comprehensive Sex Education Better at Reducing Teen Pregnancy than Abstinence-Only Programs, </w:t>
      </w:r>
      <w:hyperlink r:id="rId146" w:history="1">
        <w:r w:rsidRPr="00D65EBD">
          <w:rPr>
            <w:rStyle w:val="Hyperlink"/>
            <w:sz w:val="16"/>
            <w:szCs w:val="16"/>
          </w:rPr>
          <w:t>http://www.siecus.org/index.cfm?fuseaction=Feature.showFeature&amp;featureID=1041</w:t>
        </w:r>
      </w:hyperlink>
      <w:r w:rsidRPr="00D65EBD">
        <w:rPr>
          <w:sz w:val="16"/>
          <w:szCs w:val="16"/>
        </w:rPr>
        <w:t>] Calculus BC</w:t>
      </w:r>
    </w:p>
    <w:p w:rsidR="00A02692" w:rsidRDefault="00A02692" w:rsidP="00A02692">
      <w:pPr>
        <w:rPr>
          <w:u w:val="single"/>
        </w:rPr>
      </w:pPr>
      <w:r w:rsidRPr="005678EF">
        <w:rPr>
          <w:u w:val="single"/>
        </w:rPr>
        <w:t>Researchers at the University of Washington set out to compare the sexual health risk of adolescents who have received various types of sexuality education</w:t>
      </w:r>
      <w:r w:rsidRPr="005678EF">
        <w:rPr>
          <w:sz w:val="16"/>
        </w:rPr>
        <w:t xml:space="preserve">. Though a number of recent studies have evaluated specific programs, little research has been done on the adolescent population as a whole. </w:t>
      </w:r>
      <w:r w:rsidRPr="005678EF">
        <w:rPr>
          <w:u w:val="single"/>
        </w:rPr>
        <w:t xml:space="preserve">This study used data collected in 2002–03 through the National Survey of Family Growth (NSFG), a nationwide survey conducted by the Centers for Disease Control and Prevention’s (CDC) National Center for Health Statistics. The researchers analyzed data from 1,719 heterosexual respondents to the NSFG who were 15–19.1 The median age of respondents was 17. The authors focused on young people’s answers to two questions: whether they had received “any formal instruction at school, church, a community center, or some other place about how to say no to sex” before the age of 18 and whether they had received any formal education about birth control. Young people who reported only receiving information on how to say no to sex were classified as participants in abstinence-only programs and young people who reported getting both messages were classified as having received comprehensive sex education. These two groups were also compared to young people who reported receiving no formal sex education. </w:t>
      </w:r>
      <w:r w:rsidRPr="005678EF">
        <w:rPr>
          <w:sz w:val="16"/>
        </w:rPr>
        <w:t xml:space="preserve">To assess sexual risk researchers looked at whether respondents reported ever having engaged in vaginal intercourse, been involved in a pregnancy, or been diagnosed with a sexually transmitted disease (STD). Source: Pamela Kohler, et al., “Abstinence-Only and Comprehensive Sex Education and the Initiation of Sexual Activity and Teen Pregnancy,” Journal of Adolescent Health 42.4 (March 2008); 344–351. Key Findings: </w:t>
      </w:r>
      <w:r w:rsidRPr="005678EF">
        <w:rPr>
          <w:u w:val="single"/>
        </w:rPr>
        <w:t>Young people who received comprehensive sex education were significantly less likely to report a teen pregnancy compared to those who received no sex education</w:t>
      </w:r>
      <w:r w:rsidRPr="005678EF">
        <w:rPr>
          <w:sz w:val="16"/>
        </w:rPr>
        <w:t xml:space="preserve">. Abstinence-only programs were not significantly associated with a risk reduction for teen pregnancy when compared with no sex education. </w:t>
      </w:r>
      <w:r w:rsidRPr="005678EF">
        <w:rPr>
          <w:u w:val="single"/>
        </w:rPr>
        <w:t xml:space="preserve">In comparing abstinence-only programs with comprehensive sex education, comprehensive sex education was associated with a 50% lower risk of teen pregnancy. After adjusting for demographics, abstinence-only programs were not significantly associated with a delay in the initiation of vaginal intercourse. </w:t>
      </w:r>
      <w:r w:rsidRPr="005678EF">
        <w:rPr>
          <w:sz w:val="16"/>
        </w:rPr>
        <w:t xml:space="preserve">Comprehensive sex education was marginally associated with reduced reports of vaginal intercourse. Neither abstinence-only programs nor comprehensive sex education were significantly associated with risk for an STD when compared to no sex education. </w:t>
      </w:r>
      <w:r w:rsidRPr="005678EF">
        <w:rPr>
          <w:u w:val="single"/>
        </w:rPr>
        <w:t>Demographic Findings Young people who received no sex education tended to be black, from low-income non-intact2 families, and rural areas. Young people who received abstinence-only programs tended to be younger and from low-to-moderate-income intact families. Young people who received comprehensive sex education tended to be slightly older, white, and from higher-income families in more urban areas. The strongest predictor for an STD diagnosis was a non-intact family. Adolescents in these families were four times more likely to report having been diagnosed with an STD</w:t>
      </w:r>
      <w:r w:rsidRPr="005678EF">
        <w:rPr>
          <w:sz w:val="16"/>
        </w:rPr>
        <w:t xml:space="preserve">. SIECUS Analysis: </w:t>
      </w:r>
      <w:r w:rsidRPr="005678EF">
        <w:rPr>
          <w:u w:val="single"/>
        </w:rPr>
        <w:t>This study adds to the growing body of research in support of a comprehensive approach to sexuality education. First, it confirms that abstinence-only-until-marriage programs are not effective in changing young people’s sexual behavior or preventing negative outcomes such as teen pregnancy. More importantly, however, it confirms that programs that teach young people about both abstinence and contraception/disease prevention are, in fact, effective. In particular, the authors found that receiving information about birth control in formal sex education was associated with a 50% lower risk of teen pregnancy when compared to receiving information only on abstinence. It also confirmed that talking to young people about birth control does not lead to increased sexual activity or higher STD rates as many critics of comprehensive sexuality education continue to claim.</w:t>
      </w:r>
      <w:r w:rsidRPr="005678EF">
        <w:rPr>
          <w:sz w:val="16"/>
        </w:rPr>
        <w:t xml:space="preserve"> This study is a welcome addition to the research on sexuality education and youth sexual behavior; however, there are some limitations to the data. The NSFG does not ask detailed questions about sex education. Instead, researcher categorized respondents by their answer to two basic questions. By this narrow definition they found that 66.8% of respondents reported receiving comprehensive sex education, 23.8% reported abstinence-only, and 9.4% reported no sex education. However, no information was available about the quality, context, or duration of either the abstinence-only or comprehensive sex education programs. </w:t>
      </w:r>
      <w:r w:rsidRPr="005678EF">
        <w:rPr>
          <w:u w:val="single"/>
        </w:rPr>
        <w:t>SIECUS defines comprehensive sexuality education as programs that start in kindergarten and continue through 12th grade. These programs include age-appropriate, medically accurate information on a broad set of topics related to sexuality, including human development, relationships, decision-making, abstinence, contraception, and disease prevention. They provide students with opportunities for developing skills as well as learning information.</w:t>
      </w:r>
      <w:r w:rsidRPr="005678EF">
        <w:rPr>
          <w:sz w:val="16"/>
        </w:rPr>
        <w:t xml:space="preserve"> There is a good chance that many of the students grouped as having received comprehensive sex education did not receive such a thorough program. In fact, very few students do. However, it’s encouraging that even programs that simply cover birth control and abstinence can reduce young people’s risk of teen pregnancy. And, though we know little about the abstinence-only programs that these students were exposed to, we do know that they withheld information about contraception and we know that this approach has failed to reduce sexual activity, teen pregnancy, or STDs. </w:t>
      </w:r>
      <w:r w:rsidRPr="005678EF">
        <w:rPr>
          <w:u w:val="single"/>
        </w:rPr>
        <w:t xml:space="preserve">The stated goals of federally funded abstinence-only-until-marriage programs are to delay sexual activity and prevent teen pregnancy and, yet, this research shows again that programs that discuss birth control as well as abstinence do a better job at both of these tasks. This research should encourage policymakers to end funding for failed abstinence-only-until-marriage programs and begin funding programs that work. In addition, this study also reveals some disturbing disparities in what young people are learning. For example, it found that a plurality, 36.9%, of young people who received no sex education live in households that made less than $20,000. Moreover, the authors note that “generally individuals receiving no sex education tended to be from low-income, nonintact families, black, and from rural areas.” We know that young people of color and young people from low-income communities are disproportionately affected by teen pregnancy and sexually transmitted diseases. In order to overcome these health disparities, we must ensure that these young people, in particular, receive high quality sexuality education. </w:t>
      </w:r>
    </w:p>
    <w:p w:rsidR="00A02692" w:rsidRPr="00523FC6" w:rsidRDefault="00A02692" w:rsidP="00A02692"/>
    <w:p w:rsidR="00A02692" w:rsidRPr="0066539D" w:rsidRDefault="00A02692" w:rsidP="00A02692">
      <w:pPr>
        <w:pStyle w:val="Heading3"/>
      </w:pPr>
      <w:r w:rsidRPr="0066539D">
        <w:t>Solvency—Schools Key</w:t>
      </w:r>
    </w:p>
    <w:p w:rsidR="00A02692" w:rsidRPr="00EC54FB" w:rsidRDefault="00A02692" w:rsidP="00A02692">
      <w:pPr>
        <w:pStyle w:val="Heading4"/>
        <w:rPr>
          <w:rStyle w:val="Style13ptBold"/>
          <w:b/>
        </w:rPr>
      </w:pPr>
      <w:r w:rsidRPr="00EC54FB">
        <w:rPr>
          <w:rStyle w:val="Style13ptBold"/>
          <w:b/>
        </w:rPr>
        <w:t>Schools are key—enables effective reach and promotes critical interrogation of social inequalities</w:t>
      </w:r>
    </w:p>
    <w:p w:rsidR="00A02692" w:rsidRPr="00EE529A" w:rsidRDefault="00A02692" w:rsidP="00A02692">
      <w:pPr>
        <w:jc w:val="both"/>
        <w:rPr>
          <w:rStyle w:val="Style13ptBold"/>
          <w:b w:val="0"/>
        </w:rPr>
      </w:pPr>
      <w:proofErr w:type="spellStart"/>
      <w:r>
        <w:rPr>
          <w:rStyle w:val="Style13ptBold"/>
        </w:rPr>
        <w:t>Schalet</w:t>
      </w:r>
      <w:proofErr w:type="spellEnd"/>
      <w:r>
        <w:rPr>
          <w:rStyle w:val="Style13ptBold"/>
        </w:rPr>
        <w:t xml:space="preserve"> et al. 14 </w:t>
      </w:r>
      <w:r w:rsidRPr="00EE529A">
        <w:rPr>
          <w:rStyle w:val="Style13ptBold"/>
          <w:b w:val="0"/>
          <w:sz w:val="16"/>
          <w:szCs w:val="16"/>
        </w:rPr>
        <w:t xml:space="preserve">[Amy T. Chalet, John S. Santelli, Stephen T. </w:t>
      </w:r>
      <w:proofErr w:type="spellStart"/>
      <w:r w:rsidRPr="00EE529A">
        <w:rPr>
          <w:rStyle w:val="Style13ptBold"/>
          <w:b w:val="0"/>
          <w:sz w:val="16"/>
          <w:szCs w:val="16"/>
        </w:rPr>
        <w:t>Russell,corresponding</w:t>
      </w:r>
      <w:proofErr w:type="spellEnd"/>
      <w:r w:rsidRPr="00EE529A">
        <w:rPr>
          <w:rStyle w:val="Style13ptBold"/>
          <w:b w:val="0"/>
          <w:sz w:val="16"/>
          <w:szCs w:val="16"/>
        </w:rPr>
        <w:t xml:space="preserve"> author Carolyn T. Halpern, Sarah A. Miller, Sarah S. Pickering, Shoshana K. Goldberg, and Jennifer M. </w:t>
      </w:r>
      <w:proofErr w:type="spellStart"/>
      <w:r w:rsidRPr="00EE529A">
        <w:rPr>
          <w:rStyle w:val="Style13ptBold"/>
          <w:b w:val="0"/>
          <w:sz w:val="16"/>
          <w:szCs w:val="16"/>
        </w:rPr>
        <w:t>Hoenig</w:t>
      </w:r>
      <w:proofErr w:type="spellEnd"/>
      <w:r w:rsidRPr="00EE529A">
        <w:rPr>
          <w:rStyle w:val="Style13ptBold"/>
          <w:b w:val="0"/>
          <w:sz w:val="16"/>
          <w:szCs w:val="16"/>
        </w:rPr>
        <w:t xml:space="preserve">. September 9, 2014. Amy T. </w:t>
      </w:r>
      <w:proofErr w:type="spellStart"/>
      <w:r w:rsidRPr="00EE529A">
        <w:rPr>
          <w:rStyle w:val="Style13ptBold"/>
          <w:b w:val="0"/>
          <w:sz w:val="16"/>
          <w:szCs w:val="16"/>
        </w:rPr>
        <w:t>Schalet</w:t>
      </w:r>
      <w:proofErr w:type="spellEnd"/>
      <w:r w:rsidRPr="00EE529A">
        <w:rPr>
          <w:rStyle w:val="Style13ptBold"/>
          <w:b w:val="0"/>
          <w:sz w:val="16"/>
          <w:szCs w:val="16"/>
        </w:rPr>
        <w:t xml:space="preserve"> is Associate Professor of Sociology at the University of Massachusetts Amherst. John S. Santelli is the Harriet and Robert H. </w:t>
      </w:r>
      <w:proofErr w:type="spellStart"/>
      <w:r w:rsidRPr="00EE529A">
        <w:rPr>
          <w:rStyle w:val="Style13ptBold"/>
          <w:b w:val="0"/>
          <w:sz w:val="16"/>
          <w:szCs w:val="16"/>
        </w:rPr>
        <w:t>Heilbrunn</w:t>
      </w:r>
      <w:proofErr w:type="spellEnd"/>
      <w:r w:rsidRPr="00EE529A">
        <w:rPr>
          <w:rStyle w:val="Style13ptBold"/>
          <w:b w:val="0"/>
          <w:sz w:val="16"/>
          <w:szCs w:val="16"/>
        </w:rPr>
        <w:t xml:space="preserve"> Professor in the </w:t>
      </w:r>
      <w:proofErr w:type="spellStart"/>
      <w:r w:rsidRPr="00EE529A">
        <w:rPr>
          <w:rStyle w:val="Style13ptBold"/>
          <w:b w:val="0"/>
          <w:sz w:val="16"/>
          <w:szCs w:val="16"/>
        </w:rPr>
        <w:t>Heilbrunn</w:t>
      </w:r>
      <w:proofErr w:type="spellEnd"/>
      <w:r w:rsidRPr="00EE529A">
        <w:rPr>
          <w:rStyle w:val="Style13ptBold"/>
          <w:b w:val="0"/>
          <w:sz w:val="16"/>
          <w:szCs w:val="16"/>
        </w:rPr>
        <w:t xml:space="preserve"> Department of Population and Family Health at Columbia University. Stephen T. Russell is Distinguished Professor, Fitch Nesbitt Endowed Chair, and Interim Director of the Norton School of Family and Consumer Sciences at the University of Arizona. Carolyn T. Halpern is Professor in the Department of Maternal &amp; Child Health in the </w:t>
      </w:r>
      <w:proofErr w:type="spellStart"/>
      <w:r w:rsidRPr="00EE529A">
        <w:rPr>
          <w:rStyle w:val="Style13ptBold"/>
          <w:b w:val="0"/>
          <w:sz w:val="16"/>
          <w:szCs w:val="16"/>
        </w:rPr>
        <w:t>Gillings</w:t>
      </w:r>
      <w:proofErr w:type="spellEnd"/>
      <w:r w:rsidRPr="00EE529A">
        <w:rPr>
          <w:rStyle w:val="Style13ptBold"/>
          <w:b w:val="0"/>
          <w:sz w:val="16"/>
          <w:szCs w:val="16"/>
        </w:rPr>
        <w:t xml:space="preserve"> School of Global Public Health at the University of North Carolina at Chapel Hill. Sarah A. Miller is a doctoral candidate in Sociology at University of Massachusetts Amherst. Sarah S. Pickering has an MPH from the </w:t>
      </w:r>
      <w:proofErr w:type="spellStart"/>
      <w:r w:rsidRPr="00EE529A">
        <w:rPr>
          <w:rStyle w:val="Style13ptBold"/>
          <w:b w:val="0"/>
          <w:sz w:val="16"/>
          <w:szCs w:val="16"/>
        </w:rPr>
        <w:t>Heilbrunn</w:t>
      </w:r>
      <w:proofErr w:type="spellEnd"/>
      <w:r w:rsidRPr="00EE529A">
        <w:rPr>
          <w:rStyle w:val="Style13ptBold"/>
          <w:b w:val="0"/>
          <w:sz w:val="16"/>
          <w:szCs w:val="16"/>
        </w:rPr>
        <w:t xml:space="preserve"> Department of Population and Family Health at Columbia University. Shoshana K. Goldberg is a doctoral student in Maternal &amp; Child Health in the </w:t>
      </w:r>
      <w:proofErr w:type="spellStart"/>
      <w:r w:rsidRPr="00EE529A">
        <w:rPr>
          <w:rStyle w:val="Style13ptBold"/>
          <w:b w:val="0"/>
          <w:sz w:val="16"/>
          <w:szCs w:val="16"/>
        </w:rPr>
        <w:t>Gillings</w:t>
      </w:r>
      <w:proofErr w:type="spellEnd"/>
      <w:r w:rsidRPr="00EE529A">
        <w:rPr>
          <w:rStyle w:val="Style13ptBold"/>
          <w:b w:val="0"/>
          <w:sz w:val="16"/>
          <w:szCs w:val="16"/>
        </w:rPr>
        <w:t xml:space="preserve"> School of Global Public Health at the University of North Carolina at Chapel Hill. Jennifer M. </w:t>
      </w:r>
      <w:proofErr w:type="spellStart"/>
      <w:r w:rsidRPr="00EE529A">
        <w:rPr>
          <w:rStyle w:val="Style13ptBold"/>
          <w:b w:val="0"/>
          <w:sz w:val="16"/>
          <w:szCs w:val="16"/>
        </w:rPr>
        <w:t>Hoenig</w:t>
      </w:r>
      <w:proofErr w:type="spellEnd"/>
      <w:r w:rsidRPr="00EE529A">
        <w:rPr>
          <w:rStyle w:val="Style13ptBold"/>
          <w:b w:val="0"/>
          <w:sz w:val="16"/>
          <w:szCs w:val="16"/>
        </w:rPr>
        <w:t xml:space="preserve"> is a doctoral candidate in Family Studies and Human Development at the University of Arizona. “Invited Commentary: Broadening the Evidence for Adolescent Sexual and Reproductive Health and Education in the United States.” </w:t>
      </w:r>
      <w:r w:rsidRPr="00EE529A">
        <w:rPr>
          <w:rStyle w:val="Style13ptBold"/>
          <w:b w:val="0"/>
          <w:i/>
          <w:sz w:val="16"/>
          <w:szCs w:val="16"/>
        </w:rPr>
        <w:t xml:space="preserve">Journal of Youth and Adolescence 2014; 43(10): 1595–1610. </w:t>
      </w:r>
      <w:r w:rsidRPr="00EE529A">
        <w:rPr>
          <w:rStyle w:val="Style13ptBold"/>
          <w:b w:val="0"/>
          <w:sz w:val="16"/>
          <w:szCs w:val="16"/>
        </w:rPr>
        <w:t>SH.]</w:t>
      </w:r>
    </w:p>
    <w:p w:rsidR="00A02692" w:rsidRPr="002A6688" w:rsidRDefault="00A02692" w:rsidP="00A02692">
      <w:pPr>
        <w:jc w:val="both"/>
        <w:rPr>
          <w:rStyle w:val="StyleUnderline"/>
        </w:rPr>
      </w:pPr>
      <w:r w:rsidRPr="002A6688">
        <w:rPr>
          <w:rStyle w:val="StyleUnderline"/>
        </w:rPr>
        <w:t>Schools have an essential role in promoting adolescent sexual and reproductive health,</w:t>
      </w:r>
      <w:r w:rsidRPr="002A6688">
        <w:rPr>
          <w:sz w:val="16"/>
        </w:rPr>
        <w:t xml:space="preserve"> and science is essential in guiding the development of school health policies. As of fall 2013, about 50.1 million children and young people were enrolled in public elementary and secondary schools across the United States (National Center for Education Statistics 2013). </w:t>
      </w:r>
      <w:r w:rsidRPr="002A6688">
        <w:rPr>
          <w:rStyle w:val="StyleUnderline"/>
        </w:rPr>
        <w:t>Schools offer a practical and efficient means to reach young people with health information and health services. Because they include students across the socioeconomic spectrum, public schools can educate and serve children and youth who may not have access to education and services elsewhere. Schools are also an opportunity to educate all young people about health and sexuality before they initiate health risk behaviors, and to provide health services that prevent disease and promote health. Thus schools can help young people establish healthy behaviors that endure into adulthood</w:t>
      </w:r>
      <w:r w:rsidRPr="002A6688">
        <w:rPr>
          <w:sz w:val="16"/>
        </w:rPr>
        <w:t xml:space="preserve"> (CDC 2013b; Kirby 2002). In addition to promoting healthy behaviors, </w:t>
      </w:r>
      <w:r w:rsidRPr="002A6688">
        <w:rPr>
          <w:rStyle w:val="StyleUnderline"/>
        </w:rPr>
        <w:t>schools are important venues for the development of norms and values and for fostering positive self-concept and agency around sex, sexuality, and relationships</w:t>
      </w:r>
      <w:r w:rsidRPr="002A6688">
        <w:rPr>
          <w:sz w:val="16"/>
        </w:rPr>
        <w:t xml:space="preserve"> (Center for School, Health, and Education, 2011). Educators, psychologists, and sociologists have argued, moreover, that </w:t>
      </w:r>
      <w:r w:rsidRPr="002A6688">
        <w:rPr>
          <w:rStyle w:val="StyleUnderline"/>
        </w:rPr>
        <w:t>sexual health education also has an important role to play in combating the health and social disparities that young people face.</w:t>
      </w:r>
      <w:r w:rsidRPr="002A6688">
        <w:rPr>
          <w:sz w:val="16"/>
        </w:rPr>
        <w:t xml:space="preserve"> They note that structural racism, poverty, gender inequality, and the stigmatization of LGBTQ people all negatively impact health outcomes, including sexual health outcomes, and have argued that </w:t>
      </w:r>
      <w:r w:rsidRPr="002A6688">
        <w:rPr>
          <w:rStyle w:val="StyleUnderline"/>
        </w:rPr>
        <w:t>it is incumbent upon educators not to perpetuate inequalities within the classroom through explicit or implicit stereotyping</w:t>
      </w:r>
      <w:r w:rsidRPr="002A6688">
        <w:rPr>
          <w:sz w:val="16"/>
        </w:rPr>
        <w:t xml:space="preserve"> (Fine and McClelland 2006). They point to problems not only in formal curricula, but also in the informal or hidden curricula—the implicit messages embedded in sexual health education—through which educators may inadvertently promote class, gender, and race stereotypes (Fields 2008; Morris 2007). </w:t>
      </w:r>
      <w:r w:rsidRPr="002A6688">
        <w:rPr>
          <w:rStyle w:val="StyleUnderline"/>
        </w:rPr>
        <w:t>Sexual health education has the potential to give young people the opportunity to critically examine the societal inequalities linked to gender, race, sexuality, and poverty</w:t>
      </w:r>
      <w:r w:rsidRPr="002A6688">
        <w:rPr>
          <w:sz w:val="16"/>
        </w:rPr>
        <w:t xml:space="preserve"> (Fields 2008; Fine and McClelland 2006). Thus, while </w:t>
      </w:r>
      <w:r w:rsidRPr="002A6688">
        <w:rPr>
          <w:rStyle w:val="StyleUnderline"/>
        </w:rPr>
        <w:t>sexual health education</w:t>
      </w:r>
      <w:r w:rsidRPr="002A6688">
        <w:rPr>
          <w:sz w:val="16"/>
        </w:rPr>
        <w:t xml:space="preserve"> cannot remove the inequalities in society at large, it </w:t>
      </w:r>
      <w:r w:rsidRPr="002A6688">
        <w:rPr>
          <w:rStyle w:val="StyleUnderline"/>
        </w:rPr>
        <w:t>can aid students in acquiring the critical thinking skills that will allow them to more effectively confront and challenge them.</w:t>
      </w:r>
    </w:p>
    <w:p w:rsidR="00A02692" w:rsidRDefault="00A02692" w:rsidP="00A02692">
      <w:pPr>
        <w:rPr>
          <w:rStyle w:val="StyleUnderline"/>
        </w:rPr>
      </w:pPr>
    </w:p>
    <w:p w:rsidR="00A02692" w:rsidRDefault="00A02692" w:rsidP="00A02692">
      <w:pPr>
        <w:jc w:val="both"/>
        <w:rPr>
          <w:rStyle w:val="Style13ptBold"/>
        </w:rPr>
      </w:pPr>
      <w:r>
        <w:rPr>
          <w:rStyle w:val="Style13ptBold"/>
        </w:rPr>
        <w:t>Comprehensive sex education works comparatively better than abstinence-only programs</w:t>
      </w:r>
    </w:p>
    <w:p w:rsidR="00A02692" w:rsidRPr="00EE529A" w:rsidRDefault="00A02692" w:rsidP="00A02692">
      <w:pPr>
        <w:jc w:val="both"/>
        <w:rPr>
          <w:rStyle w:val="Style13ptBold"/>
          <w:b w:val="0"/>
        </w:rPr>
      </w:pPr>
      <w:proofErr w:type="spellStart"/>
      <w:r>
        <w:rPr>
          <w:rStyle w:val="Style13ptBold"/>
        </w:rPr>
        <w:t>Schalet</w:t>
      </w:r>
      <w:proofErr w:type="spellEnd"/>
      <w:r>
        <w:rPr>
          <w:rStyle w:val="Style13ptBold"/>
        </w:rPr>
        <w:t xml:space="preserve"> et al. 14 </w:t>
      </w:r>
      <w:r w:rsidRPr="00EE529A">
        <w:rPr>
          <w:rStyle w:val="Style13ptBold"/>
          <w:b w:val="0"/>
          <w:sz w:val="16"/>
          <w:szCs w:val="16"/>
        </w:rPr>
        <w:t xml:space="preserve">[Amy T. Chalet, John S. Santelli, Stephen T. </w:t>
      </w:r>
      <w:proofErr w:type="spellStart"/>
      <w:r w:rsidRPr="00EE529A">
        <w:rPr>
          <w:rStyle w:val="Style13ptBold"/>
          <w:b w:val="0"/>
          <w:sz w:val="16"/>
          <w:szCs w:val="16"/>
        </w:rPr>
        <w:t>Russell,corresponding</w:t>
      </w:r>
      <w:proofErr w:type="spellEnd"/>
      <w:r w:rsidRPr="00EE529A">
        <w:rPr>
          <w:rStyle w:val="Style13ptBold"/>
          <w:b w:val="0"/>
          <w:sz w:val="16"/>
          <w:szCs w:val="16"/>
        </w:rPr>
        <w:t xml:space="preserve"> author Carolyn T. Halpern, Sarah A. Miller, Sarah S. Pickering, Shoshana K. Goldberg, and Jennifer M. </w:t>
      </w:r>
      <w:proofErr w:type="spellStart"/>
      <w:r w:rsidRPr="00EE529A">
        <w:rPr>
          <w:rStyle w:val="Style13ptBold"/>
          <w:b w:val="0"/>
          <w:sz w:val="16"/>
          <w:szCs w:val="16"/>
        </w:rPr>
        <w:t>Hoenig</w:t>
      </w:r>
      <w:proofErr w:type="spellEnd"/>
      <w:r w:rsidRPr="00EE529A">
        <w:rPr>
          <w:rStyle w:val="Style13ptBold"/>
          <w:b w:val="0"/>
          <w:sz w:val="16"/>
          <w:szCs w:val="16"/>
        </w:rPr>
        <w:t xml:space="preserve">. September 9, 2014. Amy T. </w:t>
      </w:r>
      <w:proofErr w:type="spellStart"/>
      <w:r w:rsidRPr="00EE529A">
        <w:rPr>
          <w:rStyle w:val="Style13ptBold"/>
          <w:b w:val="0"/>
          <w:sz w:val="16"/>
          <w:szCs w:val="16"/>
        </w:rPr>
        <w:t>Schalet</w:t>
      </w:r>
      <w:proofErr w:type="spellEnd"/>
      <w:r w:rsidRPr="00EE529A">
        <w:rPr>
          <w:rStyle w:val="Style13ptBold"/>
          <w:b w:val="0"/>
          <w:sz w:val="16"/>
          <w:szCs w:val="16"/>
        </w:rPr>
        <w:t xml:space="preserve"> is Associate Professor of Sociology at the University of Massachusetts Amherst. John S. Santelli is the Harriet and Robert H. </w:t>
      </w:r>
      <w:proofErr w:type="spellStart"/>
      <w:r w:rsidRPr="00EE529A">
        <w:rPr>
          <w:rStyle w:val="Style13ptBold"/>
          <w:b w:val="0"/>
          <w:sz w:val="16"/>
          <w:szCs w:val="16"/>
        </w:rPr>
        <w:t>Heilbrunn</w:t>
      </w:r>
      <w:proofErr w:type="spellEnd"/>
      <w:r w:rsidRPr="00EE529A">
        <w:rPr>
          <w:rStyle w:val="Style13ptBold"/>
          <w:b w:val="0"/>
          <w:sz w:val="16"/>
          <w:szCs w:val="16"/>
        </w:rPr>
        <w:t xml:space="preserve"> Professor in the </w:t>
      </w:r>
      <w:proofErr w:type="spellStart"/>
      <w:r w:rsidRPr="00EE529A">
        <w:rPr>
          <w:rStyle w:val="Style13ptBold"/>
          <w:b w:val="0"/>
          <w:sz w:val="16"/>
          <w:szCs w:val="16"/>
        </w:rPr>
        <w:t>Heilbrunn</w:t>
      </w:r>
      <w:proofErr w:type="spellEnd"/>
      <w:r w:rsidRPr="00EE529A">
        <w:rPr>
          <w:rStyle w:val="Style13ptBold"/>
          <w:b w:val="0"/>
          <w:sz w:val="16"/>
          <w:szCs w:val="16"/>
        </w:rPr>
        <w:t xml:space="preserve"> Department of Population and Family Health at Columbia University. Stephen T. Russell is Distinguished Professor, Fitch Nesbitt Endowed Chair, and Interim Director of the Norton School of Family and Consumer Sciences at the University of Arizona. Carolyn T. Halpern is Professor in the Department of Maternal &amp; Child Health in the </w:t>
      </w:r>
      <w:proofErr w:type="spellStart"/>
      <w:r w:rsidRPr="00EE529A">
        <w:rPr>
          <w:rStyle w:val="Style13ptBold"/>
          <w:b w:val="0"/>
          <w:sz w:val="16"/>
          <w:szCs w:val="16"/>
        </w:rPr>
        <w:t>Gillings</w:t>
      </w:r>
      <w:proofErr w:type="spellEnd"/>
      <w:r w:rsidRPr="00EE529A">
        <w:rPr>
          <w:rStyle w:val="Style13ptBold"/>
          <w:b w:val="0"/>
          <w:sz w:val="16"/>
          <w:szCs w:val="16"/>
        </w:rPr>
        <w:t xml:space="preserve"> School of Global Public Health at the University of North Carolina at Chapel Hill. Sarah A. Miller is a doctoral candidate in Sociology at University of Massachusetts Amherst. Sarah S. Pickering has an MPH from the </w:t>
      </w:r>
      <w:proofErr w:type="spellStart"/>
      <w:r w:rsidRPr="00EE529A">
        <w:rPr>
          <w:rStyle w:val="Style13ptBold"/>
          <w:b w:val="0"/>
          <w:sz w:val="16"/>
          <w:szCs w:val="16"/>
        </w:rPr>
        <w:t>Heilbrunn</w:t>
      </w:r>
      <w:proofErr w:type="spellEnd"/>
      <w:r w:rsidRPr="00EE529A">
        <w:rPr>
          <w:rStyle w:val="Style13ptBold"/>
          <w:b w:val="0"/>
          <w:sz w:val="16"/>
          <w:szCs w:val="16"/>
        </w:rPr>
        <w:t xml:space="preserve"> Department of Population and Family Health at Columbia University. Shoshana K. Goldberg is a doctoral student in Maternal &amp; Child Health in the </w:t>
      </w:r>
      <w:proofErr w:type="spellStart"/>
      <w:r w:rsidRPr="00EE529A">
        <w:rPr>
          <w:rStyle w:val="Style13ptBold"/>
          <w:b w:val="0"/>
          <w:sz w:val="16"/>
          <w:szCs w:val="16"/>
        </w:rPr>
        <w:t>Gillings</w:t>
      </w:r>
      <w:proofErr w:type="spellEnd"/>
      <w:r w:rsidRPr="00EE529A">
        <w:rPr>
          <w:rStyle w:val="Style13ptBold"/>
          <w:b w:val="0"/>
          <w:sz w:val="16"/>
          <w:szCs w:val="16"/>
        </w:rPr>
        <w:t xml:space="preserve"> School of Global Public Health at the University of North Carolina at Chapel Hill. Jennifer M. </w:t>
      </w:r>
      <w:proofErr w:type="spellStart"/>
      <w:r w:rsidRPr="00EE529A">
        <w:rPr>
          <w:rStyle w:val="Style13ptBold"/>
          <w:b w:val="0"/>
          <w:sz w:val="16"/>
          <w:szCs w:val="16"/>
        </w:rPr>
        <w:t>Hoenig</w:t>
      </w:r>
      <w:proofErr w:type="spellEnd"/>
      <w:r w:rsidRPr="00EE529A">
        <w:rPr>
          <w:rStyle w:val="Style13ptBold"/>
          <w:b w:val="0"/>
          <w:sz w:val="16"/>
          <w:szCs w:val="16"/>
        </w:rPr>
        <w:t xml:space="preserve"> is a doctoral candidate in Family Studies and Human Development at the University of Arizona. “Invited Commentary: Broadening the Evidence for Adolescent Sexual and Reproductive Health and Education in the United States.” </w:t>
      </w:r>
      <w:r w:rsidRPr="00EE529A">
        <w:rPr>
          <w:rStyle w:val="Style13ptBold"/>
          <w:b w:val="0"/>
          <w:i/>
          <w:sz w:val="16"/>
          <w:szCs w:val="16"/>
        </w:rPr>
        <w:t xml:space="preserve">Journal of Youth and Adolescence 2014; 43(10): 1595–1610. </w:t>
      </w:r>
      <w:r w:rsidRPr="00EE529A">
        <w:rPr>
          <w:rStyle w:val="Style13ptBold"/>
          <w:b w:val="0"/>
          <w:sz w:val="16"/>
          <w:szCs w:val="16"/>
        </w:rPr>
        <w:t>SH.]</w:t>
      </w:r>
    </w:p>
    <w:p w:rsidR="00A02692" w:rsidRPr="00A80609" w:rsidRDefault="00A02692" w:rsidP="00A02692">
      <w:pPr>
        <w:rPr>
          <w:sz w:val="16"/>
        </w:rPr>
      </w:pPr>
      <w:r w:rsidRPr="00A80609">
        <w:rPr>
          <w:sz w:val="16"/>
        </w:rPr>
        <w:t xml:space="preserve">The history of sexuality education in the United States reflects philosophical clashes and alternating domination of competing approaches stemming from those philosophical differences (Irvine 2004; </w:t>
      </w:r>
      <w:proofErr w:type="spellStart"/>
      <w:r w:rsidRPr="00A80609">
        <w:rPr>
          <w:sz w:val="16"/>
        </w:rPr>
        <w:t>Luker</w:t>
      </w:r>
      <w:proofErr w:type="spellEnd"/>
      <w:r w:rsidRPr="00A80609">
        <w:rPr>
          <w:sz w:val="16"/>
        </w:rPr>
        <w:t xml:space="preserve"> 2007; Moran 2002). Opponents of sexual health education have argued that teaching young people about sex encourages them to be sexually active, even though there is no evidence to support such claims; rather sexual health education helps some young people delay initiation of sex (Kirby et al. 2007a). </w:t>
      </w:r>
      <w:r w:rsidRPr="00A80609">
        <w:rPr>
          <w:rStyle w:val="StyleUnderline"/>
        </w:rPr>
        <w:t>In the 1990s the CDC provided significant funds to promote HIV/AIDS prevention education, which greatly expanded youth exposure to sexual health education but emphasized prevention of STIs and HIV</w:t>
      </w:r>
      <w:r w:rsidRPr="00A80609">
        <w:rPr>
          <w:sz w:val="16"/>
        </w:rPr>
        <w:t xml:space="preserve">. Beginning in 1998, federal funding shifted increasingly to a narrow focus on abstinence as the primary program and policy solution for “the problem” of adolescent sexuality. AOUM programs reflect the strong moral and religious beliefs of their authors. Key among those are the beliefs that sex outside of heterosexual marriage is sinful and that teaching about the health benefits of condoms and contraception is morally wrong because it encourages premarital sex. These beliefs are a critical feature of the “conceptual” basis for AOUM policies (Santelli et al. 2006). From 1998 to 2009 the US government spent almost 2 billion dollars on assistance to states, community-based, and faith-based organizations for AOUM educational programs [Sexuality Information and Education Council of the United States (SIECUS 2014)]. Since 2009, US funding for domestic and international AOUM programs has decreased. However, federal and state-funded AOUM programs remain widespread in many parts of the United States, despite multiple scientific and human right concerns that have been raised by mainstream medical and public health organizations, including concerns about scientific accuracy, the withholding of life-saving information from young people, a lack of program efficacy, promotion of gender and racial stereotypes, insensitivity to non-heterosexual youth, and harm to traditional sexual health education (American Academy of Pediatrics Committee on Psychosocial Aspects of Child and Family Health and Committee on Adolescence 2001; American Civil Liberties Union 2008; American Public Health Association 2006; Santelli et al. 2006). </w:t>
      </w:r>
      <w:r w:rsidRPr="00A80609">
        <w:rPr>
          <w:rStyle w:val="StyleUnderline"/>
        </w:rPr>
        <w:t>Rigorous evaluations of AOUM or abstinence-based curricula have failed to demonstrate efficacy in delaying initiation of sexual intercourse, reducing number of partners, increasing condom use, or promoting secondary abstinence</w:t>
      </w:r>
      <w:r w:rsidRPr="00A80609">
        <w:rPr>
          <w:sz w:val="16"/>
        </w:rPr>
        <w:t xml:space="preserve"> (i.e., cessation of sexual intercourse among sexually experienced youth) (Kirby 2008; </w:t>
      </w:r>
      <w:proofErr w:type="spellStart"/>
      <w:r w:rsidRPr="00A80609">
        <w:rPr>
          <w:sz w:val="16"/>
        </w:rPr>
        <w:t>Trenholm</w:t>
      </w:r>
      <w:proofErr w:type="spellEnd"/>
      <w:r w:rsidRPr="00A80609">
        <w:rPr>
          <w:sz w:val="16"/>
        </w:rPr>
        <w:t xml:space="preserve"> et al. 2008). </w:t>
      </w:r>
      <w:r w:rsidRPr="00A80609">
        <w:rPr>
          <w:rStyle w:val="StyleUnderline"/>
        </w:rPr>
        <w:t>In contrast to abstinence approaches, a 2012 CDC meta-analysis of 66 comprehensive risk reduction programs for youth showed favorable effects on current sexual activity, frequency of sexual activity, number of sex partners, frequency of unprotected sexual activity, use of protection (either condoms and/or hormonal contraception), pregnancy, and STIs</w:t>
      </w:r>
      <w:r w:rsidRPr="00A80609">
        <w:rPr>
          <w:sz w:val="16"/>
        </w:rPr>
        <w:t xml:space="preserve"> (Chin et al. 2012). In the same report, </w:t>
      </w:r>
      <w:r w:rsidRPr="00A80609">
        <w:rPr>
          <w:rStyle w:val="StyleUnderline"/>
        </w:rPr>
        <w:t>the CDC found insufficient scientific evidence for change in behaviors or other outcomes from abstinence education programs</w:t>
      </w:r>
      <w:r w:rsidRPr="00A80609">
        <w:rPr>
          <w:sz w:val="16"/>
        </w:rPr>
        <w:t xml:space="preserve"> (Chin et al. 2012). </w:t>
      </w:r>
    </w:p>
    <w:p w:rsidR="00A02692" w:rsidRDefault="00A02692" w:rsidP="00A02692">
      <w:pPr>
        <w:pStyle w:val="Heading3"/>
      </w:pPr>
      <w:r>
        <w:t>Solvency –Education Key</w:t>
      </w:r>
    </w:p>
    <w:p w:rsidR="00A02692" w:rsidRDefault="00A02692" w:rsidP="00A02692">
      <w:pPr>
        <w:pStyle w:val="Heading4"/>
      </w:pPr>
      <w:r>
        <w:t xml:space="preserve">Teen pregnancy is a winnable battle, education and access to contraceptives are key. </w:t>
      </w:r>
    </w:p>
    <w:p w:rsidR="00A02692" w:rsidRDefault="00A02692" w:rsidP="00A02692">
      <w:r w:rsidRPr="00CD096D">
        <w:rPr>
          <w:rStyle w:val="Style13ptBold"/>
        </w:rPr>
        <w:t>CDC 5/9/17</w:t>
      </w:r>
      <w:r>
        <w:t xml:space="preserve"> </w:t>
      </w:r>
      <w:r w:rsidRPr="00CD096D">
        <w:rPr>
          <w:sz w:val="16"/>
          <w:szCs w:val="16"/>
        </w:rPr>
        <w:t xml:space="preserve">[Center for Disease Control, About Teen Pregnancy, </w:t>
      </w:r>
      <w:hyperlink r:id="rId147" w:history="1">
        <w:r w:rsidRPr="00CD096D">
          <w:rPr>
            <w:rStyle w:val="Hyperlink"/>
            <w:sz w:val="16"/>
            <w:szCs w:val="16"/>
          </w:rPr>
          <w:t>https://www.cdc.gov/teenpregnancy/about/</w:t>
        </w:r>
      </w:hyperlink>
      <w:r w:rsidRPr="00CD096D">
        <w:rPr>
          <w:sz w:val="16"/>
          <w:szCs w:val="16"/>
        </w:rPr>
        <w:t>] Calculus BC</w:t>
      </w:r>
    </w:p>
    <w:p w:rsidR="00A02692" w:rsidRDefault="00A02692" w:rsidP="00A02692">
      <w:pPr>
        <w:rPr>
          <w:sz w:val="16"/>
        </w:rPr>
      </w:pPr>
      <w:r w:rsidRPr="00CD096D">
        <w:rPr>
          <w:u w:val="single"/>
        </w:rPr>
        <w:t>Teen pregnancy prevention is</w:t>
      </w:r>
      <w:r w:rsidRPr="00CD096D">
        <w:rPr>
          <w:sz w:val="16"/>
        </w:rPr>
        <w:t xml:space="preserve"> one of CDC’s top seven priorities, </w:t>
      </w:r>
      <w:r w:rsidRPr="00CD096D">
        <w:rPr>
          <w:u w:val="single"/>
        </w:rPr>
        <w:t>a “winnable battle” in public health, and of paramount importance to health and quality of life for our youth. CDC supports the implementation of evidence-based teen pregnancy prevention programs that have been shown, in at least one program evaluation, to have a positive effect on preventing teen pregnancies, sexually transmitted infections, or sexual risk behaviors</w:t>
      </w:r>
      <w:r w:rsidRPr="00CD096D">
        <w:rPr>
          <w:sz w:val="16"/>
        </w:rPr>
        <w:t xml:space="preserve">. Evidence-based teen pregnancy prevention programs have been identified by the US Department of Health and Human Services (HHS) TPP Evidence Review, which used a systematic process for reviewing evaluation studies against a rigorous standard. </w:t>
      </w:r>
      <w:r w:rsidRPr="00CD096D">
        <w:rPr>
          <w:u w:val="single"/>
        </w:rPr>
        <w:t xml:space="preserve">Currently, the Evidence Review covers a variety of diverse programs, including sexuality education programs, youth development programs, abstinence education programs, clinic-based programs, and programs specifically designed for diverse populations and settings.  In addition to evidence-based prevention programs, teens need access to youth-friendly contraceptive and reproductive health services and support from parents and other trusted adults, who can play an important role in helping teens make healthy choices about relationships, sex, and birth control. </w:t>
      </w:r>
      <w:r w:rsidRPr="00CD096D">
        <w:rPr>
          <w:sz w:val="16"/>
        </w:rPr>
        <w:t xml:space="preserve"> Efforts at the community level that address social and economic factors associated with teen pregnancy also play a critical role in addressing racial/ethnic and geographical disparities observed in teen births in the US.</w:t>
      </w:r>
    </w:p>
    <w:p w:rsidR="00A02692" w:rsidRDefault="00A02692" w:rsidP="00A02692">
      <w:pPr>
        <w:pStyle w:val="Heading3"/>
      </w:pPr>
      <w:r>
        <w:t xml:space="preserve">Impact—STD’s &amp; Teen Pregnancy </w:t>
      </w:r>
    </w:p>
    <w:p w:rsidR="00A02692" w:rsidRPr="00EE529A" w:rsidRDefault="00A02692" w:rsidP="00A02692">
      <w:pPr>
        <w:pStyle w:val="Heading4"/>
        <w:rPr>
          <w:rStyle w:val="Style13ptBold"/>
          <w:b/>
        </w:rPr>
      </w:pPr>
      <w:r w:rsidRPr="00EE529A">
        <w:rPr>
          <w:rStyle w:val="Style13ptBold"/>
          <w:b/>
        </w:rPr>
        <w:t xml:space="preserve">STD’s and teen pregnancies disproportionately affect youth and </w:t>
      </w:r>
      <w:r>
        <w:rPr>
          <w:rStyle w:val="Style13ptBold"/>
          <w:b/>
        </w:rPr>
        <w:t xml:space="preserve">are </w:t>
      </w:r>
      <w:r w:rsidRPr="00EE529A">
        <w:rPr>
          <w:rStyle w:val="Style13ptBold"/>
          <w:b/>
        </w:rPr>
        <w:t>marked by racial and gendered disparities</w:t>
      </w:r>
    </w:p>
    <w:p w:rsidR="00A02692" w:rsidRPr="00EE529A" w:rsidRDefault="00A02692" w:rsidP="00A02692">
      <w:pPr>
        <w:jc w:val="both"/>
        <w:rPr>
          <w:rStyle w:val="Style13ptBold"/>
          <w:b w:val="0"/>
        </w:rPr>
      </w:pPr>
      <w:proofErr w:type="spellStart"/>
      <w:r>
        <w:rPr>
          <w:rStyle w:val="Style13ptBold"/>
        </w:rPr>
        <w:t>Schalet</w:t>
      </w:r>
      <w:proofErr w:type="spellEnd"/>
      <w:r>
        <w:rPr>
          <w:rStyle w:val="Style13ptBold"/>
        </w:rPr>
        <w:t xml:space="preserve"> et al. 14 </w:t>
      </w:r>
      <w:r w:rsidRPr="00EE529A">
        <w:rPr>
          <w:rStyle w:val="Style13ptBold"/>
          <w:b w:val="0"/>
          <w:sz w:val="16"/>
          <w:szCs w:val="16"/>
        </w:rPr>
        <w:t xml:space="preserve">[Amy T. Chalet, John S. Santelli, Stephen T. </w:t>
      </w:r>
      <w:proofErr w:type="spellStart"/>
      <w:r w:rsidRPr="00EE529A">
        <w:rPr>
          <w:rStyle w:val="Style13ptBold"/>
          <w:b w:val="0"/>
          <w:sz w:val="16"/>
          <w:szCs w:val="16"/>
        </w:rPr>
        <w:t>Russell,corresponding</w:t>
      </w:r>
      <w:proofErr w:type="spellEnd"/>
      <w:r w:rsidRPr="00EE529A">
        <w:rPr>
          <w:rStyle w:val="Style13ptBold"/>
          <w:b w:val="0"/>
          <w:sz w:val="16"/>
          <w:szCs w:val="16"/>
        </w:rPr>
        <w:t xml:space="preserve"> author Carolyn T. Halpern, Sarah A. Miller, Sarah S. Pickering, Shoshana K. Goldberg, and Jennifer M. </w:t>
      </w:r>
      <w:proofErr w:type="spellStart"/>
      <w:r w:rsidRPr="00EE529A">
        <w:rPr>
          <w:rStyle w:val="Style13ptBold"/>
          <w:b w:val="0"/>
          <w:sz w:val="16"/>
          <w:szCs w:val="16"/>
        </w:rPr>
        <w:t>Hoenig</w:t>
      </w:r>
      <w:proofErr w:type="spellEnd"/>
      <w:r w:rsidRPr="00EE529A">
        <w:rPr>
          <w:rStyle w:val="Style13ptBold"/>
          <w:b w:val="0"/>
          <w:sz w:val="16"/>
          <w:szCs w:val="16"/>
        </w:rPr>
        <w:t xml:space="preserve">. September 9, 2014. Amy T. </w:t>
      </w:r>
      <w:proofErr w:type="spellStart"/>
      <w:r w:rsidRPr="00EE529A">
        <w:rPr>
          <w:rStyle w:val="Style13ptBold"/>
          <w:b w:val="0"/>
          <w:sz w:val="16"/>
          <w:szCs w:val="16"/>
        </w:rPr>
        <w:t>Schalet</w:t>
      </w:r>
      <w:proofErr w:type="spellEnd"/>
      <w:r w:rsidRPr="00EE529A">
        <w:rPr>
          <w:rStyle w:val="Style13ptBold"/>
          <w:b w:val="0"/>
          <w:sz w:val="16"/>
          <w:szCs w:val="16"/>
        </w:rPr>
        <w:t xml:space="preserve"> is Associate Professor of Sociology at the University of Massachusetts Amherst. John S. Santelli is the Harriet and Robert H. </w:t>
      </w:r>
      <w:proofErr w:type="spellStart"/>
      <w:r w:rsidRPr="00EE529A">
        <w:rPr>
          <w:rStyle w:val="Style13ptBold"/>
          <w:b w:val="0"/>
          <w:sz w:val="16"/>
          <w:szCs w:val="16"/>
        </w:rPr>
        <w:t>Heilbrunn</w:t>
      </w:r>
      <w:proofErr w:type="spellEnd"/>
      <w:r w:rsidRPr="00EE529A">
        <w:rPr>
          <w:rStyle w:val="Style13ptBold"/>
          <w:b w:val="0"/>
          <w:sz w:val="16"/>
          <w:szCs w:val="16"/>
        </w:rPr>
        <w:t xml:space="preserve"> Professor in the </w:t>
      </w:r>
      <w:proofErr w:type="spellStart"/>
      <w:r w:rsidRPr="00EE529A">
        <w:rPr>
          <w:rStyle w:val="Style13ptBold"/>
          <w:b w:val="0"/>
          <w:sz w:val="16"/>
          <w:szCs w:val="16"/>
        </w:rPr>
        <w:t>Heilbrunn</w:t>
      </w:r>
      <w:proofErr w:type="spellEnd"/>
      <w:r w:rsidRPr="00EE529A">
        <w:rPr>
          <w:rStyle w:val="Style13ptBold"/>
          <w:b w:val="0"/>
          <w:sz w:val="16"/>
          <w:szCs w:val="16"/>
        </w:rPr>
        <w:t xml:space="preserve"> Department of Population and Family Health at Columbia University. Stephen T. Russell is Distinguished Professor, Fitch Nesbitt Endowed Chair, and Interim Director of the Norton School of Family and Consumer Sciences at the University of Arizona. Carolyn T. Halpern is Professor in the Department of Maternal &amp; Child Health in the </w:t>
      </w:r>
      <w:proofErr w:type="spellStart"/>
      <w:r w:rsidRPr="00EE529A">
        <w:rPr>
          <w:rStyle w:val="Style13ptBold"/>
          <w:b w:val="0"/>
          <w:sz w:val="16"/>
          <w:szCs w:val="16"/>
        </w:rPr>
        <w:t>Gillings</w:t>
      </w:r>
      <w:proofErr w:type="spellEnd"/>
      <w:r w:rsidRPr="00EE529A">
        <w:rPr>
          <w:rStyle w:val="Style13ptBold"/>
          <w:b w:val="0"/>
          <w:sz w:val="16"/>
          <w:szCs w:val="16"/>
        </w:rPr>
        <w:t xml:space="preserve"> School of Global Public Health at the University of North Carolina at Chapel Hill. Sarah A. Miller is a doctoral candidate in Sociology at University of Massachusetts Amherst. Sarah S. Pickering has an MPH from the </w:t>
      </w:r>
      <w:proofErr w:type="spellStart"/>
      <w:r w:rsidRPr="00EE529A">
        <w:rPr>
          <w:rStyle w:val="Style13ptBold"/>
          <w:b w:val="0"/>
          <w:sz w:val="16"/>
          <w:szCs w:val="16"/>
        </w:rPr>
        <w:t>Heilbrunn</w:t>
      </w:r>
      <w:proofErr w:type="spellEnd"/>
      <w:r w:rsidRPr="00EE529A">
        <w:rPr>
          <w:rStyle w:val="Style13ptBold"/>
          <w:b w:val="0"/>
          <w:sz w:val="16"/>
          <w:szCs w:val="16"/>
        </w:rPr>
        <w:t xml:space="preserve"> Department of Population and Family Health at Columbia University. Shoshana K. Goldberg is a doctoral student in Maternal &amp; Child Health in the </w:t>
      </w:r>
      <w:proofErr w:type="spellStart"/>
      <w:r w:rsidRPr="00EE529A">
        <w:rPr>
          <w:rStyle w:val="Style13ptBold"/>
          <w:b w:val="0"/>
          <w:sz w:val="16"/>
          <w:szCs w:val="16"/>
        </w:rPr>
        <w:t>Gillings</w:t>
      </w:r>
      <w:proofErr w:type="spellEnd"/>
      <w:r w:rsidRPr="00EE529A">
        <w:rPr>
          <w:rStyle w:val="Style13ptBold"/>
          <w:b w:val="0"/>
          <w:sz w:val="16"/>
          <w:szCs w:val="16"/>
        </w:rPr>
        <w:t xml:space="preserve"> School of Global Public Health at the University of North Carolina at Chapel Hill. Jennifer M. </w:t>
      </w:r>
      <w:proofErr w:type="spellStart"/>
      <w:r w:rsidRPr="00EE529A">
        <w:rPr>
          <w:rStyle w:val="Style13ptBold"/>
          <w:b w:val="0"/>
          <w:sz w:val="16"/>
          <w:szCs w:val="16"/>
        </w:rPr>
        <w:t>Hoenig</w:t>
      </w:r>
      <w:proofErr w:type="spellEnd"/>
      <w:r w:rsidRPr="00EE529A">
        <w:rPr>
          <w:rStyle w:val="Style13ptBold"/>
          <w:b w:val="0"/>
          <w:sz w:val="16"/>
          <w:szCs w:val="16"/>
        </w:rPr>
        <w:t xml:space="preserve"> is a doctoral candidate in Family Studies and Human Development at the University of Arizona. “Invited Commentary: Broadening the Evidence for Adolescent Sexual and Reproductive Health and Education in the United States.” </w:t>
      </w:r>
      <w:r w:rsidRPr="00EE529A">
        <w:rPr>
          <w:rStyle w:val="Style13ptBold"/>
          <w:b w:val="0"/>
          <w:i/>
          <w:sz w:val="16"/>
          <w:szCs w:val="16"/>
        </w:rPr>
        <w:t xml:space="preserve">Journal of Youth and Adolescence 2014; 43(10): 1595–1610. </w:t>
      </w:r>
      <w:r w:rsidRPr="00EE529A">
        <w:rPr>
          <w:rStyle w:val="Style13ptBold"/>
          <w:b w:val="0"/>
          <w:sz w:val="16"/>
          <w:szCs w:val="16"/>
        </w:rPr>
        <w:t>SH.]</w:t>
      </w:r>
    </w:p>
    <w:p w:rsidR="00A02692" w:rsidRDefault="00A02692" w:rsidP="00A02692">
      <w:pPr>
        <w:jc w:val="both"/>
        <w:rPr>
          <w:sz w:val="16"/>
        </w:rPr>
      </w:pPr>
      <w:r w:rsidRPr="00EE529A">
        <w:rPr>
          <w:rStyle w:val="StyleUnderline"/>
        </w:rPr>
        <w:t>The need for more broad and effective</w:t>
      </w:r>
      <w:r w:rsidRPr="00EE529A">
        <w:rPr>
          <w:sz w:val="16"/>
        </w:rPr>
        <w:t xml:space="preserve"> translation of science into </w:t>
      </w:r>
      <w:r w:rsidRPr="00EE529A">
        <w:rPr>
          <w:rStyle w:val="StyleUnderline"/>
        </w:rPr>
        <w:t>sexual and reproductive health policy is underscored by the significant sexual health burdens among youth</w:t>
      </w:r>
      <w:r w:rsidRPr="00EE529A">
        <w:rPr>
          <w:sz w:val="16"/>
        </w:rPr>
        <w:t xml:space="preserve">. Comprising only 25 % of the sexually active population in the United States, </w:t>
      </w:r>
      <w:r w:rsidRPr="00EE529A">
        <w:rPr>
          <w:rStyle w:val="StyleUnderline"/>
        </w:rPr>
        <w:t>young people</w:t>
      </w:r>
      <w:r w:rsidRPr="00EE529A">
        <w:rPr>
          <w:sz w:val="16"/>
        </w:rPr>
        <w:t xml:space="preserve"> (13–24 years) </w:t>
      </w:r>
      <w:r w:rsidRPr="00EE529A">
        <w:rPr>
          <w:rStyle w:val="StyleUnderline"/>
        </w:rPr>
        <w:t>account for approximately half of the 20 million STIs contracted annually, including one in four of the estimated 50,000</w:t>
      </w:r>
      <w:r w:rsidRPr="00EE529A">
        <w:rPr>
          <w:sz w:val="16"/>
        </w:rPr>
        <w:t xml:space="preserve"> new human immunodeficiency virus (</w:t>
      </w:r>
      <w:r w:rsidRPr="00EE529A">
        <w:rPr>
          <w:rStyle w:val="StyleUnderline"/>
        </w:rPr>
        <w:t>HIV) infections diagnosed each year</w:t>
      </w:r>
      <w:r w:rsidRPr="00EE529A">
        <w:rPr>
          <w:sz w:val="16"/>
        </w:rPr>
        <w:t xml:space="preserve"> (CDC 2013a; Weinstock et al. 2004). </w:t>
      </w:r>
      <w:r w:rsidRPr="00EE529A">
        <w:rPr>
          <w:rStyle w:val="StyleUnderline"/>
        </w:rPr>
        <w:t>Racial, ethnic, and gender disparities are striking. The majority of new adolescent cases (57 %) are among Blacks/African-Americans, with an additional 20 % occurring among Hispanics/Latinos</w:t>
      </w:r>
      <w:r w:rsidRPr="00EE529A">
        <w:rPr>
          <w:sz w:val="16"/>
        </w:rPr>
        <w:t xml:space="preserve"> (CDC 2012a, b). </w:t>
      </w:r>
      <w:r w:rsidRPr="00EE529A">
        <w:rPr>
          <w:rStyle w:val="StyleUnderline"/>
        </w:rPr>
        <w:t>Women accounted for one in four new HIV cases in 2009; the incidence rate for Black/African American females</w:t>
      </w:r>
      <w:r w:rsidRPr="00EE529A">
        <w:rPr>
          <w:sz w:val="16"/>
        </w:rPr>
        <w:t xml:space="preserve"> (38.1/100,000) </w:t>
      </w:r>
      <w:r w:rsidRPr="00EE529A">
        <w:rPr>
          <w:rStyle w:val="StyleUnderline"/>
        </w:rPr>
        <w:t>is 20 times the rate for White females</w:t>
      </w:r>
      <w:r w:rsidRPr="00EE529A">
        <w:rPr>
          <w:sz w:val="16"/>
        </w:rPr>
        <w:t xml:space="preserve"> (1.9) (CDC 2012b). However, </w:t>
      </w:r>
      <w:r w:rsidRPr="00EE529A">
        <w:rPr>
          <w:rStyle w:val="StyleUnderline"/>
        </w:rPr>
        <w:t>men who have sex with men</w:t>
      </w:r>
      <w:r w:rsidRPr="00EE529A">
        <w:rPr>
          <w:sz w:val="16"/>
        </w:rPr>
        <w:t xml:space="preserve"> (MSM) </w:t>
      </w:r>
      <w:r w:rsidRPr="00EE529A">
        <w:rPr>
          <w:rStyle w:val="StyleUnderline"/>
        </w:rPr>
        <w:t>are the population most affected by HIV in the United States; the estimated number of new HIV infections among adolescent and emerging adult Black/African American MSM</w:t>
      </w:r>
      <w:r w:rsidRPr="00EE529A">
        <w:rPr>
          <w:sz w:val="16"/>
        </w:rPr>
        <w:t xml:space="preserve"> (aged 13–29 years) </w:t>
      </w:r>
      <w:r w:rsidRPr="00EE529A">
        <w:rPr>
          <w:rStyle w:val="StyleUnderline"/>
        </w:rPr>
        <w:t>increased 48 % from 2006 to 2009</w:t>
      </w:r>
      <w:r w:rsidRPr="00EE529A">
        <w:rPr>
          <w:sz w:val="16"/>
        </w:rPr>
        <w:t xml:space="preserve"> (CDC 2011). Moreover, </w:t>
      </w:r>
      <w:r w:rsidRPr="00EE529A">
        <w:rPr>
          <w:rStyle w:val="StyleUnderline"/>
        </w:rPr>
        <w:t>the</w:t>
      </w:r>
      <w:r w:rsidRPr="00EE529A">
        <w:rPr>
          <w:sz w:val="16"/>
        </w:rPr>
        <w:t xml:space="preserve"> US Centers for Disease Control and Prevention (</w:t>
      </w:r>
      <w:r w:rsidRPr="00EE529A">
        <w:rPr>
          <w:rStyle w:val="StyleUnderline"/>
        </w:rPr>
        <w:t>CDC</w:t>
      </w:r>
      <w:r w:rsidRPr="00EE529A">
        <w:rPr>
          <w:sz w:val="16"/>
        </w:rPr>
        <w:t xml:space="preserve">) </w:t>
      </w:r>
      <w:r w:rsidRPr="00EE529A">
        <w:rPr>
          <w:rStyle w:val="StyleUnderline"/>
        </w:rPr>
        <w:t>reports that nearly 1.5 million high school students are affected by dating violence annually, with rates of violence and sexual coercion especially high among LGBTQ youth and female adolescents</w:t>
      </w:r>
      <w:r w:rsidRPr="00EE529A">
        <w:rPr>
          <w:sz w:val="16"/>
        </w:rPr>
        <w:t xml:space="preserve"> (CDC 2006). Finally, </w:t>
      </w:r>
      <w:r w:rsidRPr="00EE529A">
        <w:rPr>
          <w:rStyle w:val="StyleUnderline"/>
        </w:rPr>
        <w:t>despite historic declines in adolescent pregnancy and teen births, US teen birth rates remain the highest among the developed nations</w:t>
      </w:r>
      <w:r w:rsidRPr="00EE529A">
        <w:rPr>
          <w:sz w:val="16"/>
        </w:rPr>
        <w:t xml:space="preserve"> (National Research Council 2013) even though levels of sexual experience are similar. Within the United States, </w:t>
      </w:r>
      <w:r w:rsidRPr="00EE529A">
        <w:rPr>
          <w:rStyle w:val="StyleUnderline"/>
        </w:rPr>
        <w:t>poor, rural and minority women have higher teen birth rates</w:t>
      </w:r>
      <w:r w:rsidRPr="00EE529A">
        <w:rPr>
          <w:sz w:val="16"/>
        </w:rPr>
        <w:t xml:space="preserve">. These disparities (by poverty and by race and ethnicity) demonstrate the critical need for effective and medically accurate sexuality education, accessible adolescent health care, and policy initiatives that reshape the educational and work opportunities for disadvantaged youth.   </w:t>
      </w:r>
    </w:p>
    <w:p w:rsidR="00A02692" w:rsidRDefault="00A02692" w:rsidP="00A02692">
      <w:pPr>
        <w:jc w:val="both"/>
        <w:rPr>
          <w:sz w:val="16"/>
        </w:rPr>
      </w:pPr>
    </w:p>
    <w:p w:rsidR="00A02692" w:rsidRPr="00EE529A" w:rsidRDefault="00A02692" w:rsidP="00A02692">
      <w:pPr>
        <w:pStyle w:val="Heading3"/>
      </w:pPr>
      <w:r>
        <w:t xml:space="preserve">Impact—Marginalization </w:t>
      </w:r>
    </w:p>
    <w:p w:rsidR="00A02692" w:rsidRPr="0022776E" w:rsidRDefault="00A02692" w:rsidP="00A02692">
      <w:pPr>
        <w:pStyle w:val="Heading4"/>
        <w:rPr>
          <w:rStyle w:val="Style13ptBold"/>
          <w:b/>
        </w:rPr>
      </w:pPr>
      <w:r w:rsidRPr="0022776E">
        <w:rPr>
          <w:rStyle w:val="Style13ptBold"/>
          <w:b/>
        </w:rPr>
        <w:t>Abstinence programs marginalize gay and lesbian youth</w:t>
      </w:r>
    </w:p>
    <w:p w:rsidR="00A02692" w:rsidRPr="00A9635E" w:rsidRDefault="00A02692" w:rsidP="00A02692">
      <w:pPr>
        <w:rPr>
          <w:rStyle w:val="Style13ptBold"/>
          <w:b w:val="0"/>
        </w:rPr>
      </w:pPr>
      <w:r>
        <w:rPr>
          <w:rStyle w:val="Style13ptBold"/>
        </w:rPr>
        <w:t xml:space="preserve">LeClair 06 </w:t>
      </w:r>
      <w:r w:rsidRPr="00A9635E">
        <w:rPr>
          <w:rStyle w:val="Style13ptBold"/>
          <w:b w:val="0"/>
          <w:sz w:val="16"/>
          <w:szCs w:val="16"/>
        </w:rPr>
        <w:t xml:space="preserve">[Danielle. J.D., University of Wisconsin. “LET'S TALK ABOUT SEX HONESTLY: WHY FEDERAL ABSTINENCE-ONLY-UNTIL-MARRIAGE EDUCATION PROGRAMS DISCRIMINATE AGAINST GIRLS, ARE BAD PUBLIC POLICY, AND SHOULD BE OVERTURNED.” </w:t>
      </w:r>
      <w:r w:rsidRPr="00A9635E">
        <w:rPr>
          <w:rStyle w:val="Style13ptBold"/>
          <w:b w:val="0"/>
          <w:i/>
          <w:sz w:val="16"/>
          <w:szCs w:val="16"/>
        </w:rPr>
        <w:t xml:space="preserve">Wisconsin Women’s Law Journal, Vol. 21, 291-322. </w:t>
      </w:r>
      <w:r w:rsidRPr="00A9635E">
        <w:rPr>
          <w:rStyle w:val="Style13ptBold"/>
          <w:b w:val="0"/>
          <w:sz w:val="16"/>
          <w:szCs w:val="16"/>
        </w:rPr>
        <w:t>SH.]</w:t>
      </w:r>
    </w:p>
    <w:p w:rsidR="00A02692" w:rsidRPr="0022776E" w:rsidRDefault="00A02692" w:rsidP="00A02692">
      <w:pPr>
        <w:jc w:val="both"/>
        <w:rPr>
          <w:sz w:val="16"/>
        </w:rPr>
      </w:pPr>
      <w:r w:rsidRPr="0022776E">
        <w:rPr>
          <w:rStyle w:val="StyleUnderline"/>
        </w:rPr>
        <w:t>The marginalization of gay and lesbian youth is</w:t>
      </w:r>
      <w:r w:rsidRPr="0022776E">
        <w:rPr>
          <w:sz w:val="16"/>
        </w:rPr>
        <w:t xml:space="preserve"> yet </w:t>
      </w:r>
      <w:r w:rsidRPr="0022776E">
        <w:rPr>
          <w:rStyle w:val="StyleUnderline"/>
        </w:rPr>
        <w:t>another problem with</w:t>
      </w:r>
      <w:r>
        <w:rPr>
          <w:rStyle w:val="StyleUnderline"/>
        </w:rPr>
        <w:t xml:space="preserve"> </w:t>
      </w:r>
      <w:r w:rsidRPr="0022776E">
        <w:rPr>
          <w:rStyle w:val="StyleUnderline"/>
        </w:rPr>
        <w:t>the federally-funded abstinence-only education programs</w:t>
      </w:r>
      <w:r w:rsidRPr="0022776E">
        <w:rPr>
          <w:sz w:val="16"/>
        </w:rPr>
        <w:t xml:space="preserve">. 23 Several of the eight points in Title V and SPRANS state that sex outside of marriage is harmful. 124 Since gay and lesbians do not have legal access to marriage in forty-nine of the fifty states in the United States, 25 abstinence-only programs give the message to gay and lesbian students that their sexual activity is inherently harmful. Further, </w:t>
      </w:r>
      <w:r w:rsidRPr="0022776E">
        <w:rPr>
          <w:rStyle w:val="StyleUnderline"/>
        </w:rPr>
        <w:t>the programs "assume that all students are</w:t>
      </w:r>
      <w:r>
        <w:rPr>
          <w:rStyle w:val="StyleUnderline"/>
        </w:rPr>
        <w:t xml:space="preserve"> </w:t>
      </w:r>
      <w:r w:rsidRPr="0022776E">
        <w:rPr>
          <w:rStyle w:val="StyleUnderline"/>
        </w:rPr>
        <w:t>straight," creating a "climate of intolerance," and even provide medically</w:t>
      </w:r>
      <w:r>
        <w:rPr>
          <w:rStyle w:val="StyleUnderline"/>
        </w:rPr>
        <w:t xml:space="preserve"> </w:t>
      </w:r>
      <w:r w:rsidRPr="0022776E">
        <w:rPr>
          <w:rStyle w:val="StyleUnderline"/>
        </w:rPr>
        <w:t>inaccurate information intended to scare gay students</w:t>
      </w:r>
      <w:r w:rsidRPr="0022776E">
        <w:rPr>
          <w:sz w:val="16"/>
        </w:rPr>
        <w:t xml:space="preserve">. 26 For example, </w:t>
      </w:r>
      <w:r w:rsidRPr="0022776E">
        <w:rPr>
          <w:rStyle w:val="StyleUnderline"/>
        </w:rPr>
        <w:t>one</w:t>
      </w:r>
      <w:r>
        <w:rPr>
          <w:rStyle w:val="StyleUnderline"/>
        </w:rPr>
        <w:t xml:space="preserve"> </w:t>
      </w:r>
      <w:r w:rsidRPr="0022776E">
        <w:rPr>
          <w:rStyle w:val="StyleUnderline"/>
        </w:rPr>
        <w:t>abstinence-only curriculum taught in public school through the "Sex Respect"</w:t>
      </w:r>
      <w:r>
        <w:rPr>
          <w:rStyle w:val="StyleUnderline"/>
        </w:rPr>
        <w:t xml:space="preserve"> </w:t>
      </w:r>
      <w:r w:rsidRPr="0022776E">
        <w:rPr>
          <w:rStyle w:val="StyleUnderline"/>
        </w:rPr>
        <w:t>program states: "'Homosexual activity involves an especially high risk for</w:t>
      </w:r>
      <w:r>
        <w:rPr>
          <w:rStyle w:val="StyleUnderline"/>
        </w:rPr>
        <w:t xml:space="preserve"> </w:t>
      </w:r>
      <w:r w:rsidRPr="0022776E">
        <w:rPr>
          <w:rStyle w:val="StyleUnderline"/>
        </w:rPr>
        <w:t>AIDS infection [because] body openings are used in ways for which they are</w:t>
      </w:r>
      <w:r>
        <w:rPr>
          <w:rStyle w:val="StyleUnderline"/>
        </w:rPr>
        <w:t xml:space="preserve"> </w:t>
      </w:r>
      <w:r w:rsidRPr="0022776E">
        <w:rPr>
          <w:rStyle w:val="StyleUnderline"/>
        </w:rPr>
        <w:t>not designed. During such unnatural behaviors, additional damage is done to</w:t>
      </w:r>
      <w:r>
        <w:rPr>
          <w:rStyle w:val="StyleUnderline"/>
        </w:rPr>
        <w:t xml:space="preserve"> </w:t>
      </w:r>
      <w:r w:rsidRPr="0022776E">
        <w:rPr>
          <w:rStyle w:val="StyleUnderline"/>
        </w:rPr>
        <w:t>blood vessels and other body parts."' 127 These programs marginalize gay and</w:t>
      </w:r>
      <w:r>
        <w:rPr>
          <w:rStyle w:val="StyleUnderline"/>
        </w:rPr>
        <w:t xml:space="preserve"> </w:t>
      </w:r>
      <w:r w:rsidRPr="0022776E">
        <w:rPr>
          <w:rStyle w:val="StyleUnderline"/>
        </w:rPr>
        <w:t xml:space="preserve">lesbian </w:t>
      </w:r>
      <w:proofErr w:type="spellStart"/>
      <w:r w:rsidRPr="0022776E">
        <w:rPr>
          <w:rStyle w:val="StyleUnderline"/>
        </w:rPr>
        <w:t>youth</w:t>
      </w:r>
      <w:r w:rsidRPr="0022776E">
        <w:rPr>
          <w:sz w:val="16"/>
        </w:rPr>
        <w:t>,and</w:t>
      </w:r>
      <w:proofErr w:type="spellEnd"/>
      <w:r w:rsidRPr="0022776E">
        <w:rPr>
          <w:sz w:val="16"/>
        </w:rPr>
        <w:t xml:space="preserve"> this unethical "education" should not be tolerated.</w:t>
      </w:r>
    </w:p>
    <w:p w:rsidR="00A02692" w:rsidRPr="0022776E" w:rsidRDefault="00A02692" w:rsidP="00A02692"/>
    <w:p w:rsidR="00A02692" w:rsidRPr="00531B4B" w:rsidRDefault="00A02692" w:rsidP="00A02692"/>
    <w:p w:rsidR="00A02692" w:rsidRDefault="00A02692" w:rsidP="00A02692">
      <w:pPr>
        <w:pStyle w:val="Heading3"/>
      </w:pPr>
      <w:r>
        <w:t xml:space="preserve">Impact – </w:t>
      </w:r>
      <w:proofErr w:type="spellStart"/>
      <w:r>
        <w:t>dehum</w:t>
      </w:r>
      <w:proofErr w:type="spellEnd"/>
      <w:r>
        <w:t>/</w:t>
      </w:r>
      <w:proofErr w:type="spellStart"/>
      <w:r>
        <w:t>struc.vio</w:t>
      </w:r>
      <w:proofErr w:type="spellEnd"/>
      <w:r>
        <w:t>.</w:t>
      </w:r>
    </w:p>
    <w:p w:rsidR="00A02692" w:rsidRDefault="00A02692" w:rsidP="00A02692">
      <w:pPr>
        <w:pStyle w:val="Heading4"/>
      </w:pPr>
      <w:r>
        <w:t>Abstinence only sexual education encourages dehumanization and structural violence against LGBTQ+ students.</w:t>
      </w:r>
    </w:p>
    <w:p w:rsidR="00A02692" w:rsidRPr="006A12E0" w:rsidRDefault="00A02692" w:rsidP="00A02692">
      <w:r w:rsidRPr="00AA3E56">
        <w:rPr>
          <w:rStyle w:val="Style13ptBold"/>
        </w:rPr>
        <w:t>McNeill 13</w:t>
      </w:r>
      <w:r>
        <w:t xml:space="preserve"> </w:t>
      </w:r>
      <w:r w:rsidRPr="00AA3E56">
        <w:rPr>
          <w:sz w:val="16"/>
          <w:szCs w:val="16"/>
        </w:rPr>
        <w:t xml:space="preserve">[Tanya McNeill received her PhD in Sociology with a Certificate in Feminist Studies from the University of California at Santa Cruz in 2008. She has taught in Women’s and Gender Studies, LGBT Studies and Sociology at the University of Wisconsin </w:t>
      </w:r>
      <w:proofErr w:type="spellStart"/>
      <w:r w:rsidRPr="00AA3E56">
        <w:rPr>
          <w:sz w:val="16"/>
          <w:szCs w:val="16"/>
        </w:rPr>
        <w:t>Eau</w:t>
      </w:r>
      <w:proofErr w:type="spellEnd"/>
      <w:r w:rsidRPr="00AA3E56">
        <w:rPr>
          <w:sz w:val="16"/>
          <w:szCs w:val="16"/>
        </w:rPr>
        <w:t xml:space="preserve"> Claire, Wellesley College, the University of California at Davis, and the University of California at Santa Cruz. Her research interests include the production of knowledge about the family, the regulation of gender, race, sexuality, and class, childhood and gender, and LGBT advocacy. Her essay, ‘A nation of families: The codification and (be)longings of heteropatriarchy’ was published in Toward a Sociology of the Trace in 2010. She currently lives in Eugene, Oregon, where she is researching cultural and political representations of gender creative (or gender non-conforming) children. </w:t>
      </w:r>
      <w:hyperlink r:id="rId148" w:history="1">
        <w:r w:rsidRPr="00827469">
          <w:rPr>
            <w:rStyle w:val="Hyperlink"/>
            <w:sz w:val="16"/>
            <w:szCs w:val="16"/>
          </w:rPr>
          <w:t>file:///C:/Users/Benny/Downloads/sex%20education%20and%20the%20promotion%20of%20heteronormativity.pdf</w:t>
        </w:r>
      </w:hyperlink>
      <w:r>
        <w:rPr>
          <w:sz w:val="16"/>
          <w:szCs w:val="16"/>
        </w:rPr>
        <w:t xml:space="preserve"> </w:t>
      </w:r>
      <w:r w:rsidRPr="00AA3E56">
        <w:rPr>
          <w:sz w:val="16"/>
          <w:szCs w:val="16"/>
        </w:rPr>
        <w:t>“Sex education and the promo</w:t>
      </w:r>
      <w:r>
        <w:rPr>
          <w:sz w:val="16"/>
          <w:szCs w:val="16"/>
        </w:rPr>
        <w:t>tion of heteronormativity” pg. 14-15</w:t>
      </w:r>
      <w:r w:rsidRPr="00AA3E56">
        <w:rPr>
          <w:sz w:val="16"/>
          <w:szCs w:val="16"/>
        </w:rPr>
        <w:t>] Calculus BC</w:t>
      </w:r>
    </w:p>
    <w:p w:rsidR="00A02692" w:rsidRPr="006A12E0" w:rsidRDefault="00A02692" w:rsidP="00A02692">
      <w:pPr>
        <w:rPr>
          <w:u w:val="single"/>
        </w:rPr>
      </w:pPr>
      <w:r w:rsidRPr="006A12E0">
        <w:rPr>
          <w:sz w:val="16"/>
        </w:rPr>
        <w:t xml:space="preserve">Discourses about school bullying and school safety for LGTBQ youth locate homophobic, trans-phobic, and misogynistic harassment as external to the McNeill 839 standards, goals, and daily practices of schools. Yet, as I have demonstrated here, the </w:t>
      </w:r>
      <w:proofErr w:type="spellStart"/>
      <w:r w:rsidRPr="006A12E0">
        <w:rPr>
          <w:u w:val="single"/>
        </w:rPr>
        <w:t>pathologization</w:t>
      </w:r>
      <w:proofErr w:type="spellEnd"/>
      <w:r w:rsidRPr="006A12E0">
        <w:rPr>
          <w:u w:val="single"/>
        </w:rPr>
        <w:t xml:space="preserve"> of homosexuality, and the valorization of heterosexuality, are actually central to much sexuality education policy and curricula. And these are only the most visible and explicit of these forms of heteronormativity. The institutions and the larger socio-cultural-legal structures that surround the debates around school bullying elide the extent to which heteronormativity structures school standards, curricula and state education policies. In other words, while we frequently hear critiques (and fears) over the ‘promotion of homosexuality’ in schools when policies and curricula are inclusive and accepting of LGBTQ individuals and families, the range of explicit and implicit educational policies and curricula that promote heteronormativity are rarely central to public debates about the safety of LGBTQ students. The fact that in some schools students are explicitly told that their sexual desires are immoral, unhealthy or socially unacceptable is not central to debates about homophobic bullying. The findings of the Gay, Lesbian &amp; Straight Education Network’s (GLSEN) 2011 School Climate Survey suggests that further research and advocacy are needed on this. ‘A greater percentage of LGBT students regularly experienced verbal harassment because of their sexual orientation or gender identity in schools with abstinence</w:t>
      </w:r>
      <w:r>
        <w:rPr>
          <w:u w:val="single"/>
        </w:rPr>
        <w:t xml:space="preserve"> </w:t>
      </w:r>
      <w:r w:rsidRPr="006A12E0">
        <w:rPr>
          <w:u w:val="single"/>
        </w:rPr>
        <w:t>only curricula’ (GLSEN, 2012: 50). In schools with abstinence-only sexuality education, 65.9% of students reported harassment due to sexual orientation and 48% due to gender identity, compared with 55.5% and 41.2% in schools with ‘other sexual health education’ (GLSEN, 2012: 50). Moreover GLSEN found ‘inclusive curriculum’ defined as ‘curriculum that includes positive representations of LGBT people, history and events’ (2012: xvi), correlated with lower rates of absenteeism, ‘a greater sense of connectedness,’ less homophobic language prevalent in schools, and greater reported acceptance. GLSEN reports that, ‘less than half (43.4%) of students in schools with an inclusive curriculum felt unsafe because of their sexual orientation, compared to almost two thirds (67.5%) of other students’ (2012: xvi). This evidence suggests that the state’s policies and curriculum may indeed legitimate homophobic, transphobic, sexist, and racist bullying in schools.</w:t>
      </w:r>
    </w:p>
    <w:p w:rsidR="00A02692" w:rsidRPr="00895578" w:rsidRDefault="00A02692" w:rsidP="00A02692"/>
    <w:p w:rsidR="00E85D1F" w:rsidRDefault="00E85D1F" w:rsidP="00E85D1F">
      <w:pPr>
        <w:pStyle w:val="Heading2"/>
      </w:pPr>
      <w:r>
        <w:t>A2: T-substantial</w:t>
      </w:r>
    </w:p>
    <w:p w:rsidR="00E85D1F" w:rsidRDefault="00E85D1F" w:rsidP="00E85D1F">
      <w:pPr>
        <w:pStyle w:val="Heading3"/>
      </w:pPr>
      <w:r>
        <w:t>2ac frontlines</w:t>
      </w:r>
    </w:p>
    <w:p w:rsidR="00E85D1F" w:rsidRPr="00F82CDE" w:rsidRDefault="00E85D1F" w:rsidP="00E85D1F">
      <w:pPr>
        <w:pStyle w:val="Heading4"/>
      </w:pPr>
      <w:r>
        <w:t xml:space="preserve">We meet—the </w:t>
      </w:r>
      <w:proofErr w:type="spellStart"/>
      <w:r>
        <w:t>aff</w:t>
      </w:r>
      <w:proofErr w:type="spellEnd"/>
      <w:r>
        <w:t xml:space="preserve"> fully funds and establishes new programs for comprehensive sex education </w:t>
      </w:r>
    </w:p>
    <w:p w:rsidR="00E85D1F" w:rsidRPr="00F82CDE" w:rsidRDefault="00E85D1F" w:rsidP="00E85D1F"/>
    <w:p w:rsidR="00E85D1F" w:rsidRDefault="00E85D1F" w:rsidP="00E85D1F">
      <w:pPr>
        <w:pStyle w:val="Heading4"/>
      </w:pPr>
      <w:r>
        <w:t>C/I: Substantial is a significant effect on quality and objectives</w:t>
      </w:r>
    </w:p>
    <w:p w:rsidR="00E85D1F" w:rsidRPr="003A6A0D" w:rsidRDefault="00E85D1F" w:rsidP="00E85D1F">
      <w:r w:rsidRPr="00255FF8">
        <w:rPr>
          <w:rStyle w:val="Style13ptBold"/>
        </w:rPr>
        <w:t xml:space="preserve">Hill, Ewing, Graham, </w:t>
      </w:r>
      <w:proofErr w:type="spellStart"/>
      <w:r w:rsidRPr="00255FF8">
        <w:rPr>
          <w:rStyle w:val="Style13ptBold"/>
        </w:rPr>
        <w:t>Hausaman</w:t>
      </w:r>
      <w:proofErr w:type="spellEnd"/>
      <w:r w:rsidRPr="00255FF8">
        <w:rPr>
          <w:rStyle w:val="Style13ptBold"/>
        </w:rPr>
        <w:t>, and Horvath 2016</w:t>
      </w:r>
      <w:r>
        <w:t xml:space="preserve"> </w:t>
      </w:r>
      <w:r w:rsidRPr="003A6A0D">
        <w:rPr>
          <w:sz w:val="16"/>
          <w:szCs w:val="16"/>
        </w:rPr>
        <w:t xml:space="preserve">[Brenda Barham Hill, Jeff Ewing, Karen Graham, John </w:t>
      </w:r>
      <w:proofErr w:type="spellStart"/>
      <w:r w:rsidRPr="003A6A0D">
        <w:rPr>
          <w:sz w:val="16"/>
          <w:szCs w:val="16"/>
        </w:rPr>
        <w:t>Hausaman</w:t>
      </w:r>
      <w:proofErr w:type="spellEnd"/>
      <w:r w:rsidRPr="003A6A0D">
        <w:rPr>
          <w:sz w:val="16"/>
          <w:szCs w:val="16"/>
        </w:rPr>
        <w:t xml:space="preserve">, Fran Horvath, Navigating Substantive Change, academic resource conference, </w:t>
      </w:r>
      <w:hyperlink r:id="rId149" w:history="1">
        <w:r w:rsidRPr="003A6A0D">
          <w:rPr>
            <w:rStyle w:val="Hyperlink"/>
            <w:sz w:val="16"/>
            <w:szCs w:val="16"/>
          </w:rPr>
          <w:t>http://2016.wascarc.org/sites/default/files/_Binder_Subchange.pdf</w:t>
        </w:r>
      </w:hyperlink>
      <w:r w:rsidRPr="003A6A0D">
        <w:rPr>
          <w:sz w:val="16"/>
          <w:szCs w:val="16"/>
        </w:rPr>
        <w:t>, pg.6] Calculus BC</w:t>
      </w:r>
    </w:p>
    <w:p w:rsidR="00E85D1F" w:rsidRDefault="00E85D1F" w:rsidP="00E85D1F">
      <w:pPr>
        <w:rPr>
          <w:u w:val="single"/>
        </w:rPr>
      </w:pPr>
      <w:r w:rsidRPr="003A6A0D">
        <w:rPr>
          <w:u w:val="single"/>
        </w:rPr>
        <w:t>What is Substantive Change? Definition: A change that may significantly affect an institution’s quality, objectives, scope, or control.</w:t>
      </w:r>
    </w:p>
    <w:p w:rsidR="00E85D1F" w:rsidRDefault="00E85D1F" w:rsidP="00E85D1F">
      <w:pPr>
        <w:rPr>
          <w:u w:val="single"/>
        </w:rPr>
      </w:pPr>
    </w:p>
    <w:p w:rsidR="00E85D1F" w:rsidRDefault="00E85D1F" w:rsidP="00E85D1F">
      <w:pPr>
        <w:pStyle w:val="Heading4"/>
      </w:pPr>
      <w:r>
        <w:t>Prefer our interpretation:</w:t>
      </w:r>
    </w:p>
    <w:p w:rsidR="00E85D1F" w:rsidRDefault="00E85D1F" w:rsidP="00E85D1F">
      <w:pPr>
        <w:pStyle w:val="Heading4"/>
      </w:pPr>
      <w:proofErr w:type="spellStart"/>
      <w:r>
        <w:t>Overlimiting</w:t>
      </w:r>
      <w:proofErr w:type="spellEnd"/>
      <w:r>
        <w:t xml:space="preserve">—their interpretations limits out core regulations </w:t>
      </w:r>
      <w:proofErr w:type="spellStart"/>
      <w:r>
        <w:t>affs</w:t>
      </w:r>
      <w:proofErr w:type="spellEnd"/>
      <w:r>
        <w:t xml:space="preserve">—most regulation occurs through modifications and expansions of existing programs—kills </w:t>
      </w:r>
      <w:proofErr w:type="spellStart"/>
      <w:r w:rsidR="00860E7A">
        <w:t>aff</w:t>
      </w:r>
      <w:proofErr w:type="spellEnd"/>
      <w:r w:rsidR="00860E7A">
        <w:t xml:space="preserve"> diversity and education</w:t>
      </w:r>
    </w:p>
    <w:p w:rsidR="00860E7A" w:rsidRPr="00860E7A" w:rsidRDefault="00860E7A" w:rsidP="00860E7A">
      <w:pPr>
        <w:pStyle w:val="Heading4"/>
      </w:pPr>
      <w:r>
        <w:t>Preserves neg groun</w:t>
      </w:r>
      <w:r w:rsidR="002D3E17">
        <w:t>d and limits—our interpretation</w:t>
      </w:r>
      <w:r>
        <w:t xml:space="preserve"> sets a standard that limits out minor modifications—ensures core negative ground like federalism, tradeoff DAs, mechanism counterplans, </w:t>
      </w:r>
      <w:r w:rsidR="00A66403">
        <w:t xml:space="preserve">and privatization DAs </w:t>
      </w:r>
    </w:p>
    <w:p w:rsidR="00E85D1F" w:rsidRPr="00AB0CCA" w:rsidRDefault="00E85D1F" w:rsidP="00E85D1F">
      <w:pPr>
        <w:pStyle w:val="Heading4"/>
      </w:pPr>
      <w:r w:rsidRPr="00AB0CCA">
        <w:t>Default to reasonability – competing interpretations leads to a race to the bottom fo</w:t>
      </w:r>
      <w:r>
        <w:t xml:space="preserve">r the most limiting definition—uniquely true about substantial debates </w:t>
      </w:r>
      <w:r w:rsidRPr="00AB0CCA">
        <w:t xml:space="preserve">where the evidence is inevitably vague and out of context. </w:t>
      </w:r>
    </w:p>
    <w:p w:rsidR="00E85D1F" w:rsidRPr="00E85D1F" w:rsidRDefault="00E85D1F" w:rsidP="00E85D1F"/>
    <w:p w:rsidR="00A02692" w:rsidRDefault="00A02692" w:rsidP="00A02692">
      <w:pPr>
        <w:pStyle w:val="Heading2"/>
      </w:pPr>
      <w:r>
        <w:t>AT: States CP</w:t>
      </w:r>
    </w:p>
    <w:p w:rsidR="00A02692" w:rsidRDefault="00A02692" w:rsidP="00A02692">
      <w:pPr>
        <w:pStyle w:val="Heading3"/>
      </w:pPr>
      <w:r>
        <w:t>States Bad—Underfunding</w:t>
      </w:r>
    </w:p>
    <w:p w:rsidR="00A02692" w:rsidRPr="00D31833" w:rsidRDefault="00A02692" w:rsidP="00A02692">
      <w:pPr>
        <w:pStyle w:val="Heading4"/>
        <w:rPr>
          <w:rStyle w:val="Style13ptBold"/>
          <w:b/>
        </w:rPr>
      </w:pPr>
      <w:r w:rsidRPr="00D31833">
        <w:rPr>
          <w:rStyle w:val="Style13ptBold"/>
          <w:b/>
        </w:rPr>
        <w:t>State implementation causes underfunding and circumvention—California proves.</w:t>
      </w:r>
    </w:p>
    <w:p w:rsidR="00A02692" w:rsidRPr="00D31833" w:rsidRDefault="00A02692" w:rsidP="00A02692">
      <w:pPr>
        <w:jc w:val="both"/>
        <w:rPr>
          <w:rStyle w:val="Style13ptBold"/>
          <w:b w:val="0"/>
        </w:rPr>
      </w:pPr>
      <w:proofErr w:type="spellStart"/>
      <w:r>
        <w:rPr>
          <w:rStyle w:val="Style13ptBold"/>
        </w:rPr>
        <w:t>Pauly</w:t>
      </w:r>
      <w:proofErr w:type="spellEnd"/>
      <w:r>
        <w:rPr>
          <w:rStyle w:val="Style13ptBold"/>
        </w:rPr>
        <w:t xml:space="preserve"> 16 </w:t>
      </w:r>
      <w:r w:rsidRPr="00D31833">
        <w:rPr>
          <w:rStyle w:val="Style13ptBold"/>
          <w:b w:val="0"/>
          <w:sz w:val="16"/>
          <w:szCs w:val="16"/>
        </w:rPr>
        <w:t xml:space="preserve">[Madison. Madison </w:t>
      </w:r>
      <w:proofErr w:type="spellStart"/>
      <w:r w:rsidRPr="00D31833">
        <w:rPr>
          <w:rStyle w:val="Style13ptBold"/>
          <w:b w:val="0"/>
          <w:sz w:val="16"/>
          <w:szCs w:val="16"/>
        </w:rPr>
        <w:t>Pauly</w:t>
      </w:r>
      <w:proofErr w:type="spellEnd"/>
      <w:r w:rsidRPr="00D31833">
        <w:rPr>
          <w:rStyle w:val="Style13ptBold"/>
          <w:b w:val="0"/>
          <w:sz w:val="16"/>
          <w:szCs w:val="16"/>
        </w:rPr>
        <w:t xml:space="preserve"> is the assistant editor at Mother Jones. September 2, 2016. “Here’s the Problem With California’s Groundbreaking Sex Ed Law.” </w:t>
      </w:r>
      <w:r w:rsidRPr="00D31833">
        <w:rPr>
          <w:rStyle w:val="Style13ptBold"/>
          <w:b w:val="0"/>
          <w:i/>
          <w:sz w:val="16"/>
          <w:szCs w:val="16"/>
        </w:rPr>
        <w:t xml:space="preserve">Mother Jones. </w:t>
      </w:r>
      <w:hyperlink r:id="rId150" w:history="1">
        <w:r w:rsidRPr="00D31833">
          <w:rPr>
            <w:rStyle w:val="Hyperlink"/>
            <w:sz w:val="16"/>
            <w:szCs w:val="16"/>
          </w:rPr>
          <w:t>http://www.motherjones.com/politics/2016/09/california-schools-are-revamping-how-they-teach-kids-about-sex/</w:t>
        </w:r>
      </w:hyperlink>
      <w:r w:rsidRPr="00D31833">
        <w:rPr>
          <w:rStyle w:val="Style13ptBold"/>
          <w:b w:val="0"/>
          <w:sz w:val="16"/>
          <w:szCs w:val="16"/>
        </w:rPr>
        <w:t>. SH]</w:t>
      </w:r>
    </w:p>
    <w:p w:rsidR="00A02692" w:rsidRPr="00D31833" w:rsidRDefault="00A02692" w:rsidP="00A02692">
      <w:pPr>
        <w:rPr>
          <w:sz w:val="16"/>
        </w:rPr>
      </w:pPr>
      <w:r w:rsidRPr="00D31833">
        <w:rPr>
          <w:sz w:val="16"/>
        </w:rPr>
        <w:t xml:space="preserve">When the Healthy Youth Act passed last fall, </w:t>
      </w:r>
      <w:r w:rsidRPr="00D31833">
        <w:rPr>
          <w:rStyle w:val="StyleUnderline"/>
        </w:rPr>
        <w:t>California joined </w:t>
      </w:r>
      <w:hyperlink r:id="rId151" w:tgtFrame="_blank" w:history="1">
        <w:r w:rsidRPr="00D31833">
          <w:rPr>
            <w:rStyle w:val="StyleUnderline"/>
          </w:rPr>
          <w:t>23 other states</w:t>
        </w:r>
      </w:hyperlink>
      <w:r w:rsidRPr="00D31833">
        <w:rPr>
          <w:rStyle w:val="StyleUnderline"/>
        </w:rPr>
        <w:t> in requiring that all schools teach teenagers about sex</w:t>
      </w:r>
      <w:r w:rsidRPr="00D31833">
        <w:rPr>
          <w:sz w:val="16"/>
        </w:rPr>
        <w:t xml:space="preserve">. But California’s law goes further, mandating that comprehensive lessons start in middle school and include information on abortion, sexual assault, and sexual harassment. It’s also the only state to require sex education be medically accurate, age-appropriate, and culturally inclusive, without promoting religion. Sharla Smith, who has overseen HIV and sex education for the California Department of Education since 2005, calls the new law “the most robust sex education law in the country.” Most lessons will start this school year. </w:t>
      </w:r>
      <w:r w:rsidRPr="00D31833">
        <w:rPr>
          <w:rStyle w:val="StyleUnderline"/>
        </w:rPr>
        <w:t>There’s just one problem: The state has little way to ensure school districts teach to these new standards. While Smith heads a team that keeps in touch with counties and districts, the state stopped auditing districts for compliance about four years ago because of dwindling funding from the Centers for Disease Control and Prevention</w:t>
      </w:r>
      <w:r w:rsidRPr="00D31833">
        <w:rPr>
          <w:sz w:val="16"/>
        </w:rPr>
        <w:t xml:space="preserve">. “We’re trying to do the best we can by hook or by crook,” Smith said. </w:t>
      </w:r>
      <w:r w:rsidRPr="00D31833">
        <w:rPr>
          <w:rStyle w:val="StyleUnderline"/>
        </w:rPr>
        <w:t>“I literally just do not have the money.”</w:t>
      </w:r>
      <w:r>
        <w:rPr>
          <w:rStyle w:val="StyleUnderline"/>
        </w:rPr>
        <w:t xml:space="preserve"> </w:t>
      </w:r>
      <w:r w:rsidRPr="00D31833">
        <w:rPr>
          <w:sz w:val="16"/>
        </w:rPr>
        <w:t xml:space="preserve">“How will we know that everyone is actually being taught this? Because the law has gotten a lot of publicity,” said Christopher Pepper, who oversees San Francisco </w:t>
      </w:r>
      <w:proofErr w:type="spellStart"/>
      <w:r w:rsidRPr="00D31833">
        <w:rPr>
          <w:sz w:val="16"/>
        </w:rPr>
        <w:t>Unified’s</w:t>
      </w:r>
      <w:proofErr w:type="spellEnd"/>
      <w:r w:rsidRPr="00D31833">
        <w:rPr>
          <w:sz w:val="16"/>
        </w:rPr>
        <w:t xml:space="preserve"> sex education program. “I’m hoping that leads to greater compliance.” While districts like San Francisco and Los Angeles Unified have long taught comprehensive sex education and are simply tweaking parts of their curriculum or adapting existing lessons for middle school use, it’s a different story </w:t>
      </w:r>
      <w:r w:rsidRPr="00D31833">
        <w:rPr>
          <w:rStyle w:val="StyleUnderline"/>
        </w:rPr>
        <w:t>in poor, rural areas like the Central Valley</w:t>
      </w:r>
      <w:r w:rsidRPr="00D31833">
        <w:rPr>
          <w:sz w:val="16"/>
        </w:rPr>
        <w:t xml:space="preserve">, according to </w:t>
      </w:r>
      <w:proofErr w:type="spellStart"/>
      <w:r w:rsidRPr="00D31833">
        <w:rPr>
          <w:sz w:val="16"/>
        </w:rPr>
        <w:t>Phyllida</w:t>
      </w:r>
      <w:proofErr w:type="spellEnd"/>
      <w:r w:rsidRPr="00D31833">
        <w:rPr>
          <w:sz w:val="16"/>
        </w:rPr>
        <w:t xml:space="preserve"> Burlingame, who works on the issue for the American Civil Liberties Union’s Northern California office. </w:t>
      </w:r>
      <w:r w:rsidRPr="00D31833">
        <w:rPr>
          <w:rStyle w:val="StyleUnderline"/>
        </w:rPr>
        <w:t>With fewer resources and a more conservative culture, some of those districts have a history of ignoring even the state’s old, looser requirements</w:t>
      </w:r>
      <w:r w:rsidRPr="00D31833">
        <w:rPr>
          <w:sz w:val="16"/>
        </w:rPr>
        <w:t xml:space="preserve">. That was the case in Clovis Unified School District, which the ACLU sued in 2012 for inadequate sex education—including using a textbook that lacked a single mention of condoms. (A judge </w:t>
      </w:r>
      <w:hyperlink r:id="rId152" w:tgtFrame="_blank" w:history="1">
        <w:r w:rsidRPr="00D31833">
          <w:rPr>
            <w:rStyle w:val="Hyperlink"/>
            <w:sz w:val="16"/>
          </w:rPr>
          <w:t>ruled against the district</w:t>
        </w:r>
      </w:hyperlink>
      <w:r w:rsidRPr="00D31833">
        <w:rPr>
          <w:sz w:val="16"/>
        </w:rPr>
        <w:t xml:space="preserve"> last year.) “School district administrators feel that this is a complicated and challenging subject and parents in their community may not support it,” Burlingame said. “They tend to self-censor what they teach.” Since 2003, the state has told schools that if they chose to teach sex education, they had to make sure lessons were comprehensive rather than focused on abstinence until marriage. Yet </w:t>
      </w:r>
      <w:r w:rsidRPr="00D31833">
        <w:rPr>
          <w:rStyle w:val="StyleUnderline"/>
        </w:rPr>
        <w:t>a 2011</w:t>
      </w:r>
      <w:r>
        <w:rPr>
          <w:rStyle w:val="StyleUnderline"/>
        </w:rPr>
        <w:t xml:space="preserve"> </w:t>
      </w:r>
      <w:hyperlink r:id="rId153" w:tgtFrame="_blank" w:history="1">
        <w:r w:rsidRPr="00D31833">
          <w:rPr>
            <w:rStyle w:val="StyleUnderline"/>
          </w:rPr>
          <w:t>survey</w:t>
        </w:r>
      </w:hyperlink>
      <w:r>
        <w:rPr>
          <w:rStyle w:val="StyleUnderline"/>
        </w:rPr>
        <w:t xml:space="preserve"> </w:t>
      </w:r>
      <w:r w:rsidRPr="00D31833">
        <w:rPr>
          <w:rStyle w:val="StyleUnderline"/>
        </w:rPr>
        <w:t>from researchers at the University of California-San Francisco found that many school districts were not complying with the law</w:t>
      </w:r>
      <w:r w:rsidRPr="00D31833">
        <w:rPr>
          <w:sz w:val="16"/>
        </w:rPr>
        <w:t>. Forty-two percent did not teach about FDA-approved contraception methods in middle and high school, and only 25 percent mentioned emergency contraception. Sixteen percent told their students that condoms “are not an effective means” of protecting against pregnancy and sexually transmitted disease—an inaccurate statement, the study noted. “</w:t>
      </w:r>
      <w:r w:rsidRPr="00D31833">
        <w:rPr>
          <w:rStyle w:val="StyleUnderline"/>
        </w:rPr>
        <w:t>California’s state financial crisis has eroded much of its network of valuable preventative health programs for young people, making schools one of the last strongholds for providing adolescents with comprehensive sex education,” the authors wrote. “Policies set at the district level may not correspond to the actual instruction taking place.”</w:t>
      </w:r>
      <w:r>
        <w:rPr>
          <w:rStyle w:val="StyleUnderline"/>
        </w:rPr>
        <w:t xml:space="preserve"> </w:t>
      </w:r>
      <w:r w:rsidRPr="00D31833">
        <w:rPr>
          <w:rStyle w:val="StyleUnderline"/>
        </w:rPr>
        <w:t>After the financial crash, many schools also stopped teaching health classes or changed them from a graduation requirement to an elective</w:t>
      </w:r>
      <w:r w:rsidRPr="00D31833">
        <w:rPr>
          <w:sz w:val="16"/>
        </w:rPr>
        <w:t>, Smith says, and lessons on HIV and STD prevention were incorporated into science or English classes instead. Schools that dropped their health programs will not be subject to a second law, also passed last year, requiring health curricula to include information on affirmative consent—the “yes means yes” standard for consent on California college campuses.</w:t>
      </w:r>
    </w:p>
    <w:p w:rsidR="00A02692" w:rsidRPr="00D31833" w:rsidRDefault="00A02692" w:rsidP="00A02692"/>
    <w:p w:rsidR="00A02692" w:rsidRDefault="00A02692" w:rsidP="00A02692">
      <w:pPr>
        <w:pStyle w:val="Heading3"/>
      </w:pPr>
      <w:r>
        <w:t>States Bad—Underfunding</w:t>
      </w:r>
    </w:p>
    <w:p w:rsidR="00A02692" w:rsidRPr="00273DDF" w:rsidRDefault="00A02692" w:rsidP="00A02692">
      <w:pPr>
        <w:pStyle w:val="Heading4"/>
        <w:rPr>
          <w:rStyle w:val="Style13ptBold"/>
          <w:b/>
        </w:rPr>
      </w:pPr>
      <w:r>
        <w:rPr>
          <w:rStyle w:val="Style13ptBold"/>
          <w:b/>
        </w:rPr>
        <w:t>State controls results in underfunding and maldistribution</w:t>
      </w:r>
    </w:p>
    <w:p w:rsidR="00A02692" w:rsidRPr="00273DDF" w:rsidRDefault="00A02692" w:rsidP="00A02692">
      <w:pPr>
        <w:rPr>
          <w:rStyle w:val="Style13ptBold"/>
          <w:b w:val="0"/>
        </w:rPr>
      </w:pPr>
      <w:r>
        <w:rPr>
          <w:rStyle w:val="Style13ptBold"/>
        </w:rPr>
        <w:t>Bowman 16</w:t>
      </w:r>
      <w:r w:rsidRPr="00273DDF">
        <w:rPr>
          <w:rStyle w:val="Style13ptBold"/>
          <w:sz w:val="16"/>
          <w:szCs w:val="16"/>
        </w:rPr>
        <w:t xml:space="preserve"> </w:t>
      </w:r>
      <w:r w:rsidRPr="00273DDF">
        <w:rPr>
          <w:rStyle w:val="Style13ptBold"/>
          <w:b w:val="0"/>
          <w:sz w:val="16"/>
          <w:szCs w:val="16"/>
        </w:rPr>
        <w:t>[Kristi L. Vice Dean of Academic Affairs and Professor of Law, Michigan State University College of Law.</w:t>
      </w:r>
      <w:r>
        <w:rPr>
          <w:rStyle w:val="Style13ptBold"/>
          <w:b w:val="0"/>
          <w:sz w:val="16"/>
          <w:szCs w:val="16"/>
        </w:rPr>
        <w:t xml:space="preserve"> November 28, 2016.</w:t>
      </w:r>
      <w:r w:rsidRPr="00273DDF">
        <w:rPr>
          <w:rStyle w:val="Style13ptBold"/>
          <w:b w:val="0"/>
          <w:sz w:val="16"/>
          <w:szCs w:val="16"/>
        </w:rPr>
        <w:t xml:space="preserve"> “The Failure of Education Federalism.” </w:t>
      </w:r>
      <w:r w:rsidRPr="00273DDF">
        <w:rPr>
          <w:rStyle w:val="Style13ptBold"/>
          <w:b w:val="0"/>
          <w:i/>
          <w:sz w:val="16"/>
          <w:szCs w:val="16"/>
        </w:rPr>
        <w:t xml:space="preserve">University of Michigan Journal of Law Reform, Forthcoming. </w:t>
      </w:r>
      <w:hyperlink r:id="rId154" w:history="1">
        <w:r w:rsidRPr="00273DDF">
          <w:rPr>
            <w:rStyle w:val="Hyperlink"/>
            <w:sz w:val="16"/>
            <w:szCs w:val="16"/>
          </w:rPr>
          <w:t>https://papers.ssrn.com/sol3/papers.cfm?abstract_id=2876889</w:t>
        </w:r>
      </w:hyperlink>
      <w:r w:rsidRPr="00273DDF">
        <w:rPr>
          <w:rStyle w:val="Style13ptBold"/>
          <w:b w:val="0"/>
          <w:sz w:val="16"/>
          <w:szCs w:val="16"/>
        </w:rPr>
        <w:t>. SH]</w:t>
      </w:r>
    </w:p>
    <w:p w:rsidR="00A02692" w:rsidRPr="00273DDF" w:rsidRDefault="00A02692" w:rsidP="00A02692">
      <w:pPr>
        <w:rPr>
          <w:rStyle w:val="StyleUnderline"/>
        </w:rPr>
      </w:pPr>
      <w:r w:rsidRPr="00273DDF">
        <w:rPr>
          <w:sz w:val="16"/>
        </w:rPr>
        <w:t xml:space="preserve">These findings are consistent with earlier work and analysis by leading school finance expert Michael </w:t>
      </w:r>
      <w:proofErr w:type="spellStart"/>
      <w:r w:rsidRPr="00273DDF">
        <w:rPr>
          <w:sz w:val="16"/>
        </w:rPr>
        <w:t>Rebell</w:t>
      </w:r>
      <w:proofErr w:type="spellEnd"/>
      <w:r w:rsidRPr="00273DDF">
        <w:rPr>
          <w:sz w:val="16"/>
        </w:rPr>
        <w:t xml:space="preserve"> and others concluding that decisions by courts and legislatures are critically important in equalizing school funding, and also that school funding increases are </w:t>
      </w:r>
      <w:r w:rsidRPr="00273DDF">
        <w:rPr>
          <w:rStyle w:val="StyleUnderline"/>
        </w:rPr>
        <w:t>especially significant if education is to be</w:t>
      </w:r>
      <w:r>
        <w:rPr>
          <w:rStyle w:val="StyleUnderline"/>
        </w:rPr>
        <w:t xml:space="preserve"> </w:t>
      </w:r>
      <w:r w:rsidRPr="00273DDF">
        <w:rPr>
          <w:rStyle w:val="StyleUnderline"/>
        </w:rPr>
        <w:t>anything close to a great equalizer.29 Ideally, state legislatures would fund schools</w:t>
      </w:r>
      <w:r>
        <w:rPr>
          <w:rStyle w:val="StyleUnderline"/>
        </w:rPr>
        <w:t xml:space="preserve"> </w:t>
      </w:r>
      <w:r w:rsidRPr="00273DDF">
        <w:rPr>
          <w:rStyle w:val="StyleUnderline"/>
        </w:rPr>
        <w:t>at a level that is both adequate and equitable, but in at least thirty states, total</w:t>
      </w:r>
      <w:r>
        <w:rPr>
          <w:rStyle w:val="StyleUnderline"/>
        </w:rPr>
        <w:t xml:space="preserve"> </w:t>
      </w:r>
      <w:r w:rsidRPr="00273DDF">
        <w:rPr>
          <w:rStyle w:val="StyleUnderline"/>
        </w:rPr>
        <w:t>funding for public schools was less in FY2014 than prior to the recession in</w:t>
      </w:r>
      <w:r>
        <w:rPr>
          <w:rStyle w:val="StyleUnderline"/>
        </w:rPr>
        <w:t xml:space="preserve"> </w:t>
      </w:r>
      <w:r w:rsidRPr="00273DDF">
        <w:rPr>
          <w:rStyle w:val="StyleUnderline"/>
        </w:rPr>
        <w:t>FY2008.</w:t>
      </w:r>
      <w:r>
        <w:rPr>
          <w:rStyle w:val="StyleUnderline"/>
        </w:rPr>
        <w:t xml:space="preserve"> </w:t>
      </w:r>
      <w:r w:rsidRPr="00273DDF">
        <w:rPr>
          <w:sz w:val="16"/>
        </w:rPr>
        <w:t xml:space="preserve">30 Furthermore, a 2016 report by the Education Law Center documents that </w:t>
      </w:r>
      <w:r w:rsidRPr="00273DDF">
        <w:rPr>
          <w:rStyle w:val="StyleUnderline"/>
        </w:rPr>
        <w:t>states continue to vary radically in their level of funding fairness within the</w:t>
      </w:r>
      <w:r>
        <w:rPr>
          <w:rStyle w:val="StyleUnderline"/>
        </w:rPr>
        <w:t xml:space="preserve"> </w:t>
      </w:r>
      <w:r w:rsidRPr="00273DDF">
        <w:rPr>
          <w:rStyle w:val="StyleUnderline"/>
        </w:rPr>
        <w:t>state</w:t>
      </w:r>
      <w:r w:rsidRPr="00273DDF">
        <w:rPr>
          <w:sz w:val="16"/>
        </w:rPr>
        <w:t xml:space="preserve">.31 For most of the past fifty years, state courts have been the place to challenge these legislative decisions that have contributed to educational disparities, but that does not mean this option remains even as modestly effective as it has been in the past. Indeed, every state has a constitutional provision guaranteeing some sort of right to free public elementary and secondary education. However, in law professor Derek Black’s words: Since the recession, </w:t>
      </w:r>
      <w:r w:rsidRPr="00273DDF">
        <w:rPr>
          <w:rStyle w:val="StyleUnderline"/>
        </w:rPr>
        <w:t>courts have rejected school funding and</w:t>
      </w:r>
      <w:r>
        <w:rPr>
          <w:rStyle w:val="StyleUnderline"/>
        </w:rPr>
        <w:t xml:space="preserve"> </w:t>
      </w:r>
      <w:r w:rsidRPr="00273DDF">
        <w:rPr>
          <w:rStyle w:val="StyleUnderline"/>
        </w:rPr>
        <w:t>quality challenges at a far higher rate</w:t>
      </w:r>
      <w:r w:rsidRPr="00273DDF">
        <w:rPr>
          <w:sz w:val="16"/>
        </w:rPr>
        <w:t xml:space="preserve"> [than they had previously]. Even in those rare instances in which plaintiffs have won since the recession, </w:t>
      </w:r>
      <w:r w:rsidRPr="00273DDF">
        <w:rPr>
          <w:rStyle w:val="StyleUnderline"/>
        </w:rPr>
        <w:t>legislatures have simply defied the courts, refusing to</w:t>
      </w:r>
      <w:r>
        <w:rPr>
          <w:rStyle w:val="StyleUnderline"/>
        </w:rPr>
        <w:t xml:space="preserve"> </w:t>
      </w:r>
      <w:r w:rsidRPr="00273DDF">
        <w:rPr>
          <w:rStyle w:val="StyleUnderline"/>
        </w:rPr>
        <w:t>comply with judicial remedies. Taking this resistance into account,</w:t>
      </w:r>
      <w:r>
        <w:rPr>
          <w:rStyle w:val="StyleUnderline"/>
        </w:rPr>
        <w:t xml:space="preserve"> </w:t>
      </w:r>
      <w:r w:rsidRPr="00273DDF">
        <w:rPr>
          <w:rStyle w:val="StyleUnderline"/>
        </w:rPr>
        <w:t>plaintiffs have arguably not secured a single enforceable victory</w:t>
      </w:r>
      <w:r>
        <w:rPr>
          <w:rStyle w:val="StyleUnderline"/>
        </w:rPr>
        <w:t xml:space="preserve"> </w:t>
      </w:r>
      <w:r w:rsidRPr="00273DDF">
        <w:rPr>
          <w:rStyle w:val="StyleUnderline"/>
        </w:rPr>
        <w:t>since the recession</w:t>
      </w:r>
      <w:r w:rsidRPr="00273DDF">
        <w:rPr>
          <w:sz w:val="16"/>
        </w:rPr>
        <w:t xml:space="preserve">.32 Since Black wrote these words, the Kansas Supreme Court struck down the legislature’s finance scheme, but the Kansas decision appears to be an exception to an otherwise consistent trend.33 Thus, </w:t>
      </w:r>
      <w:r w:rsidRPr="00273DDF">
        <w:rPr>
          <w:rStyle w:val="StyleUnderline"/>
        </w:rPr>
        <w:t>it is not only state legislatures but also</w:t>
      </w:r>
      <w:r>
        <w:rPr>
          <w:rStyle w:val="StyleUnderline"/>
        </w:rPr>
        <w:t xml:space="preserve"> </w:t>
      </w:r>
      <w:r w:rsidRPr="00273DDF">
        <w:rPr>
          <w:rStyle w:val="StyleUnderline"/>
        </w:rPr>
        <w:t>state courts across the country that appear to be increasingly amenable to a skin-</w:t>
      </w:r>
      <w:r>
        <w:rPr>
          <w:rStyle w:val="StyleUnderline"/>
        </w:rPr>
        <w:t xml:space="preserve"> </w:t>
      </w:r>
      <w:r w:rsidRPr="00273DDF">
        <w:rPr>
          <w:rStyle w:val="StyleUnderline"/>
        </w:rPr>
        <w:t>and-bones night watchman state in public education.34 It is exactly that sort of</w:t>
      </w:r>
      <w:r>
        <w:rPr>
          <w:rStyle w:val="StyleUnderline"/>
        </w:rPr>
        <w:t xml:space="preserve"> </w:t>
      </w:r>
      <w:r w:rsidRPr="00273DDF">
        <w:rPr>
          <w:rStyle w:val="StyleUnderline"/>
        </w:rPr>
        <w:t>minimal government that can exacerbate inequality in countless ways</w:t>
      </w:r>
      <w:r w:rsidRPr="00273DDF">
        <w:rPr>
          <w:sz w:val="16"/>
        </w:rPr>
        <w:t xml:space="preserve">. Although this is a new dynamic in many states, at least one state— Michigan—has a longer history of judicial abdication dovetailing with legislative inertia and executive inaction regarding school funding levels as well as educational quality. The result, as Education Trust reported in 2016, is a “systemic failure [in which Michigan] ranks an abysmal 42nd of 47 states in the fairness of its funding system.” 35 Furthermore, </w:t>
      </w:r>
      <w:r w:rsidRPr="00273DDF">
        <w:rPr>
          <w:rStyle w:val="StyleUnderline"/>
        </w:rPr>
        <w:t>student achievement in Michigan,</w:t>
      </w:r>
      <w:r>
        <w:rPr>
          <w:rStyle w:val="StyleUnderline"/>
        </w:rPr>
        <w:t xml:space="preserve"> </w:t>
      </w:r>
      <w:r w:rsidRPr="00273DDF">
        <w:rPr>
          <w:rStyle w:val="StyleUnderline"/>
        </w:rPr>
        <w:t>regardless of race, ethnicity, poverty and wealth, “in early reading and middle</w:t>
      </w:r>
      <w:r>
        <w:rPr>
          <w:rStyle w:val="StyleUnderline"/>
        </w:rPr>
        <w:t xml:space="preserve"> </w:t>
      </w:r>
      <w:r w:rsidRPr="00273DDF">
        <w:rPr>
          <w:rStyle w:val="StyleUnderline"/>
        </w:rPr>
        <w:t>school math [is] not keeping up with the rest of the U.S., much less . . .</w:t>
      </w:r>
      <w:r>
        <w:rPr>
          <w:rStyle w:val="StyleUnderline"/>
        </w:rPr>
        <w:t xml:space="preserve"> </w:t>
      </w:r>
      <w:r w:rsidRPr="00273DDF">
        <w:rPr>
          <w:rStyle w:val="StyleUnderline"/>
        </w:rPr>
        <w:t>international competitors</w:t>
      </w:r>
      <w:r w:rsidRPr="00273DDF">
        <w:rPr>
          <w:sz w:val="16"/>
        </w:rPr>
        <w:t xml:space="preserve">.”36 It is tempting to view the situation in Michigan as idiosyncratic, but doing so would be a mistake. Rather, we should view Michigan as the canary in the coal mine </w:t>
      </w:r>
      <w:r w:rsidRPr="00273DDF">
        <w:rPr>
          <w:rStyle w:val="StyleUnderline"/>
        </w:rPr>
        <w:t>showing us how far a state judiciary can go to avoid</w:t>
      </w:r>
      <w:r>
        <w:rPr>
          <w:rStyle w:val="StyleUnderline"/>
        </w:rPr>
        <w:t xml:space="preserve"> </w:t>
      </w:r>
      <w:r w:rsidRPr="00273DDF">
        <w:rPr>
          <w:rStyle w:val="StyleUnderline"/>
        </w:rPr>
        <w:t>engaging the merits of educational quality claims, and what can happen when all</w:t>
      </w:r>
      <w:r>
        <w:rPr>
          <w:rStyle w:val="StyleUnderline"/>
        </w:rPr>
        <w:t xml:space="preserve"> </w:t>
      </w:r>
      <w:r w:rsidRPr="00273DDF">
        <w:rPr>
          <w:rStyle w:val="StyleUnderline"/>
        </w:rPr>
        <w:t>three branches of government endorse or acquiesce in a “new minimal state”37</w:t>
      </w:r>
      <w:r>
        <w:rPr>
          <w:rStyle w:val="StyleUnderline"/>
        </w:rPr>
        <w:t xml:space="preserve"> </w:t>
      </w:r>
      <w:r w:rsidRPr="00273DDF">
        <w:rPr>
          <w:rStyle w:val="StyleUnderline"/>
        </w:rPr>
        <w:t>approach to public education.</w:t>
      </w:r>
    </w:p>
    <w:p w:rsidR="00A02692" w:rsidRDefault="00A02692" w:rsidP="00A02692">
      <w:pPr>
        <w:pStyle w:val="Heading3"/>
      </w:pPr>
      <w:r>
        <w:t xml:space="preserve">Decentralization Bad—Coordination </w:t>
      </w:r>
    </w:p>
    <w:p w:rsidR="00A02692" w:rsidRDefault="00A02692" w:rsidP="00A02692">
      <w:pPr>
        <w:pStyle w:val="Heading4"/>
      </w:pPr>
      <w:r>
        <w:t xml:space="preserve">Decentralized approaches to comprehensive sex education break down; the permutation is best </w:t>
      </w:r>
    </w:p>
    <w:p w:rsidR="00A02692" w:rsidRPr="005E3F46" w:rsidRDefault="00A02692" w:rsidP="00A02692">
      <w:pPr>
        <w:rPr>
          <w:sz w:val="16"/>
          <w:szCs w:val="16"/>
        </w:rPr>
      </w:pPr>
      <w:proofErr w:type="spellStart"/>
      <w:r w:rsidRPr="00CC5F61">
        <w:rPr>
          <w:rStyle w:val="Style13ptBold"/>
        </w:rPr>
        <w:t>Brindis</w:t>
      </w:r>
      <w:proofErr w:type="spellEnd"/>
      <w:r>
        <w:rPr>
          <w:rStyle w:val="Style13ptBold"/>
        </w:rPr>
        <w:t xml:space="preserve"> 2006 </w:t>
      </w:r>
      <w:r w:rsidRPr="005E3F46">
        <w:rPr>
          <w:rStyle w:val="Style13ptBold"/>
          <w:sz w:val="16"/>
          <w:szCs w:val="16"/>
        </w:rPr>
        <w:t xml:space="preserve">(Claire D. </w:t>
      </w:r>
      <w:proofErr w:type="spellStart"/>
      <w:r w:rsidRPr="005E3F46">
        <w:rPr>
          <w:rStyle w:val="Style13ptBold"/>
          <w:sz w:val="16"/>
          <w:szCs w:val="16"/>
        </w:rPr>
        <w:t>Brindis</w:t>
      </w:r>
      <w:proofErr w:type="spellEnd"/>
      <w:r w:rsidRPr="005E3F46">
        <w:rPr>
          <w:rStyle w:val="Style13ptBold"/>
          <w:sz w:val="16"/>
          <w:szCs w:val="16"/>
        </w:rPr>
        <w:t xml:space="preserve">, Center for Reproductive Health Research and Policy, University of California, San Francisco, California, “A PUBLIC HEALTH SUCCESS: Understanding Policy Changes Related to Teen Sexual Activity and Pregnancy”, </w:t>
      </w:r>
      <w:proofErr w:type="spellStart"/>
      <w:r w:rsidRPr="005E3F46">
        <w:rPr>
          <w:rStyle w:val="Style13ptBold"/>
          <w:sz w:val="16"/>
          <w:szCs w:val="16"/>
        </w:rPr>
        <w:t>Annu</w:t>
      </w:r>
      <w:proofErr w:type="spellEnd"/>
      <w:r w:rsidRPr="005E3F46">
        <w:rPr>
          <w:rStyle w:val="Style13ptBold"/>
          <w:sz w:val="16"/>
          <w:szCs w:val="16"/>
        </w:rPr>
        <w:t>. Rev. Public Health 2006. 27:277–95 &lt;10.1146/annure</w:t>
      </w:r>
      <w:r>
        <w:rPr>
          <w:rStyle w:val="Style13ptBold"/>
          <w:sz w:val="16"/>
          <w:szCs w:val="16"/>
        </w:rPr>
        <w:t>v.publhealth.27.021405.102244&gt;)//PS</w:t>
      </w:r>
    </w:p>
    <w:p w:rsidR="00A02692" w:rsidRPr="0022465F" w:rsidRDefault="00A02692" w:rsidP="00A02692">
      <w:pPr>
        <w:rPr>
          <w:b/>
          <w:iCs/>
          <w:u w:val="single"/>
        </w:rPr>
      </w:pPr>
      <w:r w:rsidRPr="00041E8E">
        <w:rPr>
          <w:rStyle w:val="StyleUnderline"/>
        </w:rPr>
        <w:t xml:space="preserve">Teenage pregnancy prevention will likely continue to be an important goal in the decade ahead. </w:t>
      </w:r>
      <w:r w:rsidRPr="007B19C0">
        <w:rPr>
          <w:sz w:val="16"/>
        </w:rPr>
        <w:t xml:space="preserve">Key socio-demographic factors will continue to play a significant role in shaping and interacting with policy decisions. A key factor is the burgeoning number of adolescents living in the United States, with significant growth occurring among traditionally “minority” populations. Trends include a decrease in the proportion of white youth, a shift from black to Hispanic/Latino youth as the second most populous ethnic/racial group, and a greater ethnic/racial diversity among the adolescent population than in the United States as a whole (14, 74). </w:t>
      </w:r>
      <w:r w:rsidRPr="00041E8E">
        <w:rPr>
          <w:rStyle w:val="StyleUnderline"/>
        </w:rPr>
        <w:t>This demographic shift will have a significant impact on the formulation of policy options to promote economic opportunities and job growth, most likely by state and federal governmental intervention unless or until the business sector comes on board. Without such sustained commitment, present gains could well be reversed. These trends are noteworthy as poorer health status is correlated with lower income, less education, racial or ethnic minority status, and other social variables</w:t>
      </w:r>
      <w:r w:rsidRPr="007B19C0">
        <w:rPr>
          <w:sz w:val="16"/>
        </w:rPr>
        <w:t xml:space="preserve"> (14). In turn, the strong link between poverty and unintended pregnancy points to the need to consider programs that help to alleviate the level of poverty experienced by many ethnic/racial groups, policies to encourage job creation, enhanced </w:t>
      </w:r>
      <w:proofErr w:type="spellStart"/>
      <w:r w:rsidRPr="007B19C0">
        <w:rPr>
          <w:sz w:val="16"/>
        </w:rPr>
        <w:t>Annu</w:t>
      </w:r>
      <w:proofErr w:type="spellEnd"/>
      <w:r w:rsidRPr="007B19C0">
        <w:rPr>
          <w:sz w:val="16"/>
        </w:rPr>
        <w:t xml:space="preserve">. Rev. Public Health 2006.27:277-295. Downloaded from annualreviews.org Access provided by University of Texas - Austin on 06/06/17. For personal use only. 25 Feb 2006 17:44 AR ANRV269-PU27-12.tex </w:t>
      </w:r>
      <w:proofErr w:type="spellStart"/>
      <w:r w:rsidRPr="007B19C0">
        <w:rPr>
          <w:sz w:val="16"/>
        </w:rPr>
        <w:t>XMLPublishSM</w:t>
      </w:r>
      <w:proofErr w:type="spellEnd"/>
      <w:r w:rsidRPr="007B19C0">
        <w:rPr>
          <w:sz w:val="16"/>
        </w:rPr>
        <w:t xml:space="preserve">(2004/02/24) P1: KUV 288 BRINDIS educational opportunities, and/or financial assistance, for example through dedicated fiscal arrangements that would benefit youth. The decline in the number of adolescents living in two-parent households over the past decade will also be an important determinant in shaping future policies. Family structure has an important influence on adolescent pregnancy, with children from single-parent households faring worse than those from two-parent households. This is due in part to the higher average income of two-parent households and the additional support and supervision afforded when two adults are present in the home (79). The positive ramifications of living with both biological parents at age14 are reflected in delaying age at first birth (79). Only 10% of young females who lived with both parents had a first birth before age 20, compared with 21% of those who had other living arrangements (1). The characteristics of an adolescent’s mother also influence the timing of a first birth (1, 37). For young females whose mother also had an adolescent birth, 23% had a birth before age 20, compared with only 8% of those whose mothers delayed childbearing until after age 20 (1). The same relationship holds true for the mother’s level of education. Income is also associated with poorer children faring worst. Almost one in five adolescents lives in families with incomes below the federal poverty line. More than one third of African-Americans and Hispanics live in financially disadvantaged families, as do 13% of whites. Poverty as an antecedent factor also shapes adolescent pregnancy. A child’s chance of growing up in poverty is nine times greater if (a) the mother gave birth as a teen, (b) the parents were unmarried when the child was born, and (c) the mother did not receive a high school diploma or GED than if none of these conditions apply (62, 63). Socioeconomic status is a significant factor affecting how teen pregnancies are resolved. Seventy percent of higher-income teenagers who become pregnant choose to postpone childbearing, whereas lower-income teens are more likely to give birth. Poor and low-income teens—who make up approximately 40% of the adolescent population—account for 83% of teens who give birth and 85% of those who become an unmarried parent (3). There are also marked racial and ethnic differences in the ways in which teen pregnancies are resolved, perhaps the result of differences in family structure, age at first conception, and family size (23). For example, among whites, being raised in a single-parent family was found to significantly enhance the likelihood of a teen choosing to have a child outside of marriage, suggesting that those who experience less traditional family structures during childhood are less likely to embark on a traditional family course themselves (37). Thus, as social norms become more diverse, it becomes more important that strategies to improve adolescent health address health, economic, and social disparities (14). As we review recent success in reducing this country’s adolescent pregnancy and childbearing, a key lesson appears to be the synergy among different, concurrent, and, at times, complementary policies operating at multiple levels. </w:t>
      </w:r>
      <w:r w:rsidRPr="007B19C0">
        <w:rPr>
          <w:rStyle w:val="StyleUnderline"/>
        </w:rPr>
        <w:t>Many of these policies, whether the provision of comprehensive family life education, access to family planning care, and/or youth development, combine approaches that have</w:t>
      </w:r>
      <w:r w:rsidRPr="007B19C0">
        <w:rPr>
          <w:sz w:val="16"/>
        </w:rPr>
        <w:t xml:space="preserve"> </w:t>
      </w:r>
      <w:proofErr w:type="spellStart"/>
      <w:r w:rsidRPr="007B19C0">
        <w:rPr>
          <w:sz w:val="16"/>
        </w:rPr>
        <w:t>Annu</w:t>
      </w:r>
      <w:proofErr w:type="spellEnd"/>
      <w:r w:rsidRPr="007B19C0">
        <w:rPr>
          <w:sz w:val="16"/>
        </w:rPr>
        <w:t xml:space="preserve">. Rev. Public Health 2006.27:277-295. Downloaded from annualreviews.org Access provided by University of Texas - Austin on 06/06/17. For personal use only. 25 Feb 2006 17:44 AR ANRV269-PU27-12.tex </w:t>
      </w:r>
      <w:proofErr w:type="spellStart"/>
      <w:r w:rsidRPr="007B19C0">
        <w:rPr>
          <w:sz w:val="16"/>
        </w:rPr>
        <w:t>XMLPublishSM</w:t>
      </w:r>
      <w:proofErr w:type="spellEnd"/>
      <w:r w:rsidRPr="007B19C0">
        <w:rPr>
          <w:sz w:val="16"/>
        </w:rPr>
        <w:t xml:space="preserve">(2004/02/24) P1: KUV TEEN SEXUAL ACTIVITY AND PREGNANCY </w:t>
      </w:r>
      <w:r w:rsidRPr="007B19C0">
        <w:rPr>
          <w:rStyle w:val="StyleUnderline"/>
        </w:rPr>
        <w:t>289 been evaluated and proven effective or have incorporated best practices found to be essential by field experts. Ultimately, success will likely remain elusive without renewed commitment to target both policies specific to teen pregnancy services and education, as well as the underlying causes of teen pregnancy, including poverty and lack of economic opportunity</w:t>
      </w:r>
      <w:r w:rsidRPr="007B19C0">
        <w:rPr>
          <w:sz w:val="16"/>
        </w:rPr>
        <w:t xml:space="preserve"> (13, 49, 50). Attempts to adopt narrow policies that focus on limited alternatives will continue to have differential impact—too little, too late—given the wide range of adolescent reproductive health needs. The successes documented over the past few years have been contingent on multiple concurrent strategies, but now there is an active push to adopt one narrow approach—abstinence only and parental consent/notification requirements even for contraceptive methods, as a possible deterrence to sexual activity. A review of past approaches, most often with a narrow focus on a single aspect of sexuality or pregnancy, appears to be timely. Traditionally, increasing access to information about birth control and clinical services were the policies most often selected in the decade of the 1970s and 1980s, with the reasoning that adolescents would be sufficiently motivated to take responsible action. In part, this direction helped to substantially change social norms regarding sexual behavior (e.g., increases in the number of adolescents who became sexually active, use of contraception), yet overall the effectiveness was limited. Clearly, more comprehensive policy strategies were needed due to the complexity of the issue. </w:t>
      </w:r>
      <w:r w:rsidRPr="007B19C0">
        <w:rPr>
          <w:rStyle w:val="StyleUnderline"/>
        </w:rPr>
        <w:t>Many states and communities have, in fact, responded by implementing a variety of types of public funding and adopting a plurality of policies tailored for different ages and segments of the adolescent population.</w:t>
      </w:r>
      <w:r w:rsidRPr="007B19C0">
        <w:rPr>
          <w:sz w:val="16"/>
        </w:rPr>
        <w:t xml:space="preserve"> These range from promoting abstinence to helping teenage parents avoid repeat childbearing during adolescence. </w:t>
      </w:r>
      <w:r w:rsidRPr="007B19C0">
        <w:rPr>
          <w:rStyle w:val="Emphasis"/>
        </w:rPr>
        <w:t>Many states have established coalitions, media campaigns focused on direct messages regarding delaying early childbearing and responsible parenthood, abstinence-only and comprehensive family life education, access to family planning services, and educational programs directed at educating parents.</w:t>
      </w:r>
      <w:r w:rsidRPr="007B19C0">
        <w:rPr>
          <w:sz w:val="16"/>
        </w:rPr>
        <w:t xml:space="preserve"> Other, perhaps somewhat more tangential initiatives, for example, directed at improving services for children ages 0–5, raising academic performance, and prevention of substance abuse and violence, have likely made important contributions to the social context in which children and adolescents are raised (24). As a result, many of the antecedent factors that have been shown to contribute to an increased risk for early childbearing (e.g., poverty, academic failure, lack of economic opportunities) have likely benefited as well (49, 50). </w:t>
      </w:r>
      <w:r w:rsidRPr="007B19C0">
        <w:rPr>
          <w:rStyle w:val="Emphasis"/>
        </w:rPr>
        <w:t>By bringing together an array of agencies and programs that share their expertise, as well as resources, more targeted approaches were developed to meet the specific needs of adolescents at multiple points in their lives. The advantages of this form of service delivery are manifold: It increases the efficiency of available community resources; facilitates the formation of linkages among a variety of concerned groups, such as parents, service clubs, religious organizations, clinics, and social service agencies; and spreads funding responsibilities among several interested parties.</w:t>
      </w:r>
      <w:r w:rsidRPr="007B19C0">
        <w:rPr>
          <w:sz w:val="16"/>
        </w:rPr>
        <w:t xml:space="preserve"> On the other hand, </w:t>
      </w:r>
      <w:r w:rsidRPr="007B19C0">
        <w:rPr>
          <w:rStyle w:val="Emphasis"/>
        </w:rPr>
        <w:t>this same decentralized structure is prone to certain weaknesses, including the coordination of service delivery to clients;</w:t>
      </w:r>
      <w:r w:rsidRPr="007B19C0">
        <w:rPr>
          <w:sz w:val="16"/>
        </w:rPr>
        <w:t xml:space="preserve"> </w:t>
      </w:r>
      <w:proofErr w:type="spellStart"/>
      <w:r w:rsidRPr="007B19C0">
        <w:rPr>
          <w:sz w:val="16"/>
        </w:rPr>
        <w:t>Annu</w:t>
      </w:r>
      <w:proofErr w:type="spellEnd"/>
      <w:r w:rsidRPr="007B19C0">
        <w:rPr>
          <w:sz w:val="16"/>
        </w:rPr>
        <w:t xml:space="preserve">. Rev. Public Health 2006.27:277-295. Downloaded from annualreviews.org Access provided by University of Texas - Austin on 06/06/17. For personal use only. 25 Feb 2006 17:44 AR ANRV269-PU27-12.tex </w:t>
      </w:r>
      <w:proofErr w:type="spellStart"/>
      <w:r w:rsidRPr="007B19C0">
        <w:rPr>
          <w:sz w:val="16"/>
        </w:rPr>
        <w:t>XMLPublishSM</w:t>
      </w:r>
      <w:proofErr w:type="spellEnd"/>
      <w:r w:rsidRPr="007B19C0">
        <w:rPr>
          <w:sz w:val="16"/>
        </w:rPr>
        <w:t xml:space="preserve">(2004/02/24) P1: KUV 290 BRINDIS creation of a strong program identity, since services may not be based at a single agency; maintenance of a strong funding base; and collection of strong follow-up data for use in program management and evaluation (13, 24). Thus, </w:t>
      </w:r>
      <w:r w:rsidRPr="007B19C0">
        <w:rPr>
          <w:rStyle w:val="Emphasis"/>
        </w:rPr>
        <w:t>given the policy lessons from the past, when information and contraceptive access were heavily promoted, adoption of a single policy approach, whether it is abstinence or contraceptive access alone, will be insufficient to address the magnitude of the issue.</w:t>
      </w:r>
      <w:r w:rsidRPr="007B19C0">
        <w:rPr>
          <w:sz w:val="16"/>
        </w:rPr>
        <w:t xml:space="preserve"> FUTURE DIRECTIONS As reviewed in this paper, policy solutions to adolescent pregnancy will continue to need to integrate risk reduction, youth development, and holistic approaches in the future</w:t>
      </w:r>
      <w:r w:rsidRPr="007B19C0">
        <w:rPr>
          <w:rStyle w:val="StyleUnderline"/>
        </w:rPr>
        <w:t>. Reducing individual behaviors that jeopardize health and safety and improving health outcomes are important, but not sufficient.</w:t>
      </w:r>
      <w:r w:rsidRPr="007B19C0">
        <w:rPr>
          <w:sz w:val="16"/>
        </w:rPr>
        <w:t xml:space="preserve"> A positive environment that supports healthy youth development and promotes healthy behavior requires societal commitment. Furthermore, the involvement of diverse organizations and institutions is critical to future success. </w:t>
      </w:r>
      <w:r w:rsidRPr="007B19C0">
        <w:rPr>
          <w:rStyle w:val="Emphasis"/>
        </w:rPr>
        <w:t>The federal, state, and local governments may work together to conduct more comprehensive problem analysis in order to</w:t>
      </w:r>
      <w:r w:rsidRPr="007B19C0">
        <w:rPr>
          <w:sz w:val="16"/>
        </w:rPr>
        <w:t xml:space="preserve"> Figure 3 Problem analysis diagram–adolescent pregnancy (18). </w:t>
      </w:r>
      <w:proofErr w:type="spellStart"/>
      <w:r w:rsidRPr="007B19C0">
        <w:rPr>
          <w:sz w:val="16"/>
        </w:rPr>
        <w:t>Annu</w:t>
      </w:r>
      <w:proofErr w:type="spellEnd"/>
      <w:r w:rsidRPr="007B19C0">
        <w:rPr>
          <w:sz w:val="16"/>
        </w:rPr>
        <w:t xml:space="preserve">. Rev. Public Health 2006.27:277-295. Downloaded from annualreviews.org Access provided by University of Texas - Austin on 06/06/17. For personal use only. 25 Feb 2006 17:44 AR ANRV269-PU27-12.tex </w:t>
      </w:r>
      <w:proofErr w:type="spellStart"/>
      <w:r w:rsidRPr="007B19C0">
        <w:rPr>
          <w:sz w:val="16"/>
        </w:rPr>
        <w:t>XMLPublishSM</w:t>
      </w:r>
      <w:proofErr w:type="spellEnd"/>
      <w:r w:rsidRPr="007B19C0">
        <w:rPr>
          <w:sz w:val="16"/>
        </w:rPr>
        <w:t xml:space="preserve">(2004/02/24) P1: KUV TEEN SEXUAL ACTIVITY AND PREGNANCY 291 </w:t>
      </w:r>
      <w:r w:rsidRPr="007B19C0">
        <w:rPr>
          <w:rStyle w:val="Emphasis"/>
        </w:rPr>
        <w:t xml:space="preserve">best determine appropriate, effective intervention points that address outcomes. </w:t>
      </w:r>
      <w:r w:rsidRPr="007B19C0">
        <w:rPr>
          <w:sz w:val="16"/>
        </w:rPr>
        <w:t xml:space="preserve">By reviewing the research literature related to particular indicators, communities can identify either causally related or strongly associated antecedent factors to target for adolescent health interventions. Communities should expect to collect and use data from many sources to create their problem analysis diagram (see Figure 3) (18). The sample problem analysis, pertaining to the prevention of teenage pregnancy, includes selected factors, specific to individuals, family, school, and community that are associated with the occurrence of teen pregnancy or one of its precursors. The problem analysis helps to clarify linear relationships among risk, protective, and causal factors and the possible pathways through which positive or negative outcomes are realized. Communities need to review and analyze data for most of these factors in order to best understand the local nature of teen pregnancy incidence. </w:t>
      </w:r>
      <w:r w:rsidRPr="007B19C0">
        <w:rPr>
          <w:rStyle w:val="StyleUnderline"/>
        </w:rPr>
        <w:t>An indicator framework that presents adolescents within a multidimensional context should include the traditional domains of physical and mental health, safety, education, behavior and economic security, but with added contextual domains—the individual, and his or her family, school, and community</w:t>
      </w:r>
      <w:r w:rsidRPr="007B19C0">
        <w:rPr>
          <w:rStyle w:val="Emphasis"/>
        </w:rPr>
        <w:t>. Problem analysis can help communities move away from one-dimensional prevention initiatives toward more holistic approaches linked with outcomes that share a common set of underlying antecedents.</w:t>
      </w:r>
    </w:p>
    <w:p w:rsidR="00A02692" w:rsidRDefault="00A02692" w:rsidP="00A02692">
      <w:pPr>
        <w:pStyle w:val="Heading3"/>
      </w:pPr>
      <w:r>
        <w:t xml:space="preserve">Fed Key—precedent </w:t>
      </w:r>
    </w:p>
    <w:p w:rsidR="00A02692" w:rsidRDefault="00A02692" w:rsidP="00A02692">
      <w:pPr>
        <w:pStyle w:val="Heading4"/>
      </w:pPr>
      <w:r>
        <w:t xml:space="preserve">State governments adjust to the ‘morality politics’ of the federal government—USFG action key to set a precedent on controversial issues </w:t>
      </w:r>
    </w:p>
    <w:p w:rsidR="00A02692" w:rsidRDefault="00A02692" w:rsidP="00A02692">
      <w:r w:rsidRPr="008363D7">
        <w:rPr>
          <w:rStyle w:val="Style13ptBold"/>
        </w:rPr>
        <w:t>ARSNEAULT 2001</w:t>
      </w:r>
      <w:r>
        <w:t xml:space="preserve"> (SHELLY ARSNEAULT, Western Kentucky University, “</w:t>
      </w:r>
      <w:r w:rsidRPr="008363D7">
        <w:t>The Politics of Abstinence-Only Sex Education</w:t>
      </w:r>
      <w:r>
        <w:t xml:space="preserve">”, </w:t>
      </w:r>
      <w:r w:rsidRPr="008363D7">
        <w:t>AMERICAN REVIEWOF PUBLIC ADMINISTRATION, Vol. 31 No. 4, December 2001 436-454</w:t>
      </w:r>
      <w:r>
        <w:t>&lt;</w:t>
      </w:r>
      <w:r w:rsidRPr="008363D7">
        <w:t xml:space="preserve"> </w:t>
      </w:r>
      <w:hyperlink r:id="rId155" w:history="1">
        <w:r w:rsidRPr="00DE3E96">
          <w:rPr>
            <w:rStyle w:val="Hyperlink"/>
          </w:rPr>
          <w:t>http://journals.sagepub.com/doi/pdf/10.1177/02750740122065036</w:t>
        </w:r>
      </w:hyperlink>
      <w:r>
        <w:t>)//PS</w:t>
      </w:r>
    </w:p>
    <w:p w:rsidR="00A02692" w:rsidRPr="00C25C72" w:rsidRDefault="00A02692" w:rsidP="00A02692">
      <w:pPr>
        <w:rPr>
          <w:sz w:val="16"/>
        </w:rPr>
      </w:pPr>
      <w:r w:rsidRPr="00C25C72">
        <w:rPr>
          <w:sz w:val="16"/>
        </w:rPr>
        <w:t xml:space="preserve">Politicians, citizen groups, and journalists are characteristically important actors in morality policy, and the abstinence education initiatives illustrate this fairly well. The precursor to the language of the abstinence education grant came in 1994 when Representative John Doolittle (R-CA) introduced an amendment during reauthorization of the Elementary and Secondary Education Act that would have restricted the contents of sex education. Although the Doolittle amendment failed in the House, Rick Santorum (R-PA) and </w:t>
      </w:r>
      <w:proofErr w:type="spellStart"/>
      <w:r w:rsidRPr="00C25C72">
        <w:rPr>
          <w:sz w:val="16"/>
        </w:rPr>
        <w:t>Lauch</w:t>
      </w:r>
      <w:proofErr w:type="spellEnd"/>
      <w:r w:rsidRPr="00C25C72">
        <w:rPr>
          <w:sz w:val="16"/>
        </w:rPr>
        <w:t xml:space="preserve"> Faircloth (R-NC) introduced similar legislation in the Senate on September 8, 1995, which eventually became part of the welfare reform bill of 1996. Not satisfied with the 1996 victory against unwed motherhood, Representative Ernest Istook (R-OK) secured an additional $20 million for abstinence-only sex education in 1999, released on October 1, 2000. </w:t>
      </w:r>
      <w:r w:rsidRPr="00CF4BFB">
        <w:rPr>
          <w:rStyle w:val="StyleUnderline"/>
        </w:rPr>
        <w:t>It has been reported that Istook and other religious conservatives in Congress have a goal of at least $100 million for annual federal funding of abstinence-only education</w:t>
      </w:r>
      <w:r w:rsidRPr="00C25C72">
        <w:rPr>
          <w:sz w:val="16"/>
        </w:rPr>
        <w:t xml:space="preserve"> (</w:t>
      </w:r>
      <w:proofErr w:type="spellStart"/>
      <w:r w:rsidRPr="00C25C72">
        <w:rPr>
          <w:sz w:val="16"/>
        </w:rPr>
        <w:t>Dailard</w:t>
      </w:r>
      <w:proofErr w:type="spellEnd"/>
      <w:r w:rsidRPr="00C25C72">
        <w:rPr>
          <w:sz w:val="16"/>
        </w:rPr>
        <w:t xml:space="preserve">, 2000). These four legislators—Doolittle, Santorum, Faircloth and Istook—were well established as social conservatives, ranked highly by groups like the Christian Coalition and the National Right to Life Committee, according to Project Vote Smart (http://www.vote-smart.org) and Americans for Democratic Action (http://adaction.org). </w:t>
      </w:r>
      <w:r w:rsidRPr="00CF4BFB">
        <w:rPr>
          <w:rStyle w:val="StyleUnderline"/>
        </w:rPr>
        <w:t>Citizen and advocacy groups were also instrumental in the adoption and implementation of the abstinence-only grants.</w:t>
      </w:r>
      <w:r w:rsidRPr="00C25C72">
        <w:rPr>
          <w:sz w:val="16"/>
        </w:rPr>
        <w:t xml:space="preserve"> Faircloth’s interest was apparently fostered by the Heritage Foundation’s Robert Rector, who approached Faircloth as leader of several traditional family values groups seeking promotion of the 442 ARPA / December 2001 abstinence message (Haskins &amp; Bevan, 1997). Advocacy groups like the Christian Coalition, Focus on the Family, and the Challenge Task Force on Chastity have weighed in heavily on implementation of the abstinence grants and have heightened efforts to increase funding of the program (Brandt, 1998; Daley, 1997; Vogel, 1998). </w:t>
      </w:r>
      <w:r w:rsidRPr="00CF4BFB">
        <w:rPr>
          <w:rStyle w:val="StyleUnderline"/>
        </w:rPr>
        <w:t>In addition to the abstinence education grant, the federal government made amendments to the Adolescent Family Life Act</w:t>
      </w:r>
      <w:r w:rsidRPr="00C25C72">
        <w:rPr>
          <w:sz w:val="16"/>
        </w:rPr>
        <w:t xml:space="preserve"> (AFLA) in 1996 </w:t>
      </w:r>
      <w:r w:rsidRPr="00CF4BFB">
        <w:rPr>
          <w:rStyle w:val="StyleUnderline"/>
        </w:rPr>
        <w:t>that also resulted in increased spending on the abstinence message.</w:t>
      </w:r>
      <w:r w:rsidRPr="00C25C72">
        <w:rPr>
          <w:sz w:val="16"/>
        </w:rPr>
        <w:t xml:space="preserve"> “The result is that for fiscal year (FY) 1997, about $9 million will be available for abstinence education through AFLA. Furthermore, the AFLA abstinence education definition means that funds are to be spent on ‘abstinence-only’ programs” (Levin-Epstein, 1996, p. 29). </w:t>
      </w:r>
      <w:r w:rsidRPr="00CF4BFB">
        <w:rPr>
          <w:rStyle w:val="StyleUnderline"/>
        </w:rPr>
        <w:t>The new legislative priority was clear: After years of sex education courses that emphasized ways to avoid pregnancy, the preferred method of preventing teen parenting became teaching ways to avoid sexual activity itself—abstinence until marriage.</w:t>
      </w:r>
      <w:r w:rsidRPr="00C25C72">
        <w:rPr>
          <w:sz w:val="16"/>
        </w:rPr>
        <w:t xml:space="preserve"> As </w:t>
      </w:r>
      <w:proofErr w:type="spellStart"/>
      <w:r w:rsidRPr="00C25C72">
        <w:rPr>
          <w:sz w:val="16"/>
        </w:rPr>
        <w:t>Gormley</w:t>
      </w:r>
      <w:proofErr w:type="spellEnd"/>
      <w:r w:rsidRPr="00C25C72">
        <w:rPr>
          <w:sz w:val="16"/>
        </w:rPr>
        <w:t xml:space="preserve"> (1986) suggests, the hearing room politics of morality policy make its legislative design contrary to that of most legislation: Rather than vague or ambiguous, the activities included in the Title V definition of “abstinence education” are very specific. An eligible program 1. has as its exclusive purpose teaching the social, psychological, and health gains to be realized by abstaining from sexual activity; 2. teaches abstinence from sexual activity outside marriage as the expected standard for all school-age children; 3. teaches that abstinence from sexual activity is the only certain way to avoid out-of-wedlock pregnancy, sexually transmitted diseases, and other associated health problems; 4. teaches that a mutually faithful monogamous relationship in context of marriage is the expected standard of human sexual activity; 5. teaches that sexual activity outside the context of marriage is likely to have harmful psychological and physical effects; 6. teaches that bearing children out of wedlock is likely to have harmful consequences for the child, the child’s parents, and society; 7. teaches young people how to reject sexual advances and how alcohol and drug use increases vulnerability to sexual advances; and 8. teaches the importance of attaining self-sufficiency before engaging in sexual activity. Finally, </w:t>
      </w:r>
      <w:proofErr w:type="spellStart"/>
      <w:r w:rsidRPr="00C25C72">
        <w:rPr>
          <w:sz w:val="16"/>
        </w:rPr>
        <w:t>Gormley</w:t>
      </w:r>
      <w:proofErr w:type="spellEnd"/>
      <w:r w:rsidRPr="00C25C72">
        <w:rPr>
          <w:sz w:val="16"/>
        </w:rPr>
        <w:t xml:space="preserve"> (1986) suggests that, in low complexity issues, the role of the professional is diminished, and indeed that appears to be the case in abstinence-only education. If the professionals in the arena of teen pregnancy reduction are public health professionals and researchers, we see that their input was largely disregarded. For example, in the most comprehensive review of abstinence-only program evaluations to date, Kirby (1997) found that none of the programs evaluated offered significant or consistent delay in the onset of intercourse among program participants. Public health professionals strongly agree that comprehensive </w:t>
      </w:r>
      <w:proofErr w:type="spellStart"/>
      <w:r w:rsidRPr="00C25C72">
        <w:rPr>
          <w:sz w:val="16"/>
        </w:rPr>
        <w:t>Arsneault</w:t>
      </w:r>
      <w:proofErr w:type="spellEnd"/>
      <w:r w:rsidRPr="00C25C72">
        <w:rPr>
          <w:sz w:val="16"/>
        </w:rPr>
        <w:t xml:space="preserve"> / ABSTINENCE-ONLY SEX EDUCATION 443 sex education is most successful in reducing teen pregnancy; however, the abstinence grant does not fund this type of education (Card, </w:t>
      </w:r>
      <w:proofErr w:type="spellStart"/>
      <w:r w:rsidRPr="00C25C72">
        <w:rPr>
          <w:sz w:val="16"/>
        </w:rPr>
        <w:t>Niego</w:t>
      </w:r>
      <w:proofErr w:type="spellEnd"/>
      <w:r w:rsidRPr="00C25C72">
        <w:rPr>
          <w:sz w:val="16"/>
        </w:rPr>
        <w:t xml:space="preserve">, Mallari, &amp; Farrell, 1996; Kirby, 1997; Kirby, </w:t>
      </w:r>
      <w:proofErr w:type="spellStart"/>
      <w:r w:rsidRPr="00C25C72">
        <w:rPr>
          <w:sz w:val="16"/>
        </w:rPr>
        <w:t>Waszak</w:t>
      </w:r>
      <w:proofErr w:type="spellEnd"/>
      <w:r w:rsidRPr="00C25C72">
        <w:rPr>
          <w:sz w:val="16"/>
        </w:rPr>
        <w:t xml:space="preserve">, &amp; Ziegler, 1991; </w:t>
      </w:r>
      <w:proofErr w:type="spellStart"/>
      <w:r w:rsidRPr="00C25C72">
        <w:rPr>
          <w:sz w:val="16"/>
        </w:rPr>
        <w:t>Sawhill</w:t>
      </w:r>
      <w:proofErr w:type="spellEnd"/>
      <w:r w:rsidRPr="00C25C72">
        <w:rPr>
          <w:sz w:val="16"/>
        </w:rPr>
        <w:t>, 2000; Wolfe, 1995). Program evaluations of the largest full-scale abstinence project attempted before PRWORA, California’s Education Now and Babies Later (ENABL), showed that ENABL had not delayed the start of sexual intercourse among participants, and consequently, the program was ended in the middle of its 5-year trial (</w:t>
      </w:r>
      <w:proofErr w:type="spellStart"/>
      <w:r w:rsidRPr="00C25C72">
        <w:rPr>
          <w:sz w:val="16"/>
        </w:rPr>
        <w:t>Cagampang</w:t>
      </w:r>
      <w:proofErr w:type="spellEnd"/>
      <w:r w:rsidRPr="00C25C72">
        <w:rPr>
          <w:sz w:val="16"/>
        </w:rPr>
        <w:t xml:space="preserve">, Barth, </w:t>
      </w:r>
      <w:proofErr w:type="spellStart"/>
      <w:r w:rsidRPr="00C25C72">
        <w:rPr>
          <w:sz w:val="16"/>
        </w:rPr>
        <w:t>Korpi</w:t>
      </w:r>
      <w:proofErr w:type="spellEnd"/>
      <w:r w:rsidRPr="00C25C72">
        <w:rPr>
          <w:sz w:val="16"/>
        </w:rPr>
        <w:t xml:space="preserve">, &amp; Kirby, 1997). Based on this experience, the Budget Subcommittee in the California Assembly, which vigorously debated the merits of abstinence-only sex education, refused to appropriate state matching funds, and California did not implement the abstinence-only policy in 1998 (Lewin, 1999). California’s refusal to fund the program seems to be an exception to the rule in morality policy making. At the federal level, the views of health care professionals or any notion of expertise in reducing teen pregnancy were dismissed in favor of a view of sexual relations outside of marriage and especially among teens as immoral; the morality policy solution is abstinence-only sex education. CONFLICT OVER FIRST PRINCIPLES The “first principles” battle involved in abstinence-only education revolves around a conservative religious tradition of sexual morality. As congressional staffers Haskins and Bevan (1997) explain, the intent of this legislation was “to align Congress with the social tradition—never mind that some observers now think the tradition outdated—that sex should be confined to married couples” (p. 475). They further explain “the congressional attack on illegitimacy is based far more on the value position that sex outside marriage is wrong and the consequences severe... than on empirical evidence linking a particular policy with reduced nonmarital births” (pp. 466-467). The argument is one of core values: Engaging in sexual relations outside of marriage is simply not “right.” As Moira Vogel, codirector for the Challenge Task Force on Chastity, stated in testimony before the House Commerce Committee, “We must promote, without qualification, abstinence from sex outside of marriage. Furthermore, we must emphasize the need for a life marked by purity of heart, mind, and body because only then will the young person be free to truly desire this lifestyle; only then will they desire to be a virgin until marriage” (Vogel, 1998). The conflict over value redistribution has been heated in many states and, as </w:t>
      </w:r>
      <w:proofErr w:type="spellStart"/>
      <w:r w:rsidRPr="00C25C72">
        <w:rPr>
          <w:sz w:val="16"/>
        </w:rPr>
        <w:t>Gormley</w:t>
      </w:r>
      <w:proofErr w:type="spellEnd"/>
      <w:r w:rsidRPr="00C25C72">
        <w:rPr>
          <w:sz w:val="16"/>
        </w:rPr>
        <w:t xml:space="preserve"> suggests, has even led to personal attacks in some cases. In Arkansas, for example, a conservative committee of abstinence advocates was appointed by Governor Huckabee to oversee the abstinence-only grant. University of Arkansas Professor Michael Young recounts being told by the committee’s chair, State Representative Randy Bryant, that Bryant, “had ‘never seen anything good come out of a university’ ” (Young, 1998, p. 9). At one meeting with the committee, Representative Bryant, annoyed with the curriculum that Dr. Young proposed for use in 444 ARPA / December 2001 Arkansas schools, became verbally abusive. As Young reports, Bryant “blew his stack, yelling at me, with a reporter’s tape-recorder going in the room ‘I’ll tell you what, I’m about ready to come over there and knock the crap out of you.’ We made front page the next day.” (Young, 1998, p. 10). </w:t>
      </w:r>
      <w:proofErr w:type="spellStart"/>
      <w:r w:rsidRPr="00C25C72">
        <w:rPr>
          <w:sz w:val="16"/>
        </w:rPr>
        <w:t>Gormley</w:t>
      </w:r>
      <w:proofErr w:type="spellEnd"/>
      <w:r w:rsidRPr="00C25C72">
        <w:rPr>
          <w:sz w:val="16"/>
        </w:rPr>
        <w:t xml:space="preserve"> (1986) explains one of the greatest sources of conflict over </w:t>
      </w:r>
      <w:proofErr w:type="spellStart"/>
      <w:r w:rsidRPr="00C25C72">
        <w:rPr>
          <w:sz w:val="16"/>
        </w:rPr>
        <w:t>abstinenceonly</w:t>
      </w:r>
      <w:proofErr w:type="spellEnd"/>
      <w:r w:rsidRPr="00C25C72">
        <w:rPr>
          <w:sz w:val="16"/>
        </w:rPr>
        <w:t xml:space="preserve"> sex education when he writes, “An affront to community values is also salient, although community values are admittedly unstable” (p. 601). The fact that this federal program attempts to apply a single moral standard in all states leads to much of the program’s controversy. For example, only 23% of school districts in the United States currently teach abstinence as the only option outside of marriage (Landry, </w:t>
      </w:r>
      <w:proofErr w:type="spellStart"/>
      <w:r w:rsidRPr="00C25C72">
        <w:rPr>
          <w:sz w:val="16"/>
        </w:rPr>
        <w:t>Kaeser</w:t>
      </w:r>
      <w:proofErr w:type="spellEnd"/>
      <w:r w:rsidRPr="00C25C72">
        <w:rPr>
          <w:sz w:val="16"/>
        </w:rPr>
        <w:t xml:space="preserve">, &amp; Richards, 1999). </w:t>
      </w:r>
      <w:r w:rsidRPr="009422BE">
        <w:rPr>
          <w:rStyle w:val="Emphasis"/>
        </w:rPr>
        <w:t xml:space="preserve">Because schools are subject to local control, it can be inferred that even parents who believe that abstinence is an important message do not favor programs restricted to teaching abstinence-only. The </w:t>
      </w:r>
      <w:proofErr w:type="spellStart"/>
      <w:r w:rsidRPr="009422BE">
        <w:rPr>
          <w:rStyle w:val="Emphasis"/>
        </w:rPr>
        <w:t>abstinenceonly</w:t>
      </w:r>
      <w:proofErr w:type="spellEnd"/>
      <w:r w:rsidRPr="009422BE">
        <w:rPr>
          <w:rStyle w:val="Emphasis"/>
        </w:rPr>
        <w:t xml:space="preserve"> grants, however, bring this message to each state and local community receiving federal funds.</w:t>
      </w:r>
      <w:r w:rsidRPr="00C25C72">
        <w:rPr>
          <w:sz w:val="16"/>
        </w:rPr>
        <w:t xml:space="preserve"> BUREAUCRATIC ACCOUNTABILITY As </w:t>
      </w:r>
      <w:proofErr w:type="spellStart"/>
      <w:r w:rsidRPr="00C25C72">
        <w:rPr>
          <w:sz w:val="16"/>
        </w:rPr>
        <w:t>Gormley</w:t>
      </w:r>
      <w:proofErr w:type="spellEnd"/>
      <w:r w:rsidRPr="00C25C72">
        <w:rPr>
          <w:sz w:val="16"/>
        </w:rPr>
        <w:t xml:space="preserve"> (1986) suggests</w:t>
      </w:r>
      <w:r w:rsidRPr="009422BE">
        <w:rPr>
          <w:rStyle w:val="Emphasis"/>
        </w:rPr>
        <w:t xml:space="preserve">, the bureaucratic implementation of </w:t>
      </w:r>
      <w:proofErr w:type="spellStart"/>
      <w:r w:rsidRPr="009422BE">
        <w:rPr>
          <w:rStyle w:val="Emphasis"/>
        </w:rPr>
        <w:t>abstinenceonly</w:t>
      </w:r>
      <w:proofErr w:type="spellEnd"/>
      <w:r w:rsidRPr="009422BE">
        <w:rPr>
          <w:rStyle w:val="Emphasis"/>
        </w:rPr>
        <w:t xml:space="preserve"> education in the states has been intensely watched. The state strategies for in-state awards, for example, have proven to be highly controversial, with battle lines drawn between state and local health departments and abstinence advocacy groups</w:t>
      </w:r>
      <w:r w:rsidRPr="00C25C72">
        <w:rPr>
          <w:sz w:val="16"/>
        </w:rPr>
        <w:t xml:space="preserve">—as Haskins and Bevan call them, the “Maybes” and the “Don’ts.” Haskins and Bevan (1997) explain that the authors of the federal legislation were Don’ts, believing that “programs must give teens a single, unambiguous message that sex outside marriage is wrong and harmful to their physical and mental health” (p. 468). The Maybes, on the other hand, agree that prevention of early sexual relations is beneficial, but “this group believes that it is impractical, or even harmful, to ‘just say no’ ” (p. 468). </w:t>
      </w:r>
      <w:r w:rsidRPr="009422BE">
        <w:rPr>
          <w:rStyle w:val="Emphasis"/>
        </w:rPr>
        <w:t>In line with the intense scrutiny of bureaucratic implementation often experienced in morality policy, it is interesting to note that the National Coalition for Abstinence Education (NCAE), an offshoot of Focus on the Family, offered “report cards” grading state use of the federal abstinence-only grant. Arkansas, with its planning panel of abstinence-until-marriage advocates</w:t>
      </w:r>
      <w:r w:rsidRPr="00C25C72">
        <w:rPr>
          <w:sz w:val="16"/>
        </w:rPr>
        <w:t xml:space="preserve">, is one of only five states to have received an “A” from NCAE. Eleven states received “F” grades, indicating that they are “in clear violation of some aspect of the spirit as well as the letter of the law” (NCAE, 1998, p. 2).1 </w:t>
      </w:r>
      <w:r w:rsidRPr="00A75DEB">
        <w:rPr>
          <w:rStyle w:val="StyleUnderline"/>
        </w:rPr>
        <w:t xml:space="preserve">Observations of public health meetings and interviews with public health professionals make it clear that those trained in the public health tradition hold a holistic view of health problems, including teen pregnancy. </w:t>
      </w:r>
      <w:r w:rsidRPr="00A75DEB">
        <w:rPr>
          <w:rStyle w:val="Emphasis"/>
        </w:rPr>
        <w:t>Distinctive to the field of public health is the focus on communities and the environment</w:t>
      </w:r>
      <w:r w:rsidRPr="00C25C72">
        <w:rPr>
          <w:sz w:val="16"/>
        </w:rPr>
        <w:t xml:space="preserve"> (Cottrell, Girvan, &amp; McKenzie, 1999; Ryan, </w:t>
      </w:r>
      <w:proofErr w:type="spellStart"/>
      <w:r w:rsidRPr="00C25C72">
        <w:rPr>
          <w:sz w:val="16"/>
        </w:rPr>
        <w:t>Colthurst</w:t>
      </w:r>
      <w:proofErr w:type="spellEnd"/>
      <w:r w:rsidRPr="00C25C72">
        <w:rPr>
          <w:sz w:val="16"/>
        </w:rPr>
        <w:t xml:space="preserve">, &amp; </w:t>
      </w:r>
      <w:proofErr w:type="spellStart"/>
      <w:r w:rsidRPr="00C25C72">
        <w:rPr>
          <w:sz w:val="16"/>
        </w:rPr>
        <w:t>Segars</w:t>
      </w:r>
      <w:proofErr w:type="spellEnd"/>
      <w:r w:rsidRPr="00C25C72">
        <w:rPr>
          <w:sz w:val="16"/>
        </w:rPr>
        <w:t xml:space="preserve">, 1994), and this is evident in the way that public health officials have implemented abstinence-only sex education grants. </w:t>
      </w:r>
      <w:proofErr w:type="spellStart"/>
      <w:r w:rsidRPr="00C25C72">
        <w:rPr>
          <w:sz w:val="16"/>
        </w:rPr>
        <w:t>Arsneault</w:t>
      </w:r>
      <w:proofErr w:type="spellEnd"/>
      <w:r w:rsidRPr="00C25C72">
        <w:rPr>
          <w:sz w:val="16"/>
        </w:rPr>
        <w:t xml:space="preserve"> / ABSTINENCE-ONLY SEX EDUCATION 445 A</w:t>
      </w:r>
      <w:r w:rsidRPr="00A75DEB">
        <w:rPr>
          <w:rStyle w:val="Emphasis"/>
        </w:rPr>
        <w:t>lthough legislative sponsors of the bill may have envisioned classrooms in which abstinence educators, teachers, or clergy members extolled the virtues of abstinence until marriage, public health bureaucrats have other teen health concerns to confront, and many have similar roots to the teen pregnancy problem.</w:t>
      </w:r>
      <w:r w:rsidRPr="00C25C72">
        <w:rPr>
          <w:sz w:val="16"/>
        </w:rPr>
        <w:t xml:space="preserve"> For example, although NCAE has decried the use of abstinence education grant money to fund after-school activities, this appears to be a natural use of money for public health departments: Teens often get into trouble—defined as alcohol and drug use, smoking, or sexual activity—during afternoon hours before parents have returned from work or expect teen presence at home. From a public health perspective, occupying the free time of teens is a good way to encourage abstinence from a variety of troublesome activities. Again, the contrasting views on this issue are striking</w:t>
      </w:r>
      <w:r w:rsidRPr="00D25A04">
        <w:rPr>
          <w:rStyle w:val="StyleUnderline"/>
        </w:rPr>
        <w:t>: The public health perspective emphasizes individual access to information and services, regardless of the minor status of the individuals in question, whereas the abstinence advocacy perspective emphasizes parental involvement and moral guidance when children are involved.</w:t>
      </w:r>
      <w:r w:rsidRPr="00C25C72">
        <w:rPr>
          <w:sz w:val="16"/>
        </w:rPr>
        <w:t xml:space="preserve"> LASTING DEBATES As has been suggested of morality policy, legislation did not settle the issue of abstinence-only education, and the war between the Don’ts and the Maybes raged across the country. In testimony before Congress, Peter Brandt of the National Coalition for Abstinence Education stated, There has been a concerted attempt by some in the public health establishment to water down, and in some cases to even violate, the intent of the law. </w:t>
      </w:r>
      <w:r w:rsidRPr="00D25A04">
        <w:rPr>
          <w:rStyle w:val="StyleUnderline"/>
        </w:rPr>
        <w:t xml:space="preserve">This subversive effort has been successful in too many states. The potential and importance of the abstinence law is too exciting for Congress to allow anything short of full national commitment to the sexual health of our children. </w:t>
      </w:r>
      <w:r w:rsidRPr="00C25C72">
        <w:rPr>
          <w:sz w:val="16"/>
        </w:rPr>
        <w:t xml:space="preserve">(Brandt, 1998) Further evidence of the lasting nature of the debate over federal abstinence-only education funding can be seen within the Republican Party itself. Although conservative Republicans like Istook continue to seek additional funding for abstinence education, some of their moderate colleagues are not convinced. In June 1999, House Republican Nancy Johnson (CT), chair of the House Ways and Means subcommittee on human resources, suggested changing the language of the legislation and redirecting abstinence funds to “programs that work, even if they teach birth control” (SIECUS, 1999). SYMBOLIC POLICY </w:t>
      </w:r>
      <w:r w:rsidRPr="00D25A04">
        <w:rPr>
          <w:rStyle w:val="StyleUnderline"/>
        </w:rPr>
        <w:t xml:space="preserve">The abstinence grant program appropriates $50 million for each fiscal year from 1998 through 2002 to aid states in providing abstinence-only education. </w:t>
      </w:r>
      <w:r w:rsidRPr="00C25C72">
        <w:rPr>
          <w:sz w:val="16"/>
        </w:rPr>
        <w:t>The $50 446 ARPA / December 2001 million is distributed as a formula grant divided among the states based on the percentage of children living below the poverty rate. Thus, in fiscal year 1998, the state with the least funding, Vermont, was eligible for $69,855. In five states, federal funding levels were less than $100,000. New Hampshire, which was eligible for only $82,000, could not form a workable partnership between its Departments of Health and Human Services and Education and thus did not accept the grant in 1998</w:t>
      </w:r>
      <w:r w:rsidRPr="00D25A04">
        <w:rPr>
          <w:rStyle w:val="Emphasis"/>
        </w:rPr>
        <w:t xml:space="preserve">. In states in which funding levels were very small, it is easy to argue that abstinence-only education was simply a symbolic policy with little expectation of dramatic policy </w:t>
      </w:r>
      <w:r w:rsidRPr="00FD49AD">
        <w:rPr>
          <w:rStyle w:val="Emphasis"/>
        </w:rPr>
        <w:t>impact. Perhaps the best example of symbolic policy within this legislation is the $20 million bonus money available to states for reducing unwed births.</w:t>
      </w:r>
      <w:r w:rsidRPr="00C25C72">
        <w:rPr>
          <w:sz w:val="16"/>
        </w:rPr>
        <w:t xml:space="preserve"> There is probably little that states can do to stop unwed motherhood among adult women; therefore, states have spent the bulk of their efforts on reducing teen nonmarital sexual activity and childbearing. Only 3 of the 48 states that accepted abstinence education money in 1998 reported that those over age 20 were a targeted group for the abstinence message. The first five bonus grant “winners” announced in September 1999 were California, District of Columbia, Michigan, Alabama, and Massachusetts; none of these states targeted abstinence-only grant money to adults (Daley &amp; Wong, 1999). The political conservatism of the 1990s, coupled with the recognition of teen pregnancy as a major social problem, created a climate in which abstinence-only sex education was sought as a solution. Although results of earlier abstinence programs have been mixed, the federal government became involved with this strategy as a result of welfare reform in 1996. Although most states have accepted their abstinence grant money, the case of Kentucky and Arbor County highlights the very real questions that remain about the implementation of morality policy. Because this is a short case history of a program “in progress” and highlighting just one state and one community, generalizations cannot be made. On the other hand, the story as it has unfolded at the national, state, and local levels illustrates well the politics of morality policy. Abstinence-only sex education addresses a highly salient public health problem with a contentious morality policy solution in which sides are drawn based on personal values. On one side, abstinence advocates denounce nonmarital sexual relations as both physically and psychologically damaging, and on the other side, many people believe that arming teenagers with accurate information is the best way to reduce teen pregnancy and the risk of disease. Although the enactment of the policy has been somewhat satisfying to abstinence advocates, they have continued to scrutinize the process of implementation by bureaucrats; in some cases, like Arkansas and Kentucky’s Arbor County, advocates have been in charge of implementation and tensions have run high. 450 ARPA / December 2001 W</w:t>
      </w:r>
      <w:r w:rsidRPr="00C25C72">
        <w:rPr>
          <w:rStyle w:val="StyleUnderline"/>
        </w:rPr>
        <w:t xml:space="preserve">ith the ideological battle lines drawn at every level of government and more than $1 billion in combined federal and state funds going to abstinence-only programs over a 5-year period, the fate of this intergovernmental attempt at morality shaping will be interesting to watch.6 In the end, perhaps the case of Arbor County will be instructive for implementation of morality policies across the country: Fierce controversy and demagoguery do nothing to foster policy outcomes. </w:t>
      </w:r>
      <w:r w:rsidRPr="00C25C72">
        <w:rPr>
          <w:rStyle w:val="Emphasis"/>
        </w:rPr>
        <w:t>To move any piece of legislation toward productive policy outcomes, the terms of the debate must be tempered and those implementing the policy must share its instrumental goal (in this case, reducing teen pregnancies). O</w:t>
      </w:r>
      <w:r w:rsidRPr="00C25C72">
        <w:rPr>
          <w:rStyle w:val="StyleUnderline"/>
        </w:rPr>
        <w:t>n the other hand, one of the key characteristics of morality policy is the battle between competing ideologies; compromise and cooperation in implementing any morality policy, including Title V abstinence-only sex education, may prove to be impossible in many communities.</w:t>
      </w:r>
    </w:p>
    <w:p w:rsidR="00A02692" w:rsidRPr="0053790E" w:rsidRDefault="00A02692" w:rsidP="00A02692"/>
    <w:p w:rsidR="00A02692" w:rsidRDefault="00A02692" w:rsidP="00A02692"/>
    <w:p w:rsidR="00A02692" w:rsidRDefault="00A02692" w:rsidP="00A02692">
      <w:pPr>
        <w:pStyle w:val="Heading3"/>
      </w:pPr>
      <w:r>
        <w:t xml:space="preserve">Devolution Bad—Austerity </w:t>
      </w:r>
    </w:p>
    <w:p w:rsidR="00A02692" w:rsidRPr="00F55779" w:rsidRDefault="00A02692" w:rsidP="00A02692">
      <w:pPr>
        <w:rPr>
          <w:rStyle w:val="Style13ptBold"/>
        </w:rPr>
      </w:pPr>
      <w:r>
        <w:rPr>
          <w:rStyle w:val="Style13ptBold"/>
        </w:rPr>
        <w:t>Devolution increases austerity measures—fund for education tradeoff with other social programs</w:t>
      </w:r>
    </w:p>
    <w:p w:rsidR="00A02692" w:rsidRPr="00F55779" w:rsidRDefault="00A02692" w:rsidP="00A02692">
      <w:pPr>
        <w:rPr>
          <w:rStyle w:val="Style13ptBold"/>
          <w:b w:val="0"/>
        </w:rPr>
      </w:pPr>
      <w:proofErr w:type="spellStart"/>
      <w:r>
        <w:rPr>
          <w:rStyle w:val="Style13ptBold"/>
        </w:rPr>
        <w:t>Finegold</w:t>
      </w:r>
      <w:proofErr w:type="spellEnd"/>
      <w:r>
        <w:rPr>
          <w:rStyle w:val="Style13ptBold"/>
        </w:rPr>
        <w:t xml:space="preserve"> et al. 03 </w:t>
      </w:r>
      <w:r w:rsidRPr="00F55779">
        <w:rPr>
          <w:rStyle w:val="Style13ptBold"/>
          <w:b w:val="0"/>
          <w:sz w:val="16"/>
          <w:szCs w:val="16"/>
        </w:rPr>
        <w:t xml:space="preserve">[Kenneth </w:t>
      </w:r>
      <w:proofErr w:type="spellStart"/>
      <w:r w:rsidRPr="00F55779">
        <w:rPr>
          <w:rStyle w:val="Style13ptBold"/>
          <w:b w:val="0"/>
          <w:sz w:val="16"/>
          <w:szCs w:val="16"/>
        </w:rPr>
        <w:t>Finegold</w:t>
      </w:r>
      <w:proofErr w:type="spellEnd"/>
      <w:r w:rsidRPr="00F55779">
        <w:rPr>
          <w:rStyle w:val="Style13ptBold"/>
          <w:b w:val="0"/>
          <w:sz w:val="16"/>
          <w:szCs w:val="16"/>
        </w:rPr>
        <w:t xml:space="preserve">, Stephanie </w:t>
      </w:r>
      <w:proofErr w:type="spellStart"/>
      <w:r w:rsidRPr="00F55779">
        <w:rPr>
          <w:rStyle w:val="Style13ptBold"/>
          <w:b w:val="0"/>
          <w:sz w:val="16"/>
          <w:szCs w:val="16"/>
        </w:rPr>
        <w:t>Schardin</w:t>
      </w:r>
      <w:proofErr w:type="spellEnd"/>
      <w:r w:rsidRPr="00F55779">
        <w:rPr>
          <w:rStyle w:val="Style13ptBold"/>
          <w:b w:val="0"/>
          <w:sz w:val="16"/>
          <w:szCs w:val="16"/>
        </w:rPr>
        <w:t xml:space="preserve">, and Rebecca Steinbach. Kenneth </w:t>
      </w:r>
      <w:proofErr w:type="spellStart"/>
      <w:r w:rsidRPr="00F55779">
        <w:rPr>
          <w:rStyle w:val="Style13ptBold"/>
          <w:b w:val="0"/>
          <w:sz w:val="16"/>
          <w:szCs w:val="16"/>
        </w:rPr>
        <w:t>Finegold</w:t>
      </w:r>
      <w:proofErr w:type="spellEnd"/>
      <w:r w:rsidRPr="00F55779">
        <w:rPr>
          <w:rStyle w:val="Style13ptBold"/>
          <w:b w:val="0"/>
          <w:sz w:val="16"/>
          <w:szCs w:val="16"/>
        </w:rPr>
        <w:t xml:space="preserve"> is a senior research associate with the Urban Institute’s Assessing the New Federalism project. Stephanie </w:t>
      </w:r>
      <w:proofErr w:type="spellStart"/>
      <w:r w:rsidRPr="00F55779">
        <w:rPr>
          <w:rStyle w:val="Style13ptBold"/>
          <w:b w:val="0"/>
          <w:sz w:val="16"/>
          <w:szCs w:val="16"/>
        </w:rPr>
        <w:t>Schardin</w:t>
      </w:r>
      <w:proofErr w:type="spellEnd"/>
      <w:r w:rsidRPr="00F55779">
        <w:rPr>
          <w:rStyle w:val="Style13ptBold"/>
          <w:b w:val="0"/>
          <w:sz w:val="16"/>
          <w:szCs w:val="16"/>
        </w:rPr>
        <w:t xml:space="preserve"> and Rebecca Steinbach are research assistants with the Urban Institute’s Assessing the New Federalism project. “How Are States Responding to Fiscal Stress?” </w:t>
      </w:r>
      <w:r w:rsidRPr="00F55779">
        <w:rPr>
          <w:rStyle w:val="Style13ptBold"/>
          <w:b w:val="0"/>
          <w:i/>
          <w:sz w:val="16"/>
          <w:szCs w:val="16"/>
        </w:rPr>
        <w:t xml:space="preserve">The Urban Institute. </w:t>
      </w:r>
      <w:hyperlink r:id="rId156" w:history="1">
        <w:r w:rsidRPr="00F55779">
          <w:rPr>
            <w:rStyle w:val="Hyperlink"/>
            <w:sz w:val="16"/>
            <w:szCs w:val="16"/>
          </w:rPr>
          <w:t>http://www.urban.org/sites/default/files/publication/58881/310658-How-Are-States-Responding-to-Fiscal-Stress-.PDF</w:t>
        </w:r>
      </w:hyperlink>
      <w:r w:rsidRPr="00F55779">
        <w:rPr>
          <w:rStyle w:val="Style13ptBold"/>
          <w:b w:val="0"/>
          <w:sz w:val="16"/>
          <w:szCs w:val="16"/>
        </w:rPr>
        <w:t>. SH]</w:t>
      </w:r>
    </w:p>
    <w:p w:rsidR="00A02692" w:rsidRPr="00F55779" w:rsidRDefault="00A02692" w:rsidP="00A02692">
      <w:pPr>
        <w:rPr>
          <w:rStyle w:val="Emphasis"/>
        </w:rPr>
      </w:pPr>
      <w:r w:rsidRPr="00F55779">
        <w:rPr>
          <w:rStyle w:val="StyleUnderline"/>
        </w:rPr>
        <w:t>States responded to the current fiscal crisis by turning first to reserves and other one-time revenue sources, often postponing fiscal troubles. Tax solutions</w:t>
      </w:r>
      <w:r w:rsidRPr="00F55779">
        <w:rPr>
          <w:sz w:val="16"/>
        </w:rPr>
        <w:t xml:space="preserve">, which helped states out of the last fiscal downturn, </w:t>
      </w:r>
      <w:r w:rsidRPr="00F55779">
        <w:rPr>
          <w:rStyle w:val="StyleUnderline"/>
        </w:rPr>
        <w:t>have been limited</w:t>
      </w:r>
      <w:r w:rsidRPr="00F55779">
        <w:rPr>
          <w:sz w:val="16"/>
        </w:rPr>
        <w:t xml:space="preserve">. This is partly due to current political preferences, but </w:t>
      </w:r>
      <w:r w:rsidRPr="00F55779">
        <w:rPr>
          <w:rStyle w:val="StyleUnderline"/>
        </w:rPr>
        <w:t>state laws also severely restricted some states’ abilities to increase taxes, prompting one interviewee to say that states “tied their own hands</w:t>
      </w:r>
      <w:r w:rsidRPr="00F55779">
        <w:rPr>
          <w:sz w:val="16"/>
        </w:rPr>
        <w:t xml:space="preserve">.” The heavy reliance on one-time revenue shifts and short-term solutions suggest states’ most difficult fiscal choices are yet to come. </w:t>
      </w:r>
      <w:r w:rsidRPr="00F55779">
        <w:rPr>
          <w:rStyle w:val="StyleUnderline"/>
        </w:rPr>
        <w:t>When spending cuts were necessary, states generally tried to delay planned expansions</w:t>
      </w:r>
      <w:r w:rsidRPr="00F55779">
        <w:rPr>
          <w:sz w:val="16"/>
        </w:rPr>
        <w:t xml:space="preserve"> rather than make current participants ineligible, </w:t>
      </w:r>
      <w:r w:rsidRPr="00F55779">
        <w:rPr>
          <w:rStyle w:val="StyleUnderline"/>
        </w:rPr>
        <w:t>and to implement across-the-board cuts</w:t>
      </w:r>
      <w:r w:rsidRPr="00F55779">
        <w:rPr>
          <w:sz w:val="16"/>
        </w:rPr>
        <w:t xml:space="preserve"> rather than single out particular programs. </w:t>
      </w:r>
      <w:r w:rsidRPr="00F55779">
        <w:rPr>
          <w:rStyle w:val="StyleUnderline"/>
        </w:rPr>
        <w:t>Personnel often felt reductions first, and as a result many agencies are currently understaffed. Service providers, state workers, and program recipients all felt reductions</w:t>
      </w:r>
      <w:r w:rsidRPr="00F55779">
        <w:rPr>
          <w:sz w:val="16"/>
        </w:rPr>
        <w:t xml:space="preserve">. </w:t>
      </w:r>
      <w:r w:rsidRPr="00F55779">
        <w:rPr>
          <w:rStyle w:val="Emphasis"/>
        </w:rPr>
        <w:t>Strong interest groups and constitutional provisions protected funding for education in some states. This left such other programs as TANF, Medicaid, and child care to bear the burden of spending reductions</w:t>
      </w:r>
      <w:r w:rsidRPr="00F55779">
        <w:rPr>
          <w:sz w:val="16"/>
        </w:rPr>
        <w:t xml:space="preserve">. The prosperity of the late 1990s seems to have masked serious structural problems in the financing of state governments. The sales tax base is being eroded by untaxed services and Internet, catalog, and </w:t>
      </w:r>
      <w:proofErr w:type="spellStart"/>
      <w:r w:rsidRPr="00F55779">
        <w:rPr>
          <w:sz w:val="16"/>
        </w:rPr>
        <w:t>crossborder</w:t>
      </w:r>
      <w:proofErr w:type="spellEnd"/>
      <w:r w:rsidRPr="00F55779">
        <w:rPr>
          <w:sz w:val="16"/>
        </w:rPr>
        <w:t xml:space="preserve"> sales (Bruce and Fox 2000). Greater dependence on income taxes implies greater volatility in tax collections because income tax revenues vary more from year to year than revenues from sales or property taxes do; revenues from taxing capital gains, stock options, and bonuses are especially unstable. </w:t>
      </w:r>
      <w:r w:rsidRPr="00F55779">
        <w:rPr>
          <w:rStyle w:val="StyleUnderline"/>
        </w:rPr>
        <w:t>Many states adopted permanent restrictions on revenue and/or spending growth pegged to levels that do not reflect the anticipated cost of programs state residents have come to expect their governments to operate</w:t>
      </w:r>
      <w:r w:rsidRPr="00F55779">
        <w:rPr>
          <w:sz w:val="16"/>
        </w:rPr>
        <w:t xml:space="preserve">. The federal government’s role in state budgets is mixed. On the one hand, MOE requirements and high matching rates have protected some national priorities. On the other hand, </w:t>
      </w:r>
      <w:r w:rsidRPr="00F55779">
        <w:rPr>
          <w:rStyle w:val="Emphasis"/>
        </w:rPr>
        <w:t>devolution of responsibility for social programs increases the demand on state budgets at precisely the time when resources are most limited.</w:t>
      </w:r>
    </w:p>
    <w:p w:rsidR="00A02692" w:rsidRPr="00F55779" w:rsidRDefault="00A02692" w:rsidP="00A02692"/>
    <w:p w:rsidR="00A02692" w:rsidRDefault="00A02692" w:rsidP="00A02692">
      <w:pPr>
        <w:pStyle w:val="Heading3"/>
      </w:pPr>
      <w:r>
        <w:t>Devolution Bad—Social Control</w:t>
      </w:r>
    </w:p>
    <w:p w:rsidR="00A02692" w:rsidRPr="0036635A" w:rsidRDefault="00A02692" w:rsidP="00A02692">
      <w:pPr>
        <w:pStyle w:val="Heading4"/>
        <w:rPr>
          <w:rStyle w:val="Style13ptBold"/>
          <w:b/>
        </w:rPr>
      </w:pPr>
      <w:r w:rsidRPr="0036635A">
        <w:rPr>
          <w:rStyle w:val="Style13ptBold"/>
          <w:b/>
        </w:rPr>
        <w:t xml:space="preserve">Devolution fuels racial-neoliberal governance—social control manifests under the guise of neutrality and efficiency </w:t>
      </w:r>
    </w:p>
    <w:p w:rsidR="00A02692" w:rsidRPr="0036635A" w:rsidRDefault="00A02692" w:rsidP="00A02692">
      <w:pPr>
        <w:jc w:val="both"/>
        <w:rPr>
          <w:rStyle w:val="Style13ptBold"/>
          <w:b w:val="0"/>
        </w:rPr>
      </w:pPr>
      <w:proofErr w:type="spellStart"/>
      <w:r>
        <w:rPr>
          <w:rStyle w:val="Style13ptBold"/>
        </w:rPr>
        <w:t>Soss</w:t>
      </w:r>
      <w:proofErr w:type="spellEnd"/>
      <w:r>
        <w:rPr>
          <w:rStyle w:val="Style13ptBold"/>
        </w:rPr>
        <w:t xml:space="preserve"> et al. 11 </w:t>
      </w:r>
      <w:r w:rsidRPr="0036635A">
        <w:rPr>
          <w:rStyle w:val="Style13ptBold"/>
          <w:b w:val="0"/>
          <w:sz w:val="16"/>
          <w:szCs w:val="16"/>
        </w:rPr>
        <w:t xml:space="preserve">[Joe </w:t>
      </w:r>
      <w:proofErr w:type="spellStart"/>
      <w:r w:rsidRPr="0036635A">
        <w:rPr>
          <w:rStyle w:val="Style13ptBold"/>
          <w:b w:val="0"/>
          <w:sz w:val="16"/>
          <w:szCs w:val="16"/>
        </w:rPr>
        <w:t>Soss</w:t>
      </w:r>
      <w:proofErr w:type="spellEnd"/>
      <w:r w:rsidRPr="0036635A">
        <w:rPr>
          <w:rStyle w:val="Style13ptBold"/>
          <w:b w:val="0"/>
          <w:sz w:val="16"/>
          <w:szCs w:val="16"/>
        </w:rPr>
        <w:t xml:space="preserve">, Richard C. Fording, Sanford F. </w:t>
      </w:r>
      <w:proofErr w:type="spellStart"/>
      <w:r w:rsidRPr="0036635A">
        <w:rPr>
          <w:rStyle w:val="Style13ptBold"/>
          <w:b w:val="0"/>
          <w:sz w:val="16"/>
          <w:szCs w:val="16"/>
        </w:rPr>
        <w:t>Schram</w:t>
      </w:r>
      <w:proofErr w:type="spellEnd"/>
      <w:r w:rsidRPr="0036635A">
        <w:rPr>
          <w:rStyle w:val="Style13ptBold"/>
          <w:b w:val="0"/>
          <w:sz w:val="16"/>
          <w:szCs w:val="16"/>
        </w:rPr>
        <w:t xml:space="preserve">. JOE SOSS is the Cowles Professor for the Study of Public Service in the Hubert H. Humphrey School of Public Affairs at the University of Minnesota. RICHARD C. FORDING is professor and chair of the Department of Political Science at the University of Alabama. SANFORD F. SCHRAM teaches in the Graduate School of Social Work and Social Research at Bryn </w:t>
      </w:r>
      <w:proofErr w:type="spellStart"/>
      <w:r w:rsidRPr="0036635A">
        <w:rPr>
          <w:rStyle w:val="Style13ptBold"/>
          <w:b w:val="0"/>
          <w:sz w:val="16"/>
          <w:szCs w:val="16"/>
        </w:rPr>
        <w:t>Mawr</w:t>
      </w:r>
      <w:proofErr w:type="spellEnd"/>
      <w:r w:rsidRPr="0036635A">
        <w:rPr>
          <w:rStyle w:val="Style13ptBold"/>
          <w:b w:val="0"/>
          <w:sz w:val="16"/>
          <w:szCs w:val="16"/>
        </w:rPr>
        <w:t xml:space="preserve"> College. </w:t>
      </w:r>
      <w:r w:rsidRPr="0036635A">
        <w:rPr>
          <w:rStyle w:val="Style13ptBold"/>
          <w:b w:val="0"/>
          <w:i/>
          <w:sz w:val="16"/>
          <w:szCs w:val="16"/>
        </w:rPr>
        <w:t xml:space="preserve">Disciplining the poor : neoliberal paternalism and the persistent power of race. </w:t>
      </w:r>
      <w:r w:rsidRPr="0036635A">
        <w:rPr>
          <w:rStyle w:val="Style13ptBold"/>
          <w:b w:val="0"/>
          <w:sz w:val="16"/>
          <w:szCs w:val="16"/>
        </w:rPr>
        <w:t>Pg. number at bottom. SH]</w:t>
      </w:r>
    </w:p>
    <w:p w:rsidR="00A02692" w:rsidRDefault="00A02692" w:rsidP="00A02692">
      <w:pPr>
        <w:jc w:val="both"/>
        <w:rPr>
          <w:sz w:val="16"/>
        </w:rPr>
      </w:pPr>
      <w:r w:rsidRPr="0036635A">
        <w:rPr>
          <w:sz w:val="16"/>
        </w:rPr>
        <w:t xml:space="preserve">State Policy Choices: Second-Order Devolution </w:t>
      </w:r>
      <w:r w:rsidRPr="0036635A">
        <w:rPr>
          <w:rStyle w:val="StyleUnderline"/>
        </w:rPr>
        <w:t xml:space="preserve">The choices that states confronted after 1996 were a result of what students of federalism call “fi </w:t>
      </w:r>
      <w:proofErr w:type="spellStart"/>
      <w:r w:rsidRPr="0036635A">
        <w:rPr>
          <w:rStyle w:val="StyleUnderline"/>
        </w:rPr>
        <w:t>rst</w:t>
      </w:r>
      <w:proofErr w:type="spellEnd"/>
      <w:r w:rsidRPr="0036635A">
        <w:rPr>
          <w:rStyle w:val="StyleUnderline"/>
        </w:rPr>
        <w:t xml:space="preserve">-order” devolution—a shift in responsibilities from the federal level to the states. In the years that followed, state </w:t>
      </w:r>
      <w:proofErr w:type="spellStart"/>
      <w:r w:rsidRPr="0036635A">
        <w:rPr>
          <w:rStyle w:val="StyleUnderline"/>
        </w:rPr>
        <w:t>offi</w:t>
      </w:r>
      <w:proofErr w:type="spellEnd"/>
      <w:r w:rsidRPr="0036635A">
        <w:rPr>
          <w:rStyle w:val="StyleUnderline"/>
        </w:rPr>
        <w:t xml:space="preserve"> </w:t>
      </w:r>
      <w:proofErr w:type="spellStart"/>
      <w:r w:rsidRPr="0036635A">
        <w:rPr>
          <w:rStyle w:val="StyleUnderline"/>
        </w:rPr>
        <w:t>cials</w:t>
      </w:r>
      <w:proofErr w:type="spellEnd"/>
      <w:r w:rsidRPr="0036635A">
        <w:rPr>
          <w:rStyle w:val="StyleUnderline"/>
        </w:rPr>
        <w:t xml:space="preserve"> faced a parallel question regarding “second-order” devolution: Should a state govern</w:t>
      </w:r>
      <w:r w:rsidRPr="0036635A">
        <w:rPr>
          <w:sz w:val="16"/>
        </w:rPr>
        <w:t xml:space="preserve"> its TANF program </w:t>
      </w:r>
      <w:r w:rsidRPr="0036635A">
        <w:rPr>
          <w:rStyle w:val="StyleUnderline"/>
        </w:rPr>
        <w:t>directly from the center, or should it shift primary responsibility to local authorities and try to shape their actions through structures and incentives</w:t>
      </w:r>
      <w:r w:rsidRPr="0036635A">
        <w:rPr>
          <w:sz w:val="16"/>
        </w:rPr>
        <w:t xml:space="preserve">? For several reasons, an analysis of state decisions in this area has the potential to advance understandings of the turn to neoliberal paternalism. First, as described in chapter 2, </w:t>
      </w:r>
      <w:r w:rsidRPr="0036635A">
        <w:rPr>
          <w:rStyle w:val="StyleUnderline"/>
        </w:rPr>
        <w:t>devolution is a central feature of the neoliberal vision</w:t>
      </w:r>
      <w:r w:rsidRPr="0036635A">
        <w:rPr>
          <w:sz w:val="16"/>
        </w:rPr>
        <w:t xml:space="preserve"> of poverty governance. Although other elements of this vision, such as privatization and performance management, will occupy our attention in later chapters, they are </w:t>
      </w:r>
      <w:proofErr w:type="spellStart"/>
      <w:r w:rsidRPr="0036635A">
        <w:rPr>
          <w:sz w:val="16"/>
        </w:rPr>
        <w:t>diffi</w:t>
      </w:r>
      <w:proofErr w:type="spellEnd"/>
      <w:r w:rsidRPr="0036635A">
        <w:rPr>
          <w:sz w:val="16"/>
        </w:rPr>
        <w:t xml:space="preserve"> cult to observe at the state level. By contrast, second-order devolution of TANF authority provides a sharp and measurable reversal of state operations under AFDC. Over the lifespan of the AFDC program, the clear trend was toward “second-order centralization,” with seventeen states moving from an emphasis on local control to greater state supervision and no states moving in the opposite direction (</w:t>
      </w:r>
      <w:proofErr w:type="spellStart"/>
      <w:r w:rsidRPr="0036635A">
        <w:rPr>
          <w:sz w:val="16"/>
        </w:rPr>
        <w:t>Adkisson</w:t>
      </w:r>
      <w:proofErr w:type="spellEnd"/>
      <w:r w:rsidRPr="0036635A">
        <w:rPr>
          <w:sz w:val="16"/>
        </w:rPr>
        <w:t xml:space="preserve"> and Peach 2000). After 1996, many observers predicted that fi </w:t>
      </w:r>
      <w:proofErr w:type="spellStart"/>
      <w:r w:rsidRPr="0036635A">
        <w:rPr>
          <w:sz w:val="16"/>
        </w:rPr>
        <w:t>rst</w:t>
      </w:r>
      <w:proofErr w:type="spellEnd"/>
      <w:r w:rsidRPr="0036635A">
        <w:rPr>
          <w:sz w:val="16"/>
        </w:rPr>
        <w:t xml:space="preserve">-order devolution would lead seamlessly to second-order devolution in the states (Nathan and </w:t>
      </w:r>
      <w:proofErr w:type="spellStart"/>
      <w:r w:rsidRPr="0036635A">
        <w:rPr>
          <w:sz w:val="16"/>
        </w:rPr>
        <w:t>Gais</w:t>
      </w:r>
      <w:proofErr w:type="spellEnd"/>
      <w:r w:rsidRPr="0036635A">
        <w:rPr>
          <w:sz w:val="16"/>
        </w:rPr>
        <w:t xml:space="preserve"> 1999). Events, however, did not cooperate. Under TANF, second-order devolution turned out to be an important political choice, not a natural or inevitable outgrowth of reform. Second, </w:t>
      </w:r>
      <w:r w:rsidRPr="0036635A">
        <w:rPr>
          <w:rStyle w:val="StyleUnderline"/>
        </w:rPr>
        <w:t>social control theorists have long emphasized how the localization of policy authority facilitates the regulation of moral conduct and labor participation</w:t>
      </w:r>
      <w:r w:rsidRPr="0036635A">
        <w:rPr>
          <w:sz w:val="16"/>
        </w:rPr>
        <w:t xml:space="preserve"> (</w:t>
      </w:r>
      <w:proofErr w:type="spellStart"/>
      <w:r w:rsidRPr="0036635A">
        <w:rPr>
          <w:sz w:val="16"/>
        </w:rPr>
        <w:t>Lowi</w:t>
      </w:r>
      <w:proofErr w:type="spellEnd"/>
      <w:r w:rsidRPr="0036635A">
        <w:rPr>
          <w:sz w:val="16"/>
        </w:rPr>
        <w:t xml:space="preserve"> 1998; Handler and </w:t>
      </w:r>
      <w:proofErr w:type="spellStart"/>
      <w:r w:rsidRPr="0036635A">
        <w:rPr>
          <w:sz w:val="16"/>
        </w:rPr>
        <w:t>Hasenfeld</w:t>
      </w:r>
      <w:proofErr w:type="spellEnd"/>
      <w:r w:rsidRPr="0036635A">
        <w:rPr>
          <w:sz w:val="16"/>
        </w:rPr>
        <w:t xml:space="preserve"> 1991; </w:t>
      </w:r>
      <w:proofErr w:type="spellStart"/>
      <w:r w:rsidRPr="0036635A">
        <w:rPr>
          <w:sz w:val="16"/>
        </w:rPr>
        <w:t>Piven</w:t>
      </w:r>
      <w:proofErr w:type="spellEnd"/>
      <w:r w:rsidRPr="0036635A">
        <w:rPr>
          <w:sz w:val="16"/>
        </w:rPr>
        <w:t xml:space="preserve"> and </w:t>
      </w:r>
      <w:proofErr w:type="spellStart"/>
      <w:r w:rsidRPr="0036635A">
        <w:rPr>
          <w:sz w:val="16"/>
        </w:rPr>
        <w:t>Cloward</w:t>
      </w:r>
      <w:proofErr w:type="spellEnd"/>
      <w:r w:rsidRPr="0036635A">
        <w:rPr>
          <w:sz w:val="16"/>
        </w:rPr>
        <w:t xml:space="preserve"> 1971). Echoing this perspective, Gainsborough (2003: 618) suggests that second- order TANF devolution represented “a shift in emphasis away from the needs of the poor toward the needs of local employers.” Such arguments stand </w:t>
      </w:r>
      <w:r w:rsidRPr="0036635A">
        <w:rPr>
          <w:rStyle w:val="StyleUnderline"/>
        </w:rPr>
        <w:t xml:space="preserve">in sharp contrast to leading accounts of local devolution, which portray it as a politically neutral effort to enhance effectiveness and </w:t>
      </w:r>
      <w:proofErr w:type="spellStart"/>
      <w:r w:rsidRPr="0036635A">
        <w:rPr>
          <w:rStyle w:val="StyleUnderline"/>
        </w:rPr>
        <w:t>effi</w:t>
      </w:r>
      <w:proofErr w:type="spellEnd"/>
      <w:r w:rsidRPr="0036635A">
        <w:rPr>
          <w:rStyle w:val="StyleUnderline"/>
        </w:rPr>
        <w:t xml:space="preserve"> </w:t>
      </w:r>
      <w:proofErr w:type="spellStart"/>
      <w:r w:rsidRPr="0036635A">
        <w:rPr>
          <w:rStyle w:val="StyleUnderline"/>
        </w:rPr>
        <w:t>ciency</w:t>
      </w:r>
      <w:proofErr w:type="spellEnd"/>
      <w:r w:rsidRPr="0036635A">
        <w:rPr>
          <w:rStyle w:val="StyleUnderline"/>
        </w:rPr>
        <w:t xml:space="preserve"> or as a way to promote more tailored responses to local preferences and problems</w:t>
      </w:r>
      <w:r w:rsidRPr="0036635A">
        <w:rPr>
          <w:sz w:val="16"/>
        </w:rPr>
        <w:t xml:space="preserve"> (Dye 1990; </w:t>
      </w:r>
      <w:proofErr w:type="spellStart"/>
      <w:r w:rsidRPr="0036635A">
        <w:rPr>
          <w:sz w:val="16"/>
        </w:rPr>
        <w:t>Rivlin</w:t>
      </w:r>
      <w:proofErr w:type="spellEnd"/>
      <w:r w:rsidRPr="0036635A">
        <w:rPr>
          <w:sz w:val="16"/>
        </w:rPr>
        <w:t xml:space="preserve"> 1992; </w:t>
      </w:r>
      <w:proofErr w:type="spellStart"/>
      <w:r w:rsidRPr="0036635A">
        <w:rPr>
          <w:sz w:val="16"/>
        </w:rPr>
        <w:t>Kettl</w:t>
      </w:r>
      <w:proofErr w:type="spellEnd"/>
      <w:r w:rsidRPr="0036635A">
        <w:rPr>
          <w:sz w:val="16"/>
        </w:rPr>
        <w:t xml:space="preserve"> 2005). In such accounts, </w:t>
      </w:r>
      <w:r w:rsidRPr="0036635A">
        <w:rPr>
          <w:rStyle w:val="StyleUnderline"/>
        </w:rPr>
        <w:t>the paired historical emergence of paternalism and devolution appears to be an unrelated coincidence</w:t>
      </w:r>
      <w:r w:rsidRPr="0036635A">
        <w:rPr>
          <w:sz w:val="16"/>
        </w:rPr>
        <w:t xml:space="preserve">. By contrast, social control theorists suggest that decisions to localize poverty governance make the paternalist features of TANF programs into more </w:t>
      </w:r>
      <w:proofErr w:type="spellStart"/>
      <w:r w:rsidRPr="0036635A">
        <w:rPr>
          <w:sz w:val="16"/>
        </w:rPr>
        <w:t>fl</w:t>
      </w:r>
      <w:proofErr w:type="spellEnd"/>
      <w:r w:rsidRPr="0036635A">
        <w:rPr>
          <w:sz w:val="16"/>
        </w:rPr>
        <w:t xml:space="preserve"> </w:t>
      </w:r>
      <w:proofErr w:type="spellStart"/>
      <w:r w:rsidRPr="0036635A">
        <w:rPr>
          <w:sz w:val="16"/>
        </w:rPr>
        <w:t>exible</w:t>
      </w:r>
      <w:proofErr w:type="spellEnd"/>
      <w:r w:rsidRPr="0036635A">
        <w:rPr>
          <w:sz w:val="16"/>
        </w:rPr>
        <w:t xml:space="preserve"> and far-reaching disciplinary regimes. Third, by analyzing second-order devolution, we extend our study of racial effects from the selection of disciplinary rules to the design of governing structures. The provisions analyzed in the preceding section were explicitly debated as tools for rectifying behavioral pathologies—disorders that, as we have seen, were disproportionately attributed to African Americans. In this sense, one does not have to reach far to see how larger numbers of black welfare recipients might make their passage more likely. </w:t>
      </w:r>
      <w:r w:rsidRPr="0036635A">
        <w:rPr>
          <w:rStyle w:val="StyleUnderline"/>
        </w:rPr>
        <w:t xml:space="preserve">The case of second-order devolution is less straightforward because advocates typically promoted it by criticizing “one size </w:t>
      </w:r>
      <w:proofErr w:type="spellStart"/>
      <w:r w:rsidRPr="0036635A">
        <w:rPr>
          <w:rStyle w:val="StyleUnderline"/>
        </w:rPr>
        <w:t>fi</w:t>
      </w:r>
      <w:proofErr w:type="spellEnd"/>
      <w:r w:rsidRPr="0036635A">
        <w:rPr>
          <w:rStyle w:val="StyleUnderline"/>
        </w:rPr>
        <w:t xml:space="preserve"> </w:t>
      </w:r>
      <w:proofErr w:type="spellStart"/>
      <w:r w:rsidRPr="0036635A">
        <w:rPr>
          <w:rStyle w:val="StyleUnderline"/>
        </w:rPr>
        <w:t>ts</w:t>
      </w:r>
      <w:proofErr w:type="spellEnd"/>
      <w:r w:rsidRPr="0036635A">
        <w:rPr>
          <w:rStyle w:val="StyleUnderline"/>
        </w:rPr>
        <w:t xml:space="preserve"> all” approaches and citing racially neutral values such as community involvement, </w:t>
      </w:r>
      <w:proofErr w:type="spellStart"/>
      <w:r w:rsidRPr="0036635A">
        <w:rPr>
          <w:rStyle w:val="StyleUnderline"/>
        </w:rPr>
        <w:t>effi</w:t>
      </w:r>
      <w:proofErr w:type="spellEnd"/>
      <w:r w:rsidRPr="0036635A">
        <w:rPr>
          <w:rStyle w:val="StyleUnderline"/>
        </w:rPr>
        <w:t xml:space="preserve"> </w:t>
      </w:r>
      <w:proofErr w:type="spellStart"/>
      <w:r w:rsidRPr="0036635A">
        <w:rPr>
          <w:rStyle w:val="StyleUnderline"/>
        </w:rPr>
        <w:t>ciency</w:t>
      </w:r>
      <w:proofErr w:type="spellEnd"/>
      <w:r w:rsidRPr="0036635A">
        <w:rPr>
          <w:rStyle w:val="StyleUnderline"/>
        </w:rPr>
        <w:t>, and effectiveness</w:t>
      </w:r>
      <w:r w:rsidRPr="0036635A">
        <w:rPr>
          <w:sz w:val="16"/>
        </w:rPr>
        <w:t xml:space="preserve">. Thus, if one follows the political discourse, </w:t>
      </w:r>
      <w:r w:rsidRPr="0036635A">
        <w:rPr>
          <w:rStyle w:val="StyleUnderline"/>
        </w:rPr>
        <w:t>it seems reasonable to think that race might shape choices among disciplinary rules but have little effect on choices regarding devolution</w:t>
      </w:r>
      <w:r w:rsidRPr="0036635A">
        <w:rPr>
          <w:sz w:val="16"/>
        </w:rPr>
        <w:t>. With racialized questions of behavior less prominent, one might also imagine that decisions regarding devolution were shaped by a broader array of state-level factors.</w:t>
      </w:r>
    </w:p>
    <w:p w:rsidR="00A02692" w:rsidRPr="0036635A" w:rsidRDefault="00A02692" w:rsidP="00A02692">
      <w:r w:rsidRPr="0036635A">
        <w:t>128-130</w:t>
      </w:r>
    </w:p>
    <w:p w:rsidR="00A02692" w:rsidRPr="00615A60" w:rsidRDefault="00A02692" w:rsidP="00A02692">
      <w:pPr>
        <w:pStyle w:val="Heading3"/>
      </w:pPr>
      <w:r>
        <w:t xml:space="preserve">Devolution Bad—Neoliberalism </w:t>
      </w:r>
    </w:p>
    <w:p w:rsidR="00A02692" w:rsidRPr="00AC1FFF" w:rsidRDefault="00A02692" w:rsidP="00A02692">
      <w:pPr>
        <w:pStyle w:val="Heading4"/>
        <w:rPr>
          <w:rStyle w:val="Style13ptBold"/>
          <w:b/>
        </w:rPr>
      </w:pPr>
      <w:r w:rsidRPr="00AC1FFF">
        <w:rPr>
          <w:rStyle w:val="Style13ptBold"/>
          <w:b/>
        </w:rPr>
        <w:t>Devolution to states maintains a neoliberal structure of fiscal federalism that eviscerates public goods</w:t>
      </w:r>
    </w:p>
    <w:p w:rsidR="00A02692" w:rsidRPr="00AC1FFF" w:rsidRDefault="00A02692" w:rsidP="00A02692">
      <w:pPr>
        <w:jc w:val="both"/>
        <w:rPr>
          <w:rStyle w:val="Style13ptBold"/>
          <w:b w:val="0"/>
        </w:rPr>
      </w:pPr>
      <w:r>
        <w:rPr>
          <w:rStyle w:val="Style13ptBold"/>
        </w:rPr>
        <w:t xml:space="preserve">Peck 13 </w:t>
      </w:r>
      <w:r w:rsidRPr="00AC1FFF">
        <w:rPr>
          <w:rStyle w:val="Style13ptBold"/>
          <w:b w:val="0"/>
          <w:sz w:val="16"/>
          <w:szCs w:val="16"/>
        </w:rPr>
        <w:t xml:space="preserve">[Jamie. Canada Research Chair in Urban &amp; Regional Political Economy and Professor of Geography at The University of British Columbia. July 30, 2013. “Pushing austerity: state failure, municipal bankruptcy and the crises of fiscal federalism in the USA.” </w:t>
      </w:r>
      <w:r w:rsidRPr="00AC1FFF">
        <w:rPr>
          <w:rStyle w:val="Style13ptBold"/>
          <w:b w:val="0"/>
          <w:i/>
          <w:sz w:val="16"/>
          <w:szCs w:val="16"/>
        </w:rPr>
        <w:t xml:space="preserve">Cambridge Journal of Regions, Economy, and Society </w:t>
      </w:r>
      <w:r w:rsidRPr="00AC1FFF">
        <w:rPr>
          <w:rStyle w:val="Style13ptBold"/>
          <w:b w:val="0"/>
          <w:sz w:val="16"/>
          <w:szCs w:val="16"/>
        </w:rPr>
        <w:t xml:space="preserve">(2014) 7 (1): 17-44. DOI: </w:t>
      </w:r>
      <w:hyperlink r:id="rId157" w:history="1">
        <w:r w:rsidRPr="00AC1FFF">
          <w:rPr>
            <w:rStyle w:val="Hyperlink"/>
            <w:sz w:val="16"/>
            <w:szCs w:val="16"/>
          </w:rPr>
          <w:t>https://doi.org/10.1093/cjres/rst018</w:t>
        </w:r>
      </w:hyperlink>
      <w:r w:rsidRPr="00AC1FFF">
        <w:rPr>
          <w:rStyle w:val="Style13ptBold"/>
          <w:b w:val="0"/>
          <w:sz w:val="16"/>
          <w:szCs w:val="16"/>
        </w:rPr>
        <w:t>. SH]</w:t>
      </w:r>
    </w:p>
    <w:p w:rsidR="00A02692" w:rsidRDefault="00A02692" w:rsidP="00A02692">
      <w:pPr>
        <w:jc w:val="both"/>
        <w:rPr>
          <w:sz w:val="16"/>
        </w:rPr>
      </w:pPr>
      <w:r w:rsidRPr="00AC1FFF">
        <w:rPr>
          <w:rStyle w:val="StyleUnderline"/>
        </w:rPr>
        <w:t>What remains of the Keynesian commitment to public services in the USA (including education</w:t>
      </w:r>
      <w:r w:rsidRPr="00AC1FFF">
        <w:rPr>
          <w:sz w:val="16"/>
        </w:rPr>
        <w:t xml:space="preserve">, unemployment and disability insurance, corrections, welfare aid and health care for the poor) </w:t>
      </w:r>
      <w:r w:rsidRPr="00AC1FFF">
        <w:rPr>
          <w:rStyle w:val="StyleUnderline"/>
        </w:rPr>
        <w:t>is basically delivered at the state and local level</w:t>
      </w:r>
      <w:r w:rsidRPr="00AC1FFF">
        <w:rPr>
          <w:sz w:val="16"/>
        </w:rPr>
        <w:t xml:space="preserve">. This commitment continues to carry with it an </w:t>
      </w:r>
      <w:proofErr w:type="spellStart"/>
      <w:r w:rsidRPr="00AC1FFF">
        <w:rPr>
          <w:sz w:val="16"/>
        </w:rPr>
        <w:t>acyclical</w:t>
      </w:r>
      <w:proofErr w:type="spellEnd"/>
      <w:r w:rsidRPr="00AC1FFF">
        <w:rPr>
          <w:sz w:val="16"/>
        </w:rPr>
        <w:t xml:space="preserve"> or countercyclical logic, being geared more to social need than market conditions. This logic runs directly counter—both fiscally and ideologically—to the neoliberal imperatives of restraining social spending, devolving budgets and deferring to market conditions. While state and local government employment would once dependably rise during recessions, along with increased social spending, since the 1980s it has been falling, ever more steeply (Peck, 2012). “</w:t>
      </w:r>
      <w:r w:rsidRPr="00AC1FFF">
        <w:rPr>
          <w:rStyle w:val="StyleUnderline"/>
        </w:rPr>
        <w:t>The current U.S. fiscal federalism arrangement is hardwired to create cyclical financial distress,”</w:t>
      </w:r>
      <w:r w:rsidRPr="00AC1FFF">
        <w:rPr>
          <w:sz w:val="16"/>
        </w:rPr>
        <w:t xml:space="preserve"> Adam Levitin (2012, 1406–1407, 1404) writes, </w:t>
      </w:r>
      <w:r w:rsidRPr="00AC1FFF">
        <w:rPr>
          <w:rStyle w:val="StyleUnderline"/>
        </w:rPr>
        <w:t>the resulting budget crises having been exploited as a “partisan sword”</w:t>
      </w:r>
      <w:r w:rsidRPr="00AC1FFF">
        <w:rPr>
          <w:sz w:val="16"/>
        </w:rPr>
        <w:t xml:space="preserve"> by Republicans. There is no sign, however, that cumulative fiscal purging is opening a path towards a sustainable small-state settlement. To the contrary, </w:t>
      </w:r>
      <w:r w:rsidRPr="00AC1FFF">
        <w:rPr>
          <w:rStyle w:val="StyleUnderline"/>
        </w:rPr>
        <w:t>this devolved version of the Reagan-era ‘starve the beast’ strategy has been associated with intensifying conditions of budgetary crisis, as New Deal provisions have been progressively dismantled</w:t>
      </w:r>
      <w:r w:rsidRPr="00AC1FFF">
        <w:rPr>
          <w:sz w:val="16"/>
        </w:rPr>
        <w:t xml:space="preserve"> (Crotty, 2012).9 Both reflecting and locking in these conditions, </w:t>
      </w:r>
      <w:r w:rsidRPr="00AC1FFF">
        <w:rPr>
          <w:rStyle w:val="StyleUnderline"/>
        </w:rPr>
        <w:t xml:space="preserve">most states have balanced-budget requirements and/or legal limits on spending. With this limited scope for (fiscal and political) </w:t>
      </w:r>
      <w:proofErr w:type="spellStart"/>
      <w:r w:rsidRPr="00AC1FFF">
        <w:rPr>
          <w:rStyle w:val="StyleUnderline"/>
        </w:rPr>
        <w:t>manoeuvre</w:t>
      </w:r>
      <w:proofErr w:type="spellEnd"/>
      <w:r w:rsidRPr="00AC1FFF">
        <w:rPr>
          <w:rStyle w:val="StyleUnderline"/>
        </w:rPr>
        <w:t xml:space="preserve"> at the state level, the now typical pattern is to further localize budget pressures, to pass down (or rather, push) cuts to local governments. Budget crises therefore trickle down</w:t>
      </w:r>
      <w:r w:rsidRPr="00AC1FFF">
        <w:rPr>
          <w:sz w:val="16"/>
        </w:rPr>
        <w:t xml:space="preserve">. The key conclusion of a report on the ‘unprecedented challenges’ facing local governments in the period since the Great Recession, conducted by researchers at the Pew Charitable Trusts (2012, 3), was that </w:t>
      </w:r>
      <w:r w:rsidRPr="00AC1FFF">
        <w:rPr>
          <w:rStyle w:val="StyleUnderline"/>
        </w:rPr>
        <w:t xml:space="preserve">the sector was gripped in a “fiscal vise, squeezed on one side by reduced state aid and property tax income … and growing demand for services on the other.” Basic social and infrastructural needs are going unmet, while the scope for budgetary </w:t>
      </w:r>
      <w:proofErr w:type="spellStart"/>
      <w:r w:rsidRPr="00AC1FFF">
        <w:rPr>
          <w:rStyle w:val="StyleUnderline"/>
        </w:rPr>
        <w:t>manoeuvre</w:t>
      </w:r>
      <w:proofErr w:type="spellEnd"/>
      <w:r w:rsidRPr="00AC1FFF">
        <w:rPr>
          <w:rStyle w:val="StyleUnderline"/>
        </w:rPr>
        <w:t xml:space="preserve"> have become very strictly limited. Municipalities are barred from running deficit budgets. Moreover, all but four states have</w:t>
      </w:r>
      <w:r w:rsidRPr="00AC1FFF">
        <w:rPr>
          <w:sz w:val="16"/>
        </w:rPr>
        <w:t xml:space="preserve">, since the late 1970s, </w:t>
      </w:r>
      <w:r w:rsidRPr="00AC1FFF">
        <w:rPr>
          <w:rStyle w:val="StyleUnderline"/>
        </w:rPr>
        <w:t>placed restrictions on local tax-raising powers.</w:t>
      </w:r>
      <w:r w:rsidRPr="00AC1FFF">
        <w:rPr>
          <w:sz w:val="16"/>
        </w:rPr>
        <w:t xml:space="preserve"> So, </w:t>
      </w:r>
      <w:r w:rsidRPr="00AC1FFF">
        <w:rPr>
          <w:rStyle w:val="StyleUnderline"/>
        </w:rPr>
        <w:t>when revenues from property taxes and state transfers fall, significant service reductions, coupled with the retrenchment of public-sector workforces, is often the only available course of action at the local level—short of bankruptcy</w:t>
      </w:r>
      <w:r w:rsidRPr="00AC1FFF">
        <w:rPr>
          <w:sz w:val="16"/>
        </w:rPr>
        <w:t xml:space="preserve">. And given that bankruptcy amounts, in effect, to a process of politically unmanaged subjection to budget-driven structural adjustment, it is understandable that this is a rarely exercised option of last resort, for all its apparent appeal to some neoliberal hardliners. It is notable, however, that even when the likes of Carl DeMaio and his fellow </w:t>
      </w:r>
      <w:proofErr w:type="spellStart"/>
      <w:r w:rsidRPr="00AC1FFF">
        <w:rPr>
          <w:sz w:val="16"/>
        </w:rPr>
        <w:t>travellers</w:t>
      </w:r>
      <w:proofErr w:type="spellEnd"/>
      <w:r w:rsidRPr="00AC1FFF">
        <w:rPr>
          <w:sz w:val="16"/>
        </w:rPr>
        <w:t xml:space="preserve"> at ALEC and the Manhattan Institute express doubts about the more liberal use of bankruptcy provisions, they invariably make a strong case for simulating its effects, seeking other ways (for example via state collective-bargaining laws or binding tax caps) of driving spending reductions while “putting the squeeze on [the] unions” (McMahon, 2011, A17).</w:t>
      </w:r>
    </w:p>
    <w:p w:rsidR="00A02692" w:rsidRPr="00857176" w:rsidRDefault="00A02692" w:rsidP="00A02692">
      <w:pPr>
        <w:jc w:val="both"/>
        <w:rPr>
          <w:rStyle w:val="StyleUnderline"/>
        </w:rPr>
      </w:pPr>
    </w:p>
    <w:p w:rsidR="00A02692" w:rsidRPr="00212E1B" w:rsidRDefault="00A02692" w:rsidP="00A02692">
      <w:pPr>
        <w:pStyle w:val="Heading4"/>
        <w:rPr>
          <w:rStyle w:val="Style13ptBold"/>
          <w:b/>
        </w:rPr>
      </w:pPr>
      <w:r w:rsidRPr="00212E1B">
        <w:rPr>
          <w:rStyle w:val="Style13ptBold"/>
          <w:b/>
        </w:rPr>
        <w:t>These promote neoliberal displacement strategies that attack the socially and economically marginalized</w:t>
      </w:r>
    </w:p>
    <w:p w:rsidR="00A02692" w:rsidRPr="00AC1FFF" w:rsidRDefault="00A02692" w:rsidP="00A02692">
      <w:pPr>
        <w:jc w:val="both"/>
        <w:rPr>
          <w:rStyle w:val="Style13ptBold"/>
          <w:b w:val="0"/>
        </w:rPr>
      </w:pPr>
      <w:r>
        <w:rPr>
          <w:rStyle w:val="Style13ptBold"/>
        </w:rPr>
        <w:t xml:space="preserve">Peck 13 </w:t>
      </w:r>
      <w:r w:rsidRPr="00AC1FFF">
        <w:rPr>
          <w:rStyle w:val="Style13ptBold"/>
          <w:b w:val="0"/>
          <w:sz w:val="16"/>
          <w:szCs w:val="16"/>
        </w:rPr>
        <w:t xml:space="preserve">[Jamie. Canada Research Chair in Urban &amp; Regional Political Economy and Professor of Geography at The University of British Columbia. July 30, 2013. “Pushing austerity: state failure, municipal bankruptcy and the crises of fiscal federalism in the USA.” </w:t>
      </w:r>
      <w:r w:rsidRPr="00AC1FFF">
        <w:rPr>
          <w:rStyle w:val="Style13ptBold"/>
          <w:b w:val="0"/>
          <w:i/>
          <w:sz w:val="16"/>
          <w:szCs w:val="16"/>
        </w:rPr>
        <w:t xml:space="preserve">Cambridge Journal of Regions, Economy, and Society </w:t>
      </w:r>
      <w:r w:rsidRPr="00AC1FFF">
        <w:rPr>
          <w:rStyle w:val="Style13ptBold"/>
          <w:b w:val="0"/>
          <w:sz w:val="16"/>
          <w:szCs w:val="16"/>
        </w:rPr>
        <w:t xml:space="preserve">(2014) 7 (1): 17-44. DOI: </w:t>
      </w:r>
      <w:hyperlink r:id="rId158" w:history="1">
        <w:r w:rsidRPr="00AC1FFF">
          <w:rPr>
            <w:rStyle w:val="Hyperlink"/>
            <w:sz w:val="16"/>
            <w:szCs w:val="16"/>
          </w:rPr>
          <w:t>https://doi.org/10.1093/cjres/rst018</w:t>
        </w:r>
      </w:hyperlink>
      <w:r w:rsidRPr="00AC1FFF">
        <w:rPr>
          <w:rStyle w:val="Style13ptBold"/>
          <w:b w:val="0"/>
          <w:sz w:val="16"/>
          <w:szCs w:val="16"/>
        </w:rPr>
        <w:t>. SH]</w:t>
      </w:r>
    </w:p>
    <w:p w:rsidR="00A02692" w:rsidRPr="00857176" w:rsidRDefault="00A02692" w:rsidP="00A02692">
      <w:pPr>
        <w:jc w:val="both"/>
        <w:rPr>
          <w:sz w:val="16"/>
        </w:rPr>
      </w:pPr>
      <w:r w:rsidRPr="00857176">
        <w:rPr>
          <w:rStyle w:val="StyleUnderline"/>
        </w:rPr>
        <w:t>Neoliberal austerity measures are strategies of displacement. They facilitate the regressive redistribution of the costs and risks of economic stagnation, deregulatory failure and financial overreach, displacing</w:t>
      </w:r>
      <w:r w:rsidRPr="00857176">
        <w:rPr>
          <w:sz w:val="16"/>
        </w:rPr>
        <w:t xml:space="preserve"> the </w:t>
      </w:r>
      <w:r w:rsidRPr="00857176">
        <w:rPr>
          <w:rStyle w:val="StyleUnderline"/>
        </w:rPr>
        <w:t>consequences</w:t>
      </w:r>
      <w:r w:rsidRPr="00857176">
        <w:rPr>
          <w:sz w:val="16"/>
        </w:rPr>
        <w:t xml:space="preserve"> of the Wall Street crisis </w:t>
      </w:r>
      <w:r w:rsidRPr="00857176">
        <w:rPr>
          <w:rStyle w:val="StyleUnderline"/>
        </w:rPr>
        <w:t>from the market to the state, from elites to the marginalized and from the federal government to state and municipal authorities</w:t>
      </w:r>
      <w:r w:rsidRPr="00857176">
        <w:rPr>
          <w:sz w:val="16"/>
        </w:rPr>
        <w:t xml:space="preserve">. As such, </w:t>
      </w:r>
      <w:r w:rsidRPr="00857176">
        <w:rPr>
          <w:rStyle w:val="StyleUnderline"/>
        </w:rPr>
        <w:t>these strategies also represent a calculated response to neoliberalism’s deepening legitimacy crisis, since they also seek systematically to displace the responsibility</w:t>
      </w:r>
      <w:r w:rsidRPr="00857176">
        <w:rPr>
          <w:sz w:val="16"/>
        </w:rPr>
        <w:t xml:space="preserve">, indeed the blame, for macroeconomic failure and political mismanagement. In the process, there has been an attempt to mask the (evident) culpability of bankers and (de)regulators </w:t>
      </w:r>
      <w:r w:rsidRPr="00857176">
        <w:rPr>
          <w:rStyle w:val="StyleUnderline"/>
        </w:rPr>
        <w:t xml:space="preserve">with a renewed ideological offensive against the public sector and the social state, against entitlement attitudes and </w:t>
      </w:r>
      <w:proofErr w:type="spellStart"/>
      <w:r w:rsidRPr="00857176">
        <w:rPr>
          <w:rStyle w:val="StyleUnderline"/>
        </w:rPr>
        <w:t>programmes</w:t>
      </w:r>
      <w:proofErr w:type="spellEnd"/>
      <w:r w:rsidRPr="00857176">
        <w:rPr>
          <w:rStyle w:val="StyleUnderline"/>
        </w:rPr>
        <w:t xml:space="preserve">, against government workers and their unions and against the socially and economically marginalized. It is no coincidence that the ‘pushers’ of austerity measures have been taking aim at the usual neoliberal targets—like </w:t>
      </w:r>
      <w:proofErr w:type="spellStart"/>
      <w:r w:rsidRPr="00857176">
        <w:rPr>
          <w:rStyle w:val="StyleUnderline"/>
        </w:rPr>
        <w:t>labour</w:t>
      </w:r>
      <w:proofErr w:type="spellEnd"/>
      <w:r w:rsidRPr="00857176">
        <w:rPr>
          <w:rStyle w:val="StyleUnderline"/>
        </w:rPr>
        <w:t xml:space="preserve"> unions and social </w:t>
      </w:r>
      <w:proofErr w:type="spellStart"/>
      <w:r w:rsidRPr="00857176">
        <w:rPr>
          <w:rStyle w:val="StyleUnderline"/>
        </w:rPr>
        <w:t>programmes</w:t>
      </w:r>
      <w:proofErr w:type="spellEnd"/>
      <w:r w:rsidRPr="00857176">
        <w:rPr>
          <w:rStyle w:val="StyleUnderline"/>
        </w:rPr>
        <w:t>—and it is also no coincidence that they have been resorting to a familiar repertoire of offensive strategies</w:t>
      </w:r>
      <w:r w:rsidRPr="00857176">
        <w:rPr>
          <w:sz w:val="16"/>
        </w:rPr>
        <w:t xml:space="preserve">, including the enforcement of extreme fiscal discipline at the subnational scale, imperative forms of municipal downsizing and new rounds of privatization and public asset-stripping (Peck, 2012). </w:t>
      </w:r>
      <w:r w:rsidRPr="00857176">
        <w:rPr>
          <w:rStyle w:val="StyleUnderline"/>
        </w:rPr>
        <w:t>Austerity politics are ‘push’ politics</w:t>
      </w:r>
      <w:r w:rsidRPr="00857176">
        <w:rPr>
          <w:sz w:val="16"/>
        </w:rPr>
        <w:t xml:space="preserve"> in at least two senses of the word. First, and fundamentally, </w:t>
      </w:r>
      <w:r w:rsidRPr="00857176">
        <w:rPr>
          <w:rStyle w:val="StyleUnderline"/>
        </w:rPr>
        <w:t>they involve pushing the costs, risks and burdens of economic failure onto subordinate classes, social groups and branches of government</w:t>
      </w:r>
      <w:r w:rsidRPr="00857176">
        <w:rPr>
          <w:sz w:val="16"/>
        </w:rPr>
        <w:t xml:space="preserve">. Austerity, in this respect, is </w:t>
      </w:r>
      <w:r w:rsidRPr="00857176">
        <w:rPr>
          <w:rStyle w:val="StyleUnderline"/>
        </w:rPr>
        <w:t>concerned with social, spatial and scalar strategies of redistribution; it is about making ‘others’ pay</w:t>
      </w:r>
      <w:r w:rsidRPr="00857176">
        <w:rPr>
          <w:sz w:val="16"/>
        </w:rPr>
        <w:t xml:space="preserve">. Second, and clearly essential to the accomplishment of this ideological feat, the case for austerity must be discursively pushed, since its </w:t>
      </w:r>
      <w:proofErr w:type="spellStart"/>
      <w:r w:rsidRPr="00857176">
        <w:rPr>
          <w:sz w:val="16"/>
        </w:rPr>
        <w:t>necessitarian</w:t>
      </w:r>
      <w:proofErr w:type="spellEnd"/>
      <w:r w:rsidRPr="00857176">
        <w:rPr>
          <w:sz w:val="16"/>
        </w:rPr>
        <w:t xml:space="preserve"> appeal is far from self-evident, even if the language of ‘belt-tightening’ and ‘living within our means’ does appeal to a certain utilitarian commonsense. Austerity, in this respect, entails a concerted </w:t>
      </w:r>
      <w:proofErr w:type="spellStart"/>
      <w:r w:rsidRPr="00857176">
        <w:rPr>
          <w:sz w:val="16"/>
        </w:rPr>
        <w:t>renarration</w:t>
      </w:r>
      <w:proofErr w:type="spellEnd"/>
      <w:r w:rsidRPr="00857176">
        <w:rPr>
          <w:sz w:val="16"/>
        </w:rPr>
        <w:t xml:space="preserve"> of the financial crisis in the form of new homilies of (local) state failure, in the service of this effort to redistribute the both costs of and the responsibility for the crisis.</w:t>
      </w:r>
    </w:p>
    <w:p w:rsidR="00A02692" w:rsidRDefault="00A02692" w:rsidP="00A02692">
      <w:pPr>
        <w:pStyle w:val="Heading3"/>
      </w:pPr>
      <w:r>
        <w:t xml:space="preserve">Devolution Bad—Conservatism </w:t>
      </w:r>
    </w:p>
    <w:p w:rsidR="00A02692" w:rsidRPr="00B26A99" w:rsidRDefault="00A02692" w:rsidP="00A02692">
      <w:pPr>
        <w:pStyle w:val="Heading4"/>
        <w:rPr>
          <w:rStyle w:val="Style13ptBold"/>
          <w:b/>
        </w:rPr>
      </w:pPr>
      <w:r w:rsidRPr="00B26A99">
        <w:rPr>
          <w:rStyle w:val="Style13ptBold"/>
          <w:b/>
        </w:rPr>
        <w:t>Devolution results in conservative implementation</w:t>
      </w:r>
    </w:p>
    <w:p w:rsidR="00A02692" w:rsidRPr="00B26A99" w:rsidRDefault="00A02692" w:rsidP="00A02692">
      <w:pPr>
        <w:jc w:val="both"/>
        <w:rPr>
          <w:rStyle w:val="Style13ptBold"/>
          <w:b w:val="0"/>
        </w:rPr>
      </w:pPr>
      <w:proofErr w:type="spellStart"/>
      <w:r>
        <w:rPr>
          <w:rStyle w:val="Style13ptBold"/>
        </w:rPr>
        <w:t>Lowi</w:t>
      </w:r>
      <w:proofErr w:type="spellEnd"/>
      <w:r>
        <w:rPr>
          <w:rStyle w:val="Style13ptBold"/>
        </w:rPr>
        <w:t xml:space="preserve"> 98 </w:t>
      </w:r>
      <w:r w:rsidRPr="00B26A99">
        <w:rPr>
          <w:rStyle w:val="Style13ptBold"/>
          <w:b w:val="0"/>
          <w:sz w:val="16"/>
          <w:szCs w:val="16"/>
        </w:rPr>
        <w:t xml:space="preserve">[Theodore J. John L. Senior Professor of American Institutions teaching in the Government Department at Cornell University. “Think Globally, Lose Locally.” </w:t>
      </w:r>
      <w:r w:rsidRPr="00B26A99">
        <w:rPr>
          <w:rStyle w:val="Style13ptBold"/>
          <w:b w:val="0"/>
          <w:i/>
          <w:sz w:val="16"/>
          <w:szCs w:val="16"/>
        </w:rPr>
        <w:t xml:space="preserve">Boston Review. </w:t>
      </w:r>
      <w:r w:rsidRPr="00B26A99">
        <w:rPr>
          <w:rStyle w:val="Style13ptBold"/>
          <w:b w:val="0"/>
          <w:sz w:val="16"/>
          <w:szCs w:val="16"/>
        </w:rPr>
        <w:t xml:space="preserve">April/May 1998. </w:t>
      </w:r>
      <w:hyperlink r:id="rId159" w:history="1">
        <w:r w:rsidRPr="00B26A99">
          <w:rPr>
            <w:rStyle w:val="Hyperlink"/>
            <w:sz w:val="16"/>
            <w:szCs w:val="16"/>
          </w:rPr>
          <w:t>https://bostonreview.net/archives/BR23.2/lowi.html</w:t>
        </w:r>
      </w:hyperlink>
      <w:r w:rsidRPr="00B26A99">
        <w:rPr>
          <w:rStyle w:val="Style13ptBold"/>
          <w:b w:val="0"/>
          <w:sz w:val="16"/>
          <w:szCs w:val="16"/>
        </w:rPr>
        <w:t>. SH]</w:t>
      </w:r>
    </w:p>
    <w:p w:rsidR="00A02692" w:rsidRPr="00B26A99" w:rsidRDefault="00A02692" w:rsidP="00A02692">
      <w:pPr>
        <w:jc w:val="both"/>
        <w:rPr>
          <w:sz w:val="16"/>
        </w:rPr>
      </w:pPr>
      <w:r w:rsidRPr="00B26A99">
        <w:rPr>
          <w:sz w:val="16"/>
        </w:rPr>
        <w:t xml:space="preserve">Devolution. Devolution is the most interesting and instructive of the three principles guiding the rightward movement in the United States. </w:t>
      </w:r>
      <w:r w:rsidRPr="00B26A99">
        <w:rPr>
          <w:rStyle w:val="StyleUnderline"/>
        </w:rPr>
        <w:t>US federalism exposes most clearly just how strongly rightward are the policies labeled as devolutionary, and that in turn indicates how strongly rightward these same policies are elsewhere. Devolution was the first rightward move against the social democratic policies of the New Deal</w:t>
      </w:r>
      <w:r w:rsidRPr="00B26A99">
        <w:rPr>
          <w:sz w:val="16"/>
        </w:rPr>
        <w:t xml:space="preserve"> coalition, and the first important concrete step was Nixon's Revenue Sharing. Actual federal grants-in-aid to state and local governments continued to grow throughout the 1970s, reaching over 25 percent of all state-local revenues. Out of respect for the obvious consensus still in favor of New Deal programs, </w:t>
      </w:r>
      <w:r w:rsidRPr="00B26A99">
        <w:rPr>
          <w:rStyle w:val="StyleUnderline"/>
        </w:rPr>
        <w:t>Nixon attempted to introduce a conservative dimension by giving state and local governments more discretion in how they spent the federal grant money</w:t>
      </w:r>
      <w:r w:rsidRPr="00B26A99">
        <w:rPr>
          <w:sz w:val="16"/>
        </w:rPr>
        <w:t xml:space="preserve">.4 Why was this delegation of added discretion to the states and local governments conservative? And why would the greatly increased state-local discretion implicit in devolution be still more to the Right? Because </w:t>
      </w:r>
      <w:r w:rsidRPr="00B26A99">
        <w:rPr>
          <w:rStyle w:val="StyleUnderline"/>
        </w:rPr>
        <w:t>the recipients of these grants-especially local governments-are innately conservative</w:t>
      </w:r>
      <w:r w:rsidRPr="00B26A99">
        <w:rPr>
          <w:sz w:val="16"/>
        </w:rPr>
        <w:t xml:space="preserve">. Devolution (although it was not yet called "devolution") picked up speed under Reagan, who consolidated 77 categoric grants-in-aid into 10 discretionary block grants to the state governments, who were given virtually complete authority to transfer the money to localities, with or without conditions imposed by the states.5 </w:t>
      </w:r>
      <w:r w:rsidRPr="00B26A99">
        <w:rPr>
          <w:rStyle w:val="StyleUnderline"/>
        </w:rPr>
        <w:t>The process came to a kind of culmination in 1996</w:t>
      </w:r>
      <w:r w:rsidRPr="00B26A99">
        <w:rPr>
          <w:sz w:val="16"/>
        </w:rPr>
        <w:t xml:space="preserve">, with the Personal Responsibility and Work Opportunity Act (PRA), supported by President Clinton and majorities of both parties. This </w:t>
      </w:r>
      <w:r w:rsidRPr="00B26A99">
        <w:rPr>
          <w:rStyle w:val="StyleUnderline"/>
        </w:rPr>
        <w:t>legislation</w:t>
      </w:r>
      <w:r w:rsidRPr="00B26A99">
        <w:rPr>
          <w:sz w:val="16"/>
        </w:rPr>
        <w:t xml:space="preserve"> </w:t>
      </w:r>
      <w:r w:rsidRPr="00B26A99">
        <w:rPr>
          <w:rStyle w:val="StyleUnderline"/>
        </w:rPr>
        <w:t>reversed</w:t>
      </w:r>
      <w:r w:rsidRPr="00B26A99">
        <w:rPr>
          <w:sz w:val="16"/>
        </w:rPr>
        <w:t xml:space="preserve"> President </w:t>
      </w:r>
      <w:r w:rsidRPr="00B26A99">
        <w:rPr>
          <w:rStyle w:val="StyleUnderline"/>
        </w:rPr>
        <w:t>Nixon's commitment to national standards for entitlement programs by assigning almost total discretion to states and cities</w:t>
      </w:r>
      <w:r w:rsidRPr="00B26A99">
        <w:rPr>
          <w:sz w:val="16"/>
        </w:rPr>
        <w:t xml:space="preserve">, as though this were like the old urban redevelopment and community development programs. This New Federal Order gave states and cities almost full discretion over federal transfer of funds for dependent persons (while of course diminishing available resources). Along with giving the states and localities full discretion over eligibility, the PRA also imposed a new set of national moral criteria that local welfare administrators are obliged to follow when using their discretion. As Gwendolyn Mink puts it, [The PRA] provides cash assistance, food stamps, and Medicaid to poor, single mothers, but only if they reveal their most intimate relations and only if they agree to associate with the men whom government designates as their children's fathers. Worse yet, it provides cash assistance to poor single mothers only if they forfeit the right to care for their own children.6 Work requirements, community service obligations, marital and age criteria, and time limits take us back to a nineteenth century condition, converting welfare administrators back into welfare police. And it is received by willing hands. For much of this century (and perhaps further back in Europe) a false impression has prevailed that cities-all urban centers-are the liberal, even leftward, component of a society-individualist, experimental, tolerant of class and racial differences, sophisticated, respectful of privacy, in a word, urbane. Well and good. But those </w:t>
      </w:r>
      <w:r w:rsidRPr="00B26A99">
        <w:rPr>
          <w:rStyle w:val="StyleUnderline"/>
        </w:rPr>
        <w:t>urbane values rarely prevail in local governance. Cities in America are tied to local tax revenues, typically raised through property taxes. This serves to reinforce the primordial function of local government to preserve social order</w:t>
      </w:r>
      <w:r w:rsidRPr="00B26A99">
        <w:rPr>
          <w:sz w:val="16"/>
        </w:rPr>
        <w:t xml:space="preserve">. And all of this ties the policies of cities to a rather rigidly narrow range of constituent values: Cities can be pluralist or elitist in their power distribution; they can be more or less dynamic in their approaches to economic or cultural development. But they do not depart from their obligation to social order, </w:t>
      </w:r>
      <w:r w:rsidRPr="00B26A99">
        <w:rPr>
          <w:rStyle w:val="StyleUnderline"/>
        </w:rPr>
        <w:t>which extends to keeping classes, races, ethnic groups, genders, and life-style groups in their places</w:t>
      </w:r>
      <w:r w:rsidRPr="00B26A99">
        <w:rPr>
          <w:sz w:val="16"/>
        </w:rPr>
        <w:t>; by keeping the poor and the deviant invisible (another kind of place); by cooperating authoritatively with the established higher classes and the installed institutions of church, local school, philanthropy and party, as well as relying upon police and other public agencies, to maintain order. Keeping people in their places is mainly achieved by segregation. Or we can give it a more respectable name: community.</w:t>
      </w:r>
    </w:p>
    <w:p w:rsidR="00A02692" w:rsidRDefault="00A02692" w:rsidP="00A02692"/>
    <w:p w:rsidR="00A02692" w:rsidRDefault="00A02692" w:rsidP="00A02692">
      <w:r>
        <w:t xml:space="preserve"> </w:t>
      </w:r>
    </w:p>
    <w:p w:rsidR="00A02692" w:rsidRDefault="00A02692" w:rsidP="00A02692"/>
    <w:p w:rsidR="00A02692" w:rsidRPr="009F64D9" w:rsidRDefault="00A02692" w:rsidP="00A02692"/>
    <w:p w:rsidR="00A02692" w:rsidRDefault="00A02692" w:rsidP="00A02692">
      <w:pPr>
        <w:pStyle w:val="Heading3"/>
      </w:pPr>
      <w:r>
        <w:t>Federalism Bad—Racial Inequity</w:t>
      </w:r>
    </w:p>
    <w:p w:rsidR="00A02692" w:rsidRPr="00212E1B" w:rsidRDefault="00A02692" w:rsidP="00A02692">
      <w:pPr>
        <w:pStyle w:val="Heading4"/>
        <w:rPr>
          <w:rStyle w:val="Style13ptBold"/>
          <w:b/>
        </w:rPr>
      </w:pPr>
      <w:r w:rsidRPr="00212E1B">
        <w:rPr>
          <w:rStyle w:val="Style13ptBold"/>
          <w:b/>
        </w:rPr>
        <w:t xml:space="preserve">The counterplan’s model of federalism cements neoliberal solutions and state inequalities—only a federal commitment to educational equity solves the </w:t>
      </w:r>
      <w:proofErr w:type="spellStart"/>
      <w:r w:rsidRPr="00212E1B">
        <w:rPr>
          <w:rStyle w:val="Style13ptBold"/>
          <w:b/>
        </w:rPr>
        <w:t>aff</w:t>
      </w:r>
      <w:proofErr w:type="spellEnd"/>
    </w:p>
    <w:p w:rsidR="00A02692" w:rsidRPr="00212E1B" w:rsidRDefault="00A02692" w:rsidP="00A02692">
      <w:pPr>
        <w:jc w:val="both"/>
        <w:rPr>
          <w:rStyle w:val="Style13ptBold"/>
          <w:b w:val="0"/>
        </w:rPr>
      </w:pPr>
      <w:proofErr w:type="spellStart"/>
      <w:r>
        <w:rPr>
          <w:rStyle w:val="Style13ptBold"/>
        </w:rPr>
        <w:t>Sundquist</w:t>
      </w:r>
      <w:proofErr w:type="spellEnd"/>
      <w:r>
        <w:rPr>
          <w:rStyle w:val="Style13ptBold"/>
        </w:rPr>
        <w:t xml:space="preserve"> 16 </w:t>
      </w:r>
      <w:r w:rsidRPr="00212E1B">
        <w:rPr>
          <w:rStyle w:val="Style13ptBold"/>
          <w:b w:val="0"/>
          <w:sz w:val="16"/>
          <w:szCs w:val="16"/>
        </w:rPr>
        <w:t xml:space="preserve">[Christian B. Professor of Law and Director of Faculty Research and Scholarship, Albany Law School. “Positive Education Federalism: The Promise of Equality after the Every Student Succeeds Act.” </w:t>
      </w:r>
      <w:r w:rsidRPr="00212E1B">
        <w:rPr>
          <w:i/>
          <w:sz w:val="16"/>
          <w:szCs w:val="16"/>
        </w:rPr>
        <w:t>Mercer Law Review</w:t>
      </w:r>
      <w:r w:rsidRPr="00212E1B">
        <w:rPr>
          <w:sz w:val="16"/>
          <w:szCs w:val="16"/>
        </w:rPr>
        <w:t>, Vol. 68, No. 1, 2016. SH]</w:t>
      </w:r>
    </w:p>
    <w:p w:rsidR="00A02692" w:rsidRPr="00212E1B" w:rsidRDefault="00A02692" w:rsidP="00A02692">
      <w:pPr>
        <w:jc w:val="both"/>
        <w:rPr>
          <w:sz w:val="16"/>
        </w:rPr>
      </w:pPr>
      <w:r w:rsidRPr="00212E1B">
        <w:rPr>
          <w:rStyle w:val="StyleUnderline"/>
        </w:rPr>
        <w:t>School choice and accountability reforms</w:t>
      </w:r>
      <w:r w:rsidRPr="00212E1B">
        <w:rPr>
          <w:sz w:val="16"/>
        </w:rPr>
        <w:t xml:space="preserve">, as noted, have had relatively little impact on student performance.144 The primary determinants of student success, rather, have been racial bias, family background, and socioeconomic status.145 The </w:t>
      </w:r>
      <w:r w:rsidRPr="00212E1B">
        <w:rPr>
          <w:rStyle w:val="StyleUnderline"/>
        </w:rPr>
        <w:t>focus on “neoliberal solutions</w:t>
      </w:r>
      <w:r w:rsidRPr="00212E1B">
        <w:rPr>
          <w:sz w:val="16"/>
        </w:rPr>
        <w:t xml:space="preserve"> like NCLB, with its emphasis on efficiency and individualism, </w:t>
      </w:r>
      <w:r w:rsidRPr="00212E1B">
        <w:rPr>
          <w:rStyle w:val="StyleUnderline"/>
        </w:rPr>
        <w:t>divert attention away from the social issues that need to be solved if we are to really improve education outcomes</w:t>
      </w:r>
      <w:r w:rsidRPr="00212E1B">
        <w:rPr>
          <w:sz w:val="16"/>
        </w:rPr>
        <w:t xml:space="preserve">.”146 As a result, current education policy “both directly and indirectly exacerbates racial, ethnic and economic inequality in society.”147 Our current approach to public education has grossly departed from the ideals and principles of racial and class equality that shaped the federal education role during the post-Brown ESEA era. </w:t>
      </w:r>
      <w:r w:rsidRPr="00212E1B">
        <w:rPr>
          <w:rStyle w:val="StyleUnderline"/>
        </w:rPr>
        <w:t>The substantive dimension of education federalism has thus wrongly shifted from ensuring racial equality in a democratic society to ensuring consumer choice in a competitive marketplace</w:t>
      </w:r>
      <w:r w:rsidRPr="00212E1B">
        <w:rPr>
          <w:sz w:val="16"/>
        </w:rPr>
        <w:t xml:space="preserve">. The recent enactment of ESSA creates the possibility of further exacerbating race and class-based educational inequalities. While retaining the core principles of NCLB, ESSA </w:t>
      </w:r>
      <w:r w:rsidRPr="00212E1B">
        <w:rPr>
          <w:rStyle w:val="StyleUnderline"/>
        </w:rPr>
        <w:t>diminishes federal oversight of school performance while further expanding consumer choice and deregulated teacher preparation programs</w:t>
      </w:r>
      <w:r w:rsidRPr="00212E1B">
        <w:rPr>
          <w:sz w:val="16"/>
        </w:rPr>
        <w:t xml:space="preserve">. As Marian Wright Edelman observes, </w:t>
      </w:r>
      <w:r w:rsidRPr="00212E1B">
        <w:rPr>
          <w:rStyle w:val="StyleUnderline"/>
        </w:rPr>
        <w:t xml:space="preserve">such a “gutting [of] a strong federal role in [an] education policy designed to protect [African-American and Latino] children… </w:t>
      </w:r>
      <w:proofErr w:type="spellStart"/>
      <w:r w:rsidRPr="00212E1B">
        <w:rPr>
          <w:rStyle w:val="StyleUnderline"/>
        </w:rPr>
        <w:t>jeopardiz</w:t>
      </w:r>
      <w:proofErr w:type="spellEnd"/>
      <w:r w:rsidRPr="00212E1B">
        <w:rPr>
          <w:rStyle w:val="StyleUnderline"/>
        </w:rPr>
        <w:t>[</w:t>
      </w:r>
      <w:proofErr w:type="spellStart"/>
      <w:r w:rsidRPr="00212E1B">
        <w:rPr>
          <w:rStyle w:val="StyleUnderline"/>
        </w:rPr>
        <w:t>es</w:t>
      </w:r>
      <w:proofErr w:type="spellEnd"/>
      <w:r w:rsidRPr="00212E1B">
        <w:rPr>
          <w:rStyle w:val="StyleUnderline"/>
        </w:rPr>
        <w:t>] their opportunity for a fair and adequate education</w:t>
      </w:r>
      <w:r w:rsidRPr="00212E1B">
        <w:rPr>
          <w:sz w:val="16"/>
        </w:rPr>
        <w:t xml:space="preserve">.”148 Civil rights groups, including the Southern Poverty Law Center and the New York chapter of the NAACP, fear that </w:t>
      </w:r>
      <w:r w:rsidRPr="00212E1B">
        <w:rPr>
          <w:rStyle w:val="StyleUnderline"/>
        </w:rPr>
        <w:t>decreased “federal oversight of education will be much too weak to ensure [equal] education for Black and Latino students” in many states</w:t>
      </w:r>
      <w:r w:rsidRPr="00212E1B">
        <w:rPr>
          <w:sz w:val="16"/>
        </w:rPr>
        <w:t xml:space="preserve">.149 The prominent education and urban planning researcher Gary </w:t>
      </w:r>
      <w:proofErr w:type="spellStart"/>
      <w:r w:rsidRPr="00212E1B">
        <w:rPr>
          <w:sz w:val="16"/>
        </w:rPr>
        <w:t>Orfield</w:t>
      </w:r>
      <w:proofErr w:type="spellEnd"/>
      <w:r w:rsidRPr="00212E1B">
        <w:rPr>
          <w:sz w:val="16"/>
        </w:rPr>
        <w:t xml:space="preserve"> further opines that with ESSA “we’re going to get something that’s much worse [than NCLB]- a lot of federal money going out for </w:t>
      </w:r>
      <w:r w:rsidRPr="00212E1B">
        <w:rPr>
          <w:rStyle w:val="StyleUnderline"/>
        </w:rPr>
        <w:t>almost no leverage for any national purpose</w:t>
      </w:r>
      <w:r w:rsidRPr="00212E1B">
        <w:rPr>
          <w:sz w:val="16"/>
        </w:rPr>
        <w:t xml:space="preserve">.”150 Education advocate </w:t>
      </w:r>
      <w:proofErr w:type="spellStart"/>
      <w:r w:rsidRPr="00212E1B">
        <w:rPr>
          <w:sz w:val="16"/>
        </w:rPr>
        <w:t>Kalmann</w:t>
      </w:r>
      <w:proofErr w:type="spellEnd"/>
      <w:r w:rsidRPr="00212E1B">
        <w:rPr>
          <w:sz w:val="16"/>
        </w:rPr>
        <w:t xml:space="preserve"> </w:t>
      </w:r>
      <w:proofErr w:type="spellStart"/>
      <w:r w:rsidRPr="00212E1B">
        <w:rPr>
          <w:sz w:val="16"/>
        </w:rPr>
        <w:t>Hettlemann</w:t>
      </w:r>
      <w:proofErr w:type="spellEnd"/>
      <w:r w:rsidRPr="00212E1B">
        <w:rPr>
          <w:sz w:val="16"/>
        </w:rPr>
        <w:t xml:space="preserve"> similarly views ESSA as “</w:t>
      </w:r>
      <w:r w:rsidRPr="00212E1B">
        <w:rPr>
          <w:rStyle w:val="StyleUnderline"/>
        </w:rPr>
        <w:t>a massive retreat from our national interest and commitment to equal educational opportunity, especially for poor and minority children</w:t>
      </w:r>
      <w:r w:rsidRPr="00212E1B">
        <w:rPr>
          <w:sz w:val="16"/>
        </w:rPr>
        <w:t xml:space="preserve">.”151 The education federalism forged by the original ESEA and Brown envisioned federal regulation of public education to the extent necessary to promote social equality and racial integration.152 Such robust federal oversight was necessary in light of the historical practice of states to undermine educational opportunity for poor and minority children.153 </w:t>
      </w:r>
      <w:r w:rsidRPr="00212E1B">
        <w:rPr>
          <w:rStyle w:val="StyleUnderline"/>
        </w:rPr>
        <w:t>The devolution of the federal role in public education</w:t>
      </w:r>
      <w:r w:rsidRPr="00212E1B">
        <w:rPr>
          <w:sz w:val="16"/>
        </w:rPr>
        <w:t xml:space="preserve"> following ESSA - coupled with its continued emphasis on standardized testing, choice and market competition - </w:t>
      </w:r>
      <w:r w:rsidRPr="00212E1B">
        <w:rPr>
          <w:rStyle w:val="StyleUnderline"/>
        </w:rPr>
        <w:t>threatens to increase race and class based disparities in education</w:t>
      </w:r>
      <w:r w:rsidRPr="00212E1B">
        <w:rPr>
          <w:sz w:val="16"/>
        </w:rPr>
        <w:t xml:space="preserve">. IV. Positive Federalism and Public Education Policy The divining of the appropriate federal role in public education has historically been rooted in a procedural vision of the negative limits of federal action. The discussion of education federalism, therefore, has largely focused on the degree to which federal law should influence or supersede traditional state “police powers.”154 </w:t>
      </w:r>
      <w:r w:rsidRPr="00212E1B">
        <w:rPr>
          <w:rStyle w:val="StyleUnderline"/>
        </w:rPr>
        <w:t>While negative branches of federalism often purport to balance federal and state interests in an ideologically neutral fashion, it is clear that the federalism debate is also imbued with particular substantive conceptions of the content and preferred outcomes of permissible federal actions. The original allocation of “police powers” to states – which established local responsibility for the health, education, and safety of residents - has long been derided as a constitutional compromise to allow states to preserve slavery and prevent racial progress</w:t>
      </w:r>
      <w:r w:rsidRPr="00212E1B">
        <w:rPr>
          <w:sz w:val="16"/>
        </w:rPr>
        <w:t>.155 The invocation of “states’ rights” following the Brown desegregation decree is just one example of negative federalism being utilized as a tool to resist social progress.156 Indeed, as Professor Lisa Miller notes, “</w:t>
      </w:r>
      <w:r w:rsidRPr="00212E1B">
        <w:rPr>
          <w:rStyle w:val="StyleUnderline"/>
        </w:rPr>
        <w:t>federalism</w:t>
      </w:r>
      <w:r w:rsidRPr="00212E1B">
        <w:rPr>
          <w:sz w:val="16"/>
        </w:rPr>
        <w:t xml:space="preserve"> in the United States </w:t>
      </w:r>
      <w:r w:rsidRPr="00212E1B">
        <w:rPr>
          <w:rStyle w:val="StyleUnderline"/>
        </w:rPr>
        <w:t>was forged in part as a mechanism for accommodating slavery, and it facilitated resistance to racial progress</w:t>
      </w:r>
      <w:r w:rsidRPr="00212E1B">
        <w:rPr>
          <w:sz w:val="16"/>
        </w:rPr>
        <w:t xml:space="preserve"> for blacks long after the Civil War.”157 </w:t>
      </w:r>
      <w:r w:rsidRPr="00212E1B">
        <w:rPr>
          <w:rStyle w:val="StyleUnderline"/>
        </w:rPr>
        <w:t>Prewar education federalism thus often strove to forestall federal intervention in state systems of racial control in an effort to preserve educational segregation and inequality</w:t>
      </w:r>
      <w:r w:rsidRPr="00212E1B">
        <w:rPr>
          <w:sz w:val="16"/>
        </w:rPr>
        <w:t xml:space="preserve">.158 The passage of the ESEA, in light of this history, was monumentally important in shifting the substantive dimension of education federalism. No longer was education federalism centered on preserving states “rights” to segregate disproportionately fund public schools. Rather, </w:t>
      </w:r>
      <w:r w:rsidRPr="00212E1B">
        <w:rPr>
          <w:rStyle w:val="StyleUnderline"/>
        </w:rPr>
        <w:t>education federalism in the post-Brown and ESEA era sought to utilize the federal government’s block grant powers to rectify racial and class imbalances in public education</w:t>
      </w:r>
      <w:r w:rsidRPr="00212E1B">
        <w:rPr>
          <w:sz w:val="16"/>
        </w:rPr>
        <w:t xml:space="preserve">.159 The substantive dimension of post-Brown education federalism, as embodied by the original vision of the ESEA, justifies federal involvement in public education when necessary to combat both poverty and racial discrimination.160 </w:t>
      </w:r>
      <w:r w:rsidRPr="00212E1B">
        <w:rPr>
          <w:rStyle w:val="StyleUnderline"/>
        </w:rPr>
        <w:t>The substantive dimension of modern education federalism, however, has been radically transformed</w:t>
      </w:r>
      <w:r w:rsidRPr="00212E1B">
        <w:rPr>
          <w:sz w:val="16"/>
        </w:rPr>
        <w:t xml:space="preserve"> through the ESSA, NCLB and RTT policies. </w:t>
      </w:r>
      <w:r w:rsidRPr="00212E1B">
        <w:rPr>
          <w:rStyle w:val="StyleUnderline"/>
        </w:rPr>
        <w:t>Federal activism in public schools is no longer justified to the extent it reduces class and racial disparities in education, but rather to the extent it promotes competition, choice and accountability</w:t>
      </w:r>
      <w:r w:rsidRPr="00212E1B">
        <w:rPr>
          <w:sz w:val="16"/>
        </w:rPr>
        <w:t xml:space="preserve">.161 </w:t>
      </w:r>
      <w:r w:rsidRPr="00212E1B">
        <w:rPr>
          <w:rStyle w:val="StyleUnderline"/>
        </w:rPr>
        <w:t>The embrace of competitive federalism by modern education policy is misplaced from a historical perspective, and represents an unconstitutional abrogation of the federal government’s responsibility to eliminate class and racial disparities in education</w:t>
      </w:r>
      <w:r w:rsidRPr="00212E1B">
        <w:rPr>
          <w:sz w:val="16"/>
        </w:rPr>
        <w:t xml:space="preserve">. The promise of Brown and of the original purpose of the ESEA cannot be realized without a reconceptualization of education federalism as requiring positive race and </w:t>
      </w:r>
      <w:proofErr w:type="spellStart"/>
      <w:r w:rsidRPr="00212E1B">
        <w:rPr>
          <w:sz w:val="16"/>
        </w:rPr>
        <w:t>classregarding</w:t>
      </w:r>
      <w:proofErr w:type="spellEnd"/>
      <w:r w:rsidRPr="00212E1B">
        <w:rPr>
          <w:sz w:val="16"/>
        </w:rPr>
        <w:t xml:space="preserve"> actions by the federal government. </w:t>
      </w:r>
    </w:p>
    <w:p w:rsidR="00A02692" w:rsidRDefault="00A02692" w:rsidP="00A02692">
      <w:pPr>
        <w:pStyle w:val="Heading3"/>
      </w:pPr>
      <w:r>
        <w:t>Perm</w:t>
      </w:r>
    </w:p>
    <w:p w:rsidR="00A02692" w:rsidRPr="00046034" w:rsidRDefault="00A02692" w:rsidP="00A02692">
      <w:pPr>
        <w:pStyle w:val="Heading4"/>
        <w:rPr>
          <w:rStyle w:val="Style13ptBold"/>
          <w:b/>
        </w:rPr>
      </w:pPr>
      <w:r w:rsidRPr="00046034">
        <w:rPr>
          <w:rStyle w:val="Style13ptBold"/>
          <w:b/>
        </w:rPr>
        <w:t>Permutation do both solves—embraces a positive model of federalism based on federal intervention to preserve equity</w:t>
      </w:r>
      <w:r>
        <w:rPr>
          <w:rStyle w:val="Style13ptBold"/>
          <w:b/>
        </w:rPr>
        <w:t xml:space="preserve"> </w:t>
      </w:r>
    </w:p>
    <w:p w:rsidR="00A02692" w:rsidRPr="00212E1B" w:rsidRDefault="00A02692" w:rsidP="00A02692">
      <w:pPr>
        <w:jc w:val="both"/>
        <w:rPr>
          <w:rStyle w:val="Style13ptBold"/>
          <w:b w:val="0"/>
        </w:rPr>
      </w:pPr>
      <w:proofErr w:type="spellStart"/>
      <w:r>
        <w:rPr>
          <w:rStyle w:val="Style13ptBold"/>
        </w:rPr>
        <w:t>Sundquist</w:t>
      </w:r>
      <w:proofErr w:type="spellEnd"/>
      <w:r>
        <w:rPr>
          <w:rStyle w:val="Style13ptBold"/>
        </w:rPr>
        <w:t xml:space="preserve"> 16 </w:t>
      </w:r>
      <w:r w:rsidRPr="00212E1B">
        <w:rPr>
          <w:rStyle w:val="Style13ptBold"/>
          <w:b w:val="0"/>
          <w:sz w:val="16"/>
          <w:szCs w:val="16"/>
        </w:rPr>
        <w:t xml:space="preserve">[Christian B. Professor of Law and Director of Faculty Research and Scholarship, Albany Law School. “Positive Education Federalism: The Promise of Equality after the Every Student Succeeds Act.” </w:t>
      </w:r>
      <w:r w:rsidRPr="00212E1B">
        <w:rPr>
          <w:i/>
          <w:sz w:val="16"/>
          <w:szCs w:val="16"/>
        </w:rPr>
        <w:t>Mercer Law Review</w:t>
      </w:r>
      <w:r w:rsidRPr="00212E1B">
        <w:rPr>
          <w:sz w:val="16"/>
          <w:szCs w:val="16"/>
        </w:rPr>
        <w:t>, Vol. 68, No. 1, 2016. SH]</w:t>
      </w:r>
    </w:p>
    <w:p w:rsidR="00A02692" w:rsidRPr="00046034" w:rsidRDefault="00A02692" w:rsidP="00A02692">
      <w:pPr>
        <w:jc w:val="both"/>
        <w:rPr>
          <w:sz w:val="16"/>
        </w:rPr>
      </w:pPr>
      <w:r w:rsidRPr="00046034">
        <w:rPr>
          <w:sz w:val="16"/>
        </w:rPr>
        <w:t xml:space="preserve">While negative visions of federalism have long been wielded as a tool to de-legitimate federal efforts to combat racial and class inequality, 162 </w:t>
      </w:r>
      <w:r w:rsidRPr="00046034">
        <w:rPr>
          <w:rStyle w:val="StyleUnderline"/>
        </w:rPr>
        <w:t>federalism is more appropriately understood as empowering the federal government to directly respond to social inequality</w:t>
      </w:r>
      <w:r w:rsidRPr="00046034">
        <w:rPr>
          <w:sz w:val="16"/>
        </w:rPr>
        <w:t xml:space="preserve">.163 </w:t>
      </w:r>
      <w:r w:rsidRPr="00046034">
        <w:rPr>
          <w:rStyle w:val="StyleUnderline"/>
        </w:rPr>
        <w:t>Federalism should be positively conceived of as “a device for realizing the concepts of decency and fairness which are among the fundamental principles of liberty and justice lying at the base of all our civil and political institutions,” 164 rather than a negative limit on the government’s ability to advance liberty. Traditional theories of negative federalism are roundly criticized as being incoherent, indeterminate, and rights regressive</w:t>
      </w:r>
      <w:r w:rsidRPr="00046034">
        <w:rPr>
          <w:sz w:val="16"/>
        </w:rPr>
        <w:t xml:space="preserve">.165 The failings of negative conceptions of federalism can be traced in part to unstable assumptions about the policy values that should inform federalism theory. </w:t>
      </w:r>
      <w:r w:rsidRPr="00046034">
        <w:rPr>
          <w:rStyle w:val="StyleUnderline"/>
        </w:rPr>
        <w:t>Traditional theories of federalism recite a number of values that are purportedly advanced by restricting federal action: the reduction of “federal tyranny,” enhancing state experimentation, improving the democratic process, advancing “liberty,” and restoring the “original meaning” of the Constitution</w:t>
      </w:r>
      <w:r w:rsidRPr="00046034">
        <w:rPr>
          <w:sz w:val="16"/>
        </w:rPr>
        <w:t xml:space="preserve">.166 And yet </w:t>
      </w:r>
      <w:r w:rsidRPr="00046034">
        <w:rPr>
          <w:rStyle w:val="StyleUnderline"/>
        </w:rPr>
        <w:t>scholars have demonstrated that limiting federal action does little to advance such policy values,167 and instead has the effect of exacerbating social inequality</w:t>
      </w:r>
      <w:r w:rsidRPr="00046034">
        <w:rPr>
          <w:sz w:val="16"/>
        </w:rPr>
        <w:t xml:space="preserve">.168 The question then becomes- what constitutional values should inform education federalism policy? I posit, perhaps unremarkably, that </w:t>
      </w:r>
      <w:r w:rsidRPr="00046034">
        <w:rPr>
          <w:rStyle w:val="StyleUnderline"/>
        </w:rPr>
        <w:t>the first principles of our Constitution are social equality and democratic representation</w:t>
      </w:r>
      <w:r w:rsidRPr="00046034">
        <w:rPr>
          <w:sz w:val="16"/>
        </w:rPr>
        <w:t xml:space="preserve">.169 </w:t>
      </w:r>
      <w:r w:rsidRPr="00046034">
        <w:rPr>
          <w:rStyle w:val="StyleUnderline"/>
        </w:rPr>
        <w:t>A theory of federalism should respect these overarching aspirations of our Constitution, while recognizing that positive federal action has historically been necessary to both reduce inequality and enhance the democratic process</w:t>
      </w:r>
      <w:r w:rsidRPr="00046034">
        <w:rPr>
          <w:sz w:val="16"/>
        </w:rPr>
        <w:t xml:space="preserve">.170 </w:t>
      </w:r>
      <w:r w:rsidRPr="00046034">
        <w:rPr>
          <w:rStyle w:val="StyleUnderline"/>
        </w:rPr>
        <w:t>Federalism exists for this normative purpose- to ensure equality of the people; which at times requires positive intervention from the federal government. A positive conception of federalism, then, acknowledges the constitutional obligation of the federal government to promote social justice and democratic fairness</w:t>
      </w:r>
      <w:r w:rsidRPr="00046034">
        <w:rPr>
          <w:sz w:val="16"/>
        </w:rPr>
        <w:t xml:space="preserve">.171 b. A Positively Federalist View for Future Reauthorizations of ESEA A positive conception of federalism is </w:t>
      </w:r>
      <w:r w:rsidRPr="00046034">
        <w:rPr>
          <w:rStyle w:val="StyleUnderline"/>
        </w:rPr>
        <w:t>particularly justified when attempting to divine the appropriate federal role in public education</w:t>
      </w:r>
      <w:r w:rsidRPr="00046034">
        <w:rPr>
          <w:sz w:val="16"/>
        </w:rPr>
        <w:t xml:space="preserve">. As discussed previously, </w:t>
      </w:r>
      <w:r w:rsidRPr="00046034">
        <w:rPr>
          <w:rStyle w:val="StyleUnderline"/>
        </w:rPr>
        <w:t>the primary constitutional basis for federal involvement in public education is premised on the government’s responsibility to take positive action to remedy</w:t>
      </w:r>
      <w:r w:rsidRPr="00046034">
        <w:rPr>
          <w:sz w:val="16"/>
        </w:rPr>
        <w:t xml:space="preserve"> racial and class </w:t>
      </w:r>
      <w:r w:rsidRPr="00046034">
        <w:rPr>
          <w:rStyle w:val="StyleUnderline"/>
        </w:rPr>
        <w:t>inequalities</w:t>
      </w:r>
      <w:r w:rsidRPr="00046034">
        <w:rPr>
          <w:sz w:val="16"/>
        </w:rPr>
        <w:t xml:space="preserve">.172 The Brown constitutional doctrine and the “War on Poverty” driven ESEA forged an understanding of education federalism rooted in positive social justice. It is particularly appropriate today that we restore this fundamental understanding of education federalism, </w:t>
      </w:r>
      <w:r w:rsidRPr="00046034">
        <w:rPr>
          <w:rStyle w:val="StyleUnderline"/>
        </w:rPr>
        <w:t>given</w:t>
      </w:r>
      <w:r w:rsidRPr="00046034">
        <w:rPr>
          <w:sz w:val="16"/>
        </w:rPr>
        <w:t xml:space="preserve"> evidence of increasing racial disparities in public education and </w:t>
      </w:r>
      <w:r w:rsidRPr="00046034">
        <w:rPr>
          <w:rStyle w:val="StyleUnderline"/>
        </w:rPr>
        <w:t xml:space="preserve">the noted failures of modern education federalism </w:t>
      </w:r>
      <w:proofErr w:type="spellStart"/>
      <w:r w:rsidRPr="00046034">
        <w:rPr>
          <w:rStyle w:val="StyleUnderline"/>
        </w:rPr>
        <w:t>policyThe</w:t>
      </w:r>
      <w:proofErr w:type="spellEnd"/>
      <w:r w:rsidRPr="00046034">
        <w:rPr>
          <w:rStyle w:val="StyleUnderline"/>
        </w:rPr>
        <w:t xml:space="preserve"> federal guarantee of equal public education is critically important to the functioning of our democracy</w:t>
      </w:r>
      <w:r w:rsidRPr="00046034">
        <w:rPr>
          <w:sz w:val="16"/>
        </w:rPr>
        <w:t>. As a public good, education helps our society develop those “fundamental values necessary to the transmission of our democratic society.”173 The provision of an equitable public education, devoid of identity-based disparities, is critical to provide children with “the knowledge needed to understand and participate effectively in the democratic process and to cultivate among children respect for and the ability to interact with others as beings of inherently equal moral worth.”174 Indeed, both classic and contemporary constitutional scholars argue that equal public education should be regarded as “a fundamental duty, or positive fundamental right because education is a basic human need and a constituent part of all democratic rights.”175 The need, then, for a robust application of positive education federalism principles in this context cannot be stronger. The purpose of this Article is not to provide specific curricular recommendations to guide the future of public education.176 Rather, this Article has attempted to define a new vision of positive education federalism- one which is rooted in a historical understanding of the constitutional obligation of the federal government to shape education policy goals in a manner which responds to unrelenting racial and class disparities. A few core principles regarding the substantive dimension of positive education federalism can be gleaned from this discussion:</w:t>
      </w:r>
    </w:p>
    <w:p w:rsidR="00D45AF7" w:rsidRDefault="00D45AF7" w:rsidP="00D45AF7">
      <w:pPr>
        <w:pStyle w:val="Heading2"/>
      </w:pPr>
      <w:r>
        <w:t>2AC ATC Politics DA</w:t>
      </w:r>
    </w:p>
    <w:p w:rsidR="005919EA" w:rsidRDefault="005919EA" w:rsidP="005919EA">
      <w:pPr>
        <w:pStyle w:val="Heading3"/>
      </w:pPr>
      <w:r>
        <w:t>2AC Non-Uniqueness</w:t>
      </w:r>
      <w:r w:rsidR="001C74BC">
        <w:t xml:space="preserve">—July </w:t>
      </w:r>
    </w:p>
    <w:p w:rsidR="005919EA" w:rsidRDefault="005919EA" w:rsidP="005919EA"/>
    <w:p w:rsidR="005919EA" w:rsidRDefault="005919EA" w:rsidP="005919EA">
      <w:pPr>
        <w:rPr>
          <w:sz w:val="16"/>
        </w:rPr>
      </w:pPr>
    </w:p>
    <w:p w:rsidR="005919EA" w:rsidRDefault="005919EA" w:rsidP="005919EA">
      <w:pPr>
        <w:pStyle w:val="Heading4"/>
      </w:pPr>
      <w:r>
        <w:t>Privatization won’t pass – no support.</w:t>
      </w:r>
    </w:p>
    <w:p w:rsidR="005919EA" w:rsidRPr="00EA58CA" w:rsidRDefault="005919EA" w:rsidP="005919EA">
      <w:r w:rsidRPr="00EA58CA">
        <w:rPr>
          <w:rStyle w:val="Style13ptBold"/>
        </w:rPr>
        <w:t>Siegel 7/10</w:t>
      </w:r>
      <w:r>
        <w:t xml:space="preserve"> – (Josh, Republican air traffic control disagreement could be trouble for Trump infrastructure plan, 7-10-17, http://www.washingtonexaminer.com/republican-air-traffic-control-disagreement-could-be-trouble-for-trump-infrastructure-plan/article/2627825)//a-berg</w:t>
      </w:r>
    </w:p>
    <w:p w:rsidR="005919EA" w:rsidRDefault="005919EA" w:rsidP="005919EA">
      <w:pPr>
        <w:rPr>
          <w:rStyle w:val="StyleUnderline"/>
        </w:rPr>
      </w:pPr>
      <w:r w:rsidRPr="00EA58CA">
        <w:rPr>
          <w:sz w:val="16"/>
        </w:rPr>
        <w:t xml:space="preserve">On the surface, it would be appear to be the easy component of President Trump's infrastructure plan for Republicans to agree upon: a wonky, bureaucratic reform that could be done cheaply. Yet, </w:t>
      </w:r>
      <w:r w:rsidRPr="00EA58CA">
        <w:rPr>
          <w:rStyle w:val="StyleUnderline"/>
        </w:rPr>
        <w:t>Trump's promotion of</w:t>
      </w:r>
      <w:r w:rsidRPr="00EA58CA">
        <w:rPr>
          <w:sz w:val="16"/>
        </w:rPr>
        <w:t xml:space="preserve"> a long-held Republican idea — </w:t>
      </w:r>
      <w:r w:rsidRPr="00EA58CA">
        <w:rPr>
          <w:rStyle w:val="StyleUnderline"/>
        </w:rPr>
        <w:t>privatizing</w:t>
      </w:r>
      <w:r w:rsidRPr="00EA58CA">
        <w:rPr>
          <w:sz w:val="16"/>
        </w:rPr>
        <w:t xml:space="preserve"> the nation's government-run </w:t>
      </w:r>
      <w:r w:rsidRPr="00EA58CA">
        <w:rPr>
          <w:rStyle w:val="StyleUnderline"/>
        </w:rPr>
        <w:t>air traffic control</w:t>
      </w:r>
      <w:r w:rsidRPr="00EA58CA">
        <w:rPr>
          <w:sz w:val="16"/>
        </w:rPr>
        <w:t xml:space="preserve"> system — </w:t>
      </w:r>
      <w:r w:rsidRPr="00EA58CA">
        <w:rPr>
          <w:rStyle w:val="Emphasis"/>
        </w:rPr>
        <w:t>landed with a thud</w:t>
      </w:r>
      <w:r w:rsidRPr="00EA58CA">
        <w:rPr>
          <w:rStyle w:val="StyleUnderline"/>
        </w:rPr>
        <w:t xml:space="preserve"> in Congress, </w:t>
      </w:r>
      <w:r w:rsidRPr="00EA58CA">
        <w:rPr>
          <w:rStyle w:val="Emphasis"/>
        </w:rPr>
        <w:t>failing to attract sufficient support</w:t>
      </w:r>
      <w:r w:rsidRPr="00EA58CA">
        <w:rPr>
          <w:rStyle w:val="StyleUnderline"/>
        </w:rPr>
        <w:t xml:space="preserve"> at even the committee level in the Senate.</w:t>
      </w:r>
      <w:r w:rsidRPr="00EA58CA">
        <w:rPr>
          <w:sz w:val="16"/>
        </w:rPr>
        <w:t xml:space="preserve"> Late last month, </w:t>
      </w:r>
      <w:r w:rsidRPr="00EA58CA">
        <w:rPr>
          <w:rStyle w:val="StyleUnderline"/>
        </w:rPr>
        <w:t>a GOP-controlled Senate</w:t>
      </w:r>
      <w:r w:rsidRPr="00EA58CA">
        <w:rPr>
          <w:sz w:val="16"/>
        </w:rPr>
        <w:t xml:space="preserve"> committee </w:t>
      </w:r>
      <w:r w:rsidRPr="00EA58CA">
        <w:rPr>
          <w:rStyle w:val="StyleUnderline"/>
        </w:rPr>
        <w:t>chose to ignore the proposal</w:t>
      </w:r>
      <w:r w:rsidRPr="00EA58CA">
        <w:rPr>
          <w:sz w:val="16"/>
        </w:rPr>
        <w:t xml:space="preserve">, approving a long-term aviation bill that maintains air traffic control as it is. But the idea is receiving a far different reception in the House. In the lower chamber, the Transportation and Infrastructure Committee advanced a plan championed by Chairman Rep. Bill Shuster, R-Pa., that transfers air traffic control from the Federal Aviation Administration to a nonprofit corporation. </w:t>
      </w:r>
      <w:r w:rsidRPr="00EA58CA">
        <w:rPr>
          <w:rStyle w:val="StyleUnderline"/>
        </w:rPr>
        <w:t>Lawmakers and advocates concede the GOP disagreement over the issue highlights the uncertain prospects for fulfilling the kind of big-spending, transformative infrastructure investment that Trump described on the campaign trail.</w:t>
      </w:r>
      <w:r>
        <w:rPr>
          <w:rStyle w:val="StyleUnderline"/>
        </w:rPr>
        <w:t xml:space="preserve"> </w:t>
      </w:r>
      <w:r w:rsidRPr="00EA58CA">
        <w:rPr>
          <w:sz w:val="16"/>
        </w:rPr>
        <w:t xml:space="preserve">"I am very interested in helping the administration move forward with infrastructure," said Sen. Jerry Moran, R-Kan., who is on the Commerce, Science and Transportation Committee, the panel with jurisdiction over the FAA that chose to not pursue air traffic control privatization. "I agree with the president that we have underinvested in infrastructure, and the country's economy can be greatly enhanced by improving it," Moran told the Washington Examiner. "But I think fighting over this part of the infrastructure program [air traffic control] slows down progress we can make in getting a larger infrastructure plan in place." </w:t>
      </w:r>
      <w:r w:rsidRPr="00EA58CA">
        <w:rPr>
          <w:rStyle w:val="StyleUnderline"/>
        </w:rPr>
        <w:t>Moran, like other Republican senators serving rural states, opposes privatizing the air traffic control system because he worries that smaller airports and general aviation, such as private pilots and business jets, will lose under a nonprofit governed by a board composed of industry players.</w:t>
      </w:r>
      <w:r>
        <w:rPr>
          <w:rStyle w:val="StyleUnderline"/>
        </w:rPr>
        <w:t xml:space="preserve"> </w:t>
      </w:r>
      <w:r w:rsidRPr="00EA58CA">
        <w:rPr>
          <w:sz w:val="16"/>
        </w:rPr>
        <w:t xml:space="preserve">These critics are listening to warnings expressed by groups such as the Alliance for Aviation Across America, which represents general aviation airports and farmers, that argue a nonprofit system funded by user fees would favor major revenue generators — airlines at busy, urban airports. In Kansas, Moran is especially beholden to the interests of the general aviation industry. Cessna, Beechcraft and Bombardier Learjet all manufacture jets and aviation products in the state, with those companies accounting for about 43 percent of private aircraft manufactured in the U.S., according to the Kansas Chamber of Commerce. "My general concern of privatization is if there is to be a benefit to air traffic control, it will accrue only to the largest cities in the county," Moran said. "Counties that are not the largest will find less satisfactory service." </w:t>
      </w:r>
      <w:r w:rsidRPr="00EA58CA">
        <w:rPr>
          <w:rStyle w:val="StyleUnderline"/>
        </w:rPr>
        <w:t xml:space="preserve">Moran predicts privatization will meet the </w:t>
      </w:r>
      <w:r w:rsidRPr="00EA58CA">
        <w:rPr>
          <w:rStyle w:val="Emphasis"/>
        </w:rPr>
        <w:t>same fate as it has in the past</w:t>
      </w:r>
      <w:r w:rsidRPr="00EA58CA">
        <w:rPr>
          <w:rStyle w:val="StyleUnderline"/>
        </w:rPr>
        <w:t xml:space="preserve">. Shuster saw his proposal to privatize air traffic control </w:t>
      </w:r>
      <w:r w:rsidRPr="00EA58CA">
        <w:rPr>
          <w:rStyle w:val="Emphasis"/>
        </w:rPr>
        <w:t>fail to make it the House floor</w:t>
      </w:r>
      <w:r w:rsidRPr="00EA58CA">
        <w:rPr>
          <w:rStyle w:val="StyleUnderline"/>
        </w:rPr>
        <w:t xml:space="preserve"> last year.</w:t>
      </w:r>
      <w:r>
        <w:rPr>
          <w:rStyle w:val="StyleUnderline"/>
        </w:rPr>
        <w:t xml:space="preserve"> </w:t>
      </w:r>
      <w:r w:rsidRPr="00EA58CA">
        <w:rPr>
          <w:sz w:val="16"/>
        </w:rPr>
        <w:t>"</w:t>
      </w:r>
      <w:r w:rsidRPr="00EA58CA">
        <w:rPr>
          <w:rStyle w:val="StyleUnderline"/>
        </w:rPr>
        <w:t>Even with Trump, I don't see we are in any different position this year," Moran said.</w:t>
      </w:r>
    </w:p>
    <w:p w:rsidR="005919EA" w:rsidRPr="00EA58CA" w:rsidRDefault="005919EA" w:rsidP="005919EA">
      <w:pPr>
        <w:rPr>
          <w:rStyle w:val="StyleUnderline"/>
        </w:rPr>
      </w:pPr>
    </w:p>
    <w:p w:rsidR="005919EA" w:rsidRDefault="005919EA" w:rsidP="005919EA">
      <w:pPr>
        <w:pStyle w:val="Heading4"/>
      </w:pPr>
      <w:r>
        <w:t xml:space="preserve">It won’t pass – Trump’s push is ineffective. </w:t>
      </w:r>
    </w:p>
    <w:p w:rsidR="005919EA" w:rsidRPr="00C10F5E" w:rsidRDefault="005919EA" w:rsidP="005919EA">
      <w:proofErr w:type="spellStart"/>
      <w:r w:rsidRPr="00C10F5E">
        <w:rPr>
          <w:rStyle w:val="Style13ptBold"/>
        </w:rPr>
        <w:t>Gurciullo</w:t>
      </w:r>
      <w:proofErr w:type="spellEnd"/>
      <w:r w:rsidRPr="00C10F5E">
        <w:rPr>
          <w:rStyle w:val="Style13ptBold"/>
        </w:rPr>
        <w:t xml:space="preserve"> and Gardner 7/9</w:t>
      </w:r>
      <w:r>
        <w:t xml:space="preserve"> – (Brianna </w:t>
      </w:r>
      <w:proofErr w:type="spellStart"/>
      <w:r>
        <w:t>Gurciullo</w:t>
      </w:r>
      <w:proofErr w:type="spellEnd"/>
      <w:r>
        <w:t xml:space="preserve"> and Lauren Gardner, Trump’s air traffic overhaul faces bumpy skies, 7/9/17, http://www.politico.com/story/2017/07/09/air-traffic-control-private-trump-240335)//a-berg</w:t>
      </w:r>
    </w:p>
    <w:p w:rsidR="005919EA" w:rsidRPr="00C10F5E" w:rsidRDefault="005919EA" w:rsidP="005919EA">
      <w:pPr>
        <w:rPr>
          <w:rStyle w:val="StyleUnderline"/>
        </w:rPr>
      </w:pPr>
      <w:r w:rsidRPr="00C10F5E">
        <w:rPr>
          <w:sz w:val="16"/>
        </w:rPr>
        <w:t xml:space="preserve">A House Republican plan to place the nation’s air traffic control system in private hands is closer than ever to becoming reality — but </w:t>
      </w:r>
      <w:r w:rsidRPr="00C10F5E">
        <w:rPr>
          <w:rStyle w:val="StyleUnderline"/>
        </w:rPr>
        <w:t>not even</w:t>
      </w:r>
      <w:r w:rsidRPr="00C10F5E">
        <w:rPr>
          <w:sz w:val="16"/>
        </w:rPr>
        <w:t xml:space="preserve"> President Donald </w:t>
      </w:r>
      <w:r w:rsidRPr="00C10F5E">
        <w:rPr>
          <w:rStyle w:val="StyleUnderline"/>
        </w:rPr>
        <w:t>Trump’s outspoken support has cleared away all the obstacles</w:t>
      </w:r>
      <w:r w:rsidRPr="00C10F5E">
        <w:rPr>
          <w:sz w:val="16"/>
        </w:rPr>
        <w:t xml:space="preserve">. </w:t>
      </w:r>
      <w:r w:rsidRPr="00C10F5E">
        <w:rPr>
          <w:rStyle w:val="StyleUnderline"/>
        </w:rPr>
        <w:t>A month after Trump offered</w:t>
      </w:r>
      <w:r w:rsidRPr="00C10F5E">
        <w:rPr>
          <w:sz w:val="16"/>
        </w:rPr>
        <w:t xml:space="preserve"> his </w:t>
      </w:r>
      <w:r w:rsidRPr="00C10F5E">
        <w:rPr>
          <w:rStyle w:val="StyleUnderline"/>
        </w:rPr>
        <w:t>public support</w:t>
      </w:r>
      <w:r w:rsidRPr="00C10F5E">
        <w:rPr>
          <w:sz w:val="16"/>
        </w:rPr>
        <w:t xml:space="preserve"> in a White House speech, </w:t>
      </w:r>
      <w:r w:rsidRPr="00C10F5E">
        <w:rPr>
          <w:rStyle w:val="StyleUnderline"/>
        </w:rPr>
        <w:t>the proposal</w:t>
      </w:r>
      <w:r w:rsidRPr="00C10F5E">
        <w:rPr>
          <w:sz w:val="16"/>
        </w:rPr>
        <w:t xml:space="preserve"> to split up the Federal Aviation Administration </w:t>
      </w:r>
      <w:r w:rsidRPr="00C10F5E">
        <w:rPr>
          <w:rStyle w:val="StyleUnderline"/>
        </w:rPr>
        <w:t>still faces opposition from rural interests, small-plane owners and key Republicans in Congress</w:t>
      </w:r>
      <w:r w:rsidRPr="00C10F5E">
        <w:rPr>
          <w:sz w:val="16"/>
        </w:rPr>
        <w:t xml:space="preserve">, where the to-do list for returning lawmakers is piled high with big tasks like repealing Obamacare and rewriting the tax code. One crucial lawmaker says he's not even sure how strongly Trump supports the proposal, which would represent the most dramatic overhaul of U.S. aviation in a century. “Well, you know, the president — it’s kind of funny because he hasn’t mentioned that to me, and I’m the one that he would mention it to, and I’ve been around him a lot,” said Sen. Jim Inhofe (R-Okla.), who, as a pilot, staunch conservative and advocate for rural communities, would be an important voice in the debate. “So I just question the depth of his commitment to that cause, to that legislation.” Still, the proposal may at least make it further than it did last year, when a bill sponsored by House Transportation Chairman Bill Shuster (R-Pa.) faced so much opposition that House leadership didn’t even bring it to the floor. Members have expressed confidence that Speaker Paul Ryan will bring it up this time, especially after he offered his support in a June blog post calling for “innovation” in air travel. But </w:t>
      </w:r>
      <w:r w:rsidRPr="00C10F5E">
        <w:rPr>
          <w:rStyle w:val="StyleUnderline"/>
        </w:rPr>
        <w:t>Congress faces a Sept. 30 deadline</w:t>
      </w:r>
      <w:r w:rsidRPr="00C10F5E">
        <w:rPr>
          <w:sz w:val="16"/>
        </w:rPr>
        <w:t xml:space="preserve"> to reauthorize the FAA — similar to the tight time frames for raising the debt ceiling and keeping the government running. The Senate’s version of the FAA reauthorization bill would leave the agency in charge of air traffic control, so the chambers would need to reconcile two dramatically different visions for an aviation system that safeguards the lives of millions of travelers. “</w:t>
      </w:r>
      <w:r w:rsidRPr="00C10F5E">
        <w:rPr>
          <w:rStyle w:val="StyleUnderline"/>
        </w:rPr>
        <w:t>We want to get it to the floor,” Shuster told POLITICO</w:t>
      </w:r>
      <w:r w:rsidRPr="00C10F5E">
        <w:rPr>
          <w:sz w:val="16"/>
        </w:rPr>
        <w:t xml:space="preserve"> before Congress’ July 4 recess. “We’re talking. People have to understand what we’re doing.” Shuster’s proposal would place the FAA’s air traffic control operation — including its thousands of controllers — under a nonprofit corporation that would be funded by user fees and overseen by a board that includes representatives of airlines, small-plane owners, airports and labor unions. The new entity could also take over a long-running, multibillion-dollar air traffic modernization project that the airlines — and Trump — accuse the FAA of mishandling. “A modern air traffic control system will make life better for all Americans who travel, ship or fly,” Trump said in his June 5 speech, promising that the system would deliver “cheaper, faster and safer travel.” </w:t>
      </w:r>
      <w:r w:rsidRPr="00C10F5E">
        <w:rPr>
          <w:rStyle w:val="StyleUnderline"/>
        </w:rPr>
        <w:t>Major interests have squared off on the proposal</w:t>
      </w:r>
      <w:r w:rsidRPr="00C10F5E">
        <w:rPr>
          <w:sz w:val="16"/>
        </w:rPr>
        <w:t xml:space="preserve">. Major airlines support it and are urging their passengers to get behind the push to “modernize air traffic control.” </w:t>
      </w:r>
      <w:r w:rsidRPr="00C10F5E">
        <w:rPr>
          <w:rStyle w:val="StyleUnderline"/>
        </w:rPr>
        <w:t>But groups representing small-plane owners are lobbying against it, in part because they say it would give too much control to the airlines.</w:t>
      </w:r>
      <w:r>
        <w:rPr>
          <w:rStyle w:val="StyleUnderline"/>
        </w:rPr>
        <w:t xml:space="preserve"> </w:t>
      </w:r>
      <w:r w:rsidRPr="00C10F5E">
        <w:rPr>
          <w:rStyle w:val="StyleUnderline"/>
        </w:rPr>
        <w:t>Democrats have lined up against the plan,</w:t>
      </w:r>
      <w:r w:rsidRPr="00C10F5E">
        <w:rPr>
          <w:sz w:val="16"/>
        </w:rPr>
        <w:t xml:space="preserve"> calling it a giveaway to the airline industry. </w:t>
      </w:r>
      <w:r w:rsidRPr="00C10F5E">
        <w:rPr>
          <w:rStyle w:val="StyleUnderline"/>
        </w:rPr>
        <w:t>And not even all Republicans are sold</w:t>
      </w:r>
      <w:r w:rsidRPr="00C10F5E">
        <w:rPr>
          <w:sz w:val="16"/>
        </w:rPr>
        <w:t xml:space="preserve">, including members of Congress’ appropriating and tax-writing committees. </w:t>
      </w:r>
      <w:r w:rsidRPr="00C10F5E">
        <w:rPr>
          <w:rStyle w:val="StyleUnderline"/>
        </w:rPr>
        <w:t>Rep</w:t>
      </w:r>
      <w:r w:rsidRPr="00C10F5E">
        <w:rPr>
          <w:sz w:val="16"/>
        </w:rPr>
        <w:t xml:space="preserve">. Mario </w:t>
      </w:r>
      <w:r w:rsidRPr="00C10F5E">
        <w:rPr>
          <w:rStyle w:val="StyleUnderline"/>
        </w:rPr>
        <w:t>Diaz-Balart</w:t>
      </w:r>
      <w:r w:rsidRPr="00C10F5E">
        <w:rPr>
          <w:sz w:val="16"/>
        </w:rPr>
        <w:t xml:space="preserve"> (R-Fla.), </w:t>
      </w:r>
      <w:r w:rsidRPr="00C10F5E">
        <w:rPr>
          <w:rStyle w:val="StyleUnderline"/>
        </w:rPr>
        <w:t>who chairs House Appropriations' transportation panel, has objected</w:t>
      </w:r>
      <w:r w:rsidRPr="00C10F5E">
        <w:rPr>
          <w:sz w:val="16"/>
        </w:rPr>
        <w:t xml:space="preserve"> that the nonprofit entity would escape congressional oversight while getting an estimated $40 billion in FAA equipment and other assets. “They’re not mine; they’re not yours — they’re the American people’s,” he said in March. </w:t>
      </w:r>
      <w:r w:rsidRPr="00C10F5E">
        <w:rPr>
          <w:rStyle w:val="StyleUnderline"/>
        </w:rPr>
        <w:t xml:space="preserve">House GOP tax writers </w:t>
      </w:r>
      <w:r w:rsidRPr="00C10F5E">
        <w:rPr>
          <w:sz w:val="16"/>
        </w:rPr>
        <w:t xml:space="preserve">— who played a key role in heading off the measure last time — </w:t>
      </w:r>
      <w:r w:rsidRPr="00C10F5E">
        <w:rPr>
          <w:rStyle w:val="StyleUnderline"/>
        </w:rPr>
        <w:t xml:space="preserve">have been cagier </w:t>
      </w:r>
      <w:r w:rsidRPr="00C10F5E">
        <w:rPr>
          <w:sz w:val="16"/>
        </w:rPr>
        <w:t xml:space="preserve">in this go-round. Ways and Means Chairman Kevin Brady (R-Texas) called the White House’s list of air traffic control principles a “serious proposal” that “deserves serious consideration.” “I’m going to go through the details on that,” Brady said last month. “But what I do know is what we’ve got right now isn’t working. Our air traffic infrastructure is falling behind, and you just aren’t seeing the improvements and progress that need to be made.” Other former opponents of Shuster’s bill have been much quieter. They include former House Appropriations Chairman Hal Rogers (R-Ky.), who signed onto a letter last year blasting Shuster’s plan but has remained noncommittal so far in 2017. He told POLITICO last month that he’s reserving judgment for now. Rep. Lou Barletta (R-Pa.), a Transportation Committee member who is close to the White House, said he thinks Trump’s support has been critical to getting more lawmakers to lean "yes." “The president brought it before the American people and talked about his support for it, and I thought it was heard here by members of the Congress,” he said. “I think members took it more seriously when [Trump] came out and openly endorsed it, yeah,” Rep. Kenny Marchant (R-Texas), a member of Ways and Means, told POLITICO. "And then the speaker did as well." House Majority Leader Kevin McCarthy — whose office sets the legislative schedule — was one of the lawmakers who attended Trump’s air traffic control rollout. But not even all Republicans on Shuster’s committee support his FAA proposal. Indiana Rep. Todd </w:t>
      </w:r>
      <w:proofErr w:type="spellStart"/>
      <w:r w:rsidRPr="00C10F5E">
        <w:rPr>
          <w:sz w:val="16"/>
        </w:rPr>
        <w:t>Rokita</w:t>
      </w:r>
      <w:proofErr w:type="spellEnd"/>
      <w:r w:rsidRPr="00C10F5E">
        <w:rPr>
          <w:sz w:val="16"/>
        </w:rPr>
        <w:t xml:space="preserve"> voted no when Shuster’s panel cleared the bill in a 32-25 vote in late June, calling it “fundamentally flawed” because of the potential for any one interest group to hold too much sway over the system. He also said that unlike a "true privatization effort," Shuster’s bill “does not reduce the regulatory state or the number of workers." House Transportation member Sam Graves (R-Mo.), a pilot who opposed the bill last year, voted yes this time after Shuster agreed to changes such as exempting owners of small planes and business jets from user fees. But he still wasn’t sure how much Trump's support has swayed members' thinking. "I mean, that's hard to tell at this point," said Graves, who hopes to succeed Shuster as chairman. "It's hard to underestimate the president's power, too, when it comes to persuasion, any president.” In the Senate, meanwhile, the Commerce Committee’s more straight-up FAA reauthorization bill faces its own challenges because of details such as pilot-training requirements. Commerce Chairman John Thune (R-S.D.) has said for months that he wouldn’t have the votes to pass the bill out of his panel if it included Shuster’s air traffic control overhaul. If the House and Senate can’t agree, one likely scenario is that lawmakers will simply extend the FAA’s current authorization while they hash things out. In past FAA renewals, that process has sometimes lasted years. The Transportation Committee’s top Democrat, Oregon Rep. Peter DeFazio, said Trump’s backing has “shifted things on the margin” in Congress. "Ryan didn’t support bringing the bill to the floor last year. He’s trying to deliver something for the president, so maybe he thinks this is his something he might be able to deliver,” DeFazio said. “So the dynamics have changed to that extent.” </w:t>
      </w:r>
      <w:r w:rsidRPr="00C10F5E">
        <w:rPr>
          <w:rStyle w:val="Emphasis"/>
        </w:rPr>
        <w:t>Trump’s influence has its limits, however.</w:t>
      </w:r>
      <w:r>
        <w:rPr>
          <w:rStyle w:val="Emphasis"/>
        </w:rPr>
        <w:t xml:space="preserve"> </w:t>
      </w:r>
      <w:r w:rsidRPr="00C10F5E">
        <w:rPr>
          <w:sz w:val="16"/>
        </w:rPr>
        <w:t xml:space="preserve">"I’m still concerned about security and who has jurisdiction," Ways and Means member Dave Reichert (R-Wash.) told POLITICO before the recess. He has yet to take a position on the bill. </w:t>
      </w:r>
      <w:r w:rsidRPr="00C10F5E">
        <w:rPr>
          <w:rStyle w:val="StyleUnderline"/>
        </w:rPr>
        <w:t>When asked whether Trump's support for the change had affected the political calculus for lawmakers, Reichert said: "Not for me."</w:t>
      </w:r>
    </w:p>
    <w:p w:rsidR="005919EA" w:rsidRDefault="001C74BC" w:rsidP="005919EA">
      <w:pPr>
        <w:pStyle w:val="Heading3"/>
      </w:pPr>
      <w:r>
        <w:t xml:space="preserve">1AR Non-Uniqueness—July </w:t>
      </w:r>
    </w:p>
    <w:p w:rsidR="005919EA" w:rsidRDefault="005919EA" w:rsidP="005919EA"/>
    <w:p w:rsidR="005919EA" w:rsidRDefault="005919EA" w:rsidP="005919EA">
      <w:pPr>
        <w:pStyle w:val="Heading4"/>
      </w:pPr>
      <w:r>
        <w:t>Won’t pass - Senate committees</w:t>
      </w:r>
    </w:p>
    <w:p w:rsidR="005919EA" w:rsidRDefault="005919EA" w:rsidP="005919EA">
      <w:r w:rsidRPr="00C10F5E">
        <w:rPr>
          <w:rStyle w:val="Style13ptBold"/>
        </w:rPr>
        <w:t>Wagner 7/10</w:t>
      </w:r>
      <w:r>
        <w:t xml:space="preserve"> – (Erich, Senate Panel Advances FAA Reauthorization Without Trump Privatization Plan, 7/10/17, http://www.govexec.com/oversight/2017/07/senate-panel-advances-faa-reauthorization-without-trump-privatization-plan/139315/)//a-berg</w:t>
      </w:r>
    </w:p>
    <w:p w:rsidR="005919EA" w:rsidRDefault="005919EA" w:rsidP="005919EA">
      <w:pPr>
        <w:rPr>
          <w:sz w:val="16"/>
        </w:rPr>
      </w:pPr>
      <w:r w:rsidRPr="008A06CC">
        <w:rPr>
          <w:rStyle w:val="StyleUnderline"/>
        </w:rPr>
        <w:t xml:space="preserve">A Senate committee has thrown </w:t>
      </w:r>
      <w:r w:rsidRPr="00CB656F">
        <w:rPr>
          <w:rStyle w:val="Emphasis"/>
        </w:rPr>
        <w:t>cold water</w:t>
      </w:r>
      <w:r w:rsidRPr="008A06CC">
        <w:rPr>
          <w:rStyle w:val="StyleUnderline"/>
        </w:rPr>
        <w:t xml:space="preserve"> on the Trump administration’s controversial plan</w:t>
      </w:r>
      <w:r w:rsidRPr="008A06CC">
        <w:rPr>
          <w:sz w:val="16"/>
        </w:rPr>
        <w:t xml:space="preserve"> to transfer the nation’s air traffic control system from the Federal Aviation Administration to a private non-profit organization. The Senate Commerce, Science and Transportation Committee voted unanimously just before the July 4 recess to advance the 2017 Federal Aviation Administration Reauthorization Act (S.1405), which makes only minor tweaks to how the agency conducts air traffic control operations. </w:t>
      </w:r>
      <w:r w:rsidRPr="008A06CC">
        <w:rPr>
          <w:rStyle w:val="StyleUnderline"/>
        </w:rPr>
        <w:t>Committee Chairman</w:t>
      </w:r>
      <w:r w:rsidRPr="008A06CC">
        <w:rPr>
          <w:sz w:val="16"/>
        </w:rPr>
        <w:t xml:space="preserve"> John </w:t>
      </w:r>
      <w:r w:rsidRPr="008A06CC">
        <w:rPr>
          <w:rStyle w:val="StyleUnderline"/>
        </w:rPr>
        <w:t>Thune</w:t>
      </w:r>
      <w:r w:rsidRPr="008A06CC">
        <w:rPr>
          <w:sz w:val="16"/>
        </w:rPr>
        <w:t xml:space="preserve">, R-S.D., said he </w:t>
      </w:r>
      <w:r w:rsidRPr="008A06CC">
        <w:rPr>
          <w:rStyle w:val="StyleUnderline"/>
        </w:rPr>
        <w:t>left the privatization plan out of his bill in</w:t>
      </w:r>
      <w:r w:rsidRPr="008A06CC">
        <w:rPr>
          <w:sz w:val="16"/>
        </w:rPr>
        <w:t xml:space="preserve"> the spirit of the panel making a bipartisan decision on the agency’s future. House Republicans and the White House have argued that privatizing the ATC system will speed up efforts to modernize its infrastructure, including the effort to upgrade from radar-based tracking systems to the </w:t>
      </w:r>
      <w:proofErr w:type="spellStart"/>
      <w:r w:rsidRPr="008A06CC">
        <w:rPr>
          <w:sz w:val="16"/>
        </w:rPr>
        <w:t>NextGen</w:t>
      </w:r>
      <w:proofErr w:type="spellEnd"/>
      <w:r w:rsidRPr="008A06CC">
        <w:rPr>
          <w:sz w:val="16"/>
        </w:rPr>
        <w:t xml:space="preserve"> system of tracking aircraft via GPS. “To be clear, I remain open minded about the idea of moving FAA’s ATC function into a not-for-profit nongovernmental body, but I also appreciate that sincerely held concerns exist,” Thune said. “So I hope and expect that we’ll consider this proposal more fully as this bill advances beyond committee.” The Senate bill requires FAA to assess its current </w:t>
      </w:r>
      <w:proofErr w:type="spellStart"/>
      <w:r w:rsidRPr="008A06CC">
        <w:rPr>
          <w:sz w:val="16"/>
        </w:rPr>
        <w:t>NextGen</w:t>
      </w:r>
      <w:proofErr w:type="spellEnd"/>
      <w:r w:rsidRPr="008A06CC">
        <w:rPr>
          <w:sz w:val="16"/>
        </w:rPr>
        <w:t xml:space="preserve"> implementation status and set up annual performance goals, as well as report to Congress on other infrastructure initiatives. It also would better define which FAA employees are considered “essential” and allow FAA to transfer money within the agency in the event of furloughs. </w:t>
      </w:r>
      <w:r w:rsidRPr="008A06CC">
        <w:rPr>
          <w:rStyle w:val="StyleUnderline"/>
        </w:rPr>
        <w:t>Sen</w:t>
      </w:r>
      <w:r w:rsidRPr="008A06CC">
        <w:rPr>
          <w:sz w:val="16"/>
        </w:rPr>
        <w:t xml:space="preserve">. Bill </w:t>
      </w:r>
      <w:r w:rsidRPr="008A06CC">
        <w:rPr>
          <w:rStyle w:val="StyleUnderline"/>
        </w:rPr>
        <w:t>Nelson</w:t>
      </w:r>
      <w:r w:rsidRPr="008A06CC">
        <w:rPr>
          <w:sz w:val="16"/>
        </w:rPr>
        <w:t xml:space="preserve">, D-Fla., the committee’s ranking Democrat, thanked Thune for the inclusive drafting and amendment process, and he </w:t>
      </w:r>
      <w:r w:rsidRPr="008A06CC">
        <w:rPr>
          <w:rStyle w:val="StyleUnderline"/>
        </w:rPr>
        <w:t xml:space="preserve">stressed that privatizing the air traffic control system would be </w:t>
      </w:r>
      <w:r w:rsidRPr="00CB656F">
        <w:rPr>
          <w:rStyle w:val="Emphasis"/>
        </w:rPr>
        <w:t>a</w:t>
      </w:r>
      <w:r w:rsidRPr="008A06CC">
        <w:rPr>
          <w:rStyle w:val="StyleUnderline"/>
        </w:rPr>
        <w:t xml:space="preserve"> </w:t>
      </w:r>
      <w:r w:rsidRPr="00CB656F">
        <w:rPr>
          <w:rStyle w:val="Emphasis"/>
        </w:rPr>
        <w:t>nonstarter</w:t>
      </w:r>
      <w:r w:rsidRPr="008A06CC">
        <w:rPr>
          <w:rStyle w:val="StyleUnderline"/>
        </w:rPr>
        <w:t xml:space="preserve"> for many Democrats.</w:t>
      </w:r>
      <w:r>
        <w:rPr>
          <w:rStyle w:val="StyleUnderline"/>
        </w:rPr>
        <w:t xml:space="preserve"> </w:t>
      </w:r>
      <w:r w:rsidRPr="008A06CC">
        <w:rPr>
          <w:sz w:val="16"/>
        </w:rPr>
        <w:t>“</w:t>
      </w:r>
      <w:r w:rsidRPr="008A06CC">
        <w:rPr>
          <w:rStyle w:val="StyleUnderline"/>
        </w:rPr>
        <w:t>No matter what is occurring in the House</w:t>
      </w:r>
      <w:r w:rsidRPr="008A06CC">
        <w:rPr>
          <w:sz w:val="16"/>
        </w:rPr>
        <w:t xml:space="preserve"> and no matter how hard various interests press, it is clear that those who support the privatization of a national asset, our airspace system — </w:t>
      </w:r>
      <w:r w:rsidRPr="00CB656F">
        <w:rPr>
          <w:rStyle w:val="Emphasis"/>
        </w:rPr>
        <w:t>the support is not there</w:t>
      </w:r>
      <w:r w:rsidRPr="008A06CC">
        <w:rPr>
          <w:rStyle w:val="StyleUnderline"/>
        </w:rPr>
        <w:t xml:space="preserve"> in this committee or in the Senate</w:t>
      </w:r>
      <w:r w:rsidRPr="008A06CC">
        <w:rPr>
          <w:sz w:val="16"/>
        </w:rPr>
        <w:t xml:space="preserve">,” Nelson said. “I appreciate that many folks in this debate have good intentions, but this idea is simply not there as a sound idea for the safety of travelers, taxpayers, the economy or the security of this country. A more promising path is the bill before us today in its current form.” </w:t>
      </w:r>
      <w:r w:rsidRPr="008A06CC">
        <w:rPr>
          <w:rStyle w:val="StyleUnderline"/>
        </w:rPr>
        <w:t>The Senate committee’s action brings into question whether Congress will deliver on a heavily touted White House initiative</w:t>
      </w:r>
      <w:r w:rsidRPr="008A06CC">
        <w:rPr>
          <w:sz w:val="16"/>
        </w:rPr>
        <w:t>. President Trump in June held a signing ceremony for the principles he wished to see in an FAA reauthorization bill, chiefly ATC privatization.</w:t>
      </w:r>
    </w:p>
    <w:p w:rsidR="005919EA" w:rsidRPr="00F27B1D" w:rsidRDefault="005919EA" w:rsidP="005919EA">
      <w:pPr>
        <w:pStyle w:val="Heading4"/>
      </w:pPr>
      <w:r>
        <w:t xml:space="preserve">Privatization </w:t>
      </w:r>
      <w:proofErr w:type="spellStart"/>
      <w:r>
        <w:t>wont</w:t>
      </w:r>
      <w:proofErr w:type="spellEnd"/>
      <w:r>
        <w:t xml:space="preserve"> pass – massive resistance.</w:t>
      </w:r>
    </w:p>
    <w:p w:rsidR="005919EA" w:rsidRDefault="005919EA" w:rsidP="005919EA">
      <w:proofErr w:type="spellStart"/>
      <w:r w:rsidRPr="00F27B1D">
        <w:rPr>
          <w:rStyle w:val="Style13ptBold"/>
        </w:rPr>
        <w:t>Shepardson</w:t>
      </w:r>
      <w:proofErr w:type="spellEnd"/>
      <w:r w:rsidRPr="00F27B1D">
        <w:rPr>
          <w:rStyle w:val="Style13ptBold"/>
        </w:rPr>
        <w:t xml:space="preserve"> 7/13</w:t>
      </w:r>
      <w:r>
        <w:t xml:space="preserve"> – David, U.S. lawmakers fight White House transportation budget cut plan, 7/13/17, https://www.reuters.com/article/usa-transportation-idUSL1N1K41X5</w:t>
      </w:r>
    </w:p>
    <w:p w:rsidR="005919EA" w:rsidRPr="00F27B1D" w:rsidRDefault="005919EA" w:rsidP="005919EA">
      <w:pPr>
        <w:rPr>
          <w:rStyle w:val="StyleUnderline"/>
        </w:rPr>
      </w:pPr>
      <w:r w:rsidRPr="00F27B1D">
        <w:rPr>
          <w:sz w:val="16"/>
        </w:rPr>
        <w:t xml:space="preserve">WASHINGTON (Reuters) - </w:t>
      </w:r>
      <w:r w:rsidRPr="00F27B1D">
        <w:rPr>
          <w:rStyle w:val="StyleUnderline"/>
        </w:rPr>
        <w:t>The White House plan to</w:t>
      </w:r>
      <w:r w:rsidRPr="00F27B1D">
        <w:rPr>
          <w:sz w:val="16"/>
        </w:rPr>
        <w:t xml:space="preserve"> cut transportation spending, </w:t>
      </w:r>
      <w:r w:rsidRPr="00F27B1D">
        <w:rPr>
          <w:rStyle w:val="StyleUnderline"/>
        </w:rPr>
        <w:t>privatize air traffic control</w:t>
      </w:r>
      <w:r w:rsidRPr="00F27B1D">
        <w:rPr>
          <w:sz w:val="16"/>
        </w:rPr>
        <w:t xml:space="preserve"> and scrap long-distance train service </w:t>
      </w:r>
      <w:r w:rsidRPr="00F27B1D">
        <w:rPr>
          <w:rStyle w:val="StyleUnderline"/>
        </w:rPr>
        <w:t xml:space="preserve">is facing </w:t>
      </w:r>
      <w:r w:rsidRPr="00F27B1D">
        <w:rPr>
          <w:rStyle w:val="Emphasis"/>
        </w:rPr>
        <w:t>strong resistance</w:t>
      </w:r>
      <w:r w:rsidRPr="00F27B1D">
        <w:rPr>
          <w:rStyle w:val="StyleUnderline"/>
        </w:rPr>
        <w:t xml:space="preserve"> in Congress .</w:t>
      </w:r>
      <w:r>
        <w:rPr>
          <w:rStyle w:val="StyleUnderline"/>
        </w:rPr>
        <w:t xml:space="preserve"> </w:t>
      </w:r>
      <w:r w:rsidRPr="00F27B1D">
        <w:rPr>
          <w:sz w:val="16"/>
        </w:rPr>
        <w:t xml:space="preserve">In May, the Trump administration proposed cutting discretionary U.S. Transportation Department spending by 12.7 percent, or $2.4 billion to $16.2 billion. A House of Representatives Appropriations Committee panel this week approved $17.8 billion in discretionary spending, $1.5 billion above the White House request. On Thursday, Transportation Secretary Elaine Chao addressed a U.S. Senate Appropriations subcommittee hearing. Senator Susan Collins, a Republican who chairs the panel, said she was disappointed in many proposed cuts. The House panel rejected a White House plan to end subsidies for Amtrak to operate long-distance train service, which would have cut $630 million of $1.4 billion in annual government support for passenger rail service. The panel also rejected a plan to eliminate $150 million in annual subsidies for commercial air service to rural airports. </w:t>
      </w:r>
      <w:r w:rsidRPr="00F27B1D">
        <w:rPr>
          <w:rStyle w:val="Emphasis"/>
        </w:rPr>
        <w:t>Many lawmakers</w:t>
      </w:r>
      <w:r w:rsidRPr="00F27B1D">
        <w:rPr>
          <w:sz w:val="16"/>
        </w:rPr>
        <w:t xml:space="preserve"> also </w:t>
      </w:r>
      <w:r w:rsidRPr="00F27B1D">
        <w:rPr>
          <w:rStyle w:val="StyleUnderline"/>
        </w:rPr>
        <w:t>opposed the administration's proposal to privatize the air traffic control system.</w:t>
      </w:r>
      <w:r>
        <w:rPr>
          <w:rStyle w:val="StyleUnderline"/>
        </w:rPr>
        <w:t xml:space="preserve"> </w:t>
      </w:r>
      <w:r w:rsidRPr="00F27B1D">
        <w:rPr>
          <w:rStyle w:val="StyleUnderline"/>
        </w:rPr>
        <w:t>In June, the Senate Commerce Committee</w:t>
      </w:r>
      <w:r w:rsidRPr="00F27B1D">
        <w:rPr>
          <w:sz w:val="16"/>
        </w:rPr>
        <w:t xml:space="preserve"> approved proposed changes in Federal Aviation Administration policies. But unlike a House panel, it </w:t>
      </w:r>
      <w:r w:rsidRPr="00F27B1D">
        <w:rPr>
          <w:rStyle w:val="StyleUnderline"/>
        </w:rPr>
        <w:t>did not back spinning off air traffic control.</w:t>
      </w:r>
      <w:r w:rsidRPr="00F27B1D">
        <w:rPr>
          <w:sz w:val="16"/>
        </w:rPr>
        <w:t xml:space="preserve"> The House will vote on the privatization plan as soon as next week. President Donald </w:t>
      </w:r>
      <w:r w:rsidRPr="00F27B1D">
        <w:rPr>
          <w:rStyle w:val="StyleUnderline"/>
        </w:rPr>
        <w:t xml:space="preserve">Trump says the move would modernize air traffic control and lower flying costs. The proposal has </w:t>
      </w:r>
      <w:r w:rsidRPr="00F27B1D">
        <w:rPr>
          <w:rStyle w:val="Emphasis"/>
        </w:rPr>
        <w:t>drawn fire</w:t>
      </w:r>
      <w:r w:rsidRPr="00F27B1D">
        <w:rPr>
          <w:rStyle w:val="StyleUnderline"/>
        </w:rPr>
        <w:t xml:space="preserve"> from private plane owners and rural airports. Critics say it would hand control of an important service to special interests and big airlines.</w:t>
      </w:r>
    </w:p>
    <w:p w:rsidR="005919EA" w:rsidRDefault="005919EA" w:rsidP="005919EA">
      <w:pPr>
        <w:rPr>
          <w:sz w:val="16"/>
        </w:rPr>
      </w:pPr>
    </w:p>
    <w:p w:rsidR="005919EA" w:rsidRPr="001C37F9" w:rsidRDefault="005919EA" w:rsidP="005919EA">
      <w:pPr>
        <w:pStyle w:val="Heading3"/>
      </w:pPr>
      <w:r>
        <w:t>1AR AT: Trump Push</w:t>
      </w:r>
      <w:r w:rsidR="001C74BC">
        <w:t xml:space="preserve">—July </w:t>
      </w:r>
    </w:p>
    <w:p w:rsidR="005919EA" w:rsidRDefault="005919EA" w:rsidP="005919EA">
      <w:pPr>
        <w:pStyle w:val="Heading4"/>
      </w:pPr>
      <w:r>
        <w:t xml:space="preserve">It won’t pass and Trump is not committed </w:t>
      </w:r>
    </w:p>
    <w:p w:rsidR="005919EA" w:rsidRPr="0077573D" w:rsidRDefault="005919EA" w:rsidP="005919EA">
      <w:r w:rsidRPr="0077573D">
        <w:rPr>
          <w:rStyle w:val="Style13ptBold"/>
        </w:rPr>
        <w:t>Schaffer 7/11</w:t>
      </w:r>
      <w:r>
        <w:t xml:space="preserve"> – (Jim, The Effort to Privatize the Nation’s Air Traffic Control System Persists, 7/11/17, https://nonprofitquarterly.org/2017/07/11/effort-privatize-nations-air-traffic-control-system-continues/)//a-berg</w:t>
      </w:r>
    </w:p>
    <w:p w:rsidR="005919EA" w:rsidRPr="005919EA" w:rsidRDefault="005919EA" w:rsidP="005919EA">
      <w:r w:rsidRPr="0077573D">
        <w:rPr>
          <w:sz w:val="16"/>
        </w:rPr>
        <w:t xml:space="preserve">NPQ regularly addresses the pros and cons (mostly cons) of government privatization in general, and in particular with education reform, public health systems, public works such as the water supply, prisons (and here), foster care, the management of public lands, and even the privatization of democracy through philanthropy. President Trump’s infrastructure vision (once costing $1 trillion, now $200 billion with details still forthcoming) includes the privatization of the nation’s air traffic control system, as explained in this White House press release in early June. It is a decades-old idea to detach the job of tracking and guiding airplanes from the control of the Federal Aviation Administration (FAA) and fund it by user fees instead of taxpayer dollars. Most of the commercial airlines support the idea, and executives from those companies joined the president at the White House to announce the plan. House Committee on Transportation and Infrastructure chairman Bill </w:t>
      </w:r>
      <w:r w:rsidRPr="0077573D">
        <w:rPr>
          <w:rStyle w:val="StyleUnderline"/>
        </w:rPr>
        <w:t>Shuster</w:t>
      </w:r>
      <w:r w:rsidRPr="0077573D">
        <w:rPr>
          <w:sz w:val="16"/>
        </w:rPr>
        <w:t xml:space="preserve"> (Republican of Pennsylvania and an early Trump supporter) </w:t>
      </w:r>
      <w:r w:rsidRPr="0077573D">
        <w:rPr>
          <w:rStyle w:val="StyleUnderline"/>
        </w:rPr>
        <w:t>champions the proposed legislation</w:t>
      </w:r>
      <w:r w:rsidRPr="0077573D">
        <w:rPr>
          <w:sz w:val="16"/>
        </w:rPr>
        <w:t xml:space="preserve"> which he put forward early last year. The Aviation Innovation, Reform, and Reauthorization Act of 2016 proposed that a private nonprofit corporation be created to operate, manage, and control air traffic control nationwide. The FAA would retain some oversight capacity, but mostly representatives of the major airlines would constitute this new organization’s board. Air traffic controllers would remain unionized (and the union supports the proposal). </w:t>
      </w:r>
      <w:r w:rsidRPr="0077573D">
        <w:rPr>
          <w:rStyle w:val="StyleUnderline"/>
        </w:rPr>
        <w:t>Shuster’s bill never made it to the House floor last year, indicating that even some Republicans are not yet sold on the idea.</w:t>
      </w:r>
      <w:r>
        <w:rPr>
          <w:rStyle w:val="StyleUnderline"/>
        </w:rPr>
        <w:t xml:space="preserve"> </w:t>
      </w:r>
      <w:r w:rsidRPr="0077573D">
        <w:rPr>
          <w:sz w:val="16"/>
        </w:rPr>
        <w:t xml:space="preserve">Britain, Canada, France (they went on strike last March), and Germany are among the countries that have already transferred their air traffic control systems to private entities or independent agencies. Writing for Politico, Brianna </w:t>
      </w:r>
      <w:proofErr w:type="spellStart"/>
      <w:r w:rsidRPr="0077573D">
        <w:rPr>
          <w:sz w:val="16"/>
        </w:rPr>
        <w:t>Gurciullo</w:t>
      </w:r>
      <w:proofErr w:type="spellEnd"/>
      <w:r w:rsidRPr="0077573D">
        <w:rPr>
          <w:sz w:val="16"/>
        </w:rPr>
        <w:t xml:space="preserve"> and Lauren Gardner bring us up to date on the progress this legislation is making in the U.S. and the threats that remain to this proposal becoming law. </w:t>
      </w:r>
      <w:r w:rsidRPr="0077573D">
        <w:rPr>
          <w:rStyle w:val="StyleUnderline"/>
        </w:rPr>
        <w:t>A month after Trump offered his public support</w:t>
      </w:r>
      <w:r w:rsidRPr="0077573D">
        <w:rPr>
          <w:sz w:val="16"/>
        </w:rPr>
        <w:t xml:space="preserve"> in a White House speech, </w:t>
      </w:r>
      <w:r w:rsidRPr="0077573D">
        <w:rPr>
          <w:rStyle w:val="StyleUnderline"/>
        </w:rPr>
        <w:t>the proposal</w:t>
      </w:r>
      <w:r w:rsidRPr="0077573D">
        <w:rPr>
          <w:sz w:val="16"/>
        </w:rPr>
        <w:t xml:space="preserve"> to split up the Federal Aviation Administration </w:t>
      </w:r>
      <w:r w:rsidRPr="0077573D">
        <w:rPr>
          <w:rStyle w:val="StyleUnderline"/>
        </w:rPr>
        <w:t>still faces opposition from rural interests, small-plane owners and key Republicans in Congress</w:t>
      </w:r>
      <w:r w:rsidRPr="0077573D">
        <w:rPr>
          <w:sz w:val="16"/>
        </w:rPr>
        <w:t xml:space="preserve">, where the to-do list for returning lawmakers is piled high with big tasks like repealing Obamacare and rewriting the tax code. </w:t>
      </w:r>
      <w:r w:rsidRPr="0077573D">
        <w:rPr>
          <w:rStyle w:val="StyleUnderline"/>
        </w:rPr>
        <w:t>One crucial lawmaker says he’s not even sure how strongly Trump supports the proposal</w:t>
      </w:r>
      <w:r w:rsidRPr="0077573D">
        <w:rPr>
          <w:sz w:val="16"/>
        </w:rPr>
        <w:t xml:space="preserve">, which would represent the most dramatic overhaul of U.S. aviation in a century. “Well, you know, </w:t>
      </w:r>
      <w:r w:rsidRPr="0077573D">
        <w:rPr>
          <w:rStyle w:val="StyleUnderline"/>
        </w:rPr>
        <w:t>the president</w:t>
      </w:r>
      <w:r w:rsidRPr="0077573D">
        <w:rPr>
          <w:sz w:val="16"/>
        </w:rPr>
        <w:t xml:space="preserve">—it’s kind of funny because he </w:t>
      </w:r>
      <w:r w:rsidRPr="0077573D">
        <w:rPr>
          <w:rStyle w:val="StyleUnderline"/>
        </w:rPr>
        <w:t>hasn’t mentioned that to me</w:t>
      </w:r>
      <w:r w:rsidRPr="0077573D">
        <w:rPr>
          <w:sz w:val="16"/>
        </w:rPr>
        <w:t>, and I’m the one that he would mention it to, and I’ve been around him a lot,” said Sen. Jim Inhofe (R-OK), who, as a pilot, staunch conservative, and advocate for rural communities, would be an important voice in the debate. “</w:t>
      </w:r>
      <w:r w:rsidRPr="0077573D">
        <w:rPr>
          <w:rStyle w:val="StyleUnderline"/>
        </w:rPr>
        <w:t>So I just question the depth of his commitment to that cause, to that legislation.”</w:t>
      </w:r>
      <w:r w:rsidRPr="0077573D">
        <w:rPr>
          <w:sz w:val="16"/>
        </w:rPr>
        <w:t xml:space="preserve"> In any event, </w:t>
      </w:r>
      <w:r w:rsidRPr="0077573D">
        <w:rPr>
          <w:rStyle w:val="StyleUnderline"/>
        </w:rPr>
        <w:t>it will take much more than President Trump’s endorsement to pass this legislation</w:t>
      </w:r>
      <w:r w:rsidRPr="0077573D">
        <w:rPr>
          <w:sz w:val="16"/>
        </w:rPr>
        <w:t xml:space="preserve">. </w:t>
      </w:r>
      <w:proofErr w:type="spellStart"/>
      <w:r w:rsidRPr="0077573D">
        <w:rPr>
          <w:sz w:val="16"/>
        </w:rPr>
        <w:t>Gurciullo</w:t>
      </w:r>
      <w:proofErr w:type="spellEnd"/>
      <w:r w:rsidRPr="0077573D">
        <w:rPr>
          <w:sz w:val="16"/>
        </w:rPr>
        <w:t xml:space="preserve"> and Gardner offer a thorough analysis of who is for and against the bill and for what reasons. In general, most Republicans and the major airlines are for the proposal, and the airlines are asking their customers to sign on. </w:t>
      </w:r>
      <w:r w:rsidRPr="0077573D">
        <w:rPr>
          <w:rStyle w:val="StyleUnderline"/>
        </w:rPr>
        <w:t>Most Democrats and small-plane owners oppose what they see as giving too much control away to the airline industry</w:t>
      </w:r>
      <w:r w:rsidRPr="0077573D">
        <w:rPr>
          <w:sz w:val="16"/>
        </w:rPr>
        <w:t xml:space="preserve">. Other opponents say the key to reducing delays and increasing efficiency is the full implementation of the </w:t>
      </w:r>
      <w:proofErr w:type="spellStart"/>
      <w:r w:rsidRPr="0077573D">
        <w:rPr>
          <w:sz w:val="16"/>
        </w:rPr>
        <w:t>NextGen</w:t>
      </w:r>
      <w:proofErr w:type="spellEnd"/>
      <w:r w:rsidRPr="0077573D">
        <w:rPr>
          <w:sz w:val="16"/>
        </w:rPr>
        <w:t xml:space="preserve"> technology that would shift air-traffic control to a satellite, GPS-based system. It’s been a slow and costly transition, but the FAA’s safety record remains strong. Privatizing government began in earnest during the Reagan years. An ascendant conservative ideology held the public sector to be an inefficient bureaucracy and the private sector as the best alternative. In the intervening years, private prisons and many other examples of governmental privatization often proved problematic. Privatizing air traffic control would normally find its most ardent skeptics in those who are sympathetic to labor unions fighting to save public-sector jobs, but in this scenario the industry union supports privatization. Privatization of the nation’s air traffic control system has potential rewards, but there are a lot of dangers and a potential lack of transparency as well. </w:t>
      </w:r>
      <w:proofErr w:type="spellStart"/>
      <w:r w:rsidRPr="0077573D">
        <w:rPr>
          <w:rStyle w:val="StyleUnderline"/>
        </w:rPr>
        <w:t>Gurciullo</w:t>
      </w:r>
      <w:proofErr w:type="spellEnd"/>
      <w:r w:rsidRPr="0077573D">
        <w:rPr>
          <w:rStyle w:val="StyleUnderline"/>
        </w:rPr>
        <w:t xml:space="preserve"> and Gardner assure us that this proposal continues to face considerable turbulence as it inches forward.</w:t>
      </w:r>
    </w:p>
    <w:p w:rsidR="00D45AF7" w:rsidRDefault="00D45AF7" w:rsidP="00D45AF7">
      <w:pPr>
        <w:pStyle w:val="Heading3"/>
      </w:pPr>
      <w:r>
        <w:t>Non-Uniqueness</w:t>
      </w:r>
      <w:r w:rsidR="001C74BC">
        <w:t xml:space="preserve">—June </w:t>
      </w:r>
    </w:p>
    <w:p w:rsidR="00D45AF7" w:rsidRDefault="00D45AF7" w:rsidP="00D45AF7">
      <w:pPr>
        <w:pStyle w:val="Heading4"/>
      </w:pPr>
      <w:r>
        <w:t>ATC will not be included in September FAA reauthorization, Trump cannot overcome key senate republicans</w:t>
      </w:r>
    </w:p>
    <w:p w:rsidR="00D45AF7" w:rsidRPr="00716368" w:rsidRDefault="00D45AF7" w:rsidP="00D45AF7">
      <w:pPr>
        <w:rPr>
          <w:rStyle w:val="Style13ptBold"/>
          <w:b w:val="0"/>
        </w:rPr>
      </w:pPr>
      <w:proofErr w:type="spellStart"/>
      <w:r>
        <w:rPr>
          <w:rStyle w:val="Style13ptBold"/>
        </w:rPr>
        <w:t>Zanona</w:t>
      </w:r>
      <w:proofErr w:type="spellEnd"/>
      <w:r>
        <w:rPr>
          <w:rStyle w:val="Style13ptBold"/>
        </w:rPr>
        <w:t xml:space="preserve">, June 6, 2017 </w:t>
      </w:r>
      <w:r>
        <w:rPr>
          <w:rStyle w:val="Style13ptBold"/>
          <w:b w:val="0"/>
        </w:rPr>
        <w:t xml:space="preserve">[Stephanie </w:t>
      </w:r>
      <w:proofErr w:type="spellStart"/>
      <w:r>
        <w:rPr>
          <w:rStyle w:val="Style13ptBold"/>
          <w:b w:val="0"/>
        </w:rPr>
        <w:t>Zanona</w:t>
      </w:r>
      <w:proofErr w:type="spellEnd"/>
      <w:r w:rsidRPr="00716368">
        <w:rPr>
          <w:rStyle w:val="Style13ptBold"/>
          <w:b w:val="0"/>
        </w:rPr>
        <w:t xml:space="preserve">, 6-6-2017, "GOP Senator doubts aviation bill will include Trump’s air traffic control plan," </w:t>
      </w:r>
      <w:hyperlink r:id="rId160" w:history="1">
        <w:r w:rsidRPr="008963C4">
          <w:rPr>
            <w:rStyle w:val="Hyperlink"/>
            <w:sz w:val="26"/>
          </w:rPr>
          <w:t>http://thehill.com/policy/transportation/336596-gop-senator-doubts-aviation-bill-will-include-trumps-air-control</w:t>
        </w:r>
      </w:hyperlink>
      <w:r>
        <w:rPr>
          <w:rStyle w:val="Style13ptBold"/>
          <w:b w:val="0"/>
        </w:rPr>
        <w:t>, SPS]</w:t>
      </w:r>
    </w:p>
    <w:p w:rsidR="00D45AF7" w:rsidRDefault="00D45AF7" w:rsidP="00D45AF7">
      <w:pPr>
        <w:rPr>
          <w:sz w:val="14"/>
        </w:rPr>
      </w:pPr>
      <w:r w:rsidRPr="00716368">
        <w:rPr>
          <w:rStyle w:val="StyleUnderline"/>
        </w:rPr>
        <w:t>A top GOP senator doubts that President Trump’s contentious proposal to separate air traffic control from the federal government will be included in a must-pass aviation bill this year.</w:t>
      </w:r>
      <w:r w:rsidRPr="00716368">
        <w:rPr>
          <w:sz w:val="14"/>
        </w:rPr>
        <w:t xml:space="preserve"> Trump formally called for transferring the country’s air navigation system to a nonprofit entity on Monday as part of a broader push to modernize the country’s aging infrastructure. The White House said the model would speed up efforts to update air traffic control technology, reduce flight delays and remove operations from the financial and political uncertainty of Congress. The administration intends to move the spinoff plan separately from a $1 trillion infrastructure package but said it’s up to Congress how they want to tackle both initiatives. The spinoff proposal’s best place for consideration is in an upcoming reauthorization for the Federal Aviation Administration (FAA), whose legal authority expires at the end of September. But </w:t>
      </w:r>
      <w:r w:rsidRPr="00716368">
        <w:rPr>
          <w:rStyle w:val="StyleUnderline"/>
        </w:rPr>
        <w:t xml:space="preserve">Sen. Jim Inhofe (R-Okla.), chairman of the Environment and Public Works subcommittee on transportation and infrastructure, said it’s unlikely to be </w:t>
      </w:r>
      <w:proofErr w:type="spellStart"/>
      <w:r w:rsidRPr="00716368">
        <w:rPr>
          <w:rStyle w:val="StyleUnderline"/>
        </w:rPr>
        <w:t>apart</w:t>
      </w:r>
      <w:proofErr w:type="spellEnd"/>
      <w:r w:rsidRPr="00716368">
        <w:rPr>
          <w:rStyle w:val="StyleUnderline"/>
        </w:rPr>
        <w:t xml:space="preserve"> of the FAA bill because “it has become very controversial.” </w:t>
      </w:r>
      <w:r w:rsidRPr="00716368">
        <w:rPr>
          <w:sz w:val="14"/>
        </w:rPr>
        <w:t>“</w:t>
      </w:r>
      <w:r w:rsidRPr="00716368">
        <w:rPr>
          <w:rStyle w:val="StyleUnderline"/>
        </w:rPr>
        <w:t>We’ve attempted to take things that are controversial out of the FAA reauthorization,”</w:t>
      </w:r>
      <w:r w:rsidRPr="00716368">
        <w:rPr>
          <w:sz w:val="14"/>
        </w:rPr>
        <w:t xml:space="preserve"> he told reporters Tuesday. </w:t>
      </w:r>
      <w:r w:rsidRPr="00716368">
        <w:rPr>
          <w:rStyle w:val="StyleUnderline"/>
        </w:rPr>
        <w:t>Inhofe said he wants to see some changes made to the air traffic control plan</w:t>
      </w:r>
      <w:r w:rsidRPr="00716368">
        <w:rPr>
          <w:sz w:val="14"/>
        </w:rPr>
        <w:t xml:space="preserve">, but declined to offer further details. </w:t>
      </w:r>
      <w:r w:rsidRPr="00716368">
        <w:rPr>
          <w:rStyle w:val="StyleUnderline"/>
        </w:rPr>
        <w:t>He added that he thinks the spinoff proposal “would be best handled separately.” It seems unlikely that Trump's plan would have any better shot at success if it were left out of the FAA reauthorization measure, however, unless the politics surrounding the thorny issue change</w:t>
      </w:r>
      <w:r w:rsidRPr="00716368">
        <w:rPr>
          <w:sz w:val="14"/>
        </w:rPr>
        <w:t xml:space="preserve">. A similar spinoff model was included in a long-term FAA bill last year but stalled on the House floor amid opposition from Democrats and GOP tax-writers and appropriators. </w:t>
      </w:r>
      <w:r w:rsidRPr="00716368">
        <w:rPr>
          <w:rStyle w:val="StyleUnderline"/>
        </w:rPr>
        <w:t>There was even less support for the idea in the Senate. One of the chief concerns</w:t>
      </w:r>
      <w:r w:rsidRPr="00716368">
        <w:rPr>
          <w:sz w:val="14"/>
        </w:rPr>
        <w:t xml:space="preserve">, particularly </w:t>
      </w:r>
      <w:r w:rsidRPr="00716368">
        <w:rPr>
          <w:rStyle w:val="StyleUnderline"/>
        </w:rPr>
        <w:t>among rural Republicans, is whether the interests of general aviation users and rural communities will be adequately protected</w:t>
      </w:r>
      <w:r w:rsidRPr="00716368">
        <w:rPr>
          <w:sz w:val="14"/>
        </w:rPr>
        <w:t xml:space="preserve"> and represented if a corporation is in charge of the country’s air traffic control system. Some </w:t>
      </w:r>
      <w:r w:rsidRPr="00716368">
        <w:rPr>
          <w:rStyle w:val="StyleUnderline"/>
        </w:rPr>
        <w:t>GOP lawmakers are also worried about granting a nongovernmental entity the power to collect fees</w:t>
      </w:r>
      <w:r w:rsidRPr="00716368">
        <w:rPr>
          <w:sz w:val="14"/>
        </w:rPr>
        <w:t>, especially without any congressional oversight. “Proposals to privatize air traffic control threaten the reliable transportation options provided by small airports and the general aviation community for millions of Americans. All but our largest airports nationwide stand to be hurt by this proposal,” said Sen. Jerry Moran (R-Kan.). “</w:t>
      </w:r>
      <w:r w:rsidRPr="00716368">
        <w:rPr>
          <w:rStyle w:val="StyleUnderline"/>
        </w:rPr>
        <w:t xml:space="preserve">Privatization eliminates the chance for Congress and the American people to provide oversight, creates uncertainty in the marketplace and is likely to raise costs for consumers.” </w:t>
      </w:r>
      <w:r w:rsidRPr="00716368">
        <w:rPr>
          <w:sz w:val="14"/>
        </w:rPr>
        <w:t xml:space="preserve">Transportation Secretary Elaine Chao will have an opportunity to sell skeptical lawmakers on Trump’s air traffic control vision when she testifies in front of Senate and House panels this week. But </w:t>
      </w:r>
      <w:r w:rsidRPr="00716368">
        <w:rPr>
          <w:rStyle w:val="StyleUnderline"/>
        </w:rPr>
        <w:t>so far, key Republicans who haven’t been keen on the idea have shown little sign of warming up to the proposal, despite the ringing endorsement from the White House.</w:t>
      </w:r>
      <w:r w:rsidRPr="00716368">
        <w:rPr>
          <w:sz w:val="14"/>
        </w:rPr>
        <w:t xml:space="preserve"> </w:t>
      </w:r>
      <w:r w:rsidRPr="00716368">
        <w:rPr>
          <w:rStyle w:val="StyleUnderline"/>
        </w:rPr>
        <w:t>Sen. John Thune</w:t>
      </w:r>
      <w:r w:rsidRPr="00716368">
        <w:rPr>
          <w:sz w:val="14"/>
        </w:rPr>
        <w:t xml:space="preserve"> (R-S.D.), chairman of the Commerce, Science and Transportation Committee, </w:t>
      </w:r>
      <w:r w:rsidRPr="00716368">
        <w:rPr>
          <w:rStyle w:val="StyleUnderline"/>
        </w:rPr>
        <w:t>agreed that the FAA has failed in its modernization efforts but warned that “getting a bill to President Trump's desk will require bipartisan support as well as a consensus among the aviation community on a way forward.</w:t>
      </w:r>
      <w:r w:rsidRPr="00716368">
        <w:rPr>
          <w:sz w:val="14"/>
        </w:rPr>
        <w:t xml:space="preserve">” And </w:t>
      </w:r>
      <w:r w:rsidRPr="00716368">
        <w:rPr>
          <w:rStyle w:val="StyleUnderline"/>
        </w:rPr>
        <w:t>Sen. Roy Blunt</w:t>
      </w:r>
      <w:r w:rsidRPr="00716368">
        <w:rPr>
          <w:sz w:val="14"/>
        </w:rPr>
        <w:t xml:space="preserve"> (R-Mo.), chairman of the Transportation subcommittee on aviation operations, </w:t>
      </w:r>
      <w:r w:rsidRPr="00716368">
        <w:rPr>
          <w:rStyle w:val="StyleUnderline"/>
        </w:rPr>
        <w:t>echoed</w:t>
      </w:r>
      <w:r w:rsidRPr="00716368">
        <w:rPr>
          <w:sz w:val="14"/>
        </w:rPr>
        <w:t xml:space="preserve"> a similar sentiment. “</w:t>
      </w:r>
      <w:r w:rsidRPr="00716368">
        <w:rPr>
          <w:rStyle w:val="StyleUnderline"/>
        </w:rPr>
        <w:t>On the air traffic control system, the general aviation community, the small rural airports, the major carriers and the air traffic controllers themselves all have to feel that they are, and need to be, involved in that discussion,”</w:t>
      </w:r>
      <w:r w:rsidRPr="00716368">
        <w:rPr>
          <w:sz w:val="14"/>
        </w:rPr>
        <w:t xml:space="preserve"> Blunt told reporters Tuesday. “And we’ll be doing that over the next six weeks or so as we put that FAA bill together.”</w:t>
      </w:r>
    </w:p>
    <w:p w:rsidR="00D45AF7" w:rsidRDefault="00D45AF7" w:rsidP="00D45AF7">
      <w:pPr>
        <w:pStyle w:val="Heading4"/>
      </w:pPr>
      <w:r>
        <w:t>Won’t pass, multitude of political hurdles</w:t>
      </w:r>
    </w:p>
    <w:p w:rsidR="00D45AF7" w:rsidRPr="00716368" w:rsidRDefault="00D45AF7" w:rsidP="00D45AF7">
      <w:pPr>
        <w:rPr>
          <w:rStyle w:val="Style13ptBold"/>
          <w:b w:val="0"/>
        </w:rPr>
      </w:pPr>
      <w:r>
        <w:rPr>
          <w:rStyle w:val="Style13ptBold"/>
        </w:rPr>
        <w:t xml:space="preserve">Reed, June 6, 2017 </w:t>
      </w:r>
      <w:r>
        <w:rPr>
          <w:rStyle w:val="Style13ptBold"/>
          <w:b w:val="0"/>
        </w:rPr>
        <w:t>[</w:t>
      </w:r>
      <w:r w:rsidRPr="00716368">
        <w:rPr>
          <w:rStyle w:val="Style13ptBold"/>
          <w:b w:val="0"/>
        </w:rPr>
        <w:t xml:space="preserve">Dan Reed, 6-6-2017, "Air Traffic Control 'Privatization' Has Found A Champion In Trump, But That's Still Not Enough," Forbes, </w:t>
      </w:r>
      <w:hyperlink r:id="rId161" w:anchor="1b70dac81c0e" w:history="1">
        <w:r w:rsidRPr="008963C4">
          <w:rPr>
            <w:rStyle w:val="Hyperlink"/>
            <w:sz w:val="26"/>
          </w:rPr>
          <w:t>https://www.forbes.com/sites/danielreed/2017/06/06/air-traffic-control-privatization-has-found-a-champion-in-trump-but-thats-still-not-enough/#1b70dac81c0e</w:t>
        </w:r>
      </w:hyperlink>
      <w:r>
        <w:rPr>
          <w:rStyle w:val="Style13ptBold"/>
          <w:b w:val="0"/>
        </w:rPr>
        <w:t>, SPS]</w:t>
      </w:r>
    </w:p>
    <w:p w:rsidR="00D45AF7" w:rsidRDefault="00D45AF7" w:rsidP="00D45AF7">
      <w:pPr>
        <w:shd w:val="clear" w:color="auto" w:fill="FFFFFF"/>
        <w:spacing w:before="240" w:after="240" w:line="336" w:lineRule="atLeast"/>
        <w:textAlignment w:val="baseline"/>
        <w:rPr>
          <w:rFonts w:ascii="inherit" w:eastAsia="Times New Roman" w:hAnsi="inherit"/>
          <w:color w:val="000000"/>
          <w:sz w:val="16"/>
        </w:rPr>
      </w:pPr>
      <w:r w:rsidRPr="00716368">
        <w:rPr>
          <w:rFonts w:ascii="Georgia" w:eastAsia="Times New Roman" w:hAnsi="Georgia"/>
          <w:color w:val="000000"/>
          <w:sz w:val="16"/>
          <w:szCs w:val="26"/>
        </w:rPr>
        <w:t xml:space="preserve">But </w:t>
      </w:r>
      <w:r w:rsidRPr="00716368">
        <w:rPr>
          <w:rStyle w:val="StyleUnderline"/>
        </w:rPr>
        <w:t>just because Trump now strongly backs ATC privatization as the first major piece of his grand plan to rebuild and expand this nation’s transportation infrastructure doesn’t mean that it’ll sail through Congress.</w:t>
      </w:r>
      <w:r w:rsidRPr="00716368">
        <w:rPr>
          <w:rFonts w:ascii="Georgia" w:eastAsia="Times New Roman" w:hAnsi="Georgia"/>
          <w:color w:val="000000"/>
          <w:sz w:val="16"/>
          <w:szCs w:val="26"/>
        </w:rPr>
        <w:t xml:space="preserve"> Nor does it mean – despite Trump’s grandiose rhetoric and that of some of his team – that ATC privatization will be some sort of techno-magic elixir for what ails the air transportation in the United States. First, </w:t>
      </w:r>
      <w:r w:rsidRPr="00716368">
        <w:rPr>
          <w:rStyle w:val="StyleUnderline"/>
        </w:rPr>
        <w:t>let’s address the political challenges: If Trump is for it that means that Democrats in Congress must, almost reflexively and necessarily, be against it.</w:t>
      </w:r>
      <w:r w:rsidRPr="00716368">
        <w:rPr>
          <w:rFonts w:ascii="inherit" w:eastAsia="Times New Roman" w:hAnsi="inherit"/>
          <w:color w:val="000000"/>
          <w:sz w:val="16"/>
        </w:rPr>
        <w:t xml:space="preserve"> Philosophically Democrats’ opposition to ATC privatization really doesn’t make much sense. The largest union involved, the National Air Traffic Controllers Association, supports ATC privatization. True, some small but loud travel consumer rights organizations – along with some business aviation and private general aviation groups - oppose the ATC spinoff out of fear that the new ATC organization would be dominated by the airlines. But those parties don’t have enough political clout or strong enough arguments to earn Congressional Democrats’ fealty. So </w:t>
      </w:r>
      <w:r w:rsidRPr="00716368">
        <w:rPr>
          <w:rStyle w:val="StyleUnderline"/>
        </w:rPr>
        <w:t>the Democrats opposition is largely the result of political calculation; oppose Trump at every opportunity. Not all Congressional Republicans are enamored of the idea either. For years Republican leaders in the house couldn’t even get such a proposal to a floor vote</w:t>
      </w:r>
      <w:r w:rsidRPr="00716368">
        <w:rPr>
          <w:rFonts w:ascii="inherit" w:eastAsia="Times New Roman" w:hAnsi="inherit"/>
          <w:color w:val="000000"/>
          <w:sz w:val="16"/>
        </w:rPr>
        <w:t xml:space="preserve">, in part because many of their own House members weren’t passionate enough about ATC privatization to risk political capital on the idea, </w:t>
      </w:r>
      <w:r w:rsidRPr="00716368">
        <w:rPr>
          <w:rStyle w:val="StyleUnderline"/>
        </w:rPr>
        <w:t>especially since they knew full well that 20 or more Republican Senators opposed it.</w:t>
      </w:r>
      <w:r w:rsidRPr="00716368">
        <w:rPr>
          <w:rFonts w:ascii="inherit" w:eastAsia="Times New Roman" w:hAnsi="inherit"/>
          <w:color w:val="000000"/>
          <w:sz w:val="16"/>
        </w:rPr>
        <w:t xml:space="preserve"> Now though, with Trump in the White House and eager to shake up Washington, </w:t>
      </w:r>
      <w:r w:rsidRPr="00716368">
        <w:rPr>
          <w:rStyle w:val="StyleUnderline"/>
        </w:rPr>
        <w:t>Congressional Republicans and other advocates for change looking for a big win – any win - the political dynamics are changing. Still, getting ATC privatization won’t be a slam dunk.</w:t>
      </w:r>
      <w:r w:rsidRPr="00716368">
        <w:rPr>
          <w:rFonts w:ascii="inherit" w:eastAsia="Times New Roman" w:hAnsi="inherit"/>
          <w:color w:val="000000"/>
          <w:sz w:val="16"/>
        </w:rPr>
        <w:t xml:space="preserve"> Much will depend on how hard Senate Majority Leader Mitch McConnell – who also happens to be wed to Trump’s Transportation Secretary, Elaine Chao – chooses to push his more reluctant Republican senators to make ATC privatization happen.</w:t>
      </w:r>
    </w:p>
    <w:p w:rsidR="00D45AF7" w:rsidRDefault="00D45AF7" w:rsidP="00D45AF7">
      <w:pPr>
        <w:pStyle w:val="Heading4"/>
        <w:rPr>
          <w:rFonts w:eastAsia="Times New Roman"/>
        </w:rPr>
      </w:pPr>
      <w:proofErr w:type="spellStart"/>
      <w:r>
        <w:rPr>
          <w:rFonts w:eastAsia="Times New Roman"/>
        </w:rPr>
        <w:t>Wont</w:t>
      </w:r>
      <w:proofErr w:type="spellEnd"/>
      <w:r>
        <w:rPr>
          <w:rFonts w:eastAsia="Times New Roman"/>
        </w:rPr>
        <w:t xml:space="preserve"> pass, lacking support from GOP and Dems</w:t>
      </w:r>
    </w:p>
    <w:p w:rsidR="00D45AF7" w:rsidRPr="00671E14" w:rsidRDefault="00D45AF7" w:rsidP="00D45AF7">
      <w:pPr>
        <w:rPr>
          <w:rStyle w:val="Style13ptBold"/>
          <w:b w:val="0"/>
        </w:rPr>
      </w:pPr>
      <w:r>
        <w:rPr>
          <w:rStyle w:val="Style13ptBold"/>
        </w:rPr>
        <w:t xml:space="preserve">Gunter, June 7, 2017 </w:t>
      </w:r>
      <w:r>
        <w:rPr>
          <w:rStyle w:val="Style13ptBold"/>
          <w:b w:val="0"/>
        </w:rPr>
        <w:t>[</w:t>
      </w:r>
      <w:r w:rsidRPr="00671E14">
        <w:rPr>
          <w:rStyle w:val="Style13ptBold"/>
          <w:b w:val="0"/>
        </w:rPr>
        <w:t xml:space="preserve">Chase Gunter, </w:t>
      </w:r>
      <w:r>
        <w:rPr>
          <w:rStyle w:val="Style13ptBold"/>
          <w:b w:val="0"/>
        </w:rPr>
        <w:t>06-07-2017</w:t>
      </w:r>
      <w:r w:rsidRPr="00671E14">
        <w:rPr>
          <w:rStyle w:val="Style13ptBold"/>
          <w:b w:val="0"/>
        </w:rPr>
        <w:t xml:space="preserve">, "Senators not sold on privatizing air traffic control," FCW, </w:t>
      </w:r>
      <w:hyperlink r:id="rId162" w:history="1">
        <w:r w:rsidRPr="008963C4">
          <w:rPr>
            <w:rStyle w:val="Hyperlink"/>
            <w:sz w:val="26"/>
          </w:rPr>
          <w:t>https://fcw.com/articles/2017/06/07/senate-commerce-faa-atc-private.aspx</w:t>
        </w:r>
      </w:hyperlink>
      <w:r>
        <w:rPr>
          <w:rStyle w:val="Style13ptBold"/>
          <w:b w:val="0"/>
        </w:rPr>
        <w:t>, SPS]</w:t>
      </w:r>
    </w:p>
    <w:p w:rsidR="00D45AF7" w:rsidRPr="00671E14" w:rsidRDefault="00D45AF7" w:rsidP="00D45AF7">
      <w:pPr>
        <w:pStyle w:val="NormalWeb"/>
        <w:shd w:val="clear" w:color="auto" w:fill="FFFFFF"/>
        <w:spacing w:before="0" w:beforeAutospacing="0" w:after="240" w:afterAutospacing="0"/>
        <w:textAlignment w:val="baseline"/>
        <w:rPr>
          <w:color w:val="2D2D2D"/>
          <w:sz w:val="16"/>
        </w:rPr>
      </w:pPr>
      <w:r w:rsidRPr="00671E14">
        <w:rPr>
          <w:color w:val="2D2D2D"/>
          <w:sz w:val="16"/>
        </w:rPr>
        <w:t xml:space="preserve">To kick off a series of events dubbed "infrastructure week," President Donald </w:t>
      </w:r>
      <w:r w:rsidRPr="00671E14">
        <w:rPr>
          <w:rStyle w:val="StyleUnderline"/>
        </w:rPr>
        <w:t xml:space="preserve">Trump </w:t>
      </w:r>
      <w:hyperlink r:id="rId163" w:history="1">
        <w:r w:rsidRPr="00671E14">
          <w:rPr>
            <w:rStyle w:val="StyleUnderline"/>
            <w:rFonts w:eastAsiaTheme="majorEastAsia"/>
          </w:rPr>
          <w:t>backed</w:t>
        </w:r>
      </w:hyperlink>
      <w:r w:rsidRPr="00671E14">
        <w:rPr>
          <w:rStyle w:val="StyleUnderline"/>
        </w:rPr>
        <w:t xml:space="preserve"> a plan to spin air traffic control operations out from under the control of the Federal Aviation Administration to a nongovernment, nonprofit entity</w:t>
      </w:r>
      <w:r w:rsidRPr="00671E14">
        <w:rPr>
          <w:color w:val="2D2D2D"/>
          <w:sz w:val="16"/>
        </w:rPr>
        <w:t xml:space="preserve">. However, </w:t>
      </w:r>
      <w:r w:rsidRPr="00671E14">
        <w:rPr>
          <w:rStyle w:val="StyleUnderline"/>
        </w:rPr>
        <w:t>that proposal is receiving a cool reception in the Senate, where many members of the Commerce, Science and Transportation Committee have long-held plans to reauthorize FAA.</w:t>
      </w:r>
      <w:r w:rsidRPr="00671E14">
        <w:rPr>
          <w:color w:val="2D2D2D"/>
          <w:sz w:val="16"/>
        </w:rPr>
        <w:t xml:space="preserve"> At a June 7 hearing, </w:t>
      </w:r>
      <w:r w:rsidRPr="00671E14">
        <w:rPr>
          <w:rStyle w:val="StyleUnderline"/>
        </w:rPr>
        <w:t xml:space="preserve">both Republicans and Democrats pushed back against the plan, raising concerns that the private entity could disrupt the progress made on the </w:t>
      </w:r>
      <w:proofErr w:type="spellStart"/>
      <w:r w:rsidRPr="00671E14">
        <w:rPr>
          <w:rStyle w:val="StyleUnderline"/>
        </w:rPr>
        <w:t>NextGen</w:t>
      </w:r>
      <w:proofErr w:type="spellEnd"/>
      <w:r w:rsidRPr="00671E14">
        <w:rPr>
          <w:rStyle w:val="StyleUnderline"/>
        </w:rPr>
        <w:t xml:space="preserve"> modernization project and may not adequately safeguard smaller stakeholders and rural communities. "There isn't consensus on this committee" on privatizing air traffic control</w:t>
      </w:r>
      <w:r w:rsidRPr="00671E14">
        <w:rPr>
          <w:color w:val="2D2D2D"/>
          <w:sz w:val="16"/>
        </w:rPr>
        <w:t>, said Chairman Sen. John Thune (R-S.D.). "</w:t>
      </w:r>
      <w:r w:rsidRPr="00671E14">
        <w:rPr>
          <w:rStyle w:val="StyleUnderline"/>
        </w:rPr>
        <w:t>Right now, there are lots of questions on both sides … that need to be addressed."</w:t>
      </w:r>
    </w:p>
    <w:p w:rsidR="00D45AF7" w:rsidRPr="00671E14" w:rsidRDefault="00D45AF7" w:rsidP="00D45AF7"/>
    <w:p w:rsidR="00D45AF7" w:rsidRDefault="00D45AF7" w:rsidP="00D45AF7">
      <w:pPr>
        <w:pStyle w:val="Heading3"/>
      </w:pPr>
      <w:r>
        <w:t>No Internal Link: alt causes</w:t>
      </w:r>
    </w:p>
    <w:p w:rsidR="00D45AF7" w:rsidRDefault="00D45AF7" w:rsidP="00D45AF7">
      <w:pPr>
        <w:pStyle w:val="Heading4"/>
      </w:pPr>
      <w:r>
        <w:t>Alternate causes to efficiency that ATC privatization can’t solve</w:t>
      </w:r>
    </w:p>
    <w:p w:rsidR="00D45AF7" w:rsidRPr="00716368" w:rsidRDefault="00D45AF7" w:rsidP="00D45AF7">
      <w:pPr>
        <w:rPr>
          <w:rStyle w:val="Style13ptBold"/>
          <w:b w:val="0"/>
        </w:rPr>
      </w:pPr>
      <w:r>
        <w:rPr>
          <w:rStyle w:val="Style13ptBold"/>
        </w:rPr>
        <w:t xml:space="preserve">Reed, June 6, 2017 </w:t>
      </w:r>
      <w:r>
        <w:rPr>
          <w:rStyle w:val="Style13ptBold"/>
          <w:b w:val="0"/>
        </w:rPr>
        <w:t>[</w:t>
      </w:r>
      <w:r w:rsidRPr="00716368">
        <w:rPr>
          <w:rStyle w:val="Style13ptBold"/>
          <w:b w:val="0"/>
        </w:rPr>
        <w:t xml:space="preserve">Dan Reed, 6-6-2017, "Air Traffic Control 'Privatization' Has Found A Champion In Trump, But That's Still Not Enough," Forbes, </w:t>
      </w:r>
      <w:hyperlink r:id="rId164" w:anchor="1b70dac81c0e" w:history="1">
        <w:r w:rsidRPr="008963C4">
          <w:rPr>
            <w:rStyle w:val="Hyperlink"/>
            <w:sz w:val="26"/>
          </w:rPr>
          <w:t>https://www.forbes.com/sites/danielreed/2017/06/06/air-traffic-control-privatization-has-found-a-champion-in-trump-but-thats-still-not-enough/#1b70dac81c0e</w:t>
        </w:r>
      </w:hyperlink>
      <w:r>
        <w:rPr>
          <w:rStyle w:val="Style13ptBold"/>
          <w:b w:val="0"/>
        </w:rPr>
        <w:t>, SPS]</w:t>
      </w:r>
    </w:p>
    <w:p w:rsidR="00D45AF7" w:rsidRDefault="00D45AF7" w:rsidP="00D45AF7">
      <w:pPr>
        <w:rPr>
          <w:rStyle w:val="StyleUnderline"/>
        </w:rPr>
      </w:pPr>
      <w:r w:rsidRPr="00716368">
        <w:rPr>
          <w:rStyle w:val="StyleUnderline"/>
        </w:rPr>
        <w:t>Rapid modernization of the ATC system following privatization could</w:t>
      </w:r>
      <w:r w:rsidRPr="00671E14">
        <w:rPr>
          <w:rFonts w:ascii="Georgia" w:hAnsi="Georgia"/>
          <w:color w:val="000000"/>
          <w:sz w:val="14"/>
          <w:szCs w:val="26"/>
        </w:rPr>
        <w:t xml:space="preserve">, by itself, </w:t>
      </w:r>
      <w:r w:rsidRPr="00716368">
        <w:rPr>
          <w:rStyle w:val="StyleUnderline"/>
        </w:rPr>
        <w:t>provide some very marginal improvement U.S. airlines’ on-time performance</w:t>
      </w:r>
      <w:r w:rsidRPr="00671E14">
        <w:rPr>
          <w:rFonts w:ascii="Georgia" w:hAnsi="Georgia"/>
          <w:color w:val="000000"/>
          <w:sz w:val="14"/>
          <w:szCs w:val="26"/>
        </w:rPr>
        <w:t xml:space="preserve">. So being able to tap the financial markets to properly fund technology improvements in a few short years, and being able to acquire commercially off-the-shelf equipment rather than having to wait a decade or more for the unnecessarily expensive, purpose-built equipment that nearly always results from complex government acquisition rules is a good reason to support ATC privatization. </w:t>
      </w:r>
      <w:r w:rsidRPr="00671E14">
        <w:rPr>
          <w:rStyle w:val="StyleUnderline"/>
        </w:rPr>
        <w:t xml:space="preserve">But it’s the airlines own internal inefficiencies that drive the lion’s share of flight delays, not ATC issues. Airlines today don’t do much of anything to manage the movement of their own aircraft once the door closes, or to more effectively manage the many logistical activities that must take place in order for planes to operate on time. Yet, as argued here many times in the past three years, by doing a better job of actively managing every aspect of their daily flight operations U.S. airlines could lower their </w:t>
      </w:r>
      <w:proofErr w:type="spellStart"/>
      <w:r w:rsidRPr="00671E14">
        <w:rPr>
          <w:rStyle w:val="StyleUnderline"/>
        </w:rPr>
        <w:t>their</w:t>
      </w:r>
      <w:proofErr w:type="spellEnd"/>
      <w:r w:rsidRPr="00671E14">
        <w:rPr>
          <w:rStyle w:val="StyleUnderline"/>
        </w:rPr>
        <w:t xml:space="preserve"> product defect rate dramatically. </w:t>
      </w:r>
      <w:r w:rsidRPr="00671E14">
        <w:rPr>
          <w:rFonts w:ascii="Georgia" w:hAnsi="Georgia"/>
          <w:color w:val="000000"/>
          <w:sz w:val="14"/>
          <w:szCs w:val="26"/>
        </w:rPr>
        <w:t xml:space="preserve">That’s defined as the percentage of flights that fail to reach their destination within five minutes of scheduled arrival time, sans the 10% to 25% schedule padding that airlines customarily use to </w:t>
      </w:r>
      <w:proofErr w:type="spellStart"/>
      <w:r w:rsidRPr="00671E14">
        <w:rPr>
          <w:rFonts w:ascii="Georgia" w:hAnsi="Georgia"/>
          <w:color w:val="000000"/>
          <w:sz w:val="14"/>
          <w:szCs w:val="26"/>
        </w:rPr>
        <w:t>to</w:t>
      </w:r>
      <w:proofErr w:type="spellEnd"/>
      <w:r w:rsidRPr="00671E14">
        <w:rPr>
          <w:rFonts w:ascii="Georgia" w:hAnsi="Georgia"/>
          <w:color w:val="000000"/>
          <w:sz w:val="14"/>
          <w:szCs w:val="26"/>
        </w:rPr>
        <w:t xml:space="preserve"> keep their flights from appearing to operate even later than they already do. </w:t>
      </w:r>
      <w:r w:rsidRPr="00671E14">
        <w:rPr>
          <w:rStyle w:val="StyleUnderline"/>
        </w:rPr>
        <w:t>Making those kinds of dramatic efficiency improvements would shave billions of dollars off U.S. carriers' operating expenses</w:t>
      </w:r>
      <w:r w:rsidRPr="00671E14">
        <w:rPr>
          <w:rFonts w:ascii="Georgia" w:hAnsi="Georgia"/>
          <w:color w:val="000000"/>
          <w:sz w:val="14"/>
          <w:szCs w:val="26"/>
          <w:shd w:val="clear" w:color="auto" w:fill="FFFFFF"/>
        </w:rPr>
        <w:t xml:space="preserve"> and lower their defect rate from around 35% today to between 10% and 15%. </w:t>
      </w:r>
      <w:r w:rsidRPr="00671E14">
        <w:rPr>
          <w:rStyle w:val="StyleUnderline"/>
        </w:rPr>
        <w:t>The bulk of the remaining delays would be the result of bad weather, over which no ATC organization, privately- or government-owned, has control.</w:t>
      </w:r>
    </w:p>
    <w:p w:rsidR="00D45AF7" w:rsidRDefault="00D45AF7" w:rsidP="00D45AF7">
      <w:pPr>
        <w:pStyle w:val="Heading4"/>
      </w:pPr>
      <w:r>
        <w:t xml:space="preserve">Doesn’t help the industry – other factors overwhelm </w:t>
      </w:r>
    </w:p>
    <w:p w:rsidR="00D45AF7" w:rsidRPr="003C46CE" w:rsidRDefault="00D45AF7" w:rsidP="00D45AF7">
      <w:pPr>
        <w:rPr>
          <w:rStyle w:val="Style13ptBold"/>
          <w:b w:val="0"/>
        </w:rPr>
      </w:pPr>
      <w:proofErr w:type="spellStart"/>
      <w:r w:rsidRPr="003C46CE">
        <w:rPr>
          <w:rStyle w:val="Style13ptBold"/>
        </w:rPr>
        <w:t>Ferguson,et</w:t>
      </w:r>
      <w:proofErr w:type="spellEnd"/>
      <w:r w:rsidRPr="003C46CE">
        <w:rPr>
          <w:rStyle w:val="Style13ptBold"/>
        </w:rPr>
        <w:t xml:space="preserve"> al. 11 (John, Abdul </w:t>
      </w:r>
      <w:proofErr w:type="spellStart"/>
      <w:r w:rsidRPr="003C46CE">
        <w:rPr>
          <w:rStyle w:val="Style13ptBold"/>
        </w:rPr>
        <w:t>Qadar</w:t>
      </w:r>
      <w:proofErr w:type="spellEnd"/>
      <w:r w:rsidRPr="003C46CE">
        <w:rPr>
          <w:rStyle w:val="Style13ptBold"/>
        </w:rPr>
        <w:t xml:space="preserve"> Kara , Karla Hoffman , Lance Sherry-  George Mason University, Center for Air Transportation Research “ Estimating domestic US airline cost of delay based on European model” </w:t>
      </w:r>
      <w:hyperlink r:id="rId165" w:history="1">
        <w:r w:rsidRPr="003C46CE">
          <w:rPr>
            <w:rStyle w:val="Style13ptBold"/>
          </w:rPr>
          <w:t>http://www.sciencedirect.com/science/article/pii/S0968090X11001471 Accessed 6/26/12</w:t>
        </w:r>
      </w:hyperlink>
      <w:r w:rsidRPr="003C46CE">
        <w:rPr>
          <w:rStyle w:val="Style13ptBold"/>
        </w:rPr>
        <w:t>) KT</w:t>
      </w:r>
    </w:p>
    <w:p w:rsidR="00D45AF7" w:rsidRDefault="00D45AF7" w:rsidP="00D45AF7">
      <w:pPr>
        <w:rPr>
          <w:color w:val="000000"/>
          <w:sz w:val="18"/>
          <w:szCs w:val="18"/>
        </w:rPr>
      </w:pPr>
    </w:p>
    <w:p w:rsidR="00D45AF7" w:rsidRPr="00C0385C" w:rsidRDefault="00D45AF7" w:rsidP="00D45AF7">
      <w:pPr>
        <w:rPr>
          <w:color w:val="000000"/>
          <w:sz w:val="16"/>
          <w:szCs w:val="18"/>
        </w:rPr>
      </w:pPr>
      <w:r w:rsidRPr="00C0385C">
        <w:rPr>
          <w:color w:val="000000"/>
          <w:szCs w:val="18"/>
          <w:u w:val="single"/>
        </w:rPr>
        <w:t>Further exploring their cost factors reveals the following costs involved</w:t>
      </w:r>
      <w:r w:rsidRPr="00C0385C">
        <w:rPr>
          <w:color w:val="000000"/>
          <w:sz w:val="16"/>
          <w:szCs w:val="18"/>
        </w:rPr>
        <w:t>:</w:t>
      </w:r>
      <w:r>
        <w:rPr>
          <w:color w:val="000000"/>
          <w:sz w:val="16"/>
          <w:szCs w:val="18"/>
        </w:rPr>
        <w:t xml:space="preserve"> </w:t>
      </w:r>
      <w:r w:rsidRPr="00C0385C">
        <w:rPr>
          <w:color w:val="000000"/>
          <w:szCs w:val="18"/>
          <w:u w:val="single"/>
        </w:rPr>
        <w:t>Fuel cost:</w:t>
      </w:r>
      <w:r w:rsidRPr="00C0385C">
        <w:rPr>
          <w:color w:val="000000"/>
          <w:sz w:val="16"/>
          <w:szCs w:val="18"/>
        </w:rPr>
        <w:t xml:space="preserve"> The </w:t>
      </w:r>
      <w:r w:rsidRPr="00C0385C">
        <w:rPr>
          <w:color w:val="000000"/>
          <w:szCs w:val="18"/>
          <w:u w:val="single"/>
        </w:rPr>
        <w:t>report provides different fuel burn rates for each aircraft type studied and for all segments of the flights</w:t>
      </w:r>
      <w:r w:rsidRPr="00C0385C">
        <w:rPr>
          <w:color w:val="000000"/>
          <w:sz w:val="16"/>
          <w:szCs w:val="18"/>
        </w:rPr>
        <w:t>. The prices for all cost scenarios and conversion rates from Euro to Dollars are also provided (see Appendix J of the report in Cook et al. (2004)).</w:t>
      </w:r>
      <w:r>
        <w:rPr>
          <w:color w:val="000000"/>
          <w:sz w:val="16"/>
          <w:szCs w:val="18"/>
        </w:rPr>
        <w:t xml:space="preserve"> </w:t>
      </w:r>
      <w:r w:rsidRPr="00C0385C">
        <w:rPr>
          <w:color w:val="000000"/>
          <w:szCs w:val="18"/>
          <w:u w:val="single"/>
        </w:rPr>
        <w:t>Extra crew cost: The report defines extra crew cost as the extra cost paid in addition to the usual flight and cabin crew salaries and expenses. It may include employing additional crew (both flight and cabin crew) or incurring additional pay for regular crews due to unexpected increases in hours worked</w:t>
      </w:r>
      <w:r w:rsidRPr="00C0385C">
        <w:rPr>
          <w:color w:val="000000"/>
          <w:sz w:val="16"/>
          <w:szCs w:val="18"/>
        </w:rPr>
        <w:t>. The report does not specify exactly the methodologies used to obtain the crew cost component of the delay cost factor in order to preserve confidentiality of airline data. However, the report describes under what circumstances the cost factors will be increased.</w:t>
      </w:r>
      <w:r>
        <w:rPr>
          <w:color w:val="000000"/>
          <w:sz w:val="16"/>
          <w:szCs w:val="18"/>
        </w:rPr>
        <w:t xml:space="preserve"> </w:t>
      </w:r>
      <w:r w:rsidRPr="00C0385C">
        <w:rPr>
          <w:color w:val="000000"/>
          <w:szCs w:val="18"/>
          <w:u w:val="single"/>
        </w:rPr>
        <w:t>Maintenance cost: The maintenance cost is defined to be the cost of maintaining both the airframe and power plant of the aircraft</w:t>
      </w:r>
      <w:r w:rsidRPr="00C0385C">
        <w:rPr>
          <w:color w:val="000000"/>
          <w:sz w:val="16"/>
          <w:szCs w:val="18"/>
        </w:rPr>
        <w:t xml:space="preserve">. </w:t>
      </w:r>
      <w:r w:rsidRPr="00C0385C">
        <w:rPr>
          <w:color w:val="000000"/>
          <w:szCs w:val="18"/>
          <w:u w:val="single"/>
        </w:rPr>
        <w:t>The additional maintenance cost incurred is stated in the report as approximately 15% of the Block Hour Direct Operating Cost (BHDOC</w:t>
      </w:r>
      <w:r w:rsidRPr="00C0385C">
        <w:rPr>
          <w:color w:val="000000"/>
          <w:sz w:val="16"/>
          <w:szCs w:val="18"/>
        </w:rPr>
        <w:t>). The proportions of how maintenance cost is divided into different segments of the flights are given in Annex J of Cook et al. (2004). BHDOC’s are given in the report for low, base and high cost scenarios for the 12 different aircraft systems studied (see Tabl</w:t>
      </w:r>
      <w:r>
        <w:rPr>
          <w:color w:val="000000"/>
          <w:sz w:val="16"/>
          <w:szCs w:val="18"/>
        </w:rPr>
        <w:t xml:space="preserve">es 2–11 in Cook et al. (2004)). </w:t>
      </w:r>
      <w:r w:rsidRPr="00C0385C">
        <w:rPr>
          <w:color w:val="000000"/>
          <w:szCs w:val="18"/>
          <w:u w:val="single"/>
        </w:rPr>
        <w:t>Passenger delay cost: Passenger delay cost (or PAX delay cost) is defined as the compensation paid by the airlines to passengers who have experienced delayed flights. Passenger delay (in cost per passenger per minute) is given as: zero for low and base cost scenarios, 0.05 for the high cost scenario for 15 min of dela</w:t>
      </w:r>
      <w:r w:rsidRPr="00C0385C">
        <w:rPr>
          <w:color w:val="000000"/>
          <w:sz w:val="16"/>
          <w:szCs w:val="18"/>
        </w:rPr>
        <w:t>y and € 0.32, € 0.40 and € 0.48 for low, base and high cost scenarios respectively for 65 min delay. The load factors assumed are: 50% for low, 70% for base a</w:t>
      </w:r>
      <w:r>
        <w:rPr>
          <w:color w:val="000000"/>
          <w:sz w:val="16"/>
          <w:szCs w:val="18"/>
        </w:rPr>
        <w:t xml:space="preserve">nd 90% for high cost scenarios. </w:t>
      </w:r>
      <w:r w:rsidRPr="00C0385C">
        <w:rPr>
          <w:color w:val="000000"/>
          <w:sz w:val="16"/>
          <w:szCs w:val="18"/>
        </w:rPr>
        <w:t>Other costs: This factor is a catch-all component that attempts to include any other cost factors. Includes depreciation, rental and lease costs and airport charges. No specific cost factors were given in the report, except details for different Airport charges at different EU airports (see Annex L in Cook et al. (2004)).</w:t>
      </w:r>
      <w:r>
        <w:rPr>
          <w:color w:val="000000"/>
          <w:sz w:val="16"/>
          <w:szCs w:val="18"/>
        </w:rPr>
        <w:t xml:space="preserve"> </w:t>
      </w:r>
      <w:r w:rsidRPr="00C0385C">
        <w:rPr>
          <w:color w:val="000000"/>
          <w:sz w:val="16"/>
          <w:szCs w:val="18"/>
        </w:rPr>
        <w:t>Based on the analysis done, the EC report provides cost of delay factors (in Euros). The delay is divided into three segments of the flight; delay on the ground at the gate (Table 2), delay while taxiing at either airport (Table 3) or delay while airborne (</w:t>
      </w:r>
      <w:proofErr w:type="spellStart"/>
      <w:r w:rsidRPr="00C0385C">
        <w:rPr>
          <w:color w:val="000000"/>
          <w:sz w:val="16"/>
          <w:szCs w:val="18"/>
        </w:rPr>
        <w:t>en</w:t>
      </w:r>
      <w:proofErr w:type="spellEnd"/>
      <w:r w:rsidRPr="00C0385C">
        <w:rPr>
          <w:color w:val="000000"/>
          <w:sz w:val="16"/>
          <w:szCs w:val="18"/>
        </w:rPr>
        <w:t xml:space="preserve">-route and holding, Table 4). These segments were chosen for discussion because they reflect the fidelity of </w:t>
      </w:r>
      <w:proofErr w:type="spellStart"/>
      <w:r w:rsidRPr="00C0385C">
        <w:rPr>
          <w:color w:val="000000"/>
          <w:sz w:val="16"/>
          <w:szCs w:val="18"/>
        </w:rPr>
        <w:t>publically</w:t>
      </w:r>
      <w:proofErr w:type="spellEnd"/>
      <w:r w:rsidRPr="00C0385C">
        <w:rPr>
          <w:color w:val="000000"/>
          <w:sz w:val="16"/>
          <w:szCs w:val="18"/>
        </w:rPr>
        <w:t xml:space="preserve"> available data. </w:t>
      </w:r>
    </w:p>
    <w:p w:rsidR="00D45AF7" w:rsidRDefault="00D45AF7" w:rsidP="00D45AF7">
      <w:pPr>
        <w:rPr>
          <w:rStyle w:val="StyleUnderline"/>
        </w:rPr>
      </w:pPr>
    </w:p>
    <w:p w:rsidR="00D45AF7" w:rsidRPr="003E009F" w:rsidRDefault="00D45AF7" w:rsidP="00D45AF7">
      <w:pPr>
        <w:pStyle w:val="Heading3"/>
      </w:pPr>
      <w:r w:rsidRPr="003E009F">
        <w:t xml:space="preserve">No Impact: Aviation Industry Resilient </w:t>
      </w:r>
    </w:p>
    <w:p w:rsidR="00D45AF7" w:rsidRPr="00247043" w:rsidRDefault="00D45AF7" w:rsidP="00D45AF7">
      <w:pPr>
        <w:pStyle w:val="Heading4"/>
      </w:pPr>
      <w:r w:rsidRPr="00247043">
        <w:t>Airline industry resilient</w:t>
      </w:r>
    </w:p>
    <w:p w:rsidR="00D45AF7" w:rsidRPr="00247043" w:rsidRDefault="00D45AF7" w:rsidP="00D45AF7">
      <w:pPr>
        <w:rPr>
          <w:sz w:val="16"/>
        </w:rPr>
      </w:pPr>
      <w:r w:rsidRPr="00247043">
        <w:rPr>
          <w:sz w:val="16"/>
        </w:rPr>
        <w:t xml:space="preserve">David </w:t>
      </w:r>
      <w:r w:rsidRPr="00247043">
        <w:rPr>
          <w:rStyle w:val="Style13ptBold"/>
        </w:rPr>
        <w:t>Grizzle</w:t>
      </w:r>
      <w:r w:rsidRPr="00247043">
        <w:rPr>
          <w:sz w:val="16"/>
        </w:rPr>
        <w:t xml:space="preserve">, Chief Operating Officer Air Traffic Organization Federal Aviation Administration, August </w:t>
      </w:r>
      <w:r w:rsidRPr="00247043">
        <w:rPr>
          <w:rStyle w:val="Style13ptBold"/>
        </w:rPr>
        <w:t>2011</w:t>
      </w:r>
      <w:r w:rsidRPr="00247043">
        <w:rPr>
          <w:sz w:val="16"/>
        </w:rPr>
        <w:t xml:space="preserve">, “The Economic Impact of Civil Aviation on the U.S. Economy” </w:t>
      </w:r>
      <w:r>
        <w:rPr>
          <w:sz w:val="16"/>
        </w:rPr>
        <w:t xml:space="preserve">, </w:t>
      </w:r>
      <w:r w:rsidRPr="00BA020F">
        <w:rPr>
          <w:sz w:val="16"/>
        </w:rPr>
        <w:t>www.faa.gov/</w:t>
      </w:r>
      <w:proofErr w:type="spellStart"/>
      <w:r w:rsidRPr="00BA020F">
        <w:rPr>
          <w:sz w:val="16"/>
        </w:rPr>
        <w:t>air_traffic</w:t>
      </w:r>
      <w:proofErr w:type="spellEnd"/>
      <w:r w:rsidRPr="00BA020F">
        <w:rPr>
          <w:sz w:val="16"/>
        </w:rPr>
        <w:t>/.../FAA_Economic_Impact_Rpt_2011.pdf</w:t>
      </w:r>
    </w:p>
    <w:p w:rsidR="00D45AF7" w:rsidRPr="00247043" w:rsidRDefault="00D45AF7" w:rsidP="00D45AF7">
      <w:pPr>
        <w:rPr>
          <w:sz w:val="16"/>
        </w:rPr>
      </w:pPr>
    </w:p>
    <w:p w:rsidR="00D45AF7" w:rsidRDefault="00D45AF7" w:rsidP="00D45AF7">
      <w:pPr>
        <w:rPr>
          <w:sz w:val="16"/>
        </w:rPr>
      </w:pPr>
      <w:r w:rsidRPr="00247043">
        <w:rPr>
          <w:rStyle w:val="StyleUnderline"/>
        </w:rPr>
        <w:t>Even during tough times, the efficiency of our air transport network serves commerce and supports jobs that maintain and revitalize the strength of the U.S. economy.</w:t>
      </w:r>
      <w:r w:rsidRPr="00247043">
        <w:rPr>
          <w:sz w:val="16"/>
        </w:rPr>
        <w:t xml:space="preserve"> </w:t>
      </w:r>
      <w:r w:rsidRPr="00247043">
        <w:rPr>
          <w:rStyle w:val="StyleUnderline"/>
        </w:rPr>
        <w:t>Today,</w:t>
      </w:r>
      <w:r w:rsidRPr="00247043">
        <w:rPr>
          <w:sz w:val="16"/>
        </w:rPr>
        <w:t xml:space="preserve"> despite the lingering effects of the recent recession, </w:t>
      </w:r>
      <w:r w:rsidRPr="00247043">
        <w:rPr>
          <w:rStyle w:val="StyleUnderline"/>
        </w:rPr>
        <w:t>there is</w:t>
      </w:r>
      <w:r w:rsidRPr="00247043">
        <w:rPr>
          <w:sz w:val="16"/>
        </w:rPr>
        <w:t xml:space="preserve"> cautious </w:t>
      </w:r>
      <w:r w:rsidRPr="00247043">
        <w:rPr>
          <w:rStyle w:val="StyleUnderline"/>
        </w:rPr>
        <w:t>optimism in the air transport sector of the U.S. economy. The industry continues to be flexible, developing new, innovative ways to lower costs and increase revenues.</w:t>
      </w:r>
      <w:r w:rsidRPr="00247043">
        <w:rPr>
          <w:sz w:val="16"/>
        </w:rPr>
        <w:t xml:space="preserve"> • For example, </w:t>
      </w:r>
      <w:r w:rsidRPr="00247043">
        <w:rPr>
          <w:rStyle w:val="StyleUnderline"/>
        </w:rPr>
        <w:t>as the price of jet fuel climbs</w:t>
      </w:r>
      <w:r w:rsidRPr="00247043">
        <w:rPr>
          <w:sz w:val="16"/>
        </w:rPr>
        <w:t xml:space="preserve">, </w:t>
      </w:r>
      <w:r w:rsidRPr="00247043">
        <w:rPr>
          <w:rStyle w:val="StyleUnderline"/>
        </w:rPr>
        <w:t>air carriers are finding innovative ways to conserve fuel and lower costs</w:t>
      </w:r>
      <w:r w:rsidRPr="00247043">
        <w:rPr>
          <w:sz w:val="16"/>
        </w:rPr>
        <w:t xml:space="preserve"> by: replacing old, heavy drink carts with new lighter versions, removing seat back telephones, installing lighter seats and TV monitors, applying new coating on airframes to improve airflow, and purchasing more tugs to reduce engine fuel use. </w:t>
      </w:r>
    </w:p>
    <w:p w:rsidR="00D45AF7" w:rsidRDefault="00D45AF7" w:rsidP="00D45AF7">
      <w:pPr>
        <w:pStyle w:val="Heading3"/>
      </w:pPr>
      <w:r>
        <w:t>No Impact: Econ decline =/= War</w:t>
      </w:r>
    </w:p>
    <w:p w:rsidR="00D45AF7" w:rsidRDefault="00D45AF7" w:rsidP="00D45AF7">
      <w:pPr>
        <w:pStyle w:val="Heading4"/>
      </w:pPr>
      <w:r>
        <w:t>Economic declines don’t cause conflict</w:t>
      </w:r>
    </w:p>
    <w:p w:rsidR="00D45AF7" w:rsidRPr="001A23B0" w:rsidRDefault="00D45AF7" w:rsidP="00D45AF7">
      <w:pPr>
        <w:rPr>
          <w:rStyle w:val="Style13ptBold"/>
        </w:rPr>
      </w:pPr>
      <w:r w:rsidRPr="001A23B0">
        <w:rPr>
          <w:rStyle w:val="Style13ptBold"/>
        </w:rPr>
        <w:t>BARNETT 09  senior managing director of Enterra Solutions LLC, contributing editor/online columnist for Esquire</w:t>
      </w:r>
    </w:p>
    <w:p w:rsidR="00D45AF7" w:rsidRPr="001A23B0" w:rsidRDefault="00D45AF7" w:rsidP="00D45AF7">
      <w:pPr>
        <w:rPr>
          <w:rStyle w:val="Style13ptBold"/>
          <w:b w:val="0"/>
          <w:sz w:val="18"/>
          <w:szCs w:val="18"/>
        </w:rPr>
      </w:pPr>
      <w:r w:rsidRPr="001A23B0">
        <w:rPr>
          <w:rStyle w:val="Style13ptBold"/>
          <w:sz w:val="18"/>
          <w:szCs w:val="18"/>
        </w:rPr>
        <w:t xml:space="preserve">[Thomas P.M, “The New Rules: Security Remains Stable Amid Financial Crisis,” </w:t>
      </w:r>
      <w:proofErr w:type="spellStart"/>
      <w:r w:rsidRPr="001A23B0">
        <w:rPr>
          <w:rStyle w:val="Style13ptBold"/>
          <w:sz w:val="18"/>
          <w:szCs w:val="18"/>
        </w:rPr>
        <w:t>Aprodex</w:t>
      </w:r>
      <w:proofErr w:type="spellEnd"/>
      <w:r w:rsidRPr="001A23B0">
        <w:rPr>
          <w:rStyle w:val="Style13ptBold"/>
          <w:sz w:val="18"/>
          <w:szCs w:val="18"/>
        </w:rPr>
        <w:t xml:space="preserve">, Asset Protection Index, 8/25/9, </w:t>
      </w:r>
      <w:hyperlink r:id="rId166" w:history="1">
        <w:r w:rsidRPr="001A23B0">
          <w:rPr>
            <w:rStyle w:val="Style13ptBold"/>
            <w:sz w:val="18"/>
            <w:szCs w:val="18"/>
          </w:rPr>
          <w:t>http://www.aprodex.com/the-new-rules--security-remains-stable-amid-financial-crisis-398-bl.aspx</w:t>
        </w:r>
      </w:hyperlink>
      <w:r w:rsidRPr="001A23B0">
        <w:rPr>
          <w:rStyle w:val="Style13ptBold"/>
          <w:sz w:val="18"/>
          <w:szCs w:val="18"/>
        </w:rPr>
        <w:t>]</w:t>
      </w:r>
    </w:p>
    <w:p w:rsidR="00D45AF7" w:rsidRPr="005A394D" w:rsidRDefault="00D45AF7" w:rsidP="00D45AF7"/>
    <w:p w:rsidR="00D45AF7" w:rsidRPr="001A23B0" w:rsidRDefault="00D45AF7" w:rsidP="00D45AF7">
      <w:pPr>
        <w:rPr>
          <w:sz w:val="16"/>
        </w:rPr>
      </w:pPr>
      <w:r w:rsidRPr="001A23B0">
        <w:rPr>
          <w:rStyle w:val="StyleUnderline"/>
        </w:rPr>
        <w:t>When the</w:t>
      </w:r>
      <w:r w:rsidRPr="001A23B0">
        <w:rPr>
          <w:sz w:val="16"/>
        </w:rPr>
        <w:t xml:space="preserve"> global </w:t>
      </w:r>
      <w:r w:rsidRPr="001A23B0">
        <w:rPr>
          <w:rStyle w:val="StyleUnderline"/>
        </w:rPr>
        <w:t>financial crisis struck</w:t>
      </w:r>
      <w:r w:rsidRPr="001A23B0">
        <w:rPr>
          <w:sz w:val="16"/>
        </w:rPr>
        <w:t xml:space="preserve"> roughly a year ago, </w:t>
      </w:r>
      <w:r w:rsidRPr="001A23B0">
        <w:rPr>
          <w:rStyle w:val="StyleUnderline"/>
        </w:rPr>
        <w:t>the blogosphere was ablaze with</w:t>
      </w:r>
      <w:r w:rsidRPr="001A23B0">
        <w:rPr>
          <w:sz w:val="16"/>
        </w:rPr>
        <w:t xml:space="preserve"> all sorts of </w:t>
      </w:r>
      <w:r w:rsidRPr="001A23B0">
        <w:rPr>
          <w:rStyle w:val="StyleUnderline"/>
        </w:rPr>
        <w:t>scary predictions of</w:t>
      </w:r>
      <w:r w:rsidRPr="001A23B0">
        <w:rPr>
          <w:sz w:val="16"/>
        </w:rPr>
        <w:t xml:space="preserve">, and commentary regarding, ensuing </w:t>
      </w:r>
      <w:r w:rsidRPr="001A23B0">
        <w:rPr>
          <w:rStyle w:val="StyleUnderline"/>
        </w:rPr>
        <w:t>conflict and wars</w:t>
      </w:r>
      <w:r w:rsidRPr="001A23B0">
        <w:rPr>
          <w:sz w:val="16"/>
        </w:rPr>
        <w:t xml:space="preserve"> -- </w:t>
      </w:r>
      <w:r w:rsidRPr="001A23B0">
        <w:rPr>
          <w:rStyle w:val="StyleUnderline"/>
        </w:rPr>
        <w:t>a rerun of the Great Depression leading to world war</w:t>
      </w:r>
      <w:r w:rsidRPr="001A23B0">
        <w:rPr>
          <w:sz w:val="16"/>
        </w:rPr>
        <w:t xml:space="preserve">, as it were. </w:t>
      </w:r>
      <w:r w:rsidRPr="001A23B0">
        <w:rPr>
          <w:rStyle w:val="StyleUnderline"/>
        </w:rPr>
        <w:t>Now, as</w:t>
      </w:r>
      <w:r w:rsidRPr="001A23B0">
        <w:rPr>
          <w:sz w:val="16"/>
        </w:rPr>
        <w:t xml:space="preserve"> global </w:t>
      </w:r>
      <w:r w:rsidRPr="001A23B0">
        <w:rPr>
          <w:rStyle w:val="StyleUnderline"/>
        </w:rPr>
        <w:t>economic news brightens</w:t>
      </w:r>
      <w:r w:rsidRPr="001A23B0">
        <w:rPr>
          <w:sz w:val="16"/>
        </w:rPr>
        <w:t xml:space="preserve"> and recovery -- surprisingly led by China and emerging markets -- is the talk of the day, </w:t>
      </w:r>
      <w:r w:rsidRPr="001A23B0">
        <w:rPr>
          <w:rStyle w:val="StyleUnderline"/>
        </w:rPr>
        <w:t>it's interesting to look back</w:t>
      </w:r>
      <w:r w:rsidRPr="001A23B0">
        <w:rPr>
          <w:sz w:val="16"/>
        </w:rPr>
        <w:t xml:space="preserve"> over the past year </w:t>
      </w:r>
      <w:r w:rsidRPr="001A23B0">
        <w:rPr>
          <w:rStyle w:val="StyleUnderline"/>
        </w:rPr>
        <w:t>and realize how globalization's first</w:t>
      </w:r>
      <w:r w:rsidRPr="001A23B0">
        <w:rPr>
          <w:sz w:val="16"/>
        </w:rPr>
        <w:t xml:space="preserve"> truly </w:t>
      </w:r>
      <w:r w:rsidRPr="001A23B0">
        <w:rPr>
          <w:rStyle w:val="StyleUnderline"/>
        </w:rPr>
        <w:t>worldwide recession has had</w:t>
      </w:r>
      <w:r w:rsidRPr="001A23B0">
        <w:rPr>
          <w:sz w:val="16"/>
        </w:rPr>
        <w:t xml:space="preserve"> virtually </w:t>
      </w:r>
      <w:r w:rsidRPr="001A23B0">
        <w:rPr>
          <w:rStyle w:val="StyleUnderline"/>
        </w:rPr>
        <w:t>no impact</w:t>
      </w:r>
      <w:r w:rsidRPr="001A23B0">
        <w:rPr>
          <w:sz w:val="16"/>
        </w:rPr>
        <w:t xml:space="preserve"> whatsoever </w:t>
      </w:r>
      <w:r w:rsidRPr="001A23B0">
        <w:rPr>
          <w:rStyle w:val="StyleUnderline"/>
        </w:rPr>
        <w:t>on</w:t>
      </w:r>
      <w:r w:rsidRPr="001A23B0">
        <w:rPr>
          <w:sz w:val="16"/>
        </w:rPr>
        <w:t xml:space="preserve"> the </w:t>
      </w:r>
      <w:r w:rsidRPr="001A23B0">
        <w:rPr>
          <w:rStyle w:val="StyleUnderline"/>
        </w:rPr>
        <w:t>international security</w:t>
      </w:r>
      <w:r w:rsidRPr="001A23B0">
        <w:rPr>
          <w:sz w:val="16"/>
        </w:rPr>
        <w:t xml:space="preserve"> landscape.</w:t>
      </w:r>
    </w:p>
    <w:p w:rsidR="00D45AF7" w:rsidRPr="001A23B0" w:rsidRDefault="00D45AF7" w:rsidP="00D45AF7">
      <w:pPr>
        <w:rPr>
          <w:sz w:val="16"/>
        </w:rPr>
      </w:pPr>
      <w:r w:rsidRPr="001A23B0">
        <w:rPr>
          <w:rStyle w:val="StyleUnderline"/>
        </w:rPr>
        <w:t>None of the</w:t>
      </w:r>
      <w:r w:rsidRPr="001A23B0">
        <w:rPr>
          <w:sz w:val="16"/>
        </w:rPr>
        <w:t xml:space="preserve"> more than </w:t>
      </w:r>
      <w:r w:rsidRPr="001A23B0">
        <w:rPr>
          <w:rStyle w:val="StyleUnderline"/>
        </w:rPr>
        <w:t>three-dozen ongoing conflicts listed by GlobalSecurity</w:t>
      </w:r>
      <w:r w:rsidRPr="001A23B0">
        <w:rPr>
          <w:sz w:val="16"/>
        </w:rPr>
        <w:t xml:space="preserve">.org </w:t>
      </w:r>
      <w:r w:rsidRPr="001A23B0">
        <w:rPr>
          <w:rStyle w:val="StyleUnderline"/>
        </w:rPr>
        <w:t>can be</w:t>
      </w:r>
      <w:r w:rsidRPr="001A23B0">
        <w:rPr>
          <w:sz w:val="16"/>
        </w:rPr>
        <w:t xml:space="preserve"> clearly </w:t>
      </w:r>
      <w:r w:rsidRPr="001A23B0">
        <w:rPr>
          <w:rStyle w:val="StyleUnderline"/>
        </w:rPr>
        <w:t>attributed to the</w:t>
      </w:r>
      <w:r w:rsidRPr="001A23B0">
        <w:rPr>
          <w:sz w:val="16"/>
        </w:rPr>
        <w:t xml:space="preserve"> global </w:t>
      </w:r>
      <w:r w:rsidRPr="001A23B0">
        <w:rPr>
          <w:rStyle w:val="StyleUnderline"/>
        </w:rPr>
        <w:t>recession.</w:t>
      </w:r>
      <w:r w:rsidRPr="001A23B0">
        <w:rPr>
          <w:sz w:val="16"/>
        </w:rPr>
        <w:t xml:space="preserve"> Indeed, </w:t>
      </w:r>
      <w:r w:rsidRPr="001A23B0">
        <w:rPr>
          <w:rStyle w:val="StyleUnderline"/>
        </w:rPr>
        <w:t>the last new entry</w:t>
      </w:r>
      <w:r w:rsidRPr="001A23B0">
        <w:rPr>
          <w:sz w:val="16"/>
        </w:rPr>
        <w:t xml:space="preserve"> (</w:t>
      </w:r>
      <w:r w:rsidRPr="001A23B0">
        <w:rPr>
          <w:rStyle w:val="StyleUnderline"/>
        </w:rPr>
        <w:t>civil conflict between Hamas and Fatah</w:t>
      </w:r>
      <w:r w:rsidRPr="001A23B0">
        <w:rPr>
          <w:sz w:val="16"/>
        </w:rPr>
        <w:t xml:space="preserve"> in the Palestine) </w:t>
      </w:r>
      <w:r w:rsidRPr="001A23B0">
        <w:rPr>
          <w:rStyle w:val="StyleUnderline"/>
        </w:rPr>
        <w:t>predates the economic crisis by a year</w:t>
      </w:r>
      <w:r w:rsidRPr="001A23B0">
        <w:rPr>
          <w:sz w:val="16"/>
        </w:rPr>
        <w:t xml:space="preserve">, and three quarters of the chronic struggles began in the last century. Ditto for the 15 low-intensity conflicts listed by Wikipedia (where the latest entry is the Mexican "drug war" begun in 2006). Certainly, the </w:t>
      </w:r>
      <w:r w:rsidRPr="001A23B0">
        <w:rPr>
          <w:rStyle w:val="StyleUnderline"/>
        </w:rPr>
        <w:t>Russia-Georgia</w:t>
      </w:r>
      <w:r w:rsidRPr="001A23B0">
        <w:rPr>
          <w:sz w:val="16"/>
        </w:rPr>
        <w:t xml:space="preserve"> conflict last August </w:t>
      </w:r>
      <w:r w:rsidRPr="001A23B0">
        <w:rPr>
          <w:rStyle w:val="StyleUnderline"/>
        </w:rPr>
        <w:t>was specifically timed, but by most accounts</w:t>
      </w:r>
      <w:r w:rsidRPr="001A23B0">
        <w:rPr>
          <w:sz w:val="16"/>
        </w:rPr>
        <w:t xml:space="preserve"> </w:t>
      </w:r>
      <w:r w:rsidRPr="001A23B0">
        <w:rPr>
          <w:rStyle w:val="StyleUnderline"/>
        </w:rPr>
        <w:t>the opening ceremony of the</w:t>
      </w:r>
      <w:r w:rsidRPr="001A23B0">
        <w:rPr>
          <w:sz w:val="16"/>
        </w:rPr>
        <w:t xml:space="preserve"> Beijing </w:t>
      </w:r>
      <w:r w:rsidRPr="001A23B0">
        <w:rPr>
          <w:rStyle w:val="StyleUnderline"/>
        </w:rPr>
        <w:t>Olympics was the</w:t>
      </w:r>
      <w:r w:rsidRPr="001A23B0">
        <w:rPr>
          <w:sz w:val="16"/>
        </w:rPr>
        <w:t xml:space="preserve"> most important </w:t>
      </w:r>
      <w:r w:rsidRPr="001A23B0">
        <w:rPr>
          <w:rStyle w:val="StyleUnderline"/>
        </w:rPr>
        <w:t>external trigger</w:t>
      </w:r>
      <w:r w:rsidRPr="001A23B0">
        <w:rPr>
          <w:sz w:val="16"/>
        </w:rPr>
        <w:t xml:space="preserve"> (followed by the U.S. presidential campaign) </w:t>
      </w:r>
      <w:r w:rsidRPr="001A23B0">
        <w:rPr>
          <w:rStyle w:val="StyleUnderline"/>
        </w:rPr>
        <w:t>for that sudden spike in a</w:t>
      </w:r>
      <w:r w:rsidRPr="001A23B0">
        <w:rPr>
          <w:sz w:val="16"/>
        </w:rPr>
        <w:t xml:space="preserve">n almost </w:t>
      </w:r>
      <w:r w:rsidRPr="001A23B0">
        <w:rPr>
          <w:rStyle w:val="StyleUnderline"/>
        </w:rPr>
        <w:t>two-decade</w:t>
      </w:r>
      <w:r w:rsidRPr="001A23B0">
        <w:rPr>
          <w:sz w:val="16"/>
        </w:rPr>
        <w:t xml:space="preserve"> long </w:t>
      </w:r>
      <w:r w:rsidRPr="001A23B0">
        <w:rPr>
          <w:rStyle w:val="StyleUnderline"/>
        </w:rPr>
        <w:t>struggle</w:t>
      </w:r>
      <w:r w:rsidRPr="001A23B0">
        <w:rPr>
          <w:sz w:val="16"/>
        </w:rPr>
        <w:t xml:space="preserve"> between Georgia and its two breakaway regions.</w:t>
      </w:r>
    </w:p>
    <w:p w:rsidR="00D45AF7" w:rsidRPr="001A23B0" w:rsidRDefault="00D45AF7" w:rsidP="00D45AF7">
      <w:pPr>
        <w:rPr>
          <w:rStyle w:val="StyleUnderline"/>
        </w:rPr>
      </w:pPr>
      <w:r w:rsidRPr="001A23B0">
        <w:rPr>
          <w:rStyle w:val="StyleUnderline"/>
        </w:rPr>
        <w:t>Looking over</w:t>
      </w:r>
      <w:r w:rsidRPr="001A23B0">
        <w:rPr>
          <w:sz w:val="16"/>
        </w:rPr>
        <w:t xml:space="preserve"> the </w:t>
      </w:r>
      <w:r w:rsidRPr="001A23B0">
        <w:rPr>
          <w:rStyle w:val="StyleUnderline"/>
        </w:rPr>
        <w:t>various databases</w:t>
      </w:r>
      <w:r w:rsidRPr="001A23B0">
        <w:rPr>
          <w:sz w:val="16"/>
        </w:rPr>
        <w:t xml:space="preserve">, then, </w:t>
      </w:r>
      <w:r w:rsidRPr="001A23B0">
        <w:rPr>
          <w:rStyle w:val="StyleUnderline"/>
        </w:rPr>
        <w:t>we see</w:t>
      </w:r>
      <w:r w:rsidRPr="001A23B0">
        <w:rPr>
          <w:sz w:val="16"/>
        </w:rPr>
        <w:t xml:space="preserve"> a most familiar picture: </w:t>
      </w:r>
      <w:r w:rsidRPr="001A23B0">
        <w:rPr>
          <w:rStyle w:val="StyleUnderline"/>
        </w:rPr>
        <w:t>the usual mix of civil conflicts, insurgencies, and liberation-themed terrorist movements.</w:t>
      </w:r>
      <w:r w:rsidRPr="001A23B0">
        <w:rPr>
          <w:sz w:val="16"/>
        </w:rPr>
        <w:t xml:space="preserve"> Besides the recent Russia-Georgia dust-up, </w:t>
      </w:r>
      <w:r w:rsidRPr="001A23B0">
        <w:rPr>
          <w:rStyle w:val="StyleUnderline"/>
        </w:rPr>
        <w:t>the only two potential state-on-state wars</w:t>
      </w:r>
      <w:r w:rsidRPr="001A23B0">
        <w:rPr>
          <w:sz w:val="16"/>
        </w:rPr>
        <w:t xml:space="preserve"> (North v. South Korea, Israel v. Iran) </w:t>
      </w:r>
      <w:r w:rsidRPr="001A23B0">
        <w:rPr>
          <w:rStyle w:val="StyleUnderline"/>
        </w:rPr>
        <w:t>are</w:t>
      </w:r>
      <w:r w:rsidRPr="001A23B0">
        <w:rPr>
          <w:sz w:val="16"/>
        </w:rPr>
        <w:t xml:space="preserve"> both </w:t>
      </w:r>
      <w:r w:rsidRPr="001A23B0">
        <w:rPr>
          <w:rStyle w:val="StyleUnderline"/>
        </w:rPr>
        <w:t>tied to</w:t>
      </w:r>
      <w:r w:rsidRPr="001A23B0">
        <w:rPr>
          <w:sz w:val="16"/>
        </w:rPr>
        <w:t xml:space="preserve"> one side acquiring a </w:t>
      </w:r>
      <w:r w:rsidRPr="001A23B0">
        <w:rPr>
          <w:rStyle w:val="StyleUnderline"/>
        </w:rPr>
        <w:t>nuclear weapon capacity</w:t>
      </w:r>
      <w:r w:rsidRPr="001A23B0">
        <w:rPr>
          <w:sz w:val="16"/>
        </w:rPr>
        <w:t xml:space="preserve"> -- a process wholly </w:t>
      </w:r>
      <w:r w:rsidRPr="001A23B0">
        <w:rPr>
          <w:rStyle w:val="StyleUnderline"/>
        </w:rPr>
        <w:t>unrelated to global economic trends.</w:t>
      </w:r>
    </w:p>
    <w:p w:rsidR="00D45AF7" w:rsidRPr="001A23B0" w:rsidRDefault="00D45AF7" w:rsidP="00D45AF7">
      <w:pPr>
        <w:rPr>
          <w:sz w:val="16"/>
        </w:rPr>
      </w:pPr>
      <w:r w:rsidRPr="001A23B0">
        <w:rPr>
          <w:sz w:val="16"/>
        </w:rPr>
        <w:t xml:space="preserve">And </w:t>
      </w:r>
      <w:r w:rsidRPr="001A23B0">
        <w:rPr>
          <w:rStyle w:val="StyleUnderline"/>
        </w:rPr>
        <w:t>with the U</w:t>
      </w:r>
      <w:r w:rsidRPr="001A23B0">
        <w:rPr>
          <w:sz w:val="16"/>
        </w:rPr>
        <w:t xml:space="preserve">nited </w:t>
      </w:r>
      <w:r w:rsidRPr="001A23B0">
        <w:rPr>
          <w:rStyle w:val="StyleUnderline"/>
        </w:rPr>
        <w:t>S</w:t>
      </w:r>
      <w:r w:rsidRPr="001A23B0">
        <w:rPr>
          <w:sz w:val="16"/>
        </w:rPr>
        <w:t xml:space="preserve">tates effectively </w:t>
      </w:r>
      <w:r w:rsidRPr="001A23B0">
        <w:rPr>
          <w:rStyle w:val="StyleUnderline"/>
        </w:rPr>
        <w:t>tied down</w:t>
      </w:r>
      <w:r w:rsidRPr="001A23B0">
        <w:rPr>
          <w:sz w:val="16"/>
        </w:rPr>
        <w:t xml:space="preserve"> by its two ongoing major interventions (Iraq and Afghanistan-bleeding-into-Pakistan), </w:t>
      </w:r>
      <w:r w:rsidRPr="001A23B0">
        <w:rPr>
          <w:rStyle w:val="StyleUnderline"/>
        </w:rPr>
        <w:t>our involvement elsewhere</w:t>
      </w:r>
      <w:r w:rsidRPr="001A23B0">
        <w:rPr>
          <w:sz w:val="16"/>
        </w:rPr>
        <w:t xml:space="preserve"> around the planet </w:t>
      </w:r>
      <w:r w:rsidRPr="001A23B0">
        <w:rPr>
          <w:rStyle w:val="StyleUnderline"/>
        </w:rPr>
        <w:t>has been quite modest</w:t>
      </w:r>
      <w:r w:rsidRPr="001A23B0">
        <w:rPr>
          <w:sz w:val="16"/>
        </w:rPr>
        <w:t xml:space="preserve">, both leading up to and </w:t>
      </w:r>
      <w:r w:rsidRPr="001A23B0">
        <w:rPr>
          <w:rStyle w:val="StyleUnderline"/>
        </w:rPr>
        <w:t>following the onset of the</w:t>
      </w:r>
      <w:r w:rsidRPr="001A23B0">
        <w:rPr>
          <w:sz w:val="16"/>
        </w:rPr>
        <w:t xml:space="preserve"> economic </w:t>
      </w:r>
      <w:r w:rsidRPr="001A23B0">
        <w:rPr>
          <w:rStyle w:val="StyleUnderline"/>
        </w:rPr>
        <w:t>crisis</w:t>
      </w:r>
      <w:r w:rsidRPr="001A23B0">
        <w:rPr>
          <w:sz w:val="16"/>
        </w:rPr>
        <w:t xml:space="preserve">: e.g., the usual counter-drug efforts in Latin America, the usual military exercises with allies across Asia, mixing it up with pirates off Somalia's coast). </w:t>
      </w:r>
      <w:r w:rsidRPr="001A23B0">
        <w:rPr>
          <w:rStyle w:val="StyleUnderline"/>
        </w:rPr>
        <w:t>Everywhere else we find serious instability we pretty much let it burn, occasionally pressing the</w:t>
      </w:r>
      <w:r w:rsidRPr="001A23B0">
        <w:rPr>
          <w:sz w:val="16"/>
        </w:rPr>
        <w:t xml:space="preserve"> </w:t>
      </w:r>
      <w:r w:rsidRPr="001A23B0">
        <w:rPr>
          <w:rStyle w:val="StyleUnderline"/>
        </w:rPr>
        <w:t>Chinese</w:t>
      </w:r>
      <w:r w:rsidRPr="001A23B0">
        <w:rPr>
          <w:sz w:val="16"/>
        </w:rPr>
        <w:t xml:space="preserve"> -- unsuccessfully -- </w:t>
      </w:r>
      <w:r w:rsidRPr="001A23B0">
        <w:rPr>
          <w:rStyle w:val="StyleUnderline"/>
        </w:rPr>
        <w:t>to do something.</w:t>
      </w:r>
      <w:r w:rsidRPr="001A23B0">
        <w:rPr>
          <w:sz w:val="16"/>
        </w:rPr>
        <w:t xml:space="preserve"> Our new Africa Command, for example, hasn't led us to anything beyond advising and training local forces.</w:t>
      </w:r>
    </w:p>
    <w:p w:rsidR="00D45AF7" w:rsidRDefault="00D45AF7" w:rsidP="00D45AF7">
      <w:pPr>
        <w:pStyle w:val="Heading4"/>
      </w:pPr>
      <w:r>
        <w:t>History disproves the link between the economy and conflict</w:t>
      </w:r>
    </w:p>
    <w:p w:rsidR="00D45AF7" w:rsidRPr="001A23B0" w:rsidRDefault="00D45AF7" w:rsidP="00D45AF7">
      <w:pPr>
        <w:rPr>
          <w:rStyle w:val="Style13ptBold"/>
        </w:rPr>
      </w:pPr>
      <w:r w:rsidRPr="001A23B0">
        <w:rPr>
          <w:rStyle w:val="Style13ptBold"/>
        </w:rPr>
        <w:t xml:space="preserve">FERGUSON 06   Laurence A. </w:t>
      </w:r>
      <w:proofErr w:type="spellStart"/>
      <w:r w:rsidRPr="001A23B0">
        <w:rPr>
          <w:rStyle w:val="Style13ptBold"/>
        </w:rPr>
        <w:t>Tisch</w:t>
      </w:r>
      <w:proofErr w:type="spellEnd"/>
      <w:r w:rsidRPr="001A23B0">
        <w:rPr>
          <w:rStyle w:val="Style13ptBold"/>
        </w:rPr>
        <w:t xml:space="preserve"> Professor of History at Harvard, a Senior Research Fellow of Jesus College at Oxford, and a Senior Fellow of the Hoover Institution</w:t>
      </w:r>
    </w:p>
    <w:p w:rsidR="00D45AF7" w:rsidRPr="001A23B0" w:rsidRDefault="00D45AF7" w:rsidP="00D45AF7">
      <w:pPr>
        <w:rPr>
          <w:rStyle w:val="Style13ptBold"/>
          <w:b w:val="0"/>
          <w:sz w:val="18"/>
          <w:szCs w:val="18"/>
        </w:rPr>
      </w:pPr>
      <w:r w:rsidRPr="001A23B0">
        <w:rPr>
          <w:rStyle w:val="Style13ptBold"/>
          <w:sz w:val="18"/>
          <w:szCs w:val="18"/>
        </w:rPr>
        <w:t>[Niall Ferguson, “The War of the World”, Penguin Books, pg. xxxviii]</w:t>
      </w:r>
    </w:p>
    <w:p w:rsidR="00D45AF7" w:rsidRPr="005A394D" w:rsidRDefault="00D45AF7" w:rsidP="00D45AF7"/>
    <w:p w:rsidR="00D45AF7" w:rsidRPr="001A23B0" w:rsidRDefault="00D45AF7" w:rsidP="00D45AF7">
      <w:pPr>
        <w:rPr>
          <w:sz w:val="16"/>
        </w:rPr>
      </w:pPr>
      <w:r w:rsidRPr="001A23B0">
        <w:rPr>
          <w:rStyle w:val="StyleUnderline"/>
        </w:rPr>
        <w:t>Nor can economic crises explain</w:t>
      </w:r>
      <w:r w:rsidRPr="001A23B0">
        <w:rPr>
          <w:sz w:val="16"/>
        </w:rPr>
        <w:t xml:space="preserve"> all the </w:t>
      </w:r>
      <w:r w:rsidRPr="001A23B0">
        <w:rPr>
          <w:rStyle w:val="StyleUnderline"/>
        </w:rPr>
        <w:t>violent upheavals of the century.</w:t>
      </w:r>
      <w:r w:rsidRPr="001A23B0">
        <w:rPr>
          <w:sz w:val="16"/>
        </w:rPr>
        <w:t xml:space="preserve"> As noted already, perhaps </w:t>
      </w:r>
      <w:r w:rsidRPr="001A23B0">
        <w:rPr>
          <w:rStyle w:val="StyleUnderline"/>
        </w:rPr>
        <w:t>the most familiar causal chain</w:t>
      </w:r>
      <w:r w:rsidRPr="001A23B0">
        <w:rPr>
          <w:sz w:val="16"/>
        </w:rPr>
        <w:t xml:space="preserve"> in modern historiography </w:t>
      </w:r>
      <w:r w:rsidRPr="001A23B0">
        <w:rPr>
          <w:rStyle w:val="StyleUnderline"/>
        </w:rPr>
        <w:t>leads from the Great Depression to</w:t>
      </w:r>
      <w:r w:rsidRPr="001A23B0">
        <w:rPr>
          <w:sz w:val="16"/>
        </w:rPr>
        <w:t xml:space="preserve"> the rise of </w:t>
      </w:r>
      <w:r w:rsidRPr="001A23B0">
        <w:rPr>
          <w:rStyle w:val="StyleUnderline"/>
        </w:rPr>
        <w:t>fascism and</w:t>
      </w:r>
      <w:r w:rsidRPr="001A23B0">
        <w:rPr>
          <w:sz w:val="16"/>
        </w:rPr>
        <w:t xml:space="preserve"> the outbreak of </w:t>
      </w:r>
      <w:r w:rsidRPr="001A23B0">
        <w:rPr>
          <w:rStyle w:val="StyleUnderline"/>
        </w:rPr>
        <w:t>war. Yet on closer inspection this</w:t>
      </w:r>
      <w:r w:rsidRPr="001A23B0">
        <w:rPr>
          <w:sz w:val="16"/>
        </w:rPr>
        <w:t xml:space="preserve"> pleasing </w:t>
      </w:r>
      <w:r w:rsidRPr="001A23B0">
        <w:rPr>
          <w:rStyle w:val="StyleUnderline"/>
        </w:rPr>
        <w:t>story falls apart. Not all the countries affected by the Great Depression became fascist regimes; nor did all the fascist regimes engage in wars</w:t>
      </w:r>
      <w:r w:rsidRPr="001A23B0">
        <w:rPr>
          <w:sz w:val="16"/>
        </w:rPr>
        <w:t xml:space="preserve"> of aggression. </w:t>
      </w:r>
      <w:r w:rsidRPr="001A23B0">
        <w:rPr>
          <w:rStyle w:val="StyleUnderline"/>
        </w:rPr>
        <w:t>Nazi Germany</w:t>
      </w:r>
      <w:r w:rsidRPr="001A23B0">
        <w:rPr>
          <w:sz w:val="16"/>
        </w:rPr>
        <w:t xml:space="preserve"> </w:t>
      </w:r>
      <w:r w:rsidRPr="001A23B0">
        <w:rPr>
          <w:rStyle w:val="StyleUnderline"/>
        </w:rPr>
        <w:t>started the war</w:t>
      </w:r>
      <w:r w:rsidRPr="001A23B0">
        <w:rPr>
          <w:sz w:val="16"/>
        </w:rPr>
        <w:t xml:space="preserve"> in Europe, but only </w:t>
      </w:r>
      <w:r w:rsidRPr="001A23B0">
        <w:rPr>
          <w:rStyle w:val="StyleUnderline"/>
        </w:rPr>
        <w:t>after its economy had recovered</w:t>
      </w:r>
      <w:r w:rsidRPr="001A23B0">
        <w:rPr>
          <w:sz w:val="16"/>
        </w:rPr>
        <w:t xml:space="preserve"> from the Depression. </w:t>
      </w:r>
      <w:r w:rsidRPr="001A23B0">
        <w:rPr>
          <w:rStyle w:val="StyleUnderline"/>
        </w:rPr>
        <w:t>The Soviet Union</w:t>
      </w:r>
      <w:r w:rsidRPr="001A23B0">
        <w:rPr>
          <w:sz w:val="16"/>
        </w:rPr>
        <w:t xml:space="preserve">, which started the war on Hitler’s side, </w:t>
      </w:r>
      <w:r w:rsidRPr="001A23B0">
        <w:rPr>
          <w:rStyle w:val="StyleUnderline"/>
        </w:rPr>
        <w:t>was cut off from</w:t>
      </w:r>
      <w:r w:rsidRPr="001A23B0">
        <w:rPr>
          <w:sz w:val="16"/>
        </w:rPr>
        <w:t xml:space="preserve"> the world </w:t>
      </w:r>
      <w:r w:rsidRPr="001A23B0">
        <w:rPr>
          <w:rStyle w:val="StyleUnderline"/>
        </w:rPr>
        <w:t>economic crisis, yet ended up mobilizing</w:t>
      </w:r>
      <w:r w:rsidRPr="001A23B0">
        <w:rPr>
          <w:sz w:val="16"/>
        </w:rPr>
        <w:t xml:space="preserve"> and losing more soldiers than any other combatant. </w:t>
      </w:r>
      <w:r w:rsidRPr="001A23B0">
        <w:rPr>
          <w:rStyle w:val="UnderlineBold"/>
        </w:rPr>
        <w:t>For the century as a whole, no general rule is discernible.</w:t>
      </w:r>
      <w:r w:rsidRPr="001A23B0">
        <w:rPr>
          <w:sz w:val="16"/>
        </w:rPr>
        <w:t xml:space="preserve"> Some </w:t>
      </w:r>
      <w:r w:rsidRPr="001A23B0">
        <w:rPr>
          <w:rStyle w:val="StyleUnderline"/>
        </w:rPr>
        <w:t>wars came after periods of growth; others were</w:t>
      </w:r>
      <w:r w:rsidRPr="001A23B0">
        <w:rPr>
          <w:sz w:val="16"/>
        </w:rPr>
        <w:t xml:space="preserve"> the </w:t>
      </w:r>
      <w:r w:rsidRPr="001A23B0">
        <w:rPr>
          <w:rStyle w:val="StyleUnderline"/>
        </w:rPr>
        <w:t>causes</w:t>
      </w:r>
      <w:r w:rsidRPr="001A23B0">
        <w:rPr>
          <w:sz w:val="16"/>
        </w:rPr>
        <w:t xml:space="preserve"> rather than the consequence </w:t>
      </w:r>
      <w:r w:rsidRPr="001A23B0">
        <w:rPr>
          <w:rStyle w:val="StyleUnderline"/>
        </w:rPr>
        <w:t>of economic crisis</w:t>
      </w:r>
      <w:r w:rsidRPr="001A23B0">
        <w:rPr>
          <w:sz w:val="16"/>
        </w:rPr>
        <w:t xml:space="preserve">. And </w:t>
      </w:r>
      <w:r w:rsidRPr="001A23B0">
        <w:rPr>
          <w:rStyle w:val="StyleUnderline"/>
        </w:rPr>
        <w:t>some severe economic crisis did not lead to wars.</w:t>
      </w:r>
      <w:r w:rsidRPr="001A23B0">
        <w:rPr>
          <w:sz w:val="16"/>
        </w:rPr>
        <w:t xml:space="preserve"> Certainly, it is now impossible to argue (thought Marxists long tried to) that the First World War was the result of a crisis of capitalism; on the contrary, it abruptly terminated a period of extraordinary global economic integration with relatively high growth and low inflation.</w:t>
      </w:r>
    </w:p>
    <w:p w:rsidR="009C484A" w:rsidRDefault="009C484A" w:rsidP="009C484A">
      <w:pPr>
        <w:pStyle w:val="Heading3"/>
      </w:pPr>
      <w:r>
        <w:t>Impact Turn: Privatization Bad</w:t>
      </w:r>
    </w:p>
    <w:p w:rsidR="009C484A" w:rsidRPr="00BC1D29" w:rsidRDefault="009C484A" w:rsidP="009C484A">
      <w:pPr>
        <w:keepNext/>
        <w:keepLines/>
        <w:outlineLvl w:val="3"/>
        <w:rPr>
          <w:rFonts w:ascii="Garamond" w:eastAsia="Times New Roman" w:hAnsi="Garamond"/>
          <w:b/>
          <w:bCs/>
          <w:iCs/>
        </w:rPr>
      </w:pPr>
      <w:r>
        <w:rPr>
          <w:rFonts w:ascii="Garamond" w:eastAsia="Times New Roman" w:hAnsi="Garamond"/>
          <w:b/>
          <w:bCs/>
          <w:iCs/>
        </w:rPr>
        <w:t>Airport privatization is bad, creates monopolies that hurt the general public and lead to market collapse</w:t>
      </w:r>
      <w:r w:rsidRPr="00BC1D29">
        <w:rPr>
          <w:rFonts w:ascii="Garamond" w:eastAsia="Times New Roman" w:hAnsi="Garamond"/>
          <w:b/>
          <w:bCs/>
          <w:iCs/>
        </w:rPr>
        <w:t xml:space="preserve">. </w:t>
      </w:r>
    </w:p>
    <w:p w:rsidR="009C484A" w:rsidRPr="00BC1D29" w:rsidRDefault="009C484A" w:rsidP="009C484A">
      <w:pPr>
        <w:rPr>
          <w:rFonts w:ascii="Garamond" w:hAnsi="Garamond"/>
          <w:sz w:val="16"/>
          <w:szCs w:val="16"/>
        </w:rPr>
      </w:pPr>
      <w:proofErr w:type="spellStart"/>
      <w:r w:rsidRPr="00BC1D29">
        <w:rPr>
          <w:rFonts w:ascii="Garamond" w:hAnsi="Garamond"/>
          <w:b/>
        </w:rPr>
        <w:t>Glaeser</w:t>
      </w:r>
      <w:proofErr w:type="spellEnd"/>
      <w:r w:rsidRPr="00BC1D29">
        <w:rPr>
          <w:rFonts w:ascii="Garamond" w:hAnsi="Garamond"/>
          <w:b/>
        </w:rPr>
        <w:t xml:space="preserve"> 10</w:t>
      </w:r>
      <w:r w:rsidRPr="00BC1D29">
        <w:rPr>
          <w:rFonts w:ascii="Garamond" w:hAnsi="Garamond"/>
          <w:b/>
          <w:sz w:val="16"/>
        </w:rPr>
        <w:t xml:space="preserve"> </w:t>
      </w:r>
      <w:r w:rsidRPr="00BC1D29">
        <w:rPr>
          <w:rFonts w:ascii="Garamond" w:hAnsi="Garamond"/>
          <w:sz w:val="16"/>
          <w:szCs w:val="16"/>
        </w:rPr>
        <w:t>economics professor at Harvard (Edward, “Right-Turn Signal: Privatizing Our Way out of Traffic,” 9/28/10, http://economix.blogs.nytimes.com/2010/09/28/right-turn-signal-privatizing-our-way-out-of-traffic/)//AM</w:t>
      </w:r>
    </w:p>
    <w:p w:rsidR="009C484A" w:rsidRPr="00BC1D29" w:rsidRDefault="009C484A" w:rsidP="009C484A">
      <w:pPr>
        <w:rPr>
          <w:rFonts w:ascii="Garamond" w:hAnsi="Garamond"/>
          <w:sz w:val="16"/>
        </w:rPr>
      </w:pPr>
      <w:r w:rsidRPr="00BC1D29">
        <w:rPr>
          <w:rFonts w:ascii="Garamond" w:hAnsi="Garamond"/>
          <w:sz w:val="16"/>
        </w:rPr>
        <w:t xml:space="preserve">But </w:t>
      </w:r>
      <w:r w:rsidRPr="00BC1D29">
        <w:rPr>
          <w:rFonts w:ascii="Garamond" w:hAnsi="Garamond"/>
          <w:u w:val="single"/>
        </w:rPr>
        <w:t>markets are not perfect and private provision has its own pitfalls. In transportation</w:t>
      </w:r>
      <w:r w:rsidRPr="00BC1D29">
        <w:rPr>
          <w:rFonts w:ascii="Garamond" w:hAnsi="Garamond"/>
          <w:sz w:val="16"/>
        </w:rPr>
        <w:t xml:space="preserve">, as in every other setting, Mr. Winston properly notes that </w:t>
      </w:r>
      <w:r w:rsidRPr="00BC1D29">
        <w:rPr>
          <w:rFonts w:ascii="Garamond" w:hAnsi="Garamond"/>
          <w:u w:val="single"/>
        </w:rPr>
        <w:t>the important question is whether government failure is a more serious problem than market failure.</w:t>
      </w:r>
      <w:r w:rsidRPr="00BC1D29">
        <w:rPr>
          <w:rFonts w:ascii="Garamond" w:hAnsi="Garamond"/>
          <w:sz w:val="16"/>
        </w:rPr>
        <w:t xml:space="preserve"> </w:t>
      </w:r>
      <w:r w:rsidRPr="00BC1D29">
        <w:rPr>
          <w:rFonts w:ascii="Garamond" w:hAnsi="Garamond"/>
          <w:u w:val="single"/>
        </w:rPr>
        <w:t>Because the public sector controls almost all roads, airports and urban transit, we see the downsides of public control on a daily basis, but we don’t experience the social costs that could accompany privatization. A private airport operator might try to exploit its monopoly power over a particular market or cut costs in a way that increases the probability of very costly</w:t>
      </w:r>
      <w:r w:rsidRPr="00BC1D29">
        <w:rPr>
          <w:rFonts w:ascii="Garamond" w:hAnsi="Garamond"/>
          <w:sz w:val="16"/>
        </w:rPr>
        <w:t xml:space="preserve">, but rare, </w:t>
      </w:r>
      <w:r w:rsidRPr="00BC1D29">
        <w:rPr>
          <w:rFonts w:ascii="Garamond" w:hAnsi="Garamond"/>
          <w:u w:val="single"/>
        </w:rPr>
        <w:t>disaster</w:t>
      </w:r>
      <w:r w:rsidRPr="00BC1D29">
        <w:rPr>
          <w:rFonts w:ascii="Garamond" w:hAnsi="Garamond"/>
          <w:sz w:val="16"/>
        </w:rPr>
        <w:t xml:space="preserve">. </w:t>
      </w:r>
      <w:r w:rsidRPr="00BC1D29">
        <w:rPr>
          <w:rFonts w:ascii="Garamond" w:hAnsi="Garamond"/>
          <w:u w:val="single"/>
        </w:rPr>
        <w:t>The complexity and risks of switching to private provision means that Mr. Winston is wise to call for experimentation rather than wholesale privatization</w:t>
      </w:r>
      <w:r w:rsidRPr="00BC1D29">
        <w:rPr>
          <w:rFonts w:ascii="Garamond" w:hAnsi="Garamond"/>
          <w:sz w:val="16"/>
        </w:rPr>
        <w:t>. An incremental process of trying things out will provide information and build public support.</w:t>
      </w:r>
    </w:p>
    <w:p w:rsidR="009C484A" w:rsidRPr="00BC1D29" w:rsidRDefault="009C484A" w:rsidP="009C484A">
      <w:pPr>
        <w:keepNext/>
        <w:keepLines/>
        <w:outlineLvl w:val="3"/>
        <w:rPr>
          <w:rFonts w:ascii="Garamond" w:eastAsia="Times New Roman" w:hAnsi="Garamond"/>
          <w:b/>
          <w:bCs/>
          <w:iCs/>
        </w:rPr>
      </w:pPr>
      <w:r w:rsidRPr="00BC1D29">
        <w:rPr>
          <w:rFonts w:ascii="Garamond" w:eastAsia="Times New Roman" w:hAnsi="Garamond"/>
          <w:b/>
          <w:bCs/>
          <w:iCs/>
        </w:rPr>
        <w:t>Privatization</w:t>
      </w:r>
      <w:r>
        <w:rPr>
          <w:rFonts w:ascii="Garamond" w:eastAsia="Times New Roman" w:hAnsi="Garamond"/>
          <w:b/>
          <w:bCs/>
          <w:iCs/>
        </w:rPr>
        <w:t xml:space="preserve"> of the FAA</w:t>
      </w:r>
      <w:r w:rsidRPr="00BC1D29">
        <w:rPr>
          <w:rFonts w:ascii="Garamond" w:eastAsia="Times New Roman" w:hAnsi="Garamond"/>
          <w:b/>
          <w:bCs/>
          <w:iCs/>
        </w:rPr>
        <w:t xml:space="preserve"> creates significant inefficiencies in the airport system. </w:t>
      </w:r>
    </w:p>
    <w:p w:rsidR="009C484A" w:rsidRPr="00BC1D29" w:rsidRDefault="009C484A" w:rsidP="009C484A">
      <w:pPr>
        <w:rPr>
          <w:rFonts w:ascii="Garamond" w:hAnsi="Garamond"/>
          <w:b/>
        </w:rPr>
      </w:pPr>
      <w:r w:rsidRPr="00BC1D29">
        <w:rPr>
          <w:rFonts w:ascii="Garamond" w:hAnsi="Garamond"/>
          <w:b/>
          <w:bCs/>
        </w:rPr>
        <w:t xml:space="preserve">Keith,1 </w:t>
      </w:r>
      <w:r w:rsidRPr="00BC1D29">
        <w:rPr>
          <w:rFonts w:ascii="Garamond" w:hAnsi="Garamond"/>
        </w:rPr>
        <w:t>[Alexander, Issues and Controversies, http://www.2facts.com.proxy.lib.umich.edu/icof_story.aspx?PIN=i0601700&amp;term=privatization, “Air-Travel Delays”, Accessed Jun 20, //SH]</w:t>
      </w:r>
    </w:p>
    <w:p w:rsidR="009C484A" w:rsidRPr="00D3386B" w:rsidRDefault="009C484A" w:rsidP="009C484A">
      <w:pPr>
        <w:rPr>
          <w:rFonts w:ascii="Garamond" w:hAnsi="Garamond"/>
          <w:sz w:val="16"/>
        </w:rPr>
      </w:pPr>
      <w:r w:rsidRPr="00BC1D29">
        <w:rPr>
          <w:rFonts w:ascii="Garamond" w:hAnsi="Garamond"/>
          <w:sz w:val="16"/>
        </w:rPr>
        <w:t xml:space="preserve">Other </w:t>
      </w:r>
      <w:r w:rsidRPr="00BC1D29">
        <w:rPr>
          <w:rFonts w:ascii="Garamond" w:hAnsi="Garamond"/>
          <w:bCs/>
          <w:u w:val="single"/>
        </w:rPr>
        <w:t>policy makers</w:t>
      </w:r>
      <w:r w:rsidRPr="00BC1D29">
        <w:rPr>
          <w:rFonts w:ascii="Garamond" w:hAnsi="Garamond"/>
          <w:sz w:val="16"/>
        </w:rPr>
        <w:t xml:space="preserve">, however, insist that the FAA is capable of making the needed improvements. They </w:t>
      </w:r>
      <w:r w:rsidRPr="00BC1D29">
        <w:rPr>
          <w:rFonts w:ascii="Garamond" w:hAnsi="Garamond"/>
          <w:bCs/>
          <w:u w:val="single"/>
        </w:rPr>
        <w:t>point to the agency's</w:t>
      </w:r>
      <w:r w:rsidRPr="00BC1D29">
        <w:rPr>
          <w:rFonts w:ascii="Garamond" w:hAnsi="Garamond"/>
          <w:sz w:val="16"/>
        </w:rPr>
        <w:t xml:space="preserve"> recent </w:t>
      </w:r>
      <w:r w:rsidRPr="00BC1D29">
        <w:rPr>
          <w:rFonts w:ascii="Garamond" w:hAnsi="Garamond"/>
          <w:bCs/>
          <w:u w:val="single"/>
        </w:rPr>
        <w:t>announcement of a 10-year plan to reduce flight delays as a sign that the FAA has the problem under control.</w:t>
      </w:r>
      <w:r w:rsidRPr="00BC1D29">
        <w:rPr>
          <w:rFonts w:ascii="Garamond" w:hAnsi="Garamond"/>
          <w:sz w:val="16"/>
        </w:rPr>
        <w:t xml:space="preserve"> Opponents also contend that continued </w:t>
      </w:r>
      <w:r w:rsidRPr="00BC1D29">
        <w:rPr>
          <w:rFonts w:ascii="Garamond" w:hAnsi="Garamond"/>
          <w:bCs/>
          <w:u w:val="single"/>
        </w:rPr>
        <w:t>federal involvement is necessary</w:t>
      </w:r>
      <w:r w:rsidRPr="00BC1D29">
        <w:rPr>
          <w:rFonts w:ascii="Garamond" w:hAnsi="Garamond"/>
          <w:sz w:val="16"/>
        </w:rPr>
        <w:t xml:space="preserve"> </w:t>
      </w:r>
      <w:r w:rsidRPr="00BC1D29">
        <w:rPr>
          <w:rFonts w:ascii="Garamond" w:hAnsi="Garamond"/>
          <w:bCs/>
          <w:u w:val="single"/>
        </w:rPr>
        <w:t>to insure that air travel remains open to people across the entire nation--a private company might</w:t>
      </w:r>
      <w:r w:rsidRPr="00BC1D29">
        <w:rPr>
          <w:rFonts w:ascii="Garamond" w:hAnsi="Garamond"/>
          <w:sz w:val="16"/>
        </w:rPr>
        <w:t xml:space="preserve"> allow the airlines </w:t>
      </w:r>
      <w:r w:rsidRPr="00BC1D29">
        <w:rPr>
          <w:rFonts w:ascii="Garamond" w:hAnsi="Garamond"/>
          <w:bCs/>
          <w:u w:val="single"/>
        </w:rPr>
        <w:t>to concentrate service in the more profitable major cities,</w:t>
      </w:r>
      <w:r w:rsidRPr="00BC1D29">
        <w:rPr>
          <w:rFonts w:ascii="Garamond" w:hAnsi="Garamond"/>
          <w:sz w:val="16"/>
        </w:rPr>
        <w:t xml:space="preserve"> critics warn.</w:t>
      </w:r>
    </w:p>
    <w:p w:rsidR="009C484A" w:rsidRPr="00BC1D29" w:rsidRDefault="009C484A" w:rsidP="009C484A">
      <w:pPr>
        <w:keepNext/>
        <w:keepLines/>
        <w:outlineLvl w:val="3"/>
        <w:rPr>
          <w:rFonts w:ascii="Garamond" w:eastAsia="Times New Roman" w:hAnsi="Garamond"/>
          <w:b/>
          <w:bCs/>
          <w:iCs/>
        </w:rPr>
      </w:pPr>
      <w:r>
        <w:rPr>
          <w:rFonts w:ascii="Garamond" w:eastAsia="Times New Roman" w:hAnsi="Garamond"/>
          <w:b/>
          <w:bCs/>
          <w:iCs/>
        </w:rPr>
        <w:t>ATC</w:t>
      </w:r>
      <w:r w:rsidRPr="00BC1D29">
        <w:rPr>
          <w:rFonts w:ascii="Garamond" w:eastAsia="Times New Roman" w:hAnsi="Garamond"/>
          <w:b/>
          <w:bCs/>
          <w:iCs/>
        </w:rPr>
        <w:t xml:space="preserve"> privatization fails and kills safety</w:t>
      </w:r>
      <w:r>
        <w:rPr>
          <w:rFonts w:ascii="Garamond" w:eastAsia="Times New Roman" w:hAnsi="Garamond"/>
          <w:b/>
          <w:bCs/>
          <w:iCs/>
        </w:rPr>
        <w:t>, the US system is too complex</w:t>
      </w:r>
      <w:r w:rsidRPr="00BC1D29">
        <w:rPr>
          <w:rFonts w:ascii="Garamond" w:eastAsia="Times New Roman" w:hAnsi="Garamond"/>
          <w:b/>
          <w:bCs/>
          <w:iCs/>
        </w:rPr>
        <w:t xml:space="preserve">. </w:t>
      </w:r>
    </w:p>
    <w:p w:rsidR="009C484A" w:rsidRPr="00BC1D29" w:rsidRDefault="009C484A" w:rsidP="009C484A">
      <w:pPr>
        <w:rPr>
          <w:rFonts w:ascii="Garamond" w:hAnsi="Garamond"/>
          <w:b/>
        </w:rPr>
      </w:pPr>
      <w:r w:rsidRPr="00BC1D29">
        <w:rPr>
          <w:rFonts w:ascii="Garamond" w:hAnsi="Garamond"/>
          <w:b/>
          <w:bCs/>
        </w:rPr>
        <w:t xml:space="preserve">Keith,1 </w:t>
      </w:r>
      <w:r w:rsidRPr="00BC1D29">
        <w:rPr>
          <w:rFonts w:ascii="Garamond" w:hAnsi="Garamond"/>
        </w:rPr>
        <w:t>[Alexander, Issues and Controversies, http://www.2facts.com.proxy.lib.umich.edu/icof_story.aspx?PIN=i0601700&amp;term=privatization, “Air-Travel Delays”, Accessed Jun 20, //SH]</w:t>
      </w:r>
    </w:p>
    <w:p w:rsidR="009C484A" w:rsidRDefault="009C484A" w:rsidP="009C484A">
      <w:pPr>
        <w:rPr>
          <w:rFonts w:ascii="Garamond" w:hAnsi="Garamond"/>
          <w:sz w:val="16"/>
        </w:rPr>
      </w:pPr>
      <w:r w:rsidRPr="00BC1D29">
        <w:rPr>
          <w:rFonts w:ascii="Garamond" w:hAnsi="Garamond"/>
          <w:sz w:val="16"/>
        </w:rPr>
        <w:t xml:space="preserve">Other experts oppose reallocating air-traffic control to a separate organization, however. </w:t>
      </w:r>
      <w:r w:rsidRPr="00BC1D29">
        <w:rPr>
          <w:rFonts w:ascii="Garamond" w:hAnsi="Garamond"/>
          <w:bCs/>
          <w:u w:val="single"/>
        </w:rPr>
        <w:t>The U.S. is the safest nation for air travel in the world, due to the efforts of the FAA,</w:t>
      </w:r>
      <w:r w:rsidRPr="00BC1D29">
        <w:rPr>
          <w:rFonts w:ascii="Garamond" w:hAnsi="Garamond"/>
          <w:sz w:val="16"/>
        </w:rPr>
        <w:t xml:space="preserve"> they contend. They argue that air-traffic control and safety are inextricably intertwined, and that </w:t>
      </w:r>
      <w:r w:rsidRPr="00BC1D29">
        <w:rPr>
          <w:rFonts w:ascii="Garamond" w:hAnsi="Garamond"/>
          <w:bCs/>
          <w:u w:val="single"/>
        </w:rPr>
        <w:t>any reforms that weaken the FAA could threaten aviation safety. "Safety is a governmental responsibility</w:t>
      </w:r>
      <w:r w:rsidRPr="00BC1D29">
        <w:rPr>
          <w:rFonts w:ascii="Garamond" w:hAnsi="Garamond"/>
          <w:sz w:val="16"/>
        </w:rPr>
        <w:t xml:space="preserve">," says Transportation Secretary Norman </w:t>
      </w:r>
      <w:proofErr w:type="spellStart"/>
      <w:r w:rsidRPr="00BC1D29">
        <w:rPr>
          <w:rFonts w:ascii="Garamond" w:hAnsi="Garamond"/>
          <w:sz w:val="16"/>
        </w:rPr>
        <w:t>Mineta</w:t>
      </w:r>
      <w:proofErr w:type="spellEnd"/>
      <w:r w:rsidRPr="00BC1D29">
        <w:rPr>
          <w:rFonts w:ascii="Garamond" w:hAnsi="Garamond"/>
          <w:sz w:val="16"/>
        </w:rPr>
        <w:t xml:space="preserve">. Moreover, </w:t>
      </w:r>
      <w:r w:rsidRPr="00BC1D29">
        <w:rPr>
          <w:rFonts w:ascii="Garamond" w:hAnsi="Garamond"/>
          <w:bCs/>
          <w:u w:val="single"/>
        </w:rPr>
        <w:t>critics of a privatized system argue that experts</w:t>
      </w:r>
      <w:r w:rsidRPr="00BC1D29">
        <w:rPr>
          <w:rFonts w:ascii="Garamond" w:hAnsi="Garamond"/>
          <w:sz w:val="16"/>
        </w:rPr>
        <w:t xml:space="preserve"> still </w:t>
      </w:r>
      <w:r w:rsidRPr="00BC1D29">
        <w:rPr>
          <w:rFonts w:ascii="Garamond" w:hAnsi="Garamond"/>
          <w:bCs/>
          <w:u w:val="single"/>
        </w:rPr>
        <w:t xml:space="preserve">do not have a complete understanding of the full consequences of systems such as </w:t>
      </w:r>
      <w:proofErr w:type="spellStart"/>
      <w:r w:rsidRPr="00BC1D29">
        <w:rPr>
          <w:rFonts w:ascii="Garamond" w:hAnsi="Garamond"/>
          <w:bCs/>
          <w:u w:val="single"/>
        </w:rPr>
        <w:t>Nav</w:t>
      </w:r>
      <w:proofErr w:type="spellEnd"/>
      <w:r w:rsidRPr="00BC1D29">
        <w:rPr>
          <w:rFonts w:ascii="Garamond" w:hAnsi="Garamond"/>
          <w:bCs/>
          <w:u w:val="single"/>
        </w:rPr>
        <w:t xml:space="preserve"> Canada</w:t>
      </w:r>
      <w:r w:rsidRPr="00BC1D29">
        <w:rPr>
          <w:rFonts w:ascii="Garamond" w:hAnsi="Garamond"/>
          <w:u w:val="single"/>
        </w:rPr>
        <w:t>.</w:t>
      </w:r>
      <w:r w:rsidRPr="00BC1D29">
        <w:rPr>
          <w:rFonts w:ascii="Garamond" w:hAnsi="Garamond"/>
          <w:sz w:val="16"/>
        </w:rPr>
        <w:t xml:space="preserve"> For example, </w:t>
      </w:r>
      <w:r w:rsidRPr="00BC1D29">
        <w:rPr>
          <w:rFonts w:ascii="Garamond" w:hAnsi="Garamond"/>
          <w:bCs/>
          <w:u w:val="single"/>
        </w:rPr>
        <w:t>recently</w:t>
      </w:r>
      <w:r w:rsidRPr="00BC1D29">
        <w:rPr>
          <w:rFonts w:ascii="Garamond" w:hAnsi="Garamond"/>
          <w:sz w:val="16"/>
        </w:rPr>
        <w:t xml:space="preserve"> some </w:t>
      </w:r>
      <w:r w:rsidRPr="00BC1D29">
        <w:rPr>
          <w:rFonts w:ascii="Garamond" w:hAnsi="Garamond"/>
          <w:bCs/>
          <w:u w:val="single"/>
        </w:rPr>
        <w:t>small regional airlines</w:t>
      </w:r>
      <w:r w:rsidRPr="00BC1D29">
        <w:rPr>
          <w:rFonts w:ascii="Garamond" w:hAnsi="Garamond"/>
          <w:sz w:val="16"/>
        </w:rPr>
        <w:t xml:space="preserve"> within Canada have </w:t>
      </w:r>
      <w:r w:rsidRPr="00BC1D29">
        <w:rPr>
          <w:rFonts w:ascii="Garamond" w:hAnsi="Garamond"/>
          <w:bCs/>
          <w:u w:val="single"/>
        </w:rPr>
        <w:t>complained that the system gives preference to</w:t>
      </w:r>
      <w:r w:rsidRPr="00BC1D29">
        <w:rPr>
          <w:rFonts w:ascii="Garamond" w:hAnsi="Garamond"/>
          <w:sz w:val="16"/>
        </w:rPr>
        <w:t xml:space="preserve"> Air Canada, </w:t>
      </w:r>
      <w:r w:rsidRPr="00BC1D29">
        <w:rPr>
          <w:rFonts w:ascii="Garamond" w:hAnsi="Garamond"/>
          <w:bCs/>
          <w:u w:val="single"/>
        </w:rPr>
        <w:t>the country's predominant airline.</w:t>
      </w:r>
      <w:r w:rsidRPr="00BC1D29">
        <w:rPr>
          <w:rFonts w:ascii="Garamond" w:hAnsi="Garamond"/>
          <w:sz w:val="16"/>
        </w:rPr>
        <w:t xml:space="preserve"> "The jury is out on privatization," says Kevin </w:t>
      </w:r>
      <w:proofErr w:type="spellStart"/>
      <w:r w:rsidRPr="00BC1D29">
        <w:rPr>
          <w:rFonts w:ascii="Garamond" w:hAnsi="Garamond"/>
          <w:sz w:val="16"/>
        </w:rPr>
        <w:t>Psutka</w:t>
      </w:r>
      <w:proofErr w:type="spellEnd"/>
      <w:r w:rsidRPr="00BC1D29">
        <w:rPr>
          <w:rFonts w:ascii="Garamond" w:hAnsi="Garamond"/>
          <w:sz w:val="16"/>
        </w:rPr>
        <w:t xml:space="preserve">, president of the Canadian Owners and Pilots Association. Critics of privatization also question whether a system modeled after </w:t>
      </w:r>
      <w:proofErr w:type="spellStart"/>
      <w:r w:rsidRPr="00BC1D29">
        <w:rPr>
          <w:rFonts w:ascii="Garamond" w:hAnsi="Garamond"/>
          <w:sz w:val="16"/>
        </w:rPr>
        <w:t>Nav</w:t>
      </w:r>
      <w:proofErr w:type="spellEnd"/>
      <w:r w:rsidRPr="00BC1D29">
        <w:rPr>
          <w:rFonts w:ascii="Garamond" w:hAnsi="Garamond"/>
          <w:sz w:val="16"/>
        </w:rPr>
        <w:t xml:space="preserve"> Canada would even work in the U.S. They contend that </w:t>
      </w:r>
      <w:r w:rsidRPr="00BC1D29">
        <w:rPr>
          <w:rFonts w:ascii="Garamond" w:hAnsi="Garamond"/>
          <w:bCs/>
          <w:u w:val="single"/>
        </w:rPr>
        <w:t>the airline industry in the U.S. is much bigger and more complicated than in other nations, making U.S. air-traffic control a far greater challenge.</w:t>
      </w:r>
      <w:r w:rsidRPr="00BC1D29">
        <w:rPr>
          <w:rFonts w:ascii="Garamond" w:hAnsi="Garamond"/>
          <w:sz w:val="16"/>
        </w:rPr>
        <w:t xml:space="preserve"> "We have a lot we can learn from looking at private structures that are set up in place in Europe and Canada," says FAA Chairman Jane Garvey. "But </w:t>
      </w:r>
      <w:r w:rsidRPr="00BC1D29">
        <w:rPr>
          <w:rFonts w:ascii="Garamond" w:hAnsi="Garamond"/>
          <w:bCs/>
          <w:u w:val="single"/>
        </w:rPr>
        <w:t>our system is much more complex</w:t>
      </w:r>
      <w:r w:rsidRPr="00BC1D29">
        <w:rPr>
          <w:rFonts w:ascii="Garamond" w:hAnsi="Garamond"/>
          <w:sz w:val="16"/>
        </w:rPr>
        <w:t>."</w:t>
      </w:r>
    </w:p>
    <w:p w:rsidR="002F40E5" w:rsidRDefault="002F40E5" w:rsidP="002F40E5">
      <w:pPr>
        <w:pStyle w:val="Heading3"/>
      </w:pPr>
      <w:r>
        <w:t xml:space="preserve">Impact Turn: </w:t>
      </w:r>
      <w:r w:rsidR="009C484A">
        <w:t>Privatization bad--</w:t>
      </w:r>
      <w:r>
        <w:t>Terrorism</w:t>
      </w:r>
    </w:p>
    <w:p w:rsidR="002F40E5" w:rsidRDefault="002F40E5" w:rsidP="002F40E5">
      <w:pPr>
        <w:pStyle w:val="Heading4"/>
      </w:pPr>
      <w:r>
        <w:t>Privatization of ATC compromises security checks, opens America to terrorism</w:t>
      </w:r>
    </w:p>
    <w:p w:rsidR="002F40E5" w:rsidRDefault="002F40E5" w:rsidP="002F40E5">
      <w:pPr>
        <w:rPr>
          <w:rStyle w:val="Style13ptBold"/>
          <w:b w:val="0"/>
        </w:rPr>
      </w:pPr>
      <w:r>
        <w:rPr>
          <w:rStyle w:val="Style13ptBold"/>
        </w:rPr>
        <w:t xml:space="preserve">Sullivan, May 16, 2017 </w:t>
      </w:r>
      <w:r>
        <w:rPr>
          <w:rStyle w:val="Style13ptBold"/>
          <w:b w:val="0"/>
        </w:rPr>
        <w:t>[Mark Sullivan</w:t>
      </w:r>
      <w:r w:rsidRPr="002F40E5">
        <w:rPr>
          <w:rStyle w:val="Style13ptBold"/>
          <w:b w:val="0"/>
        </w:rPr>
        <w:t xml:space="preserve">, 5-16-2017, "Privatizing air traffic control would pose new risks to national security," </w:t>
      </w:r>
      <w:hyperlink r:id="rId167" w:history="1">
        <w:r w:rsidRPr="008963C4">
          <w:rPr>
            <w:rStyle w:val="Hyperlink"/>
            <w:sz w:val="26"/>
          </w:rPr>
          <w:t>http://thehill.com/blogs/pundits-blog/homeland-security/333508-should-we-privatize-air-traffic-control-lets-look-at</w:t>
        </w:r>
      </w:hyperlink>
      <w:r>
        <w:rPr>
          <w:rStyle w:val="Style13ptBold"/>
          <w:b w:val="0"/>
        </w:rPr>
        <w:t>, SPS]</w:t>
      </w:r>
    </w:p>
    <w:p w:rsidR="002F40E5" w:rsidRDefault="002F40E5" w:rsidP="002F40E5">
      <w:pPr>
        <w:rPr>
          <w:rStyle w:val="StyleUnderline"/>
          <w:b w:val="0"/>
        </w:rPr>
      </w:pPr>
      <w:r w:rsidRPr="002F40E5">
        <w:rPr>
          <w:rStyle w:val="StyleUnderline"/>
        </w:rPr>
        <w:t>The push for privatization of the air traffic control</w:t>
      </w:r>
      <w:r w:rsidRPr="002F40E5">
        <w:rPr>
          <w:rStyle w:val="Style13ptBold"/>
          <w:b w:val="0"/>
          <w:sz w:val="14"/>
        </w:rPr>
        <w:t xml:space="preserve"> function of the Federal Aviation Administration (FAA) </w:t>
      </w:r>
      <w:r w:rsidRPr="002F40E5">
        <w:rPr>
          <w:rStyle w:val="StyleUnderline"/>
        </w:rPr>
        <w:t>has begun again. As we discuss this course of action, national security must be a top consideration</w:t>
      </w:r>
      <w:r w:rsidRPr="002F40E5">
        <w:rPr>
          <w:rStyle w:val="StyleUnderline"/>
          <w:bCs/>
        </w:rPr>
        <w:t>.</w:t>
      </w:r>
      <w:r w:rsidRPr="002F40E5">
        <w:rPr>
          <w:rStyle w:val="Style13ptBold"/>
          <w:b w:val="0"/>
          <w:sz w:val="14"/>
        </w:rPr>
        <w:t xml:space="preserve"> As someone who has spent nearly 35 years in law enforcement, including serving as director of the U.S. Secret Service, I think </w:t>
      </w:r>
      <w:r w:rsidRPr="002F40E5">
        <w:rPr>
          <w:rStyle w:val="StyleUnderline"/>
          <w:bCs/>
        </w:rPr>
        <w:t>there are several key law enforcement and national security questions that have been overlooked</w:t>
      </w:r>
      <w:r w:rsidRPr="002F40E5">
        <w:rPr>
          <w:rStyle w:val="Style13ptBold"/>
          <w:b w:val="0"/>
          <w:sz w:val="14"/>
        </w:rPr>
        <w:t xml:space="preserve"> and need to be considered </w:t>
      </w:r>
      <w:r w:rsidRPr="002F40E5">
        <w:rPr>
          <w:rStyle w:val="StyleUnderline"/>
        </w:rPr>
        <w:t>as we discuss</w:t>
      </w:r>
      <w:r w:rsidRPr="002F40E5">
        <w:rPr>
          <w:rStyle w:val="Style13ptBold"/>
          <w:b w:val="0"/>
          <w:sz w:val="14"/>
        </w:rPr>
        <w:t xml:space="preserve"> the merits of bringing </w:t>
      </w:r>
      <w:r w:rsidRPr="002F40E5">
        <w:rPr>
          <w:rStyle w:val="StyleUnderline"/>
          <w:bCs/>
        </w:rPr>
        <w:t xml:space="preserve">private entities into the air traffic control </w:t>
      </w:r>
      <w:r w:rsidRPr="002F40E5">
        <w:rPr>
          <w:rStyle w:val="Style13ptBold"/>
          <w:b w:val="0"/>
          <w:sz w:val="14"/>
        </w:rPr>
        <w:t xml:space="preserve">governance </w:t>
      </w:r>
      <w:r w:rsidRPr="002F40E5">
        <w:rPr>
          <w:rStyle w:val="StyleUnderline"/>
        </w:rPr>
        <w:t>structure.</w:t>
      </w:r>
      <w:r w:rsidRPr="002F40E5">
        <w:rPr>
          <w:rStyle w:val="Style13ptBold"/>
          <w:b w:val="0"/>
          <w:sz w:val="14"/>
        </w:rPr>
        <w:t xml:space="preserve"> First is a threshold, philosophical question: if an entity with private interests in its leadership takes over air traffic control management, will the bottom-line considerations be prioritized</w:t>
      </w:r>
      <w:r w:rsidRPr="002F40E5">
        <w:rPr>
          <w:rStyle w:val="Style13ptBold"/>
          <w:sz w:val="14"/>
        </w:rPr>
        <w:t xml:space="preserve">? </w:t>
      </w:r>
      <w:r w:rsidRPr="002F40E5">
        <w:rPr>
          <w:rStyle w:val="StyleUnderline"/>
          <w:sz w:val="14"/>
          <w:u w:val="none"/>
        </w:rPr>
        <w:t>Investments in Next Generation</w:t>
      </w:r>
      <w:r w:rsidRPr="002F40E5">
        <w:rPr>
          <w:rStyle w:val="Style13ptBold"/>
          <w:b w:val="0"/>
          <w:sz w:val="14"/>
        </w:rPr>
        <w:t xml:space="preserve"> (</w:t>
      </w:r>
      <w:proofErr w:type="spellStart"/>
      <w:r w:rsidRPr="002F40E5">
        <w:rPr>
          <w:rStyle w:val="Style13ptBold"/>
          <w:b w:val="0"/>
          <w:sz w:val="14"/>
        </w:rPr>
        <w:t>NextGen</w:t>
      </w:r>
      <w:proofErr w:type="spellEnd"/>
      <w:r w:rsidRPr="002F40E5">
        <w:rPr>
          <w:rStyle w:val="Style13ptBold"/>
          <w:b w:val="0"/>
          <w:sz w:val="14"/>
        </w:rPr>
        <w:t xml:space="preserve">) modernization, a multibillion-dollar air traffic upgrade initiated in 2012, </w:t>
      </w:r>
      <w:r w:rsidRPr="002F40E5">
        <w:rPr>
          <w:rStyle w:val="StyleUnderline"/>
          <w:sz w:val="14"/>
          <w:u w:val="none"/>
        </w:rPr>
        <w:t>are underway</w:t>
      </w:r>
      <w:r w:rsidRPr="002F40E5">
        <w:rPr>
          <w:rStyle w:val="Style13ptBold"/>
          <w:b w:val="0"/>
          <w:sz w:val="14"/>
        </w:rPr>
        <w:t xml:space="preserve"> and will only continue to enhance the capabilities of air traffic control. The communications and </w:t>
      </w:r>
      <w:proofErr w:type="spellStart"/>
      <w:r w:rsidRPr="002F40E5">
        <w:rPr>
          <w:rStyle w:val="Style13ptBold"/>
          <w:b w:val="0"/>
          <w:sz w:val="14"/>
        </w:rPr>
        <w:t>geopositioning</w:t>
      </w:r>
      <w:proofErr w:type="spellEnd"/>
      <w:r w:rsidRPr="002F40E5">
        <w:rPr>
          <w:rStyle w:val="Style13ptBold"/>
          <w:b w:val="0"/>
          <w:sz w:val="14"/>
        </w:rPr>
        <w:t xml:space="preserve"> upgrades associated with </w:t>
      </w:r>
      <w:proofErr w:type="spellStart"/>
      <w:r w:rsidRPr="002F40E5">
        <w:rPr>
          <w:rStyle w:val="Style13ptBold"/>
          <w:b w:val="0"/>
          <w:sz w:val="14"/>
        </w:rPr>
        <w:t>NextGen</w:t>
      </w:r>
      <w:proofErr w:type="spellEnd"/>
      <w:r w:rsidRPr="002F40E5">
        <w:rPr>
          <w:rStyle w:val="Style13ptBold"/>
          <w:b w:val="0"/>
          <w:sz w:val="14"/>
        </w:rPr>
        <w:t xml:space="preserve"> stand to improve the security of our air traffic system through more accurate data exchange</w:t>
      </w:r>
      <w:r w:rsidRPr="002F40E5">
        <w:rPr>
          <w:rStyle w:val="StyleUnderline"/>
        </w:rPr>
        <w:t>. If a private entity begins to oversee these upgrades, it is questionable whether it will place public safety first and its finances second. Air traffic controllers are subject to rigorous background security investigations as a condition of employment</w:t>
      </w:r>
      <w:r w:rsidRPr="002F40E5">
        <w:rPr>
          <w:rStyle w:val="Style13ptBold"/>
          <w:b w:val="0"/>
          <w:sz w:val="14"/>
        </w:rPr>
        <w:t xml:space="preserve">. </w:t>
      </w:r>
      <w:r w:rsidRPr="002F40E5">
        <w:rPr>
          <w:rStyle w:val="StyleUnderline"/>
        </w:rPr>
        <w:t>These investigations ensure that the individual</w:t>
      </w:r>
      <w:r w:rsidRPr="002F40E5">
        <w:rPr>
          <w:rStyle w:val="Style13ptBold"/>
          <w:b w:val="0"/>
          <w:sz w:val="14"/>
        </w:rPr>
        <w:t xml:space="preserve"> has no criminal record, </w:t>
      </w:r>
      <w:r w:rsidRPr="002F40E5">
        <w:rPr>
          <w:rStyle w:val="StyleUnderline"/>
        </w:rPr>
        <w:t>is not affiliated with criminal or terrorist organizations</w:t>
      </w:r>
      <w:r w:rsidRPr="002F40E5">
        <w:rPr>
          <w:rStyle w:val="Style13ptBold"/>
          <w:b w:val="0"/>
          <w:sz w:val="14"/>
        </w:rPr>
        <w:t xml:space="preserve"> or has other issues that would indicate a lack of trustworthiness or character. These background investigations also ensure that the air traffic controller is able to operate effectively and calmly in high-pressure situations. Background investigations are not a one-time requirement, are costly, and continue routinely through the course of an air traffic controller's career. </w:t>
      </w:r>
      <w:r w:rsidRPr="002F40E5">
        <w:rPr>
          <w:rStyle w:val="StyleUnderline"/>
        </w:rPr>
        <w:t>Currently, these investigations are undertaken by experienced federal investigators. They can be time and resource consuming, but are well worth it, especially given the current world environment and the threat to aviation. If air traffic control functions are privatized, will this critical function continue to be in the capable hands of federal investigators? This is a critical area where we cannot afford to cut corners. It is not yet clear how the FAA and this new privatized organization would develop or structure aviation standards or approvals of new regulations</w:t>
      </w:r>
      <w:r w:rsidRPr="002F40E5">
        <w:rPr>
          <w:rStyle w:val="Style13ptBold"/>
          <w:b w:val="0"/>
          <w:sz w:val="14"/>
        </w:rPr>
        <w:t xml:space="preserve"> — all of which form a coordinated approach to passenger and general aviation security. For example, a unified and uniformed FAA was integral in coordinating multi-layered and integrated air defense plans and securing airspace during high-profile events like presidential inaugurations, political conventions, other national special security events, and whenever Air Force One traversed the country. Throughout my career, I observed — and Secret Service </w:t>
      </w:r>
      <w:proofErr w:type="spellStart"/>
      <w:r w:rsidRPr="002F40E5">
        <w:rPr>
          <w:rStyle w:val="Style13ptBold"/>
          <w:b w:val="0"/>
          <w:sz w:val="14"/>
        </w:rPr>
        <w:t>protectees</w:t>
      </w:r>
      <w:proofErr w:type="spellEnd"/>
      <w:r w:rsidRPr="002F40E5">
        <w:rPr>
          <w:rStyle w:val="Style13ptBold"/>
          <w:b w:val="0"/>
          <w:sz w:val="14"/>
        </w:rPr>
        <w:t xml:space="preserve"> benefited from — an inherent partnership, standardized air traffic control and cooperation between the FAA and other federal entities like the Department of Defense and Department of Homeland Security. I believe strongly in the wisdom that can be gained from the private sector. </w:t>
      </w:r>
      <w:r w:rsidRPr="002F40E5">
        <w:rPr>
          <w:rStyle w:val="StyleUnderline"/>
        </w:rPr>
        <w:t>Privatization of the air traffic control</w:t>
      </w:r>
      <w:r w:rsidRPr="002F40E5">
        <w:rPr>
          <w:rStyle w:val="Style13ptBold"/>
          <w:b w:val="0"/>
          <w:sz w:val="14"/>
        </w:rPr>
        <w:t xml:space="preserve">, however, </w:t>
      </w:r>
      <w:r w:rsidRPr="002F40E5">
        <w:rPr>
          <w:rStyle w:val="StyleUnderline"/>
        </w:rPr>
        <w:t>would pose a multitude of chain of command issues, differing priorities, and perspectives that could potentially elevate risk and interfere with the end goal of ensuring aviation security.</w:t>
      </w:r>
    </w:p>
    <w:p w:rsidR="002F40E5" w:rsidRDefault="002F40E5" w:rsidP="002F40E5">
      <w:pPr>
        <w:pStyle w:val="Heading3"/>
        <w:rPr>
          <w:bCs/>
        </w:rPr>
      </w:pPr>
      <w:r w:rsidRPr="002F40E5">
        <w:rPr>
          <w:bCs/>
        </w:rPr>
        <w:t xml:space="preserve">Turn: Privatization </w:t>
      </w:r>
      <w:r w:rsidR="009C484A">
        <w:rPr>
          <w:bCs/>
        </w:rPr>
        <w:t>bad—</w:t>
      </w:r>
      <w:proofErr w:type="spellStart"/>
      <w:r w:rsidR="009C484A">
        <w:rPr>
          <w:bCs/>
        </w:rPr>
        <w:t>N</w:t>
      </w:r>
      <w:r w:rsidRPr="002F40E5">
        <w:rPr>
          <w:bCs/>
        </w:rPr>
        <w:t>extGen</w:t>
      </w:r>
      <w:proofErr w:type="spellEnd"/>
      <w:r w:rsidRPr="002F40E5">
        <w:rPr>
          <w:bCs/>
        </w:rPr>
        <w:t xml:space="preserve"> integration</w:t>
      </w:r>
    </w:p>
    <w:p w:rsidR="002F40E5" w:rsidRDefault="002F40E5" w:rsidP="002F40E5">
      <w:pPr>
        <w:pStyle w:val="Heading4"/>
      </w:pPr>
      <w:r>
        <w:t xml:space="preserve">Privatization of ATC prevents </w:t>
      </w:r>
      <w:proofErr w:type="spellStart"/>
      <w:r>
        <w:t>NextGen</w:t>
      </w:r>
      <w:proofErr w:type="spellEnd"/>
      <w:r>
        <w:t xml:space="preserve"> technology integration, fractures existing frameworks</w:t>
      </w:r>
      <w:r w:rsidR="002D5991">
        <w:t>, turns the impact</w:t>
      </w:r>
    </w:p>
    <w:p w:rsidR="002F40E5" w:rsidRPr="002F40E5" w:rsidRDefault="002F40E5" w:rsidP="002F40E5">
      <w:pPr>
        <w:rPr>
          <w:rStyle w:val="Style13ptBold"/>
          <w:b w:val="0"/>
        </w:rPr>
      </w:pPr>
      <w:proofErr w:type="spellStart"/>
      <w:r>
        <w:rPr>
          <w:rStyle w:val="Style13ptBold"/>
        </w:rPr>
        <w:t>DeGood</w:t>
      </w:r>
      <w:proofErr w:type="spellEnd"/>
      <w:r>
        <w:rPr>
          <w:rStyle w:val="Style13ptBold"/>
        </w:rPr>
        <w:t xml:space="preserve">, 2015 </w:t>
      </w:r>
      <w:r>
        <w:rPr>
          <w:rStyle w:val="Style13ptBold"/>
          <w:b w:val="0"/>
        </w:rPr>
        <w:t>[</w:t>
      </w:r>
      <w:r w:rsidRPr="002F40E5">
        <w:rPr>
          <w:rStyle w:val="Style13ptBold"/>
          <w:b w:val="0"/>
        </w:rPr>
        <w:t xml:space="preserve">Kevin </w:t>
      </w:r>
      <w:proofErr w:type="spellStart"/>
      <w:r w:rsidRPr="002F40E5">
        <w:rPr>
          <w:rStyle w:val="Style13ptBold"/>
          <w:b w:val="0"/>
        </w:rPr>
        <w:t>Degood</w:t>
      </w:r>
      <w:proofErr w:type="spellEnd"/>
      <w:r w:rsidRPr="002F40E5">
        <w:rPr>
          <w:rStyle w:val="Style13ptBold"/>
          <w:b w:val="0"/>
        </w:rPr>
        <w:t xml:space="preserve">, 5-5-2015, "4 Essential Questions About Air Traffic Control Privatization," Center for American Progress, </w:t>
      </w:r>
      <w:hyperlink r:id="rId168" w:history="1">
        <w:r w:rsidRPr="008963C4">
          <w:rPr>
            <w:rStyle w:val="Hyperlink"/>
            <w:sz w:val="26"/>
          </w:rPr>
          <w:t>https://www.americanprogress.org/issues/economy/reports/2015/05/05/112406/4-essential-questions-about-air-traffic-control-privatization/</w:t>
        </w:r>
      </w:hyperlink>
      <w:r>
        <w:rPr>
          <w:rStyle w:val="Style13ptBold"/>
          <w:b w:val="0"/>
        </w:rPr>
        <w:t>, SPS]</w:t>
      </w:r>
    </w:p>
    <w:p w:rsidR="002F40E5" w:rsidRPr="002D5991" w:rsidRDefault="002F40E5" w:rsidP="002D5991">
      <w:pPr>
        <w:rPr>
          <w:sz w:val="14"/>
        </w:rPr>
      </w:pPr>
      <w:r w:rsidRPr="002D5991">
        <w:rPr>
          <w:sz w:val="14"/>
        </w:rPr>
        <w:t xml:space="preserve">Transitioning from a ground-based radar system of navigation and control to one based on satellites is a major undertaking. The task is complicated, in part, </w:t>
      </w:r>
      <w:r w:rsidRPr="002D5991">
        <w:rPr>
          <w:rStyle w:val="StyleUnderline"/>
        </w:rPr>
        <w:t xml:space="preserve">because upgrading is not as simple as purchasing existing systems and then scheduling installation. </w:t>
      </w:r>
      <w:proofErr w:type="spellStart"/>
      <w:r w:rsidRPr="002D5991">
        <w:rPr>
          <w:rStyle w:val="StyleUnderline"/>
        </w:rPr>
        <w:t>NextGen</w:t>
      </w:r>
      <w:proofErr w:type="spellEnd"/>
      <w:r w:rsidRPr="002D5991">
        <w:rPr>
          <w:rStyle w:val="StyleUnderline"/>
        </w:rPr>
        <w:t xml:space="preserve"> involves funding primary and applied research to advance the science and technology required to make the envisioned system a reality.</w:t>
      </w:r>
      <w:r w:rsidRPr="002D5991">
        <w:rPr>
          <w:sz w:val="14"/>
        </w:rPr>
        <w:t xml:space="preserve"> And </w:t>
      </w:r>
      <w:r w:rsidRPr="002D5991">
        <w:rPr>
          <w:rStyle w:val="StyleUnderline"/>
        </w:rPr>
        <w:t>the upgrades extend beyond infrastructure owned by the government. As part of the transition, aviation users</w:t>
      </w:r>
      <w:r w:rsidRPr="002D5991">
        <w:rPr>
          <w:sz w:val="14"/>
        </w:rPr>
        <w:t>—from the smallest private planes to the largest commercial carriers—</w:t>
      </w:r>
      <w:r w:rsidRPr="002D5991">
        <w:rPr>
          <w:rStyle w:val="StyleUnderline"/>
        </w:rPr>
        <w:t>will have to upgrade their on-board avionics.</w:t>
      </w:r>
      <w:r w:rsidRPr="002D5991">
        <w:rPr>
          <w:sz w:val="14"/>
        </w:rPr>
        <w:t xml:space="preserve"> As recently as 2009, the Government Accountability Office, or GAO, listed the </w:t>
      </w:r>
      <w:proofErr w:type="spellStart"/>
      <w:r w:rsidRPr="002D5991">
        <w:rPr>
          <w:sz w:val="14"/>
        </w:rPr>
        <w:t>NextGen</w:t>
      </w:r>
      <w:proofErr w:type="spellEnd"/>
      <w:r w:rsidRPr="002D5991">
        <w:rPr>
          <w:sz w:val="14"/>
        </w:rPr>
        <w:t xml:space="preserve"> modernization program as having a high risk for “waste, fraud, abuse, and mismanagement or in need of broad-based transformation.” More </w:t>
      </w:r>
      <w:r w:rsidRPr="002D5991">
        <w:rPr>
          <w:rStyle w:val="StyleUnderline"/>
        </w:rPr>
        <w:t>recently, the GAO praised the FAA for improved management, but implementation remains a difficult process</w:t>
      </w:r>
      <w:r w:rsidRPr="002D5991">
        <w:rPr>
          <w:sz w:val="14"/>
        </w:rPr>
        <w:t xml:space="preserve">. </w:t>
      </w:r>
      <w:r w:rsidRPr="002D5991">
        <w:rPr>
          <w:rStyle w:val="StyleUnderline"/>
        </w:rPr>
        <w:t xml:space="preserve">The incentives to get </w:t>
      </w:r>
      <w:proofErr w:type="spellStart"/>
      <w:r w:rsidRPr="002D5991">
        <w:rPr>
          <w:rStyle w:val="StyleUnderline"/>
        </w:rPr>
        <w:t>NextGen</w:t>
      </w:r>
      <w:proofErr w:type="spellEnd"/>
      <w:r w:rsidRPr="002D5991">
        <w:rPr>
          <w:rStyle w:val="StyleUnderline"/>
        </w:rPr>
        <w:t xml:space="preserve"> right are enormous. An economic analysis by the FAA found that </w:t>
      </w:r>
      <w:proofErr w:type="spellStart"/>
      <w:r w:rsidRPr="002D5991">
        <w:rPr>
          <w:rStyle w:val="StyleUnderline"/>
        </w:rPr>
        <w:t>NextGen</w:t>
      </w:r>
      <w:proofErr w:type="spellEnd"/>
      <w:r w:rsidRPr="002D5991">
        <w:rPr>
          <w:rStyle w:val="StyleUnderline"/>
        </w:rPr>
        <w:t xml:space="preserve"> would return $2 in benefit for every $1 invested: Implementing and maintaining them [</w:t>
      </w:r>
      <w:proofErr w:type="spellStart"/>
      <w:r w:rsidRPr="002D5991">
        <w:rPr>
          <w:rStyle w:val="StyleUnderline"/>
        </w:rPr>
        <w:t>NextGen</w:t>
      </w:r>
      <w:proofErr w:type="spellEnd"/>
      <w:r w:rsidRPr="002D5991">
        <w:rPr>
          <w:rStyle w:val="StyleUnderline"/>
        </w:rPr>
        <w:t xml:space="preserve"> upgrades] is expected to cost the FAA and aircraft operators $37 billion through the year 2030, while generating $106 billion in total benefits over that same time period. </w:t>
      </w:r>
      <w:r w:rsidRPr="002D5991">
        <w:rPr>
          <w:sz w:val="14"/>
        </w:rPr>
        <w:t xml:space="preserve">Applying a 7 percent discount rate, and taking the difference between the present value of benefits and costs, we find that </w:t>
      </w:r>
      <w:proofErr w:type="spellStart"/>
      <w:r w:rsidRPr="002D5991">
        <w:rPr>
          <w:sz w:val="14"/>
        </w:rPr>
        <w:t>NextGen</w:t>
      </w:r>
      <w:proofErr w:type="spellEnd"/>
      <w:r w:rsidRPr="002D5991">
        <w:rPr>
          <w:sz w:val="14"/>
        </w:rPr>
        <w:t xml:space="preserve"> mid-term improvements have a Net Present Value (NPV) of $23 billion. This translates to $2 in benefits for every $1 invested. </w:t>
      </w:r>
      <w:r w:rsidRPr="002D5991">
        <w:rPr>
          <w:rStyle w:val="StyleUnderline"/>
        </w:rPr>
        <w:t xml:space="preserve">The principal benefit from </w:t>
      </w:r>
      <w:proofErr w:type="spellStart"/>
      <w:r w:rsidRPr="002D5991">
        <w:rPr>
          <w:rStyle w:val="StyleUnderline"/>
        </w:rPr>
        <w:t>NextGen</w:t>
      </w:r>
      <w:proofErr w:type="spellEnd"/>
      <w:r w:rsidRPr="002D5991">
        <w:rPr>
          <w:rStyle w:val="StyleUnderline"/>
        </w:rPr>
        <w:t xml:space="preserve"> implementation is avoided delay—more flights taking off and landing on time</w:t>
      </w:r>
      <w:r w:rsidRPr="002D5991">
        <w:rPr>
          <w:sz w:val="14"/>
        </w:rPr>
        <w:t xml:space="preserve">. The FAA estimates a total benefit over the next 15 years of $106 billion, with $77 billion resulting from avoided delay and the remaining $29 billion resulting from more direct routes that burn less fuel, reduced carbon dioxide emissions, safety improvements, and other operational cost savings. </w:t>
      </w:r>
      <w:proofErr w:type="spellStart"/>
      <w:r w:rsidRPr="002D5991">
        <w:rPr>
          <w:rStyle w:val="StyleUnderline"/>
        </w:rPr>
        <w:t>NextGen</w:t>
      </w:r>
      <w:proofErr w:type="spellEnd"/>
      <w:r w:rsidRPr="002D5991">
        <w:rPr>
          <w:rStyle w:val="StyleUnderline"/>
        </w:rPr>
        <w:t xml:space="preserve"> offers a highly efficient technological solution to the problem of aviation congestion</w:t>
      </w:r>
      <w:r w:rsidRPr="002D5991">
        <w:rPr>
          <w:sz w:val="14"/>
        </w:rPr>
        <w:t xml:space="preserve">—a problem that will only grow worse as the United States adds another 100 million people by 2060. </w:t>
      </w:r>
      <w:r w:rsidRPr="002D5991">
        <w:rPr>
          <w:rStyle w:val="StyleUnderline"/>
        </w:rPr>
        <w:t xml:space="preserve">Two things are certain: </w:t>
      </w:r>
      <w:proofErr w:type="spellStart"/>
      <w:r w:rsidRPr="002D5991">
        <w:rPr>
          <w:rStyle w:val="StyleUnderline"/>
        </w:rPr>
        <w:t>NextGen</w:t>
      </w:r>
      <w:proofErr w:type="spellEnd"/>
      <w:r w:rsidRPr="002D5991">
        <w:rPr>
          <w:rStyle w:val="StyleUnderline"/>
        </w:rPr>
        <w:t xml:space="preserve"> offers tremendous benefits, and the FAA could do a much better job of implementing this complex suite of technologies. Turning over such a large procurement process to a privatized ANSP</w:t>
      </w:r>
      <w:r w:rsidRPr="002D5991">
        <w:rPr>
          <w:sz w:val="14"/>
        </w:rPr>
        <w:t xml:space="preserve">, however, </w:t>
      </w:r>
      <w:r w:rsidRPr="002D5991">
        <w:rPr>
          <w:rStyle w:val="StyleUnderline"/>
        </w:rPr>
        <w:t>comes with its own challenges</w:t>
      </w:r>
      <w:r w:rsidRPr="002D5991">
        <w:rPr>
          <w:sz w:val="14"/>
        </w:rPr>
        <w:t>. For starters</w:t>
      </w:r>
      <w:r w:rsidRPr="002D5991">
        <w:rPr>
          <w:rStyle w:val="StyleUnderline"/>
        </w:rPr>
        <w:t xml:space="preserve">, </w:t>
      </w:r>
      <w:proofErr w:type="spellStart"/>
      <w:r w:rsidRPr="002D5991">
        <w:rPr>
          <w:rStyle w:val="StyleUnderline"/>
        </w:rPr>
        <w:t>NextGen</w:t>
      </w:r>
      <w:proofErr w:type="spellEnd"/>
      <w:r w:rsidRPr="002D5991">
        <w:rPr>
          <w:rStyle w:val="StyleUnderline"/>
        </w:rPr>
        <w:t xml:space="preserve"> is not the only procurement underway within the FAA. And the FAA has a responsibility to ensure that </w:t>
      </w:r>
      <w:proofErr w:type="spellStart"/>
      <w:r w:rsidRPr="002D5991">
        <w:rPr>
          <w:rStyle w:val="StyleUnderline"/>
        </w:rPr>
        <w:t>NextGen</w:t>
      </w:r>
      <w:proofErr w:type="spellEnd"/>
      <w:r w:rsidRPr="002D5991">
        <w:rPr>
          <w:rStyle w:val="StyleUnderline"/>
        </w:rPr>
        <w:t xml:space="preserve"> integrates smoothly with existing systems.</w:t>
      </w:r>
      <w:r w:rsidRPr="002D5991">
        <w:rPr>
          <w:sz w:val="14"/>
        </w:rPr>
        <w:t xml:space="preserve"> In fiscal year 2013, Congress appropriated $2.7 billion for the Facilities and Equipment account, or F&amp;E. Annual </w:t>
      </w:r>
      <w:proofErr w:type="spellStart"/>
      <w:r w:rsidRPr="002D5991">
        <w:rPr>
          <w:sz w:val="14"/>
        </w:rPr>
        <w:t>NextGen</w:t>
      </w:r>
      <w:proofErr w:type="spellEnd"/>
      <w:r w:rsidRPr="002D5991">
        <w:rPr>
          <w:sz w:val="14"/>
        </w:rPr>
        <w:t xml:space="preserve"> funding has held constant at around $1 billion, principally within the F&amp;E account. The remaining funds support numerous activities, including tower facilities, lighting, telecommunications, landing and navigation aids, and weather equipment, among many other categories. </w:t>
      </w:r>
      <w:r w:rsidRPr="002D5991">
        <w:rPr>
          <w:rStyle w:val="StyleUnderline"/>
        </w:rPr>
        <w:t xml:space="preserve">Splitting off </w:t>
      </w:r>
      <w:proofErr w:type="spellStart"/>
      <w:r w:rsidRPr="002D5991">
        <w:rPr>
          <w:rStyle w:val="StyleUnderline"/>
        </w:rPr>
        <w:t>NextGen</w:t>
      </w:r>
      <w:proofErr w:type="spellEnd"/>
      <w:r w:rsidRPr="002D5991">
        <w:rPr>
          <w:rStyle w:val="StyleUnderline"/>
        </w:rPr>
        <w:t xml:space="preserve"> from the bulk of facilities and equipment planning and procurement—as some proponents of privatization would like to see—increases the possibility that the two will become out of step, causing technological conflict or reducing the efficacy of the investment.</w:t>
      </w:r>
      <w:r w:rsidRPr="002D5991">
        <w:rPr>
          <w:sz w:val="14"/>
        </w:rPr>
        <w:t xml:space="preserve"> Technology integration is not the only possible sticking point. In the past decade, the aviation industry has undergone substantial consolidation. As a result, major carriers increasingly dominate certain geographic areas, pushing up prices even as fuel costs fall. </w:t>
      </w:r>
      <w:r w:rsidRPr="002D5991">
        <w:rPr>
          <w:rStyle w:val="StyleUnderline"/>
        </w:rPr>
        <w:t>Privatization raises the possibility that procurement could become a new form of rent seeking by major carriers looking for a competitive advantage.</w:t>
      </w:r>
      <w:r w:rsidRPr="002D5991">
        <w:rPr>
          <w:sz w:val="14"/>
        </w:rPr>
        <w:t xml:space="preserve"> The rollout of </w:t>
      </w:r>
      <w:proofErr w:type="spellStart"/>
      <w:r w:rsidRPr="002D5991">
        <w:rPr>
          <w:sz w:val="14"/>
        </w:rPr>
        <w:t>NextGen</w:t>
      </w:r>
      <w:proofErr w:type="spellEnd"/>
      <w:r w:rsidRPr="002D5991">
        <w:rPr>
          <w:sz w:val="14"/>
        </w:rPr>
        <w:t xml:space="preserve"> technology and the redesign of airspace around major metroplexes will not be uniform. Would Delta Air Lines agree to upgrades at a major American Airlines hub? Would either major carrier approve a system deployment that might benefit a new regional carrier competing for their established market share? At the very least, these questions deserve consideration when debating alternative forms of air traffic control governance. Finally, </w:t>
      </w:r>
      <w:r w:rsidRPr="002D5991">
        <w:rPr>
          <w:rStyle w:val="StyleUnderline"/>
        </w:rPr>
        <w:t xml:space="preserve">the highly cyclical nature of the aviation industry could negatively impact </w:t>
      </w:r>
      <w:proofErr w:type="spellStart"/>
      <w:r w:rsidRPr="002D5991">
        <w:rPr>
          <w:rStyle w:val="StyleUnderline"/>
        </w:rPr>
        <w:t>NextGen</w:t>
      </w:r>
      <w:proofErr w:type="spellEnd"/>
      <w:r w:rsidRPr="002D5991">
        <w:rPr>
          <w:rStyle w:val="StyleUnderline"/>
        </w:rPr>
        <w:t xml:space="preserve"> implementation.</w:t>
      </w:r>
      <w:r w:rsidRPr="002D5991">
        <w:rPr>
          <w:sz w:val="14"/>
        </w:rPr>
        <w:t xml:space="preserve"> Unlike essentials such as rent and food, </w:t>
      </w:r>
      <w:r w:rsidRPr="002D5991">
        <w:rPr>
          <w:rStyle w:val="StyleUnderline"/>
        </w:rPr>
        <w:t>air travel is quickly reduced or eliminated during hard economic times.</w:t>
      </w:r>
      <w:r w:rsidRPr="002D5991">
        <w:rPr>
          <w:sz w:val="14"/>
        </w:rPr>
        <w:t xml:space="preserve"> Research by the U.S. Travel Association reveals that 72 percent of domestic air trips are for leisure purposes. As a result, </w:t>
      </w:r>
      <w:r w:rsidRPr="002D5991">
        <w:rPr>
          <w:rStyle w:val="StyleUnderline"/>
        </w:rPr>
        <w:t>the economic health of the aviation industry is closely tied to the overall health of the U.S. economy.</w:t>
      </w:r>
      <w:r w:rsidRPr="002D5991">
        <w:rPr>
          <w:sz w:val="14"/>
        </w:rPr>
        <w:t xml:space="preserve"> A recent FAA report wistfully states that, “Going into the next decade, there is cautious optimism that the industry has been transformed from that of a boom-to-bust cycle to one of sustainable profits.” Perhaps. </w:t>
      </w:r>
      <w:r w:rsidRPr="002D5991">
        <w:rPr>
          <w:rStyle w:val="StyleUnderline"/>
        </w:rPr>
        <w:t>Under the current system, Congress sets all aviation tax rates.</w:t>
      </w:r>
      <w:r w:rsidRPr="002D5991">
        <w:rPr>
          <w:sz w:val="14"/>
        </w:rPr>
        <w:t xml:space="preserve"> In theory, </w:t>
      </w:r>
      <w:r w:rsidRPr="002D5991">
        <w:rPr>
          <w:rStyle w:val="StyleUnderline"/>
        </w:rPr>
        <w:t>privatization would give the new ANSP the authority to set rates. The history of boom and bust raises the possibility that the aviation industry might use its seat at the ANSP governance table to try to roll back taxes and fees during a downturn. Cutting aviation taxes to respond to economic conditions could dramatically slow the pace of air traffic control modernization</w:t>
      </w:r>
      <w:r w:rsidRPr="002D5991">
        <w:rPr>
          <w:sz w:val="14"/>
        </w:rPr>
        <w:t>—if ANSP-controlled taxes are directed toward the modernization at all</w:t>
      </w:r>
      <w:r w:rsidRPr="002D5991">
        <w:rPr>
          <w:rStyle w:val="StyleUnderline"/>
        </w:rPr>
        <w:t>. Congress, by comparison, is not bound by economic cycles and can deficit spend to stimulate aggregate demand, including on critical assets such as aviation infrastructure</w:t>
      </w:r>
      <w:r w:rsidRPr="002D5991">
        <w:rPr>
          <w:sz w:val="14"/>
        </w:rPr>
        <w:t>. The Great Recession offers a prime example. The American Recovery and Reinvestment Act of 2009 included a total of $1.3 billion for aviation programs, including $1.1 billion for grants to airports and $200 million for facilities and equipment.</w:t>
      </w:r>
    </w:p>
    <w:p w:rsidR="002F40E5" w:rsidRPr="002F40E5" w:rsidRDefault="002F40E5" w:rsidP="002F40E5"/>
    <w:p w:rsidR="002F40E5" w:rsidRPr="002F40E5" w:rsidRDefault="002F40E5" w:rsidP="002F40E5"/>
    <w:p w:rsidR="00A02692" w:rsidRDefault="00A02692" w:rsidP="00A02692">
      <w:pPr>
        <w:pStyle w:val="Heading2"/>
      </w:pPr>
      <w:r>
        <w:t>AT: Federalism DA</w:t>
      </w:r>
    </w:p>
    <w:p w:rsidR="00C0653E" w:rsidRDefault="00C0653E" w:rsidP="00C0653E">
      <w:pPr>
        <w:pStyle w:val="Heading3"/>
      </w:pPr>
      <w:r>
        <w:t>Non unique</w:t>
      </w:r>
    </w:p>
    <w:p w:rsidR="00C0653E" w:rsidRPr="00B2439D" w:rsidRDefault="00C0653E" w:rsidP="00C0653E">
      <w:pPr>
        <w:pStyle w:val="Heading4"/>
      </w:pPr>
      <w:r>
        <w:t>Non unique—Federal support for sex-</w:t>
      </w:r>
      <w:proofErr w:type="spellStart"/>
      <w:r>
        <w:t>ed</w:t>
      </w:r>
      <w:proofErr w:type="spellEnd"/>
      <w:r>
        <w:t xml:space="preserve"> high now </w:t>
      </w:r>
    </w:p>
    <w:p w:rsidR="00C0653E" w:rsidRPr="00B2439D" w:rsidRDefault="00C0653E" w:rsidP="00C0653E">
      <w:pPr>
        <w:rPr>
          <w:b/>
          <w:sz w:val="26"/>
        </w:rPr>
      </w:pPr>
      <w:r>
        <w:rPr>
          <w:rStyle w:val="Style13ptBold"/>
        </w:rPr>
        <w:t xml:space="preserve">Martin 2004 </w:t>
      </w:r>
      <w:r w:rsidRPr="0047176D">
        <w:rPr>
          <w:rStyle w:val="Style13ptBold"/>
          <w:sz w:val="16"/>
          <w:szCs w:val="18"/>
        </w:rPr>
        <w:t>(</w:t>
      </w:r>
      <w:proofErr w:type="spellStart"/>
      <w:r w:rsidRPr="0047176D">
        <w:rPr>
          <w:rStyle w:val="Style13ptBold"/>
          <w:sz w:val="16"/>
          <w:szCs w:val="18"/>
        </w:rPr>
        <w:t>Shannan</w:t>
      </w:r>
      <w:proofErr w:type="spellEnd"/>
      <w:r w:rsidRPr="0047176D">
        <w:rPr>
          <w:rStyle w:val="Style13ptBold"/>
          <w:sz w:val="16"/>
          <w:szCs w:val="18"/>
        </w:rPr>
        <w:t xml:space="preserve"> Martin and Robert Rector, “Government Spends $12 on Safe Sex and Contraceptives for Every $1 Spent on Abstinence”, January 14, 2004, &lt;</w:t>
      </w:r>
      <w:r w:rsidRPr="0047176D">
        <w:rPr>
          <w:sz w:val="16"/>
          <w:szCs w:val="18"/>
        </w:rPr>
        <w:t xml:space="preserve"> </w:t>
      </w:r>
      <w:hyperlink r:id="rId169" w:history="1">
        <w:r w:rsidRPr="0047176D">
          <w:rPr>
            <w:rStyle w:val="Hyperlink"/>
            <w:sz w:val="16"/>
            <w:szCs w:val="18"/>
          </w:rPr>
          <w:t>http://www.heritage.org/education/report/government-spends-12-safe-sex-and-contraceptives-every-1-spent-abstinence&gt;)</w:t>
        </w:r>
      </w:hyperlink>
      <w:r>
        <w:rPr>
          <w:rStyle w:val="Style13ptBold"/>
          <w:sz w:val="16"/>
          <w:szCs w:val="18"/>
        </w:rPr>
        <w:t>//PS</w:t>
      </w:r>
    </w:p>
    <w:p w:rsidR="00C0653E" w:rsidRPr="00A137F6" w:rsidRDefault="00C0653E" w:rsidP="00C0653E">
      <w:pPr>
        <w:rPr>
          <w:sz w:val="16"/>
        </w:rPr>
      </w:pPr>
      <w:r w:rsidRPr="00A137F6">
        <w:rPr>
          <w:sz w:val="16"/>
        </w:rPr>
        <w:t>To meet these goals, government contraceptive programs may provide contraceptive services, promote and encourage contraceptive use, or both. A substantial amount of government funding is devoted to encouraging and facilitating contraceptive use among teens. Programs pursuing this goal are often called safe sex programs, comprehensive sex-</w:t>
      </w:r>
      <w:proofErr w:type="spellStart"/>
      <w:r w:rsidRPr="00A137F6">
        <w:rPr>
          <w:sz w:val="16"/>
        </w:rPr>
        <w:t>ed</w:t>
      </w:r>
      <w:proofErr w:type="spellEnd"/>
      <w:r w:rsidRPr="00A137F6">
        <w:rPr>
          <w:sz w:val="16"/>
        </w:rPr>
        <w:t xml:space="preserve"> programs, or STD prevention programs. These programs are also misleadingly characterized as "abstinence plus" or "abstinence first" programs although, in fact, they contain little or no abstinence content.3 Federal </w:t>
      </w:r>
      <w:r w:rsidRPr="00B2439D">
        <w:rPr>
          <w:rStyle w:val="Emphasis"/>
        </w:rPr>
        <w:t xml:space="preserve">Funding The federal government currently supports contraceptive programs to prevent pregnancy and STDs through eight separate funding streams. </w:t>
      </w:r>
      <w:r w:rsidRPr="00A137F6">
        <w:rPr>
          <w:sz w:val="16"/>
        </w:rPr>
        <w:t xml:space="preserve">These include Medicaid; Temporary Assistance for Needy Families (TANF); Title X Family Planning; Indian Health Service funding; the Division of Adolescent School Health (DASH) of the Centers for Disease Control and Prevention (CDC); the Social Services Block Grant (SSBG); the Community Coalition Partnership Program for the Prevention of Teen Pregnancy; and the Preventive Health and Health Services Block Grant. Medicaid Family Planning Funding The Medicaid program is administered through the Center for Medicaid Services (CMS) in the Department of Health and Human Services (HHS). Established through the Social Security Amendments of 1965, Medicaid is the third largest source of health insurance in the United States and the largest source of funding for health-related services for America's poorest families. </w:t>
      </w:r>
      <w:r w:rsidRPr="00B2439D">
        <w:rPr>
          <w:rStyle w:val="Emphasis"/>
        </w:rPr>
        <w:t xml:space="preserve">It is a joint federal and state program, with eligibility standards, benefits packages, payment rates, and administration established by each individual state under the same broad federal guidelines. Because it is a means-tested program, eligibility for Medicaid is based on a combination of income and resource standards. According to federal law, the provision of family planning services and supplies is a mandatory component of the Medicaid program; such services must be provided by all states. </w:t>
      </w:r>
      <w:r w:rsidRPr="00A137F6">
        <w:rPr>
          <w:sz w:val="16"/>
        </w:rPr>
        <w:t xml:space="preserve">The federal government reimburses Medicaid family planning services at a 90 percent matching rate--a rate far higher than that for most medical services. (The 90 percent matching rate means that the federal government pays for 90 percent of the costs of family planning services provided by the states through Medicaid.) </w:t>
      </w:r>
      <w:r w:rsidRPr="00A137F6">
        <w:rPr>
          <w:rStyle w:val="Emphasis"/>
        </w:rPr>
        <w:t xml:space="preserve">The government defines Medicaid family planning services as follows: Family planning services are those provided to prevent or delay pregnancy or to otherwise control family size. </w:t>
      </w:r>
      <w:r w:rsidRPr="00A137F6">
        <w:rPr>
          <w:sz w:val="16"/>
        </w:rPr>
        <w:t>Counseling services, laboratory tests, medical procedures, and pharmaceutical supplies and devices are covered if they are provided for family planning purposes.... Only items and pro-</w:t>
      </w:r>
      <w:proofErr w:type="spellStart"/>
      <w:r w:rsidRPr="00A137F6">
        <w:rPr>
          <w:sz w:val="16"/>
        </w:rPr>
        <w:t>cedures</w:t>
      </w:r>
      <w:proofErr w:type="spellEnd"/>
      <w:r w:rsidRPr="00A137F6">
        <w:rPr>
          <w:sz w:val="16"/>
        </w:rPr>
        <w:t xml:space="preserve"> clearly provided or performed for family planning purposes may be matched at the 90 percent rate. The 90 percent matching rate is not available for procedures that are performed for medical reasons.4 undefined </w:t>
      </w:r>
      <w:proofErr w:type="spellStart"/>
      <w:r w:rsidRPr="00A137F6">
        <w:rPr>
          <w:sz w:val="16"/>
        </w:rPr>
        <w:t>undefined</w:t>
      </w:r>
      <w:proofErr w:type="spellEnd"/>
      <w:r w:rsidRPr="00A137F6">
        <w:rPr>
          <w:sz w:val="16"/>
        </w:rPr>
        <w:t xml:space="preserve"> </w:t>
      </w:r>
      <w:r w:rsidRPr="00A137F6">
        <w:rPr>
          <w:rStyle w:val="Emphasis"/>
        </w:rPr>
        <w:t xml:space="preserve">The types of contraceptive services offered through Medicaid are determined by the individual states. Currently, most state Medicaid programs offer a wide variety of contraceptive services, including oral contraceptives, condoms, diaphragms, spermicides, natural family planning, sponges, cervical cap, vaginal film, and sterilization through vasectomy or tubal ligation. </w:t>
      </w:r>
      <w:r w:rsidRPr="00A137F6">
        <w:rPr>
          <w:sz w:val="16"/>
        </w:rPr>
        <w:t xml:space="preserve">In many states, Medicaid family planning funds are also used to support school-based clinics. Medicaid is the largest source of publicly funded family planning services in the United States.5 Due to federal waivers, Medicaid funds available for family planning have increased very rapidly in the past several years, reaching $926.9 million in fiscal year (FY) 2001.6 Of this amount, 90 percent ($834 million) was federal.7 An estimated $63 million in federal funds went to pregnancy prevention and contraception services among teens.8 Calculating the cost of contraceptive services funded through Medicaid is complicated by the fact that Medicaid "family planning" charges often include such ancillary medical services as gynecological exams, pap smears, STD tests, and pregnancy tests. </w:t>
      </w:r>
      <w:r w:rsidRPr="00A137F6">
        <w:rPr>
          <w:rStyle w:val="StyleUnderline"/>
        </w:rPr>
        <w:t xml:space="preserve">Medicaid rules are clear that these services are not fundable as family planning if they are provided independently or for purposes other than pregnancy prevention. However, if these services are routinely integrated as part of the contraceptive service provided to individuals, they could be counted as family planning expenses. </w:t>
      </w:r>
      <w:r w:rsidRPr="00A137F6">
        <w:rPr>
          <w:sz w:val="16"/>
        </w:rPr>
        <w:t xml:space="preserve">For example, if a clinic performs gynecological exams and pap smears as a routine procedure when providing contraceptives to individuals, these services could be included as part of overall family planning costs. The share of overall Medicaid family planning expenditures resulting from these ancillary medical services is unknown. For purposes of this paper, we have estimated that two-thirds of Medicaid family planning costs covers contraceptives per se, while one-third covers ancillary medical services.9 Thus, excluding expenditures for ancillary services, we estimate that federal Medicaid expenditures for contraceptive services were $555 million in 2002 (two-thirds of $834 million). Expenditures for teens were $42 million. These reduced figures, excluding ancillary medical costs, are included in columns B and C of Table 1. Temporary Assistance for Needy Families The Temporary Assistance for Needy Families program was created as part of the 1996 Personal Responsibility and Work Opportunity Reconciliation Act. TANF is operated by the Administration for Children and Families (ACF) within the Office of Family Assistance in the Department of Health and Human Services. </w:t>
      </w:r>
      <w:r w:rsidRPr="002322AC">
        <w:rPr>
          <w:rStyle w:val="StyleUnderline"/>
        </w:rPr>
        <w:t>One of the major goals of the TANF program is to reduce out-of-wedlock childbearing; therefore, states are free to use federal TANF funds for pregnancy prevention</w:t>
      </w:r>
      <w:r w:rsidRPr="00A137F6">
        <w:rPr>
          <w:sz w:val="16"/>
        </w:rPr>
        <w:t xml:space="preserve">. According to TANF financial data, 37 states spent federal TANF funds on pregnancy prevention in FY 2002. Overall, some 2 percent of federal TANF expenditures ($323.9 million) was spent on pregnancy prevention programs in that year.10 State approaches to preventing teen pregnancy can be divided into several categories, including sex education curricula, reproductive health services, youth development programs, media campaigns, efforts to prevent repeat teen births, and multiple component interventions. A small amount of TANF pregnancy prevention funds was spent on abstinence education. Eight states--Florida, Illinois, Kentucky, Louisiana, New Mexico, Pennsylvania, South Carolina, and Virginia--clearly describe funding of abstinence education as part of their formal TANF state plan. However, contacts with abstinence educators at the state level suggest that relatively little TANF funding is actually going to abstinence. Based on a survey of state TANF plans and contacts with abstinence educators, we estimate that, overall, no more than 5 percent of TANF pregnancy prevention funds was channeled into abstinence education.11 On the basis of that estimate, 95 percent of federal TANF pregnancy prevention funds ($307.7 million) would have been spent on contraceptive-based pregnancy prevention, and 5 percent ($16.2 million) would have been spent on abstinence, in 2002. These figures appear in column A of Table 1. According to the TANF Fifth Annual Report to Congress, "Most pregnancy prevention programs have focused on teenagers."12 </w:t>
      </w:r>
      <w:r w:rsidRPr="00A137F6">
        <w:rPr>
          <w:rStyle w:val="Emphasis"/>
        </w:rPr>
        <w:t>Our analysis assumes, therefore, that two-thirds of federal TANF spending on contraceptive-based pregnancy prevention was directed to teen programs and services. This would mean that $204.9 million was spent on contraception promotion for teens through the TANF program</w:t>
      </w:r>
      <w:r w:rsidRPr="00A137F6">
        <w:rPr>
          <w:sz w:val="16"/>
        </w:rPr>
        <w:t xml:space="preserve"> in 2002.13 This figure appears in column C of Table 1. Title X Family Planning The Title X program is operated by the Office of Population Affairs (OPA) within the Office of Public Health and Science in the Department of Health and Human Services. It is the only federal program exclusively focused on the provision of family planning services on a nationwide basis. Grants are provided for voluntary family planning services through the family planning program, established by the Public Health Service Act of 1970. Title X funds are allocated among 10 regional offices, which then award grants and monitor services among a national network of community-based clinics, state and local health departments, hospitals, university health centers, Planned Parenthood affiliates, independent clinics, and public and nonprofit agencies. The program supports a nationwide network of more than 4,600 clinics that provide reproductive health services to approximately 4.4 million people each year. In nearly 75 percent of counties in the United States, at least one provider of contraceptive services is funded by the Title X family planning program. </w:t>
      </w:r>
      <w:r w:rsidRPr="00A137F6">
        <w:rPr>
          <w:rStyle w:val="StyleUnderline"/>
        </w:rPr>
        <w:t>The program is designed to provide access to a broad range of family planning methods and services. It provides Food and Drug Administration-approved methods of contraception, contraceptive supplies, and information to all who want or need them, with priority given to low-income persons aged 15 to 44.</w:t>
      </w:r>
      <w:r w:rsidRPr="00A137F6">
        <w:rPr>
          <w:sz w:val="16"/>
        </w:rPr>
        <w:t xml:space="preserve"> In addition to contraceptive services and related counseling, Title X-supported clinics also provide preventive health services, including breast and pelvic examinations; cervical cancer, STD, and HIV screenings; and pregnancy testing and counseling. Despite the fact that legal authorization for the program expired in 1985, Congress continues to appropriate money for Title X. Federal appropriations for this program for 2002 totaled $265 million.14 This figure appears in column A of Table 1. As in the case of the Medicaid program, our analysis assumes that one-third of Title X funding goes for ancillary medical services such as gynecological exams and pap smears; this would leave $177 million of federal Title X funding to promote contraception services.15 </w:t>
      </w:r>
      <w:r w:rsidRPr="00A137F6">
        <w:rPr>
          <w:rStyle w:val="Emphasis"/>
        </w:rPr>
        <w:t>According to the U.S. General Accounting Office, roughly one-third of the program's clients are teens. Therefore, in 2002, roughly $59 million was spent on teen pregnancy prevention and contraception.</w:t>
      </w:r>
    </w:p>
    <w:p w:rsidR="00C0653E" w:rsidRDefault="00C0653E" w:rsidP="00C0653E">
      <w:pPr>
        <w:pStyle w:val="Heading3"/>
      </w:pPr>
      <w:r>
        <w:t>Non unique</w:t>
      </w:r>
    </w:p>
    <w:p w:rsidR="00C0653E" w:rsidRDefault="00C0653E" w:rsidP="00C0653E">
      <w:pPr>
        <w:pStyle w:val="Heading4"/>
      </w:pPr>
      <w:r>
        <w:t xml:space="preserve">Federal Block Grants fund sex </w:t>
      </w:r>
      <w:proofErr w:type="spellStart"/>
      <w:r>
        <w:t>ed</w:t>
      </w:r>
      <w:proofErr w:type="spellEnd"/>
      <w:r>
        <w:t xml:space="preserve"> now: this is precedent </w:t>
      </w:r>
    </w:p>
    <w:p w:rsidR="00C0653E" w:rsidRPr="00397BC6" w:rsidRDefault="00C0653E" w:rsidP="00C0653E">
      <w:pPr>
        <w:rPr>
          <w:b/>
          <w:sz w:val="26"/>
        </w:rPr>
      </w:pPr>
      <w:r>
        <w:rPr>
          <w:rStyle w:val="Style13ptBold"/>
        </w:rPr>
        <w:t xml:space="preserve">Martin 2004 </w:t>
      </w:r>
      <w:r w:rsidRPr="0047176D">
        <w:rPr>
          <w:rStyle w:val="Style13ptBold"/>
          <w:sz w:val="16"/>
          <w:szCs w:val="18"/>
        </w:rPr>
        <w:t>(</w:t>
      </w:r>
      <w:proofErr w:type="spellStart"/>
      <w:r w:rsidRPr="0047176D">
        <w:rPr>
          <w:rStyle w:val="Style13ptBold"/>
          <w:sz w:val="16"/>
          <w:szCs w:val="18"/>
        </w:rPr>
        <w:t>Shannan</w:t>
      </w:r>
      <w:proofErr w:type="spellEnd"/>
      <w:r w:rsidRPr="0047176D">
        <w:rPr>
          <w:rStyle w:val="Style13ptBold"/>
          <w:sz w:val="16"/>
          <w:szCs w:val="18"/>
        </w:rPr>
        <w:t xml:space="preserve"> Martin and Robert Rector, “Government Spends $12 on Safe Sex and Contraceptives for Every $1 Spent on Abstinence”, January 14, 2004, &lt;</w:t>
      </w:r>
      <w:r w:rsidRPr="0047176D">
        <w:rPr>
          <w:sz w:val="16"/>
          <w:szCs w:val="18"/>
        </w:rPr>
        <w:t xml:space="preserve"> </w:t>
      </w:r>
      <w:hyperlink r:id="rId170" w:history="1">
        <w:r w:rsidRPr="0047176D">
          <w:rPr>
            <w:rStyle w:val="Hyperlink"/>
            <w:sz w:val="16"/>
            <w:szCs w:val="18"/>
          </w:rPr>
          <w:t>http://www.heritage.org/education/report/government-spends-12-safe-sex-and-contraceptives-every-1-spent-abstinence&gt;)</w:t>
        </w:r>
      </w:hyperlink>
      <w:r>
        <w:rPr>
          <w:rStyle w:val="Style13ptBold"/>
          <w:sz w:val="16"/>
          <w:szCs w:val="18"/>
        </w:rPr>
        <w:t>//PS</w:t>
      </w:r>
    </w:p>
    <w:p w:rsidR="00C0653E" w:rsidRPr="004E5D3C" w:rsidRDefault="00C0653E" w:rsidP="00C0653E">
      <w:pPr>
        <w:rPr>
          <w:sz w:val="16"/>
        </w:rPr>
      </w:pPr>
      <w:r w:rsidRPr="00F84888">
        <w:rPr>
          <w:rStyle w:val="Emphasis"/>
        </w:rPr>
        <w:t>The Preventive Health and Health Services (PHHS) Block Grant is administered through the Centers for Disease Control and Prevention in the Department of Health and Human Services. Grants awarded through this program provide states with funds to improve their residents' quality of life and reduce high-risk behaviors and activities. This program serves as the primary source of funding to states for health education and risk-reduction activities.</w:t>
      </w:r>
      <w:r w:rsidRPr="004E5D3C">
        <w:rPr>
          <w:sz w:val="16"/>
        </w:rPr>
        <w:t xml:space="preserve"> The PHHS Block Grant provides states with flexibility to tailor disease prevention and health promotion programs to their health priority needs while enabling states to implement new programs and respond to unexpected emergencies. The PHHS Block Grant is the primary source of flexible funding that gives states the latitude to fund any of 265 national health objectives identified in the nation's Healthy People 2010 health improvement plan, including family planning and pregnancy prevention services. </w:t>
      </w:r>
      <w:r w:rsidRPr="004E5D3C">
        <w:rPr>
          <w:rStyle w:val="StyleUnderline"/>
        </w:rPr>
        <w:t>Its funding is used to support, among other things, clinical services, preventive screening, laboratory support, public education, data surveillance, and program evaluation. Because of the variance in the allowable uses of the funds, no two states allocate their block grant resources in the same way, and no two states provide similar amounts of funding to the same programs or activities.</w:t>
      </w:r>
      <w:r w:rsidRPr="004E5D3C">
        <w:rPr>
          <w:sz w:val="16"/>
        </w:rPr>
        <w:t xml:space="preserve"> A strong emphasis is being placed on adolescents, communities with little or poor health care services, and disadvantaged populations. The states depend on this block grant to support public health funding where no other adequate resources are available. </w:t>
      </w:r>
      <w:r w:rsidRPr="004E5D3C">
        <w:rPr>
          <w:rStyle w:val="Emphasis"/>
        </w:rPr>
        <w:t>In FY 2002, PHHS Block Grants totaled $134.9 million, a portion of which went toward pregnancy prevention efforts.27 In that year, states used $1.4 million to fund maternal and child health programs and family planning programs.</w:t>
      </w:r>
      <w:r w:rsidRPr="004E5D3C">
        <w:rPr>
          <w:sz w:val="16"/>
        </w:rPr>
        <w:t xml:space="preserve"> Additionally, states used $2.03 million on sexually transmitted disease programs, emphasizing contraception. In total, the PHHS Block Grant provided at least $3.4 million to states for contraceptive and pregnancy prevention programs, many of which were likely to have been directed at teens, although the specific amount is unknown.28 This figure appears in columns A and B of Table 1. State and Local Funding State Funding for Programs to Prevent Teen Pregnancy Many states have large-scale programs to reduce teen pregnancy that are funded by state revenues. Most of these programs focus on encouraging or facilitating contraceptive use among teens. One survey published by the Urban Institute found that states spent $328.3 million of their own revenues on teen pregnancy prevention programs in 1999.29 The survey found that 44 states had specific policies to provide contraceptive services to teens; 28 states had specific pregnancy prevention programs in public schools. More recent data on state spending to prevent teen pregnancy are not available, but it seems unlikely that funding has fallen below the 1999 levels. It is likely, however, that some state teen pregnancy prevention funds were used to support abstinence education. Our estimates assume that 10 percent of teen pregnancy funds went to abstinence programs, while 90 percent ($296 million) was used to support contraceptive-oriented programs and services. This figure appears in columns A, B, and C of Table 1. State Funding for Title X Family Planning Clinics Title X clinics are supported by a variety of funding sources.30 In 1999, for every $1.00 received by clinics in direct federal Title X funds, state and local governments provided an additional $1.20. Assuming that a similar spending ratio continued in subsequent years, we estimate that Title X clinics would have received $318 million in state and local funding in 2002. This figure appears in column A of Table 1. As in the case of federal Title X funds, we estimate that a third of this spending went to ancillary medical services; this would leave $212 million in state and local of funds for contraceptive services in Title X clinics.31 This figure appears in column B of Table 1. As noted above, one-third of Title X spending is for teens. Roughly $71 million in state and local Title X contributions went to provide contraceptives to teens in 2002. This figure appears in column C of Table 1. State Funding for Medicaid Family Planning Services </w:t>
      </w:r>
      <w:r w:rsidRPr="004E5D3C">
        <w:rPr>
          <w:rStyle w:val="StyleUnderline"/>
        </w:rPr>
        <w:t>Under the Medicaid program, states pay 10 percent of family planning costs. In 2002, state Medicaid spending on family planning came to $93 million</w:t>
      </w:r>
      <w:r w:rsidRPr="004E5D3C">
        <w:rPr>
          <w:sz w:val="16"/>
        </w:rPr>
        <w:t xml:space="preserve">. This figure appears in column A of Table 1. Assuming that one-third of this spending was for ancillary reproductive health services such as gynecological exams and pap smears, direct spending on contraceptive services would have been $62 million. This figure appears in column B of Table 1. Of that sum, approximately $5 million would have gone to contraceptives for teens.32 This figure appears in column C of Table 1. State TANF Matching Funds for Pregnancy Prevention States are required to contribute matching or "maintenance of effort" (MOE) funds to the Temporary Assistance for Needy Families program; these expenditures are financed by state rather than federal revenue. TANF financial reports for FY 2002 show that $293 million in state TANF Maintenance of Effort funds was allocated to pregnancy prevention. These expenditures are likely to overlap considerably with state spending figures for Title X and for teen pregnancy prevention, described above. Because of the overlap, state TANF MOE spending on pregnancy prevention has not been included in the spending figures in Table 1.33 State and Local Funding for STD and HIV Prevention, Safe Sex, and General Sex Education State governments also place a heavy emphasis on STD and HIV prevention among teens. In 1999, 41 states had a specific state policy requiring or encouraging HIV education in the public schools; 35 states required or encouraged STD education in the schools.34 </w:t>
      </w:r>
      <w:r w:rsidRPr="004E5D3C">
        <w:rPr>
          <w:rStyle w:val="Emphasis"/>
        </w:rPr>
        <w:t xml:space="preserve">Nearly all STD/HIV education programs place a heavy emphasis on encouraging contraceptive use and "safe sex." In addition, most public school systems use state and local funds to provide general sex education; most sexuality education has a contraceptive orientation. </w:t>
      </w:r>
      <w:r w:rsidRPr="004E5D3C">
        <w:rPr>
          <w:sz w:val="16"/>
        </w:rPr>
        <w:t xml:space="preserve">Figures on state and local funding for STD/HIV education and general sex education are not available, but given the widespread official policies supporting these programs, funding is likely to be substantial. Abstinence Education Programs Funding for abstinence education is far more limited and recent than funding for contraceptive services and promotion. There are only four federal programs that fund abstinence education. Title V Abstinence Funding A major source of abstinence funding is the Section 510 Abstinence Education Grant Program, found in Title V of the Social Security Act, established under the 1996 welfare reform legislation. Administered as block grants by the Health Resources and Services Administration (HRSA) of the Department of Health and Human Services, Title V funds provide abstinence education and, at the option of states, mentoring, counseling, and adult supervision to promote abstinence from sexual activity, with a focus on those groups who are most likely to bear children out of wedlock. </w:t>
      </w:r>
      <w:r w:rsidRPr="004E5D3C">
        <w:rPr>
          <w:rStyle w:val="Emphasis"/>
        </w:rPr>
        <w:t>These programs encourage teen abstinence as preparation for healthy adult marriage. Grants are awarded to states based on the proportion of all low-income births in the entire country that occurred among their residents, and states can use these funds either to create abstinence education programs or to augment existing programs.</w:t>
      </w:r>
      <w:r w:rsidRPr="004E5D3C">
        <w:rPr>
          <w:sz w:val="16"/>
        </w:rPr>
        <w:t xml:space="preserve"> Congress authorized $50 million per year in Title V grants for FY 1998 through FY 2002.35 However, as California has consistently elected not to receive Title V funds, actual spending has been less than that amount. In 2002, the federal government spent a total of $43.4 million to fund Title V abstinence programs.36 This figure appears in columns A, B, and C of Table 2. In 1999, states provided direct service to 1.28 million young people with Title V funds; two-thirds of these clients were age 14 or younger. The low numbers of high school students receiving abstinence education is in line with the states' apparent practice of focusing primarily on contraceptive promotion in high schools.37 SPRANS Abstinence Funding </w:t>
      </w:r>
      <w:proofErr w:type="spellStart"/>
      <w:r w:rsidRPr="004E5D3C">
        <w:rPr>
          <w:sz w:val="16"/>
        </w:rPr>
        <w:t>Funding</w:t>
      </w:r>
      <w:proofErr w:type="spellEnd"/>
      <w:r w:rsidRPr="004E5D3C">
        <w:rPr>
          <w:sz w:val="16"/>
        </w:rPr>
        <w:t xml:space="preserve"> for abstinence programs is also available through the Title V Special Projects of Regional and National Significance (SPRANS) program, administered by the Health Resources and Services Administration of the Department of Health and Human Services. Included in SPRANS is the Community-based Abstinence Education Project Grant Program, which provides direct grants for public and private entities to develop and implement abstinence-only education programs for adolescents of ages 12 through 18 in communities throughout the United States. In FY 2002, SPRANS received $40 million for the Abstinence Education Project Grant Program. This sum was increased to $55 million in FY 2003.38 This figure appears in columns A, B, and C of Table 2. Title XX Adolescent Family Life Demonstration and Research Program In addition, abstinence education funding is available through the Title XX Adolescent Family Life Demonstration and Research Program in the Office of Population Affairs within the Office of Public Health and Science in the Department of Health and Human Services. Enacted in 1981 as part of the Public Health Services Act (P.L. 97-35), Title XX provides funding for a variety of adolescent health programs. Total funding for Title XX in FY 2002 was $28.9 million. Of this amount, only an estimated $12 million was directed toward teen abstinence programs.39 This figure appears in columns A, B, and C of Table 2. TANF Funding for Abstinence As noted previously, states spent $323.9 million of federal TANF funds on pregnancy prevention in FY 2002. Based on a review of state TANF plans and contacts with abstinence leaders, we estimate that approximately 5 percent of that sum ($16.2 million) went to abstinence education. This figure appears in columns A, B, and C of Table 2. State Funding for Abstinence State governments are required to match federal funding for the Title V abstinence program at a 75 percent rate. Funding from any source--state, local, or private--can be used in the match. Abstinence educators report that a large portion of Title V matching funds takes the form of in-kind contributions made by local abstinence organizations backed by private donations. Our analysis assumes, however, that state funding for abstinence in 2002 was roughly $32.5 million, or 75 percent of federal funding for Title V. This figure appears in columns A, B, and C of Table 2. Overall Spending On Pregnancy Prevention, Safe Sex, and Contraception Promotion Compared to Abstinence Overall spending totals are shown in both Tables 1 and 2. </w:t>
      </w:r>
      <w:r w:rsidRPr="004E5D3C">
        <w:rPr>
          <w:rStyle w:val="Emphasis"/>
        </w:rPr>
        <w:t>Total government spending allocated to family planning, pregnancy prevention, safe sex, and contraceptive promotion was approximately $2.23 billion in 2002.40 However, these figures are likely to be substantially below real expenditure totals, since figures on state and local spending on STD/HIV prevention and general sex education are not available.</w:t>
      </w:r>
      <w:r w:rsidRPr="004E5D3C">
        <w:rPr>
          <w:sz w:val="16"/>
        </w:rPr>
        <w:t xml:space="preserve"> Individual program spending figures are shown in column A of Table 1. As noted in the prior discussion, accurate spending estimates are complicated by the fact that some portion of family planning spending in the Medicaid and Title X programs goes to ancillary medical services such as gynecological exams and pap smears. We have attempted to adjust for this in column B of Table 1. In that column, federal and state spending totals for Medicaid and Title X have been reduced by one-third to exclude estimated costs of ancillary medical services. After this adjustment, total government spending on pregnancy prevention, safe sex, and contraceptive promotion is estimated to have been $1.73 billion in 2002. Expenditures on teens, with a similar adjustment, are shown in column C of Table 1. After adjustment, total spending on teens for pregnancy prevention, safe sex, and condom promotion is estimated to have been $653 million in 2002. Summary spending figures are shown in Chart 1. undefined An overall comparison of spending on pregnancy prevention and safe sex compared to abstinence is shown in Chart 2. Total government spending on family planning, safe sex, and contraceptive promotion (after the exclusion of funding for ancillary medical services and non-related expenditures) was $1.73 billion for adults and teens combined. By contrast, total spending for abstinence was only $144.1 million. </w:t>
      </w:r>
      <w:r w:rsidRPr="004E5D3C">
        <w:rPr>
          <w:rStyle w:val="Emphasis"/>
        </w:rPr>
        <w:t>Thus, the government spent $12 on contraception services and promotion for each dollar spent on abstinence. undefined A similar disparity exists in funding for teens. Total government spending on family planning, safe sex, and contraceptive promotion for teens (after the exclusion of funding for ancillary medical services and non-related expenditures) was $653 million. By contrast, total spending for teen abstinence was only $144.1 million. Thus, the government spent nearly $4.50 on contraception services and promotion for teens for each dollar spent on abstinence.</w:t>
      </w:r>
      <w:r w:rsidRPr="004E5D3C">
        <w:rPr>
          <w:sz w:val="16"/>
        </w:rPr>
        <w:t xml:space="preserve"> However, these spending priorities are exactly the opposite of what parents in the United States say they want taught to their teens. In a recent Zogby poll, only 8 percent of parents surveyed said they believe that teaching teens how to use a condom is more important than teaching teens to abstain from sexual activity. Instead, an overwhelming majority--85 percent--of parents said that the emphasis placed on abstinence for teens should be equal to or greater than the emphasis placed on contraception. (see Table 3).41 undefined Uncertainties in Estimates The figures in Table 1 involve a number of uncertainties. The largest of these is the share of Medicaid and Title X family planning funding that goes to ancillary medical services such as gynecological exams and pap smears. These procedures are often treated as essential components of the provision of contraceptives. Therefore, they could reasonably be included as a component of the overall cost of contraceptive services. However, our analysis has assumed that ancillary medical costs represented one-third of total family planning costs in the Medicaid and Title X programs, and we excluded these ancillary medical costs from the contraceptive spending totals in columns B and C of Table 1 and from the comparisons in Chart 2. Others may estimate that the costs of these ancillary services are higher or lower than our figures. A second major uncertainty or inaccuracy is the absence of figures for state and local spending on HIV/STD prevention and general sex education.42 This sum is likely to be considerable, but information is not available at the present time. Other smaller uncertainties exist. </w:t>
      </w:r>
      <w:r w:rsidRPr="004E5D3C">
        <w:rPr>
          <w:rStyle w:val="Emphasis"/>
        </w:rPr>
        <w:t>The amount of TANF funding directed to abstinence education is uncertain, as is state and local funding for abstinence. However, contacts with abstinence educators suggest that the funds received from these sources are limited.</w:t>
      </w:r>
      <w:r w:rsidRPr="004E5D3C">
        <w:rPr>
          <w:sz w:val="16"/>
        </w:rPr>
        <w:t xml:space="preserve"> Clearly, it would be possible to produce estimates for contraceptive and abstinence spending that are somewhat higher or lower than the figures in Tables 1 and 2. </w:t>
      </w:r>
    </w:p>
    <w:p w:rsidR="00C0653E" w:rsidRPr="00C0653E" w:rsidRDefault="00C0653E" w:rsidP="00C0653E"/>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A9503F3"/>
    <w:multiLevelType w:val="hybridMultilevel"/>
    <w:tmpl w:val="43380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FD6C89"/>
    <w:multiLevelType w:val="hybridMultilevel"/>
    <w:tmpl w:val="B4AEECA0"/>
    <w:lvl w:ilvl="0" w:tplc="8076BE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4859832"/>
    <w:docVar w:name="VerbatimVersion" w:val="5.1"/>
  </w:docVars>
  <w:rsids>
    <w:rsidRoot w:val="00A02692"/>
    <w:rsid w:val="000139A3"/>
    <w:rsid w:val="00030031"/>
    <w:rsid w:val="00100833"/>
    <w:rsid w:val="00104529"/>
    <w:rsid w:val="00105942"/>
    <w:rsid w:val="00107396"/>
    <w:rsid w:val="00144A4C"/>
    <w:rsid w:val="00176AB0"/>
    <w:rsid w:val="00177B7D"/>
    <w:rsid w:val="0018322D"/>
    <w:rsid w:val="001B5776"/>
    <w:rsid w:val="001C74BC"/>
    <w:rsid w:val="001E527A"/>
    <w:rsid w:val="001F53CA"/>
    <w:rsid w:val="001F78CE"/>
    <w:rsid w:val="00222AE8"/>
    <w:rsid w:val="00251FC7"/>
    <w:rsid w:val="002855A7"/>
    <w:rsid w:val="002B146A"/>
    <w:rsid w:val="002B5E17"/>
    <w:rsid w:val="002D3E17"/>
    <w:rsid w:val="002D5991"/>
    <w:rsid w:val="002F40E5"/>
    <w:rsid w:val="00315690"/>
    <w:rsid w:val="00316B75"/>
    <w:rsid w:val="00325646"/>
    <w:rsid w:val="003460F2"/>
    <w:rsid w:val="0038158C"/>
    <w:rsid w:val="003902BA"/>
    <w:rsid w:val="003A09E2"/>
    <w:rsid w:val="00407037"/>
    <w:rsid w:val="00454409"/>
    <w:rsid w:val="004605D6"/>
    <w:rsid w:val="004C60E8"/>
    <w:rsid w:val="004E3579"/>
    <w:rsid w:val="004E728B"/>
    <w:rsid w:val="004F39E0"/>
    <w:rsid w:val="00537BD5"/>
    <w:rsid w:val="0057268A"/>
    <w:rsid w:val="005919EA"/>
    <w:rsid w:val="005D2912"/>
    <w:rsid w:val="006065BD"/>
    <w:rsid w:val="00645FA9"/>
    <w:rsid w:val="00647866"/>
    <w:rsid w:val="00665003"/>
    <w:rsid w:val="006A2AD0"/>
    <w:rsid w:val="006C2375"/>
    <w:rsid w:val="006D4ECC"/>
    <w:rsid w:val="00720C72"/>
    <w:rsid w:val="00722258"/>
    <w:rsid w:val="007243E5"/>
    <w:rsid w:val="00766EA0"/>
    <w:rsid w:val="007A2226"/>
    <w:rsid w:val="007F5B66"/>
    <w:rsid w:val="00823A1C"/>
    <w:rsid w:val="00845B9D"/>
    <w:rsid w:val="00845BF6"/>
    <w:rsid w:val="00860984"/>
    <w:rsid w:val="00860E7A"/>
    <w:rsid w:val="008B3ECB"/>
    <w:rsid w:val="008B4E85"/>
    <w:rsid w:val="008C1B2E"/>
    <w:rsid w:val="008D71E9"/>
    <w:rsid w:val="0091627E"/>
    <w:rsid w:val="00946312"/>
    <w:rsid w:val="0097032B"/>
    <w:rsid w:val="009C484A"/>
    <w:rsid w:val="009D2EAD"/>
    <w:rsid w:val="009D54B2"/>
    <w:rsid w:val="009E1922"/>
    <w:rsid w:val="009F7ED2"/>
    <w:rsid w:val="00A02692"/>
    <w:rsid w:val="00A66403"/>
    <w:rsid w:val="00A93661"/>
    <w:rsid w:val="00A95652"/>
    <w:rsid w:val="00AC0AB8"/>
    <w:rsid w:val="00B33C6D"/>
    <w:rsid w:val="00B4508F"/>
    <w:rsid w:val="00B55AD5"/>
    <w:rsid w:val="00B8057C"/>
    <w:rsid w:val="00BB5AD7"/>
    <w:rsid w:val="00BD397C"/>
    <w:rsid w:val="00BD6238"/>
    <w:rsid w:val="00BE7878"/>
    <w:rsid w:val="00BF593B"/>
    <w:rsid w:val="00BF773A"/>
    <w:rsid w:val="00BF7E81"/>
    <w:rsid w:val="00C0653E"/>
    <w:rsid w:val="00C13773"/>
    <w:rsid w:val="00C17CC8"/>
    <w:rsid w:val="00C2035A"/>
    <w:rsid w:val="00C4472E"/>
    <w:rsid w:val="00C83417"/>
    <w:rsid w:val="00C91D7F"/>
    <w:rsid w:val="00C9604F"/>
    <w:rsid w:val="00CA19AA"/>
    <w:rsid w:val="00CC5298"/>
    <w:rsid w:val="00CD736E"/>
    <w:rsid w:val="00CD798D"/>
    <w:rsid w:val="00CE161E"/>
    <w:rsid w:val="00CF59A8"/>
    <w:rsid w:val="00D325A9"/>
    <w:rsid w:val="00D36A8A"/>
    <w:rsid w:val="00D4449D"/>
    <w:rsid w:val="00D45AF7"/>
    <w:rsid w:val="00D61409"/>
    <w:rsid w:val="00D631B5"/>
    <w:rsid w:val="00D6691E"/>
    <w:rsid w:val="00D71170"/>
    <w:rsid w:val="00DA1C92"/>
    <w:rsid w:val="00DA25D4"/>
    <w:rsid w:val="00DA6538"/>
    <w:rsid w:val="00DB7F8F"/>
    <w:rsid w:val="00DC3A69"/>
    <w:rsid w:val="00E15E75"/>
    <w:rsid w:val="00E365A8"/>
    <w:rsid w:val="00E43381"/>
    <w:rsid w:val="00E5262C"/>
    <w:rsid w:val="00E85D1F"/>
    <w:rsid w:val="00EC7DC4"/>
    <w:rsid w:val="00ED30CF"/>
    <w:rsid w:val="00F176EF"/>
    <w:rsid w:val="00F45E10"/>
    <w:rsid w:val="00F6364A"/>
    <w:rsid w:val="00F77FE9"/>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48DD"/>
  <w15:chartTrackingRefBased/>
  <w15:docId w15:val="{1ECD1F0D-57F0-4E75-9EB8-3398223E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2D3E17"/>
    <w:rPr>
      <w:rFonts w:ascii="Times New Roman" w:hAnsi="Times New Roman" w:cs="Times New Roman"/>
      <w:sz w:val="24"/>
    </w:rPr>
  </w:style>
  <w:style w:type="paragraph" w:styleId="Heading1">
    <w:name w:val="heading 1"/>
    <w:aliases w:val="Pocket"/>
    <w:basedOn w:val="Normal"/>
    <w:next w:val="Normal"/>
    <w:link w:val="Heading1Char"/>
    <w:qFormat/>
    <w:rsid w:val="002D3E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D3E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D3E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1 Char Char,Heading 2 Char2 Char,no read,No Spacing1121,No Spacing111111,No Spacing211,No Spacing12,No Spacing2111,TAG,No Spacing4,No Spacing11111,No Spacing5,No Spacing21, Ch"/>
    <w:basedOn w:val="Normal"/>
    <w:next w:val="Normal"/>
    <w:link w:val="Heading4Char"/>
    <w:uiPriority w:val="3"/>
    <w:unhideWhenUsed/>
    <w:qFormat/>
    <w:rsid w:val="002D3E1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2D3E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3E17"/>
  </w:style>
  <w:style w:type="character" w:customStyle="1" w:styleId="Heading1Char">
    <w:name w:val="Heading 1 Char"/>
    <w:aliases w:val="Pocket Char"/>
    <w:basedOn w:val="DefaultParagraphFont"/>
    <w:link w:val="Heading1"/>
    <w:rsid w:val="002D3E1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D3E1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2D3E1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1 Char Char Char,Heading 2 Char2 Char Char,no read Char,No Spacing1121 Char,No Spacing111111 Char,No Spacing211 Char,No Spacing12 Char"/>
    <w:basedOn w:val="DefaultParagraphFont"/>
    <w:link w:val="Heading4"/>
    <w:uiPriority w:val="3"/>
    <w:rsid w:val="002D3E17"/>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2D3E17"/>
    <w:rPr>
      <w:rFonts w:ascii="Times New Roman" w:hAnsi="Times New Roman" w:cs="Times New Roman"/>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D3E17"/>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2D3E17"/>
    <w:rPr>
      <w:b/>
      <w:sz w:val="24"/>
      <w:u w:val="single"/>
    </w:rPr>
  </w:style>
  <w:style w:type="character" w:styleId="Hyperlink">
    <w:name w:val="Hyperlink"/>
    <w:basedOn w:val="DefaultParagraphFont"/>
    <w:uiPriority w:val="99"/>
    <w:unhideWhenUsed/>
    <w:rsid w:val="002D3E17"/>
    <w:rPr>
      <w:color w:val="auto"/>
      <w:u w:val="none"/>
    </w:rPr>
  </w:style>
  <w:style w:type="character" w:styleId="FollowedHyperlink">
    <w:name w:val="FollowedHyperlink"/>
    <w:basedOn w:val="DefaultParagraphFont"/>
    <w:uiPriority w:val="99"/>
    <w:semiHidden/>
    <w:unhideWhenUsed/>
    <w:rsid w:val="002D3E17"/>
    <w:rPr>
      <w:color w:val="auto"/>
      <w:u w:val="none"/>
    </w:rPr>
  </w:style>
  <w:style w:type="paragraph" w:customStyle="1" w:styleId="Analytic">
    <w:name w:val="Analytic"/>
    <w:basedOn w:val="Heading4"/>
    <w:uiPriority w:val="4"/>
    <w:qFormat/>
    <w:rsid w:val="002D3E17"/>
    <w:pPr>
      <w:keepNext w:val="0"/>
      <w:keepLines w:val="0"/>
      <w:spacing w:before="0" w:after="160"/>
      <w:outlineLvl w:val="9"/>
    </w:pPr>
    <w:rPr>
      <w:rFonts w:eastAsia="Times New Roman" w:cs="Times New Roman"/>
      <w:iCs w:val="0"/>
      <w:color w:val="4472C4" w:themeColor="accent5"/>
      <w:szCs w:val="20"/>
    </w:rPr>
  </w:style>
  <w:style w:type="paragraph" w:customStyle="1" w:styleId="Analytics">
    <w:name w:val="Analytics"/>
    <w:basedOn w:val="Heading4"/>
    <w:link w:val="AnalyticsChar"/>
    <w:autoRedefine/>
    <w:uiPriority w:val="4"/>
    <w:qFormat/>
    <w:rsid w:val="002D3E17"/>
    <w:rPr>
      <w:color w:val="171717" w:themeColor="background2" w:themeShade="1A"/>
    </w:rPr>
  </w:style>
  <w:style w:type="character" w:customStyle="1" w:styleId="AnalyticsChar">
    <w:name w:val="Analytics Char"/>
    <w:basedOn w:val="DefaultParagraphFont"/>
    <w:link w:val="Analytics"/>
    <w:uiPriority w:val="4"/>
    <w:rsid w:val="002D3E17"/>
    <w:rPr>
      <w:rFonts w:ascii="Times New Roman" w:eastAsiaTheme="majorEastAsia" w:hAnsi="Times New Roman" w:cstheme="majorBidi"/>
      <w:b/>
      <w:iCs/>
      <w:color w:val="171717" w:themeColor="background2" w:themeShade="1A"/>
      <w:sz w:val="24"/>
    </w:rPr>
  </w:style>
  <w:style w:type="paragraph" w:customStyle="1" w:styleId="card">
    <w:name w:val="card"/>
    <w:basedOn w:val="Normal"/>
    <w:next w:val="Normal"/>
    <w:link w:val="StyleUnderline"/>
    <w:uiPriority w:val="6"/>
    <w:qFormat/>
    <w:rsid w:val="00A02692"/>
    <w:pPr>
      <w:spacing w:after="0" w:line="240" w:lineRule="auto"/>
      <w:ind w:left="288" w:right="288"/>
    </w:pPr>
    <w:rPr>
      <w:rFonts w:asciiTheme="minorHAnsi" w:hAnsiTheme="minorHAnsi" w:cstheme="minorBidi"/>
      <w:b/>
      <w:u w:val="single"/>
    </w:rPr>
  </w:style>
  <w:style w:type="paragraph" w:styleId="NormalWeb">
    <w:name w:val="Normal (Web)"/>
    <w:basedOn w:val="Normal"/>
    <w:uiPriority w:val="99"/>
    <w:semiHidden/>
    <w:unhideWhenUsed/>
    <w:rsid w:val="00D45AF7"/>
    <w:pPr>
      <w:spacing w:before="100" w:beforeAutospacing="1" w:after="100" w:afterAutospacing="1" w:line="240" w:lineRule="auto"/>
    </w:pPr>
    <w:rPr>
      <w:rFonts w:eastAsia="Times New Roman"/>
      <w:szCs w:val="24"/>
    </w:rPr>
  </w:style>
  <w:style w:type="character" w:customStyle="1" w:styleId="UnderlineBold">
    <w:name w:val="Underline + Bold"/>
    <w:uiPriority w:val="1"/>
    <w:qFormat/>
    <w:rsid w:val="00D45AF7"/>
    <w:rPr>
      <w:b/>
      <w:sz w:val="20"/>
      <w:u w:val="single"/>
    </w:rPr>
  </w:style>
  <w:style w:type="paragraph" w:customStyle="1" w:styleId="textbold">
    <w:name w:val="text bold"/>
    <w:basedOn w:val="Normal"/>
    <w:link w:val="Emphasis"/>
    <w:uiPriority w:val="7"/>
    <w:qFormat/>
    <w:rsid w:val="00D45AF7"/>
    <w:pPr>
      <w:pBdr>
        <w:top w:val="single" w:sz="8" w:space="0" w:color="auto"/>
        <w:left w:val="single" w:sz="8" w:space="0" w:color="auto"/>
        <w:bottom w:val="single" w:sz="8" w:space="0" w:color="auto"/>
        <w:right w:val="single" w:sz="8" w:space="0" w:color="auto"/>
      </w:pBdr>
      <w:spacing w:line="256" w:lineRule="auto"/>
      <w:ind w:left="720"/>
      <w:jc w:val="both"/>
    </w:pPr>
    <w:rPr>
      <w:b/>
      <w:iCs/>
      <w:sz w:val="26"/>
      <w:u w:val="single"/>
      <w:bdr w:val="single" w:sz="8" w:space="0" w:color="auto"/>
    </w:rPr>
  </w:style>
  <w:style w:type="paragraph" w:customStyle="1" w:styleId="p2">
    <w:name w:val="p2"/>
    <w:basedOn w:val="Normal"/>
    <w:rsid w:val="002F40E5"/>
    <w:pPr>
      <w:spacing w:before="100" w:beforeAutospacing="1" w:after="100" w:afterAutospacing="1" w:line="240" w:lineRule="auto"/>
    </w:pPr>
    <w:rPr>
      <w:rFonts w:eastAsia="Times New Roman"/>
      <w:szCs w:val="24"/>
    </w:rPr>
  </w:style>
  <w:style w:type="paragraph" w:customStyle="1" w:styleId="p1">
    <w:name w:val="p1"/>
    <w:basedOn w:val="Normal"/>
    <w:rsid w:val="002F40E5"/>
    <w:pPr>
      <w:spacing w:before="100" w:beforeAutospacing="1" w:after="100" w:afterAutospacing="1" w:line="240" w:lineRule="auto"/>
    </w:pPr>
    <w:rPr>
      <w:rFonts w:eastAsia="Times New Roman"/>
      <w:szCs w:val="24"/>
    </w:rPr>
  </w:style>
  <w:style w:type="character" w:customStyle="1" w:styleId="s1">
    <w:name w:val="s1"/>
    <w:basedOn w:val="DefaultParagraphFont"/>
    <w:rsid w:val="002F40E5"/>
  </w:style>
  <w:style w:type="paragraph" w:customStyle="1" w:styleId="counter-paragraph">
    <w:name w:val="counter-paragraph"/>
    <w:basedOn w:val="Normal"/>
    <w:rsid w:val="002F40E5"/>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2287461">
      <w:bodyDiv w:val="1"/>
      <w:marLeft w:val="0"/>
      <w:marRight w:val="0"/>
      <w:marTop w:val="0"/>
      <w:marBottom w:val="0"/>
      <w:divBdr>
        <w:top w:val="none" w:sz="0" w:space="0" w:color="auto"/>
        <w:left w:val="none" w:sz="0" w:space="0" w:color="auto"/>
        <w:bottom w:val="none" w:sz="0" w:space="0" w:color="auto"/>
        <w:right w:val="none" w:sz="0" w:space="0" w:color="auto"/>
      </w:divBdr>
      <w:divsChild>
        <w:div w:id="1513834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nk.springer.com/article/10.1007/s10964-014-0178-8" TargetMode="External"/><Relationship Id="rId117" Type="http://schemas.openxmlformats.org/officeDocument/2006/relationships/hyperlink" Target="https://link.springer.com/article/10.1007/s10964-014-0178-8" TargetMode="External"/><Relationship Id="rId21" Type="http://schemas.openxmlformats.org/officeDocument/2006/relationships/hyperlink" Target="https://link.springer.com/article/10.1007/s10964-014-0178-8" TargetMode="External"/><Relationship Id="rId42" Type="http://schemas.openxmlformats.org/officeDocument/2006/relationships/hyperlink" Target="https://link.springer.com/article/10.1007/s10964-014-0178-8" TargetMode="External"/><Relationship Id="rId47" Type="http://schemas.openxmlformats.org/officeDocument/2006/relationships/hyperlink" Target="https://link.springer.com/article/10.1007/s10964-014-0178-8" TargetMode="External"/><Relationship Id="rId63" Type="http://schemas.openxmlformats.org/officeDocument/2006/relationships/hyperlink" Target="https://link.springer.com/article/10.1007/s10964-014-0178-8" TargetMode="External"/><Relationship Id="rId68" Type="http://schemas.openxmlformats.org/officeDocument/2006/relationships/hyperlink" Target="https://link.springer.com/article/10.1007/s10964-014-0178-8" TargetMode="External"/><Relationship Id="rId84" Type="http://schemas.openxmlformats.org/officeDocument/2006/relationships/hyperlink" Target="https://link.springer.com/article/10.1007/s10964-014-0178-8" TargetMode="External"/><Relationship Id="rId89" Type="http://schemas.openxmlformats.org/officeDocument/2006/relationships/hyperlink" Target="https://link.springer.com/article/10.1007/s10964-014-0178-8" TargetMode="External"/><Relationship Id="rId112" Type="http://schemas.openxmlformats.org/officeDocument/2006/relationships/hyperlink" Target="https://link.springer.com/article/10.1007/s10964-014-0178-8" TargetMode="External"/><Relationship Id="rId133" Type="http://schemas.openxmlformats.org/officeDocument/2006/relationships/hyperlink" Target="https://newwaysministryblog.wordpress.com/2016/09/03/revealing-the-potential-harm-of-the-vaticans-sex-education-curriculum/" TargetMode="External"/><Relationship Id="rId138" Type="http://schemas.openxmlformats.org/officeDocument/2006/relationships/hyperlink" Target="http://thoughtcatalog.com/victoria-slatton/2014/04/my-southern-sexual-education-what-i-was-taught-and-what-i-had-to-learn-for-myself/" TargetMode="External"/><Relationship Id="rId154" Type="http://schemas.openxmlformats.org/officeDocument/2006/relationships/hyperlink" Target="https://papers.ssrn.com/sol3/papers.cfm?abstract_id=2876889" TargetMode="External"/><Relationship Id="rId159" Type="http://schemas.openxmlformats.org/officeDocument/2006/relationships/hyperlink" Target="https://bostonreview.net/archives/BR23.2/lowi.html" TargetMode="External"/><Relationship Id="rId170" Type="http://schemas.openxmlformats.org/officeDocument/2006/relationships/hyperlink" Target="http://www.heritage.org/education/report/government-spends-12-safe-sex-and-contraceptives-every-1-spent-abstinence%3e)" TargetMode="External"/><Relationship Id="rId16" Type="http://schemas.openxmlformats.org/officeDocument/2006/relationships/hyperlink" Target="https://link.springer.com/article/10.1007/s10964-014-0178-8" TargetMode="External"/><Relationship Id="rId107" Type="http://schemas.openxmlformats.org/officeDocument/2006/relationships/hyperlink" Target="https://link.springer.com/article/10.1007/s10964-014-0178-8" TargetMode="External"/><Relationship Id="rId11" Type="http://schemas.openxmlformats.org/officeDocument/2006/relationships/hyperlink" Target="https://link.springer.com/article/10.1007/s10964-014-0178-8" TargetMode="External"/><Relationship Id="rId32" Type="http://schemas.openxmlformats.org/officeDocument/2006/relationships/hyperlink" Target="https://link.springer.com/article/10.1007/s10964-014-0178-8" TargetMode="External"/><Relationship Id="rId37" Type="http://schemas.openxmlformats.org/officeDocument/2006/relationships/hyperlink" Target="https://link.springer.com/article/10.1007/s10964-014-0178-8" TargetMode="External"/><Relationship Id="rId53" Type="http://schemas.openxmlformats.org/officeDocument/2006/relationships/hyperlink" Target="https://link.springer.com/article/10.1007/s10964-014-0178-8" TargetMode="External"/><Relationship Id="rId58" Type="http://schemas.openxmlformats.org/officeDocument/2006/relationships/hyperlink" Target="https://link.springer.com/article/10.1007/s10964-014-0178-8" TargetMode="External"/><Relationship Id="rId74" Type="http://schemas.openxmlformats.org/officeDocument/2006/relationships/hyperlink" Target="https://link.springer.com/article/10.1007/s10964-014-0178-8" TargetMode="External"/><Relationship Id="rId79" Type="http://schemas.openxmlformats.org/officeDocument/2006/relationships/hyperlink" Target="https://link.springer.com/article/10.1007/s10964-014-0178-8" TargetMode="External"/><Relationship Id="rId102" Type="http://schemas.openxmlformats.org/officeDocument/2006/relationships/hyperlink" Target="https://link.springer.com/article/10.1007/s10964-014-0178-8" TargetMode="External"/><Relationship Id="rId123" Type="http://schemas.openxmlformats.org/officeDocument/2006/relationships/hyperlink" Target="http://sites.middlebury.edu/sexandsociety/files/2015/01/Rubin-Thinking-Sex.pdf" TargetMode="External"/><Relationship Id="rId128" Type="http://schemas.openxmlformats.org/officeDocument/2006/relationships/hyperlink" Target="http://www.emeraldinsight.com.ezproxy.lib.utexas.edu/author/Elia%2C+John+P" TargetMode="External"/><Relationship Id="rId144" Type="http://schemas.openxmlformats.org/officeDocument/2006/relationships/hyperlink" Target="http://www.brownpoliticalreview.org/2016/11/sex-ed-american-schools/" TargetMode="External"/><Relationship Id="rId149" Type="http://schemas.openxmlformats.org/officeDocument/2006/relationships/hyperlink" Target="http://2016.wascarc.org/sites/default/files/_Binder_Subchange.pdf" TargetMode="External"/><Relationship Id="rId5" Type="http://schemas.openxmlformats.org/officeDocument/2006/relationships/webSettings" Target="webSettings.xml"/><Relationship Id="rId90" Type="http://schemas.openxmlformats.org/officeDocument/2006/relationships/hyperlink" Target="https://link.springer.com/article/10.1007/s10964-014-0178-8" TargetMode="External"/><Relationship Id="rId95" Type="http://schemas.openxmlformats.org/officeDocument/2006/relationships/hyperlink" Target="https://link.springer.com/article/10.1007/s10964-014-0178-8" TargetMode="External"/><Relationship Id="rId160" Type="http://schemas.openxmlformats.org/officeDocument/2006/relationships/hyperlink" Target="http://thehill.com/policy/transportation/336596-gop-senator-doubts-aviation-bill-will-include-trumps-air-control" TargetMode="External"/><Relationship Id="rId165" Type="http://schemas.openxmlformats.org/officeDocument/2006/relationships/hyperlink" Target="http://www.sciencedirect.com/science/article/pii/S0968090X11001471%20Accessed%206/26/12" TargetMode="External"/><Relationship Id="rId22" Type="http://schemas.openxmlformats.org/officeDocument/2006/relationships/hyperlink" Target="https://link.springer.com/article/10.1007/s10964-014-0178-8" TargetMode="External"/><Relationship Id="rId27" Type="http://schemas.openxmlformats.org/officeDocument/2006/relationships/hyperlink" Target="https://link.springer.com/article/10.1007/s10964-014-0178-8" TargetMode="External"/><Relationship Id="rId43" Type="http://schemas.openxmlformats.org/officeDocument/2006/relationships/hyperlink" Target="https://link.springer.com/article/10.1007/s10964-014-0178-8" TargetMode="External"/><Relationship Id="rId48" Type="http://schemas.openxmlformats.org/officeDocument/2006/relationships/hyperlink" Target="https://link.springer.com/article/10.1007/s10964-014-0178-8" TargetMode="External"/><Relationship Id="rId64" Type="http://schemas.openxmlformats.org/officeDocument/2006/relationships/hyperlink" Target="https://link.springer.com/article/10.1007/s10964-014-0178-8" TargetMode="External"/><Relationship Id="rId69" Type="http://schemas.openxmlformats.org/officeDocument/2006/relationships/hyperlink" Target="https://link.springer.com/article/10.1007/s10964-014-0178-8" TargetMode="External"/><Relationship Id="rId113" Type="http://schemas.openxmlformats.org/officeDocument/2006/relationships/hyperlink" Target="https://link.springer.com/article/10.1007/s10964-014-0178-8" TargetMode="External"/><Relationship Id="rId118" Type="http://schemas.openxmlformats.org/officeDocument/2006/relationships/hyperlink" Target="https://link.springer.com/article/10.1007/s10964-014-0178-8" TargetMode="External"/><Relationship Id="rId134" Type="http://schemas.openxmlformats.org/officeDocument/2006/relationships/hyperlink" Target="http://democracyjournal.org/briefing-book/what-happened-to-teen-pregnancy-prevention/%3e)//PS" TargetMode="External"/><Relationship Id="rId139" Type="http://schemas.openxmlformats.org/officeDocument/2006/relationships/hyperlink" Target="file:///C:/Users/Benny/Downloads/sex%20education%20and%20the%20promotion%20of%20heteronormativity.pdf" TargetMode="External"/><Relationship Id="rId80" Type="http://schemas.openxmlformats.org/officeDocument/2006/relationships/hyperlink" Target="https://link.springer.com/article/10.1007/s10964-014-0178-8" TargetMode="External"/><Relationship Id="rId85" Type="http://schemas.openxmlformats.org/officeDocument/2006/relationships/hyperlink" Target="https://link.springer.com/article/10.1007/s10964-014-0178-8" TargetMode="External"/><Relationship Id="rId150" Type="http://schemas.openxmlformats.org/officeDocument/2006/relationships/hyperlink" Target="http://www.motherjones.com/politics/2016/09/california-schools-are-revamping-how-they-teach-kids-about-sex/" TargetMode="External"/><Relationship Id="rId155" Type="http://schemas.openxmlformats.org/officeDocument/2006/relationships/hyperlink" Target="http://journals.sagepub.com/doi/pdf/10.1177/02750740122065036" TargetMode="External"/><Relationship Id="rId171" Type="http://schemas.openxmlformats.org/officeDocument/2006/relationships/fontTable" Target="fontTable.xml"/><Relationship Id="rId12" Type="http://schemas.openxmlformats.org/officeDocument/2006/relationships/hyperlink" Target="https://link.springer.com/article/10.1007/s10964-014-0178-8" TargetMode="External"/><Relationship Id="rId17" Type="http://schemas.openxmlformats.org/officeDocument/2006/relationships/hyperlink" Target="https://link.springer.com/article/10.1007/s10964-014-0178-8" TargetMode="External"/><Relationship Id="rId33" Type="http://schemas.openxmlformats.org/officeDocument/2006/relationships/hyperlink" Target="https://link.springer.com/article/10.1007/s10964-014-0178-8" TargetMode="External"/><Relationship Id="rId38" Type="http://schemas.openxmlformats.org/officeDocument/2006/relationships/hyperlink" Target="https://link.springer.com/article/10.1007/s10964-014-0178-8" TargetMode="External"/><Relationship Id="rId59" Type="http://schemas.openxmlformats.org/officeDocument/2006/relationships/hyperlink" Target="https://link.springer.com/article/10.1007/s10964-014-0178-8" TargetMode="External"/><Relationship Id="rId103" Type="http://schemas.openxmlformats.org/officeDocument/2006/relationships/hyperlink" Target="https://link.springer.com/article/10.1007/s10964-014-0178-8" TargetMode="External"/><Relationship Id="rId108" Type="http://schemas.openxmlformats.org/officeDocument/2006/relationships/hyperlink" Target="https://link.springer.com/article/10.1007/s10964-014-0178-8" TargetMode="External"/><Relationship Id="rId124" Type="http://schemas.openxmlformats.org/officeDocument/2006/relationships/hyperlink" Target="https://rewire.news/article/2016/05/10/fewer-young-people-getting-formal-sex-education-can-new-federal-bill-change/" TargetMode="External"/><Relationship Id="rId129" Type="http://schemas.openxmlformats.org/officeDocument/2006/relationships/hyperlink" Target="http://www.emeraldinsight.com.ezproxy.lib.utexas.edu/author/Tokunaga%2C+Jessica" TargetMode="External"/><Relationship Id="rId54" Type="http://schemas.openxmlformats.org/officeDocument/2006/relationships/hyperlink" Target="https://link.springer.com/article/10.1007/s10964-014-0178-8" TargetMode="External"/><Relationship Id="rId70" Type="http://schemas.openxmlformats.org/officeDocument/2006/relationships/hyperlink" Target="https://link.springer.com/article/10.1007/s10964-014-0178-8" TargetMode="External"/><Relationship Id="rId75" Type="http://schemas.openxmlformats.org/officeDocument/2006/relationships/hyperlink" Target="https://link.springer.com/article/10.1007/s10964-014-0178-8" TargetMode="External"/><Relationship Id="rId91" Type="http://schemas.openxmlformats.org/officeDocument/2006/relationships/hyperlink" Target="https://link.springer.com/article/10.1007/s10964-014-0178-8" TargetMode="External"/><Relationship Id="rId96" Type="http://schemas.openxmlformats.org/officeDocument/2006/relationships/hyperlink" Target="https://link.springer.com/article/10.1007/s10964-014-0178-8" TargetMode="External"/><Relationship Id="rId140" Type="http://schemas.openxmlformats.org/officeDocument/2006/relationships/hyperlink" Target="http://www.naccho.org/uploads/downloadable-resources/Healthy-Youth-Community-Funding-Requests.pdf" TargetMode="External"/><Relationship Id="rId145" Type="http://schemas.openxmlformats.org/officeDocument/2006/relationships/hyperlink" Target="http://www.siecus.org/index.cfm?fuseaction=Page.ViewPage&amp;PageID=1262" TargetMode="External"/><Relationship Id="rId161" Type="http://schemas.openxmlformats.org/officeDocument/2006/relationships/hyperlink" Target="https://www.forbes.com/sites/danielreed/2017/06/06/air-traffic-control-privatization-has-found-a-champion-in-trump-but-thats-still-not-enough/" TargetMode="External"/><Relationship Id="rId166" Type="http://schemas.openxmlformats.org/officeDocument/2006/relationships/hyperlink" Target="http://www.aprodex.com/the-new-rules--security-remains-stable-amid-financial-crisis-398-bl.aspx"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link.springer.com/article/10.1007/s10964-014-0178-8" TargetMode="External"/><Relationship Id="rId23" Type="http://schemas.openxmlformats.org/officeDocument/2006/relationships/hyperlink" Target="https://link.springer.com/article/10.1007/s10964-014-0178-8" TargetMode="External"/><Relationship Id="rId28" Type="http://schemas.openxmlformats.org/officeDocument/2006/relationships/hyperlink" Target="https://link.springer.com/article/10.1007/s10964-014-0178-8" TargetMode="External"/><Relationship Id="rId36" Type="http://schemas.openxmlformats.org/officeDocument/2006/relationships/hyperlink" Target="https://link.springer.com/article/10.1007/s10964-014-0178-8" TargetMode="External"/><Relationship Id="rId49" Type="http://schemas.openxmlformats.org/officeDocument/2006/relationships/hyperlink" Target="https://link.springer.com/article/10.1007/s10964-014-0178-8" TargetMode="External"/><Relationship Id="rId57" Type="http://schemas.openxmlformats.org/officeDocument/2006/relationships/hyperlink" Target="https://link.springer.com/article/10.1007/s10964-014-0178-8" TargetMode="External"/><Relationship Id="rId106" Type="http://schemas.openxmlformats.org/officeDocument/2006/relationships/hyperlink" Target="https://link.springer.com/article/10.1007/s10964-014-0178-8" TargetMode="External"/><Relationship Id="rId114" Type="http://schemas.openxmlformats.org/officeDocument/2006/relationships/hyperlink" Target="https://link.springer.com/article/10.1007/s10964-014-0178-8" TargetMode="External"/><Relationship Id="rId119" Type="http://schemas.openxmlformats.org/officeDocument/2006/relationships/hyperlink" Target="https://link.springer.com/article/10.1007/s10964-014-0178-8" TargetMode="External"/><Relationship Id="rId127" Type="http://schemas.openxmlformats.org/officeDocument/2006/relationships/hyperlink" Target="https://link.springer.com/article/10.1007/s10964-014-0178-8" TargetMode="External"/><Relationship Id="rId10" Type="http://schemas.openxmlformats.org/officeDocument/2006/relationships/hyperlink" Target="https://doi-org.ezproxy.lib.utexas.edu/10.1108/HE-01-2014-0001" TargetMode="External"/><Relationship Id="rId31" Type="http://schemas.openxmlformats.org/officeDocument/2006/relationships/hyperlink" Target="https://link.springer.com/article/10.1007/s10964-014-0178-8" TargetMode="External"/><Relationship Id="rId44" Type="http://schemas.openxmlformats.org/officeDocument/2006/relationships/hyperlink" Target="https://link.springer.com/article/10.1007/s10964-014-0178-8" TargetMode="External"/><Relationship Id="rId52" Type="http://schemas.openxmlformats.org/officeDocument/2006/relationships/hyperlink" Target="https://link.springer.com/article/10.1007/s10964-014-0178-8" TargetMode="External"/><Relationship Id="rId60" Type="http://schemas.openxmlformats.org/officeDocument/2006/relationships/hyperlink" Target="https://link.springer.com/article/10.1007/s10964-014-0178-8" TargetMode="External"/><Relationship Id="rId65" Type="http://schemas.openxmlformats.org/officeDocument/2006/relationships/hyperlink" Target="https://link.springer.com/article/10.1007/s10964-014-0178-8" TargetMode="External"/><Relationship Id="rId73" Type="http://schemas.openxmlformats.org/officeDocument/2006/relationships/hyperlink" Target="https://link.springer.com/article/10.1007/s10964-014-0178-8" TargetMode="External"/><Relationship Id="rId78" Type="http://schemas.openxmlformats.org/officeDocument/2006/relationships/hyperlink" Target="https://link.springer.com/article/10.1007/s10964-014-0178-8" TargetMode="External"/><Relationship Id="rId81" Type="http://schemas.openxmlformats.org/officeDocument/2006/relationships/hyperlink" Target="https://link.springer.com/article/10.1007/s10964-014-0178-8" TargetMode="External"/><Relationship Id="rId86" Type="http://schemas.openxmlformats.org/officeDocument/2006/relationships/hyperlink" Target="https://link.springer.com/article/10.1007/s10964-014-0178-8" TargetMode="External"/><Relationship Id="rId94" Type="http://schemas.openxmlformats.org/officeDocument/2006/relationships/hyperlink" Target="https://link.springer.com/article/10.1007/s10964-014-0178-8" TargetMode="External"/><Relationship Id="rId99" Type="http://schemas.openxmlformats.org/officeDocument/2006/relationships/hyperlink" Target="https://link.springer.com/article/10.1007/s10964-014-0178-8" TargetMode="External"/><Relationship Id="rId101" Type="http://schemas.openxmlformats.org/officeDocument/2006/relationships/hyperlink" Target="https://link.springer.com/article/10.1007/s10964-014-0178-8" TargetMode="External"/><Relationship Id="rId122" Type="http://schemas.openxmlformats.org/officeDocument/2006/relationships/hyperlink" Target="https://link.springer.com/article/10.1007/s10964-014-0178-8" TargetMode="External"/><Relationship Id="rId130" Type="http://schemas.openxmlformats.org/officeDocument/2006/relationships/hyperlink" Target="https://doi-org.ezproxy.lib.utexas.edu/10.1108/HE-01-2014-0001" TargetMode="External"/><Relationship Id="rId135" Type="http://schemas.openxmlformats.org/officeDocument/2006/relationships/hyperlink" Target="https://qz.com/989317/budget-trump-is-devoting-almost-300-million-to-abstinence-only-sexual-education/" TargetMode="External"/><Relationship Id="rId143" Type="http://schemas.openxmlformats.org/officeDocument/2006/relationships/hyperlink" Target="http://www.futureofsexed.org/documents/josh-fose-standards-web.pdf" TargetMode="External"/><Relationship Id="rId148" Type="http://schemas.openxmlformats.org/officeDocument/2006/relationships/hyperlink" Target="file:///C:/Users/Benny/Downloads/sex%20education%20and%20the%20promotion%20of%20heteronormativity.pdf" TargetMode="External"/><Relationship Id="rId151" Type="http://schemas.openxmlformats.org/officeDocument/2006/relationships/hyperlink" Target="https://www.guttmacher.org/sites/default/wp-content/uploads/pdfs/spibs/spib_SE.pdf" TargetMode="External"/><Relationship Id="rId156" Type="http://schemas.openxmlformats.org/officeDocument/2006/relationships/hyperlink" Target="http://www.urban.org/sites/default/files/publication/58881/310658-How-Are-States-Responding-to-Fiscal-Stress-.PDF" TargetMode="External"/><Relationship Id="rId164" Type="http://schemas.openxmlformats.org/officeDocument/2006/relationships/hyperlink" Target="https://www.forbes.com/sites/danielreed/2017/06/06/air-traffic-control-privatization-has-found-a-champion-in-trump-but-thats-still-not-enough/" TargetMode="External"/><Relationship Id="rId169" Type="http://schemas.openxmlformats.org/officeDocument/2006/relationships/hyperlink" Target="http://www.heritage.org/education/report/government-spends-12-safe-sex-and-contraceptives-every-1-spent-abstinence%3e)" TargetMode="External"/><Relationship Id="rId4" Type="http://schemas.openxmlformats.org/officeDocument/2006/relationships/settings" Target="settings.xml"/><Relationship Id="rId9" Type="http://schemas.openxmlformats.org/officeDocument/2006/relationships/hyperlink" Target="http://www.emeraldinsight.com.ezproxy.lib.utexas.edu/author/Tokunaga%2C+Jessica" TargetMode="External"/><Relationship Id="rId172" Type="http://schemas.openxmlformats.org/officeDocument/2006/relationships/theme" Target="theme/theme1.xml"/><Relationship Id="rId13" Type="http://schemas.openxmlformats.org/officeDocument/2006/relationships/hyperlink" Target="https://link.springer.com/article/10.1007/s10964-014-0178-8" TargetMode="External"/><Relationship Id="rId18" Type="http://schemas.openxmlformats.org/officeDocument/2006/relationships/hyperlink" Target="https://link.springer.com/article/10.1007/s10964-014-0178-8" TargetMode="External"/><Relationship Id="rId39" Type="http://schemas.openxmlformats.org/officeDocument/2006/relationships/hyperlink" Target="https://link.springer.com/article/10.1007/s10964-014-0178-8" TargetMode="External"/><Relationship Id="rId109" Type="http://schemas.openxmlformats.org/officeDocument/2006/relationships/hyperlink" Target="https://link.springer.com/article/10.1007/s10964-014-0178-8" TargetMode="External"/><Relationship Id="rId34" Type="http://schemas.openxmlformats.org/officeDocument/2006/relationships/hyperlink" Target="https://link.springer.com/article/10.1007/s10964-014-0178-8" TargetMode="External"/><Relationship Id="rId50" Type="http://schemas.openxmlformats.org/officeDocument/2006/relationships/hyperlink" Target="https://link.springer.com/article/10.1007/s10964-014-0178-8" TargetMode="External"/><Relationship Id="rId55" Type="http://schemas.openxmlformats.org/officeDocument/2006/relationships/hyperlink" Target="https://link.springer.com/article/10.1007/s10964-014-0178-8" TargetMode="External"/><Relationship Id="rId76" Type="http://schemas.openxmlformats.org/officeDocument/2006/relationships/hyperlink" Target="https://link.springer.com/article/10.1007/s10964-014-0178-8" TargetMode="External"/><Relationship Id="rId97" Type="http://schemas.openxmlformats.org/officeDocument/2006/relationships/hyperlink" Target="https://link.springer.com/article/10.1007/s10964-014-0178-8" TargetMode="External"/><Relationship Id="rId104" Type="http://schemas.openxmlformats.org/officeDocument/2006/relationships/hyperlink" Target="https://link.springer.com/article/10.1007/s10964-014-0178-8" TargetMode="External"/><Relationship Id="rId120" Type="http://schemas.openxmlformats.org/officeDocument/2006/relationships/hyperlink" Target="https://link.springer.com/article/10.1007/s10964-014-0178-8" TargetMode="External"/><Relationship Id="rId125" Type="http://schemas.openxmlformats.org/officeDocument/2006/relationships/hyperlink" Target="https://link.springer.com/article/10.1007/s10964-014-0178-8" TargetMode="External"/><Relationship Id="rId141" Type="http://schemas.openxmlformats.org/officeDocument/2006/relationships/hyperlink" Target="http://elitedaily.com/news/politics/trump-america-abstinence-only-education/1959283/" TargetMode="External"/><Relationship Id="rId146" Type="http://schemas.openxmlformats.org/officeDocument/2006/relationships/hyperlink" Target="http://www.siecus.org/index.cfm?fuseaction=Feature.showFeature&amp;featureID=1041" TargetMode="External"/><Relationship Id="rId167" Type="http://schemas.openxmlformats.org/officeDocument/2006/relationships/hyperlink" Target="http://thehill.com/blogs/pundits-blog/homeland-security/333508-should-we-privatize-air-traffic-control-lets-look-at" TargetMode="External"/><Relationship Id="rId7" Type="http://schemas.openxmlformats.org/officeDocument/2006/relationships/hyperlink" Target="https://www.guttmacher.org/gpr/2017/03/looming-threat-sex-education-resurgence-federal-funding-abstinence-only-programs" TargetMode="External"/><Relationship Id="rId71" Type="http://schemas.openxmlformats.org/officeDocument/2006/relationships/hyperlink" Target="https://link.springer.com/article/10.1007/s10964-014-0178-8" TargetMode="External"/><Relationship Id="rId92" Type="http://schemas.openxmlformats.org/officeDocument/2006/relationships/hyperlink" Target="https://link.springer.com/article/10.1007/s10964-014-0178-8" TargetMode="External"/><Relationship Id="rId162" Type="http://schemas.openxmlformats.org/officeDocument/2006/relationships/hyperlink" Target="https://fcw.com/articles/2017/06/07/senate-commerce-faa-atc-private.aspx" TargetMode="External"/><Relationship Id="rId2" Type="http://schemas.openxmlformats.org/officeDocument/2006/relationships/numbering" Target="numbering.xml"/><Relationship Id="rId29" Type="http://schemas.openxmlformats.org/officeDocument/2006/relationships/hyperlink" Target="https://link.springer.com/article/10.1007/s10964-014-0178-8" TargetMode="External"/><Relationship Id="rId24" Type="http://schemas.openxmlformats.org/officeDocument/2006/relationships/hyperlink" Target="https://link.springer.com/article/10.1007/s10964-014-0178-8" TargetMode="External"/><Relationship Id="rId40" Type="http://schemas.openxmlformats.org/officeDocument/2006/relationships/hyperlink" Target="https://link.springer.com/article/10.1007/s10964-014-0178-8" TargetMode="External"/><Relationship Id="rId45" Type="http://schemas.openxmlformats.org/officeDocument/2006/relationships/hyperlink" Target="https://link.springer.com/article/10.1007/s10964-014-0178-8" TargetMode="External"/><Relationship Id="rId66" Type="http://schemas.openxmlformats.org/officeDocument/2006/relationships/hyperlink" Target="https://link.springer.com/article/10.1007/s10964-014-0178-8" TargetMode="External"/><Relationship Id="rId87" Type="http://schemas.openxmlformats.org/officeDocument/2006/relationships/hyperlink" Target="https://link.springer.com/article/10.1007/s10964-014-0178-8" TargetMode="External"/><Relationship Id="rId110" Type="http://schemas.openxmlformats.org/officeDocument/2006/relationships/hyperlink" Target="https://link.springer.com/article/10.1007/s10964-014-0178-8" TargetMode="External"/><Relationship Id="rId115" Type="http://schemas.openxmlformats.org/officeDocument/2006/relationships/hyperlink" Target="https://link.springer.com/article/10.1007/s10964-014-0178-8" TargetMode="External"/><Relationship Id="rId131" Type="http://schemas.openxmlformats.org/officeDocument/2006/relationships/hyperlink" Target="https://doi.org/10.1108/HE-01-2014-0003" TargetMode="External"/><Relationship Id="rId136" Type="http://schemas.openxmlformats.org/officeDocument/2006/relationships/hyperlink" Target="https://learningenglish.voanews.com/a/us-congress-considers-plan-to-cut-education-budget/3872981.html" TargetMode="External"/><Relationship Id="rId157" Type="http://schemas.openxmlformats.org/officeDocument/2006/relationships/hyperlink" Target="https://doi.org/10.1093/cjres/rst018" TargetMode="External"/><Relationship Id="rId61" Type="http://schemas.openxmlformats.org/officeDocument/2006/relationships/hyperlink" Target="https://link.springer.com/article/10.1007/s10964-014-0178-8" TargetMode="External"/><Relationship Id="rId82" Type="http://schemas.openxmlformats.org/officeDocument/2006/relationships/hyperlink" Target="https://link.springer.com/article/10.1007/s10964-014-0178-8" TargetMode="External"/><Relationship Id="rId152" Type="http://schemas.openxmlformats.org/officeDocument/2006/relationships/hyperlink" Target="https://www.aclunc.org/our-work/legal-docket/american-academy-pediatrics-et-al-v-clovis-unified-school-district" TargetMode="External"/><Relationship Id="rId19" Type="http://schemas.openxmlformats.org/officeDocument/2006/relationships/hyperlink" Target="https://link.springer.com/article/10.1007/s10964-014-0178-8" TargetMode="External"/><Relationship Id="rId14" Type="http://schemas.openxmlformats.org/officeDocument/2006/relationships/hyperlink" Target="https://link.springer.com/article/10.1007/s10964-014-0178-8" TargetMode="External"/><Relationship Id="rId30" Type="http://schemas.openxmlformats.org/officeDocument/2006/relationships/hyperlink" Target="https://link.springer.com/article/10.1007/s10964-014-0178-8" TargetMode="External"/><Relationship Id="rId35" Type="http://schemas.openxmlformats.org/officeDocument/2006/relationships/hyperlink" Target="https://link.springer.com/article/10.1007/s10964-014-0178-8" TargetMode="External"/><Relationship Id="rId56" Type="http://schemas.openxmlformats.org/officeDocument/2006/relationships/hyperlink" Target="https://link.springer.com/article/10.1007/s10964-014-0178-8" TargetMode="External"/><Relationship Id="rId77" Type="http://schemas.openxmlformats.org/officeDocument/2006/relationships/hyperlink" Target="https://link.springer.com/article/10.1007/s10964-014-0178-8" TargetMode="External"/><Relationship Id="rId100" Type="http://schemas.openxmlformats.org/officeDocument/2006/relationships/hyperlink" Target="https://link.springer.com/article/10.1007/s10964-014-0178-8" TargetMode="External"/><Relationship Id="rId105" Type="http://schemas.openxmlformats.org/officeDocument/2006/relationships/hyperlink" Target="https://link.springer.com/article/10.1007/s10964-014-0178-8" TargetMode="External"/><Relationship Id="rId126" Type="http://schemas.openxmlformats.org/officeDocument/2006/relationships/hyperlink" Target="https://link.springer.com/article/10.1007/s10964-014-0178-8" TargetMode="External"/><Relationship Id="rId147" Type="http://schemas.openxmlformats.org/officeDocument/2006/relationships/hyperlink" Target="https://www.cdc.gov/teenpregnancy/about/" TargetMode="External"/><Relationship Id="rId168" Type="http://schemas.openxmlformats.org/officeDocument/2006/relationships/hyperlink" Target="https://www.americanprogress.org/issues/economy/reports/2015/05/05/112406/4-essential-questions-about-air-traffic-control-privatization/" TargetMode="External"/><Relationship Id="rId8" Type="http://schemas.openxmlformats.org/officeDocument/2006/relationships/hyperlink" Target="http://www.emeraldinsight.com.ezproxy.lib.utexas.edu/author/Elia%2C+John+P" TargetMode="External"/><Relationship Id="rId51" Type="http://schemas.openxmlformats.org/officeDocument/2006/relationships/hyperlink" Target="https://link.springer.com/article/10.1007/s10964-014-0178-8" TargetMode="External"/><Relationship Id="rId72" Type="http://schemas.openxmlformats.org/officeDocument/2006/relationships/hyperlink" Target="https://link.springer.com/article/10.1007/s10964-014-0178-8" TargetMode="External"/><Relationship Id="rId93" Type="http://schemas.openxmlformats.org/officeDocument/2006/relationships/hyperlink" Target="https://link.springer.com/article/10.1007/s10964-014-0178-8" TargetMode="External"/><Relationship Id="rId98" Type="http://schemas.openxmlformats.org/officeDocument/2006/relationships/hyperlink" Target="https://link.springer.com/article/10.1007/s10964-014-0178-8" TargetMode="External"/><Relationship Id="rId121" Type="http://schemas.openxmlformats.org/officeDocument/2006/relationships/hyperlink" Target="https://link.springer.com/article/10.1007/s10964-014-0178-8" TargetMode="External"/><Relationship Id="rId142" Type="http://schemas.openxmlformats.org/officeDocument/2006/relationships/hyperlink" Target="https://www.vox.com/2014/4/15/5569274/common-core-sexuality-standards" TargetMode="External"/><Relationship Id="rId163" Type="http://schemas.openxmlformats.org/officeDocument/2006/relationships/hyperlink" Target="https://fcw.com/articles/2017/06/05/faa-private-trump-nextgen.aspx" TargetMode="External"/><Relationship Id="rId3" Type="http://schemas.openxmlformats.org/officeDocument/2006/relationships/styles" Target="styles.xml"/><Relationship Id="rId25" Type="http://schemas.openxmlformats.org/officeDocument/2006/relationships/hyperlink" Target="https://link.springer.com/article/10.1007/s10964-014-0178-8" TargetMode="External"/><Relationship Id="rId46" Type="http://schemas.openxmlformats.org/officeDocument/2006/relationships/hyperlink" Target="https://link.springer.com/article/10.1007/s10964-014-0178-8" TargetMode="External"/><Relationship Id="rId67" Type="http://schemas.openxmlformats.org/officeDocument/2006/relationships/hyperlink" Target="https://link.springer.com/article/10.1007/s10964-014-0178-8" TargetMode="External"/><Relationship Id="rId116" Type="http://schemas.openxmlformats.org/officeDocument/2006/relationships/hyperlink" Target="https://link.springer.com/article/10.1007/s10964-014-0178-8" TargetMode="External"/><Relationship Id="rId137" Type="http://schemas.openxmlformats.org/officeDocument/2006/relationships/hyperlink" Target="https://www.guttmacher.org/state-policy/explore/sex-and-hiv-education" TargetMode="External"/><Relationship Id="rId158" Type="http://schemas.openxmlformats.org/officeDocument/2006/relationships/hyperlink" Target="https://doi.org/10.1093/cjres/rst018" TargetMode="External"/><Relationship Id="rId20" Type="http://schemas.openxmlformats.org/officeDocument/2006/relationships/hyperlink" Target="https://link.springer.com/article/10.1007/s10964-014-0178-8" TargetMode="External"/><Relationship Id="rId41" Type="http://schemas.openxmlformats.org/officeDocument/2006/relationships/hyperlink" Target="https://link.springer.com/article/10.1007/s10964-014-0178-8" TargetMode="External"/><Relationship Id="rId62" Type="http://schemas.openxmlformats.org/officeDocument/2006/relationships/hyperlink" Target="https://link.springer.com/article/10.1007/s10964-014-0178-8" TargetMode="External"/><Relationship Id="rId83" Type="http://schemas.openxmlformats.org/officeDocument/2006/relationships/hyperlink" Target="https://link.springer.com/article/10.1007/s10964-014-0178-8" TargetMode="External"/><Relationship Id="rId88" Type="http://schemas.openxmlformats.org/officeDocument/2006/relationships/hyperlink" Target="https://link.springer.com/article/10.1007/s10964-014-0178-8" TargetMode="External"/><Relationship Id="rId111" Type="http://schemas.openxmlformats.org/officeDocument/2006/relationships/hyperlink" Target="https://link.springer.com/article/10.1007/s10964-014-0178-8" TargetMode="External"/><Relationship Id="rId132" Type="http://schemas.openxmlformats.org/officeDocument/2006/relationships/hyperlink" Target="https://www.guttmacher.org/journals/psrh/2007/sex-education-and-sexual-socialization-roles-educators-and-parents" TargetMode="External"/><Relationship Id="rId153" Type="http://schemas.openxmlformats.org/officeDocument/2006/relationships/hyperlink" Target="http://healthpolicy.ucsf.edu/sites/healthpolicy.ucsf.edu/wp-content/uploads/documents/Uneven_Progress_Full%20Report_Nov201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ne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5CAB-BC69-4DFB-A63F-CACC263EA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58</TotalTime>
  <Pages>1</Pages>
  <Words>63617</Words>
  <Characters>362619</Characters>
  <Application>Microsoft Office Word</Application>
  <DocSecurity>0</DocSecurity>
  <Lines>3021</Lines>
  <Paragraphs>850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Shaneal Harun</dc:creator>
  <cp:keywords>5.1.1</cp:keywords>
  <dc:description/>
  <cp:lastModifiedBy>Shaneal Harun</cp:lastModifiedBy>
  <cp:revision>4</cp:revision>
  <dcterms:created xsi:type="dcterms:W3CDTF">2017-07-15T03:27:00Z</dcterms:created>
  <dcterms:modified xsi:type="dcterms:W3CDTF">2017-07-15T05:38:00Z</dcterms:modified>
</cp:coreProperties>
</file>