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2FB0AE" w14:textId="77777777" w:rsidR="00E42E4C" w:rsidRDefault="001F43C5" w:rsidP="001F43C5">
      <w:pPr>
        <w:pStyle w:val="Heading1"/>
      </w:pPr>
      <w:r>
        <w:t>Supplement—2W RRS Lab</w:t>
      </w:r>
    </w:p>
    <w:p w14:paraId="42404C69" w14:textId="64DFAFFB" w:rsidR="00844D6B" w:rsidRDefault="00844D6B" w:rsidP="00844D6B">
      <w:pPr>
        <w:pStyle w:val="Heading1"/>
      </w:pPr>
      <w:r>
        <w:t>Topicality</w:t>
      </w:r>
    </w:p>
    <w:p w14:paraId="46D4E986" w14:textId="710F9983" w:rsidR="00844D6B" w:rsidRPr="00844D6B" w:rsidRDefault="00844D6B" w:rsidP="00844D6B">
      <w:pPr>
        <w:pStyle w:val="Heading2"/>
      </w:pPr>
      <w:r>
        <w:t>Regulation</w:t>
      </w:r>
    </w:p>
    <w:p w14:paraId="746F2A50" w14:textId="3A34A8B4" w:rsidR="00844D6B" w:rsidRDefault="00844D6B" w:rsidP="00844D6B">
      <w:pPr>
        <w:pStyle w:val="Heading3"/>
      </w:pPr>
      <w:r>
        <w:t>Regulation</w:t>
      </w:r>
      <w:r>
        <w:t xml:space="preserve"> = Restriction</w:t>
      </w:r>
    </w:p>
    <w:p w14:paraId="67B7421C" w14:textId="77777777" w:rsidR="00844D6B" w:rsidRDefault="00844D6B" w:rsidP="00844D6B">
      <w:pPr>
        <w:pStyle w:val="Heading4"/>
        <w:rPr>
          <w:rFonts w:ascii="Times New Roman" w:hAnsi="Times New Roman"/>
        </w:rPr>
      </w:pPr>
      <w:r>
        <w:t xml:space="preserve">Regulation Involves Restriction </w:t>
      </w:r>
    </w:p>
    <w:p w14:paraId="7C702088" w14:textId="77777777" w:rsidR="00844D6B" w:rsidRDefault="00844D6B" w:rsidP="00844D6B">
      <w:r w:rsidRPr="00417B03">
        <w:rPr>
          <w:rStyle w:val="Style13ptBold"/>
        </w:rPr>
        <w:t>Anyamele 2004</w:t>
      </w:r>
      <w:r>
        <w:rPr>
          <w:rStyle w:val="m2461348632819758400gmail-style13ptbold"/>
          <w:sz w:val="26"/>
          <w:szCs w:val="26"/>
        </w:rPr>
        <w:t xml:space="preserve"> </w:t>
      </w:r>
      <w:r w:rsidRPr="00844D6B">
        <w:rPr>
          <w:szCs w:val="16"/>
        </w:rPr>
        <w:t xml:space="preserve">Stephen Chukwunenye Anyamele, Researcher at Palmenia Centre for Continuing Education at Univeristy of Helsinki, “Institutional Management in Higher Education </w:t>
      </w:r>
      <w:r w:rsidRPr="00844D6B">
        <w:rPr>
          <w:rFonts w:ascii="Calibri Light" w:hAnsi="Calibri Light" w:cs="Calibri Light"/>
          <w:szCs w:val="16"/>
        </w:rPr>
        <w:t>A Study of Leadership Approaches to Quality Improvement in University Management – Nigerian and Finnish Cases,” University of Helsinki Department of Education, &lt;</w:t>
      </w:r>
      <w:hyperlink r:id="rId9" w:tgtFrame="_blank" w:history="1">
        <w:r w:rsidRPr="00844D6B">
          <w:rPr>
            <w:rStyle w:val="Hyperlink"/>
            <w:rFonts w:ascii="Calibri Light" w:hAnsi="Calibri Light" w:cs="Calibri Light"/>
            <w:szCs w:val="16"/>
          </w:rPr>
          <w:t>https://helda.helsinki.fi/bitstream/handle/10138/19772/institut.pdf;jsessionid=F84F34E3570398D7CDCDF521470A22C2?sequence%3D1</w:t>
        </w:r>
      </w:hyperlink>
      <w:r>
        <w:t>&gt; - GDI DS</w:t>
      </w:r>
    </w:p>
    <w:p w14:paraId="749D04FA" w14:textId="77777777" w:rsidR="00844D6B" w:rsidRPr="00844D6B" w:rsidRDefault="00844D6B" w:rsidP="00844D6B">
      <w:pPr>
        <w:spacing w:before="100" w:beforeAutospacing="1" w:after="300"/>
        <w:rPr>
          <w:sz w:val="16"/>
        </w:rPr>
      </w:pPr>
      <w:r w:rsidRPr="00844D6B">
        <w:rPr>
          <w:sz w:val="16"/>
        </w:rPr>
        <w:t xml:space="preserve">Frans A. van Vught distinguishes two strategies of government regulation. He called these two strategies “the strategies of rational planning and control and the strategy of self-regulation” (van Vught 1994, 322). According to him, the strategy of rational planning and control is an approach to governmental regulation in which confidence is put in the capabilities of government to acquire comprehensive knowledge and to take the best decisions. In the self-regulatory approach, government puts an emphasis on the self-regulatory capabilities of decentralized decision-making units, limiting its own activities to setting broad policy frameworks and to providing facilities for the decentralized units. These two models are found in different contexts in different countries. The governmental strategy of rational planning and control corresponds to the state control model of higher education, traditionally found in the higher education systems of European continent. On the other hand, the governmental strategy of self-regulation can be recognized in the state-supervision model of higher education, which has its roots in both United States and British higher education systems. In developing countries state control model of higher education predominates. van Vught goes further to stress that the predominance of state control model in the higher education systems of developing countries is a major barrier for the further development of these higher education systems in terms of increased efficiency and quality, and argues that tight governmental regulation and control limit the innovative capacities of higher education institutions and make them less inclined to try to optimize their internal and external efficiency (van Vught 1994, 323). In general terms, regulation has to do with influencing of behaviour – trying to steer the decisions and actions of others according to certain objectives and by using certain instruments. </w:t>
      </w:r>
      <w:r w:rsidRPr="00560557">
        <w:rPr>
          <w:rStyle w:val="StyleUnderline"/>
        </w:rPr>
        <w:t xml:space="preserve">Mitnick </w:t>
      </w:r>
      <w:r>
        <w:rPr>
          <w:b/>
          <w:bCs/>
          <w:u w:val="single"/>
          <w:shd w:val="clear" w:color="auto" w:fill="FFFF00"/>
        </w:rPr>
        <w:t>defines ‘regulation’ as the “intentional restriction of a subject’s choice of activity.” Government regulation is the effort of government to steer the decisions and actions of specific societal actors</w:t>
      </w:r>
      <w:r w:rsidRPr="00417B03">
        <w:rPr>
          <w:sz w:val="8"/>
        </w:rPr>
        <w:t xml:space="preserve"> </w:t>
      </w:r>
      <w:r w:rsidRPr="00417B03">
        <w:rPr>
          <w:sz w:val="8"/>
          <w:szCs w:val="16"/>
        </w:rPr>
        <w:t>according</w:t>
      </w:r>
      <w:r w:rsidRPr="00417B03">
        <w:rPr>
          <w:sz w:val="8"/>
        </w:rPr>
        <w:t xml:space="preserve"> </w:t>
      </w:r>
      <w:r>
        <w:rPr>
          <w:b/>
          <w:bCs/>
          <w:u w:val="single"/>
          <w:shd w:val="clear" w:color="auto" w:fill="FFFF00"/>
        </w:rPr>
        <w:t>to the objectives</w:t>
      </w:r>
      <w:r w:rsidRPr="00417B03">
        <w:rPr>
          <w:sz w:val="8"/>
          <w:shd w:val="clear" w:color="auto" w:fill="FFFF00"/>
        </w:rPr>
        <w:t xml:space="preserve"> </w:t>
      </w:r>
      <w:r w:rsidRPr="00417B03">
        <w:rPr>
          <w:sz w:val="8"/>
          <w:szCs w:val="16"/>
        </w:rPr>
        <w:t xml:space="preserve">the government has </w:t>
      </w:r>
      <w:r>
        <w:rPr>
          <w:b/>
          <w:bCs/>
          <w:u w:val="single"/>
          <w:shd w:val="clear" w:color="auto" w:fill="FFFF00"/>
        </w:rPr>
        <w:t>set and</w:t>
      </w:r>
      <w:r w:rsidRPr="00417B03">
        <w:rPr>
          <w:sz w:val="8"/>
        </w:rPr>
        <w:t xml:space="preserve"> </w:t>
      </w:r>
      <w:r w:rsidRPr="00417B03">
        <w:rPr>
          <w:sz w:val="8"/>
          <w:szCs w:val="16"/>
        </w:rPr>
        <w:t>by</w:t>
      </w:r>
      <w:r w:rsidRPr="00417B03">
        <w:rPr>
          <w:sz w:val="8"/>
        </w:rPr>
        <w:t xml:space="preserve"> </w:t>
      </w:r>
      <w:r>
        <w:rPr>
          <w:b/>
          <w:bCs/>
          <w:u w:val="single"/>
          <w:shd w:val="clear" w:color="auto" w:fill="FFFF00"/>
        </w:rPr>
        <w:t>using instruments government has</w:t>
      </w:r>
      <w:r w:rsidRPr="00417B03">
        <w:rPr>
          <w:sz w:val="8"/>
        </w:rPr>
        <w:t xml:space="preserve"> </w:t>
      </w:r>
      <w:r w:rsidRPr="00844D6B">
        <w:rPr>
          <w:sz w:val="16"/>
        </w:rPr>
        <w:t>at its disposal (van Vught 1994, 327). In the management literature, reasons have been given to justify governmental influence on and in higher education systems and their institutions</w:t>
      </w:r>
    </w:p>
    <w:p w14:paraId="37C03C8D" w14:textId="77777777" w:rsidR="00844D6B" w:rsidRPr="00844D6B" w:rsidRDefault="00844D6B" w:rsidP="003766B7">
      <w:pPr>
        <w:pStyle w:val="Heading3"/>
      </w:pPr>
    </w:p>
    <w:p w14:paraId="20BBAA0A" w14:textId="22D96B7F" w:rsidR="00A26334" w:rsidRDefault="00A26334" w:rsidP="00560557">
      <w:pPr>
        <w:pStyle w:val="Heading1"/>
      </w:pPr>
      <w:r>
        <w:t>Teacher Shortages/Starter Pack Aff</w:t>
      </w:r>
    </w:p>
    <w:p w14:paraId="5A7703CB" w14:textId="77777777" w:rsidR="00A26334" w:rsidRDefault="00A26334" w:rsidP="00A26334"/>
    <w:p w14:paraId="0F242D2A" w14:textId="6F8BABA5" w:rsidR="001E3089" w:rsidRDefault="001E3089" w:rsidP="00563299">
      <w:pPr>
        <w:pStyle w:val="Heading3"/>
      </w:pPr>
      <w:r>
        <w:t>Solvency</w:t>
      </w:r>
    </w:p>
    <w:p w14:paraId="79E55F73" w14:textId="77777777" w:rsidR="001E3089" w:rsidRDefault="001E3089" w:rsidP="001E3089"/>
    <w:p w14:paraId="57DDF71A" w14:textId="77777777" w:rsidR="001E3089" w:rsidRDefault="001E3089" w:rsidP="001E3089">
      <w:pPr>
        <w:pStyle w:val="Heading4"/>
      </w:pPr>
      <w:r>
        <w:t xml:space="preserve">Teacher shortages are a problem now- incentives are needed. </w:t>
      </w:r>
    </w:p>
    <w:p w14:paraId="795D83F2" w14:textId="4F55FD17" w:rsidR="001E3089" w:rsidRPr="006F1413" w:rsidRDefault="001E3089" w:rsidP="001E3089">
      <w:r w:rsidRPr="009F6192">
        <w:t xml:space="preserve">Tim </w:t>
      </w:r>
      <w:r w:rsidRPr="009F6192">
        <w:rPr>
          <w:rStyle w:val="Style13ptBold"/>
        </w:rPr>
        <w:t>Worstall 16</w:t>
      </w:r>
      <w:r w:rsidRPr="009F6192">
        <w:t xml:space="preserve">, Fellow at the Adam Smith Institute in London, 9-15-2016, "Sure, If You Have A Teacher Shortage Then Raising Teacher Pay Sounds Sensible," Forbes, </w:t>
      </w:r>
      <w:hyperlink r:id="rId10" w:history="1">
        <w:r w:rsidRPr="00397209">
          <w:rPr>
            <w:rStyle w:val="Hyperlink"/>
          </w:rPr>
          <w:t>https://www.forbes.com/sites/timworstall/2016/09/15/sure-if-youve-a-teacher-shortage-then-raising-teacher-pay-sounds-sensible/#766054513075</w:t>
        </w:r>
      </w:hyperlink>
      <w:r>
        <w:t>, GDI-</w:t>
      </w:r>
      <w:r w:rsidR="002624C8">
        <w:t>KC</w:t>
      </w:r>
    </w:p>
    <w:p w14:paraId="139BE383" w14:textId="77777777" w:rsidR="001E3089" w:rsidRPr="006F1413" w:rsidRDefault="001E3089" w:rsidP="001E3089">
      <w:pPr>
        <w:rPr>
          <w:sz w:val="10"/>
        </w:rPr>
      </w:pPr>
      <w:r w:rsidRPr="006F1413">
        <w:rPr>
          <w:sz w:val="10"/>
        </w:rPr>
        <w:t xml:space="preserve">The most basic concept within economics is that of supply and demand. That's why they always put the discussion of it right at the front of the textbooks. The way to increase the supply of something is to increase the price being paid for it. This is fortunate as in a market economy an increase in demand is the very thing which then increases supply as that increase in demand leads to a rise in the price being paid. Where this doesn't work so well is where we've not really got a proper market going on. And wages for public servants aren't really a pure and clear free market, thus we might want to gee along the understanding. </w:t>
      </w:r>
      <w:r w:rsidRPr="006F1413">
        <w:rPr>
          <w:u w:val="single"/>
        </w:rPr>
        <w:t>As here -- there's an apparent shortage of teachers in the United States</w:t>
      </w:r>
      <w:r w:rsidRPr="006F1413">
        <w:rPr>
          <w:rStyle w:val="StyleUnderline"/>
        </w:rPr>
        <w:t xml:space="preserve">. </w:t>
      </w:r>
      <w:proofErr w:type="gramStart"/>
      <w:r w:rsidRPr="006F1413">
        <w:rPr>
          <w:rStyle w:val="StyleUnderline"/>
        </w:rPr>
        <w:t>Thus</w:t>
      </w:r>
      <w:proofErr w:type="gramEnd"/>
      <w:r w:rsidRPr="006F1413">
        <w:rPr>
          <w:rStyle w:val="StyleUnderline"/>
        </w:rPr>
        <w:t xml:space="preserve"> we should at least be thinking about raising the wages on offer to teachers</w:t>
      </w:r>
      <w:r w:rsidRPr="006F1413">
        <w:rPr>
          <w:sz w:val="10"/>
        </w:rPr>
        <w:t xml:space="preserve">. The basic problem is that there aren't as many people offering themselves as being ready to work as teachers as schools would like to employ: </w:t>
      </w:r>
      <w:r w:rsidRPr="006F1413">
        <w:rPr>
          <w:rStyle w:val="StyleUnderline"/>
        </w:rPr>
        <w:t>The United States is facing its first major teacher shortage since the 1990s, one that could develop into a crisis for schools in many parts of the country, according to a new study by the Learning Policy Institute, an education think tank</w:t>
      </w:r>
      <w:r w:rsidRPr="006F1413">
        <w:rPr>
          <w:sz w:val="10"/>
        </w:rPr>
        <w:t xml:space="preserve">. The shortfall is a result of increased demand for teachers as schools reinstate classes and programs axed during the Great Recession. It has been compounded by a dramatic decrease in the supply of new teachers entering the profession. Enrollment in teacher preparation programs dropped from 691,000 in 2009 to 451,000 in 2014, a 35 percent decline, according to the study, "A Coming Crisis in Teaching? Teacher Supply, Demand and Shortages in the U.S." It's not quite a crisis. It's that there aren't quite as many would be teachers around as the schools would like rather than there simply not being enough bodies to offer a service of any kind. </w:t>
      </w:r>
      <w:r w:rsidRPr="006F1413">
        <w:rPr>
          <w:rStyle w:val="StyleUnderline"/>
        </w:rPr>
        <w:t>Students may be back in class, but many public schools are still scrambling to find teachers</w:t>
      </w:r>
      <w:r w:rsidRPr="006F1413">
        <w:rPr>
          <w:sz w:val="10"/>
        </w:rPr>
        <w:t xml:space="preserve">. Not only are fewer people coming into the profession, lots of teachers are leaving after just a couple years, according to a new report from the Learning Policy Institute. </w:t>
      </w:r>
      <w:r w:rsidRPr="006F1413">
        <w:rPr>
          <w:rStyle w:val="StyleUnderline"/>
        </w:rPr>
        <w:t>Last year, public schools were short some 60,000 teachers, and if things don't turn around, the shortage could nearly double within a couple years, the report said.</w:t>
      </w:r>
      <w:r w:rsidRPr="006F1413">
        <w:rPr>
          <w:sz w:val="10"/>
        </w:rPr>
        <w:t xml:space="preserve"> Again, not really a crisis. There're 3 million teaches across the country. A 2% shortage isn't a crisis. However, </w:t>
      </w:r>
      <w:r w:rsidRPr="006F1413">
        <w:rPr>
          <w:rStyle w:val="StyleUnderline"/>
        </w:rPr>
        <w:t>our basic supply and demand idea would seem to indicate that higher wages or salaries would solve most of the problem</w:t>
      </w:r>
      <w:r w:rsidRPr="006F1413">
        <w:rPr>
          <w:sz w:val="10"/>
        </w:rPr>
        <w:t xml:space="preserve">. For there're many more people trained as teachers than actually work as one. It's very much more that people trained go off and do other things that is the issue, not that we've not got enough people with the right pieces of paper. And the report itself does indeed say that changing wages would be a good idea: Salaries and Other Compensation Teachers’ salaries affect the supply of teachers, including the distribution of teachers across districts, and the quality and quantity of individuals preparing to be teachers. Salaries also appear to influence teacher attrition—teachers are more likely to quit when they work in districts with lower wages. </w:t>
      </w:r>
      <w:r w:rsidRPr="006F1413">
        <w:rPr>
          <w:rStyle w:val="StyleUnderline"/>
        </w:rPr>
        <w:t>Better pay is also what would bring them back to the classroom. Of public school teachers who left the profession in 2012 and said they would consider returning, 67% rated an increase in salary as extremely or very important to their decision to return.</w:t>
      </w:r>
      <w:r w:rsidRPr="006F1413">
        <w:rPr>
          <w:sz w:val="10"/>
        </w:rPr>
        <w:t xml:space="preserve"> Despite the evidence that salaries influence teacher recruitment and retention, a teacher’s salary in much of the United States is too low to support a middle-class existence. A recent study from the Center for American Progress, for example, found that, in 30 states, mid-career teachers who head families of four or more are eligible for government subsidies, such as subsidized children’s health insurance or free or reduced-price school meals. That comparison to government support isn't relevant. Because as the report also points out it isn't that there's a general shortage of teachers. It's that </w:t>
      </w:r>
      <w:r w:rsidRPr="006F1413">
        <w:rPr>
          <w:rStyle w:val="StyleUnderline"/>
        </w:rPr>
        <w:t>there's a shortage in certain subjects. Math</w:t>
      </w:r>
      <w:r w:rsidRPr="006F1413">
        <w:rPr>
          <w:sz w:val="10"/>
        </w:rPr>
        <w:t xml:space="preserve">, special education and bilingual work </w:t>
      </w:r>
      <w:r w:rsidRPr="006F1413">
        <w:rPr>
          <w:rStyle w:val="StyleUnderline"/>
        </w:rPr>
        <w:t>being especially mentioned</w:t>
      </w:r>
      <w:r w:rsidRPr="006F1413">
        <w:rPr>
          <w:sz w:val="10"/>
        </w:rPr>
        <w:t>. What we therefore need is not a general rise in the salaries of all teachers. We need a rise in the salaries of certain specific types of teacher. It is specific skills that are being looked for therefore it is the payment for specific skills which needs to change. And that, of course, runs smack into the teachers' unions. Which is really where our problem is. We don't actually have a free market in teacher salaries. Which is why the adjustment hasn't happened yet. The correct way to do this is for each school to have a budget which is then spent as the management of the school see fit. If they think they require another math teacher then they get to offer whatever amount they need to to gain one of the requisite skill and experience. All of which means no union norms, no enforced equivalence. If there are 20 applicants for each gender studies teaching job and 0.5 for each math one then math teachers should be paid more than gender studies teachers. For markets really do work - and if we leave them alone then we won't have a shortage of teachers because the market will already have worked.</w:t>
      </w:r>
    </w:p>
    <w:p w14:paraId="5C44D64C" w14:textId="77777777" w:rsidR="001E3089" w:rsidRPr="001E3089" w:rsidRDefault="001E3089" w:rsidP="001E3089"/>
    <w:p w14:paraId="09FDBE6F" w14:textId="570560FE" w:rsidR="00A26334" w:rsidRDefault="00563299" w:rsidP="00563299">
      <w:pPr>
        <w:pStyle w:val="Heading3"/>
      </w:pPr>
      <w:r>
        <w:t>AT: Unions Takeout</w:t>
      </w:r>
    </w:p>
    <w:p w14:paraId="3CB592E2" w14:textId="77777777" w:rsidR="00A26334" w:rsidRPr="00A26334" w:rsidRDefault="00A26334" w:rsidP="00A26334">
      <w:pPr>
        <w:pStyle w:val="Heading4"/>
      </w:pPr>
      <w:r w:rsidRPr="00A26334">
        <w:t>Teachers unions aren’t the problem – they no longer protect incompetent teachers and are generally helpful</w:t>
      </w:r>
    </w:p>
    <w:p w14:paraId="1CD0A997" w14:textId="5092CAA6" w:rsidR="00A26334" w:rsidRPr="00A26334" w:rsidRDefault="00A26334" w:rsidP="00A26334">
      <w:r w:rsidRPr="00A26334">
        <w:rPr>
          <w:rStyle w:val="Heading4Char"/>
        </w:rPr>
        <w:t>Kahlenberg</w:t>
      </w:r>
      <w:r>
        <w:rPr>
          <w:rStyle w:val="Heading4Char"/>
        </w:rPr>
        <w:t xml:space="preserve"> 17</w:t>
      </w:r>
      <w:r w:rsidRPr="00A26334">
        <w:t>, Richard D.</w:t>
      </w:r>
      <w:proofErr w:type="gramStart"/>
      <w:r w:rsidRPr="00A26334">
        <w:t>,  a</w:t>
      </w:r>
      <w:proofErr w:type="gramEnd"/>
      <w:r w:rsidRPr="00A26334">
        <w:t xml:space="preserve"> senior fellow at The Century Foundation, "It's Not the Teachers' Unions." The American Prospect. N.p., 12 Oct. 2010. Web. 21 July 2017. </w:t>
      </w:r>
      <w:hyperlink r:id="rId11" w:history="1">
        <w:r w:rsidRPr="00397209">
          <w:rPr>
            <w:rStyle w:val="Hyperlink"/>
          </w:rPr>
          <w:t>http://prospect.org/article/its-not-teachers-unions</w:t>
        </w:r>
      </w:hyperlink>
      <w:r>
        <w:t>, GDI-DH</w:t>
      </w:r>
    </w:p>
    <w:p w14:paraId="0C06D642" w14:textId="77777777" w:rsidR="00A26334" w:rsidRPr="00352D3B" w:rsidRDefault="00A26334" w:rsidP="00A26334">
      <w:pPr>
        <w:rPr>
          <w:sz w:val="16"/>
        </w:rPr>
      </w:pPr>
      <w:r w:rsidRPr="00352D3B">
        <w:rPr>
          <w:rStyle w:val="StyleUnderline"/>
        </w:rPr>
        <w:t>The resignation of Washington, D.C., Schools Chancellor Michelle Rhee concludes the latest chapter in the ongoing war between free-market education reformers and teachers’ unions. Many Rhee supporters blame union opposition for the electoral defeat of Rhee’s boss, Mayor Adrian Fenty, and see unions as the biggest problem in education.</w:t>
      </w:r>
      <w:r w:rsidRPr="00352D3B">
        <w:rPr>
          <w:rFonts w:ascii="DroidSerif" w:hAnsi="DroidSerif" w:cs="DroidSerif"/>
          <w:color w:val="262626"/>
          <w:sz w:val="16"/>
          <w:szCs w:val="32"/>
        </w:rPr>
        <w:t xml:space="preserve"> In the much-discussed documentary, </w:t>
      </w:r>
      <w:r w:rsidRPr="00352D3B">
        <w:rPr>
          <w:rFonts w:ascii="DroidSerif-Italic" w:hAnsi="DroidSerif-Italic" w:cs="DroidSerif-Italic"/>
          <w:i/>
          <w:iCs/>
          <w:color w:val="262626"/>
          <w:sz w:val="16"/>
          <w:szCs w:val="32"/>
        </w:rPr>
        <w:t>Waiting for Superman</w:t>
      </w:r>
      <w:r w:rsidRPr="00352D3B">
        <w:rPr>
          <w:rFonts w:ascii="DroidSerif" w:hAnsi="DroidSerif" w:cs="DroidSerif"/>
          <w:color w:val="262626"/>
          <w:sz w:val="16"/>
          <w:szCs w:val="32"/>
        </w:rPr>
        <w:t xml:space="preserve">, in which Rhee is painted as a heroine, </w:t>
      </w:r>
      <w:r w:rsidRPr="00352D3B">
        <w:rPr>
          <w:rFonts w:ascii="DroidSerif-Italic" w:hAnsi="DroidSerif-Italic" w:cs="DroidSerif-Italic"/>
          <w:i/>
          <w:iCs/>
          <w:color w:val="262626"/>
          <w:sz w:val="16"/>
          <w:szCs w:val="32"/>
        </w:rPr>
        <w:t>Newsweek</w:t>
      </w:r>
      <w:r w:rsidRPr="00352D3B">
        <w:rPr>
          <w:rFonts w:ascii="DroidSerif" w:hAnsi="DroidSerif" w:cs="DroidSerif"/>
          <w:color w:val="262626"/>
          <w:sz w:val="16"/>
          <w:szCs w:val="32"/>
        </w:rPr>
        <w:t xml:space="preserve"> columnist Jonathan Alter declares, "It's very, very important to hold two contradictory ideas in your head at the same time. Teachers are great, a national treasure. Teachers' unions are, generally speaking, a menace and an impediment to reform." </w:t>
      </w:r>
      <w:r w:rsidRPr="00352D3B">
        <w:rPr>
          <w:rStyle w:val="StyleUnderline"/>
        </w:rPr>
        <w:t>The dichotomy (teachers good, unions bad), which has been a staple of conservative rhetoric for years, has taken hold among the center-left as well.</w:t>
      </w:r>
      <w:r w:rsidRPr="00352D3B">
        <w:rPr>
          <w:rFonts w:ascii="DroidSerif" w:hAnsi="DroidSerif" w:cs="DroidSerif"/>
          <w:color w:val="262626"/>
          <w:sz w:val="16"/>
          <w:szCs w:val="32"/>
        </w:rPr>
        <w:t xml:space="preserve"> Like Alter, the director of </w:t>
      </w:r>
      <w:r w:rsidRPr="00352D3B">
        <w:rPr>
          <w:rFonts w:ascii="DroidSerif-Italic" w:hAnsi="DroidSerif-Italic" w:cs="DroidSerif-Italic"/>
          <w:i/>
          <w:iCs/>
          <w:color w:val="262626"/>
          <w:sz w:val="16"/>
          <w:szCs w:val="32"/>
        </w:rPr>
        <w:t>Superman</w:t>
      </w:r>
      <w:r w:rsidRPr="00352D3B">
        <w:rPr>
          <w:rFonts w:ascii="DroidSerif" w:hAnsi="DroidSerif" w:cs="DroidSerif"/>
          <w:color w:val="262626"/>
          <w:sz w:val="16"/>
          <w:szCs w:val="32"/>
        </w:rPr>
        <w:t xml:space="preserve">, Davis Guggenheim, is a self-described liberal who nevertheless paints unions as the central problem in urban education and nonunion charter schools as the solution. They're part of a broader movement: Democrats for Education Reform, financed by hedge-fund managers, was created to represent voices within the Democratic Party that think teachers' unions play a destructive role -- voices like those of President Barack Obama and Education Secretary Arne Duncan, both strong advocates of nonunion charter schools. Indeed, </w:t>
      </w:r>
      <w:r w:rsidRPr="00352D3B">
        <w:rPr>
          <w:rStyle w:val="StyleUnderline"/>
        </w:rPr>
        <w:t>it is fair to say that teachers' unions are today facing the strongest critique from the left and center-left since the 1968 New York City teachers' strike in Ocean Hill-Brownsville, which pitted the United Federation of Teachers' Albert Shanker against liberal Mayor John Lindsay, the Ford Foundation's McGeorge Bundy, black-power advocates, and many civil-rights leaders over teacher quality and control of the schools. Is it possible, though, to praise teachers and oppose teachers' unions? Shanker questioned the logic when Sen. Bob Dole tried to drive the same wedge between teachers and their unions in a speech at the 1996 Republican National Convention. "Who started teacher unions? Who pays the dues that keep them going? Who elects the officers and determines union policies?" he asked. Moreover, polls find that teachers are generally supportive of their unions</w:t>
      </w:r>
      <w:r w:rsidRPr="00352D3B">
        <w:rPr>
          <w:rFonts w:ascii="DroidSerif" w:hAnsi="DroidSerif" w:cs="DroidSerif"/>
          <w:color w:val="262626"/>
          <w:sz w:val="16"/>
          <w:szCs w:val="32"/>
        </w:rPr>
        <w:t xml:space="preserve">. For example, </w:t>
      </w:r>
      <w:r w:rsidRPr="00352D3B">
        <w:rPr>
          <w:rStyle w:val="StyleUnderline"/>
        </w:rPr>
        <w:t xml:space="preserve">a 2003 Public Agenda </w:t>
      </w:r>
      <w:hyperlink r:id="rId12" w:history="1">
        <w:r w:rsidRPr="00352D3B">
          <w:rPr>
            <w:rStyle w:val="StyleUnderline"/>
          </w:rPr>
          <w:t>poll</w:t>
        </w:r>
      </w:hyperlink>
      <w:r w:rsidRPr="00352D3B">
        <w:rPr>
          <w:rStyle w:val="StyleUnderline"/>
        </w:rPr>
        <w:t>, financed in part by the conservative Thomas B. Fordham Foundation, found that 81 percent of teachers strongly or somewhat agreed that "without the union, teachers would be vulnerable to school politics or administrators who abuse their power." Likewise, 81 percent strongly or somewhat agreed that "without collective bargaining, the working conditions and salaries of teachers would be much worse</w:t>
      </w:r>
      <w:r w:rsidRPr="00352D3B">
        <w:rPr>
          <w:rFonts w:ascii="DroidSerif" w:hAnsi="DroidSerif" w:cs="DroidSerif"/>
          <w:color w:val="262626"/>
          <w:sz w:val="16"/>
          <w:szCs w:val="32"/>
        </w:rPr>
        <w:t>." Even so</w:t>
      </w:r>
      <w:r w:rsidRPr="00352D3B">
        <w:rPr>
          <w:rStyle w:val="StyleUnderline"/>
        </w:rPr>
        <w:t xml:space="preserve">, might it still be true that teachers' unions are "a menace and an impediment to reform"? They don't seem to be stopping the Finns. As Guggenheim notes, Finland ranks the highest in the world in K-12 math and reading achievement, yet he fails to mention that almost all teachers in the country are unionized. Plus, some of the reforms to which teachers' unions are an impediment, such as nonunionized charter schools, don't seem to be working very well. </w:t>
      </w:r>
      <w:r w:rsidRPr="00352D3B">
        <w:rPr>
          <w:rFonts w:ascii="DroidSerif-Italic" w:hAnsi="DroidSerif-Italic" w:cs="DroidSerif-Italic"/>
          <w:i/>
          <w:iCs/>
          <w:color w:val="262626"/>
          <w:sz w:val="16"/>
          <w:szCs w:val="32"/>
        </w:rPr>
        <w:t>Superman</w:t>
      </w:r>
      <w:r w:rsidRPr="00352D3B">
        <w:rPr>
          <w:rFonts w:ascii="DroidSerif" w:hAnsi="DroidSerif" w:cs="DroidSerif"/>
          <w:color w:val="262626"/>
          <w:sz w:val="16"/>
          <w:szCs w:val="32"/>
        </w:rPr>
        <w:t xml:space="preserve"> mentions in passing that only one in five charter schools </w:t>
      </w:r>
      <w:r w:rsidRPr="00352D3B">
        <w:rPr>
          <w:rStyle w:val="StyleUnderline"/>
        </w:rPr>
        <w:t>produces</w:t>
      </w:r>
      <w:r w:rsidRPr="00352D3B">
        <w:rPr>
          <w:rFonts w:ascii="DroidSerif" w:hAnsi="DroidSerif" w:cs="DroidSerif"/>
          <w:color w:val="262626"/>
          <w:sz w:val="16"/>
          <w:szCs w:val="32"/>
        </w:rPr>
        <w:t xml:space="preserve"> "amazing" results, but in fact their track record is even worse than that: According to a large Stanford University funded by pro-charter school foundations, only 17 percent outperform regular public schools to any degree; 37 percent underperform; and 46 percent have no impact. Even conservative supporters of charter schools like Michael Petrilli of the Fordham Institute and Rick Hess of the American Enterprise Institute have chided Guggenheim for </w:t>
      </w:r>
      <w:hyperlink r:id="rId13" w:history="1">
        <w:r w:rsidRPr="00352D3B">
          <w:rPr>
            <w:rFonts w:ascii="DroidSerif-Bold" w:hAnsi="DroidSerif-Bold" w:cs="DroidSerif-Bold"/>
            <w:b/>
            <w:bCs/>
            <w:color w:val="032553"/>
            <w:sz w:val="16"/>
            <w:szCs w:val="32"/>
          </w:rPr>
          <w:t>saying</w:t>
        </w:r>
      </w:hyperlink>
      <w:r w:rsidRPr="00352D3B">
        <w:rPr>
          <w:rFonts w:ascii="DroidSerif" w:hAnsi="DroidSerif" w:cs="DroidSerif"/>
          <w:color w:val="262626"/>
          <w:sz w:val="16"/>
          <w:szCs w:val="32"/>
        </w:rPr>
        <w:t xml:space="preserve"> that certain charter schools have "cracked the code" and know how to close the achievement gap. This sounds more like "ed reformers on crack," Petrilli </w:t>
      </w:r>
      <w:hyperlink r:id="rId14" w:history="1">
        <w:r w:rsidRPr="00352D3B">
          <w:rPr>
            <w:rFonts w:ascii="DroidSerif-Bold" w:hAnsi="DroidSerif-Bold" w:cs="DroidSerif-Bold"/>
            <w:b/>
            <w:bCs/>
            <w:color w:val="032553"/>
            <w:sz w:val="16"/>
            <w:szCs w:val="32"/>
          </w:rPr>
          <w:t xml:space="preserve">wrote </w:t>
        </w:r>
      </w:hyperlink>
      <w:r w:rsidRPr="00352D3B">
        <w:rPr>
          <w:rFonts w:ascii="DroidSerif" w:hAnsi="DroidSerif" w:cs="DroidSerif"/>
          <w:color w:val="262626"/>
          <w:sz w:val="16"/>
          <w:szCs w:val="32"/>
        </w:rPr>
        <w:t xml:space="preserve">. </w:t>
      </w:r>
      <w:r w:rsidRPr="00352D3B">
        <w:rPr>
          <w:rStyle w:val="StyleUnderline"/>
        </w:rPr>
        <w:t>It is true that in the past, unions have protected incompetent teachers and opposed merit pay, but that's changing</w:t>
      </w:r>
      <w:r w:rsidRPr="00352D3B">
        <w:rPr>
          <w:rFonts w:ascii="DroidSerif" w:hAnsi="DroidSerif" w:cs="DroidSerif"/>
          <w:color w:val="262626"/>
          <w:sz w:val="16"/>
          <w:szCs w:val="32"/>
        </w:rPr>
        <w:t xml:space="preserve">. </w:t>
      </w:r>
      <w:r w:rsidRPr="00352D3B">
        <w:rPr>
          <w:rFonts w:ascii="DroidSerif-Italic" w:hAnsi="DroidSerif-Italic" w:cs="DroidSerif-Italic"/>
          <w:i/>
          <w:iCs/>
          <w:color w:val="262626"/>
          <w:sz w:val="16"/>
          <w:szCs w:val="32"/>
        </w:rPr>
        <w:t>Superman</w:t>
      </w:r>
      <w:r w:rsidRPr="00352D3B">
        <w:rPr>
          <w:rFonts w:ascii="DroidSerif" w:hAnsi="DroidSerif" w:cs="DroidSerif"/>
          <w:color w:val="262626"/>
          <w:sz w:val="16"/>
          <w:szCs w:val="32"/>
        </w:rPr>
        <w:t xml:space="preserve"> takes New York City's "rubber rooms," where teachers were paid to sit idly all day while they appealed their terminations, and the refusal of the Washington Teachers' Union to put Rhee's performance-pay plan to a member vote as exhibits A and B of unions' resistance to reform. But these are odd examples; </w:t>
      </w:r>
      <w:r w:rsidRPr="00352D3B">
        <w:rPr>
          <w:rStyle w:val="StyleUnderline"/>
        </w:rPr>
        <w:t xml:space="preserve">the rubber rooms are now gone and Rhee's performance-pay program has been voted on and approved by members. Similar performance-pay plans have been adopted with union support in Baltimore, New Haven, Pittsburgh, and Denver. Teachers' unions have also been at the forefront of efforts to root out incompetent teachers, though they often object to punitive evaluation systems that don't seek to help teachers improve and only rely on student test scores. The American Federation of Teachers supports a plan known as "peer review," in which outside expert teachers work with struggling educators to improve their performance, and recommend the termination of those who don't get better. In Montgomery County, Maryland, a National Education Association district, 177 teachers were dismissed, not renewed, or resigned under </w:t>
      </w:r>
      <w:hyperlink r:id="rId15" w:history="1">
        <w:r w:rsidRPr="00352D3B">
          <w:rPr>
            <w:rStyle w:val="StyleUnderline"/>
          </w:rPr>
          <w:t>a peer-review program</w:t>
        </w:r>
      </w:hyperlink>
      <w:r w:rsidRPr="00352D3B">
        <w:rPr>
          <w:rStyle w:val="StyleUnderline"/>
        </w:rPr>
        <w:t xml:space="preserve"> within the first four years of its implementation, compared with just one teacher who was dismissed due to performance issues in the preceding five years. Bad teachers are weeded out, but in a </w:t>
      </w:r>
      <w:proofErr w:type="gramStart"/>
      <w:r w:rsidRPr="00352D3B">
        <w:rPr>
          <w:rStyle w:val="StyleUnderline"/>
        </w:rPr>
        <w:t>way</w:t>
      </w:r>
      <w:proofErr w:type="gramEnd"/>
      <w:r w:rsidRPr="00352D3B">
        <w:rPr>
          <w:rStyle w:val="StyleUnderline"/>
        </w:rPr>
        <w:t xml:space="preserve"> that enhances the status of teachers by making education more like law and medicine, professions that police themselves</w:t>
      </w:r>
      <w:r w:rsidRPr="00352D3B">
        <w:rPr>
          <w:rFonts w:ascii="DroidSerif" w:hAnsi="DroidSerif" w:cs="DroidSerif"/>
          <w:color w:val="262626"/>
          <w:sz w:val="16"/>
          <w:szCs w:val="32"/>
        </w:rPr>
        <w:t xml:space="preserve">. Moreover, teachers' unions support a number of student-oriented reforms like stronger pre-K programs and common core academic standards, both of which have been shown to improve educational outcomes. Ben Jealous, president of the NAACP, </w:t>
      </w:r>
      <w:hyperlink r:id="rId16" w:history="1">
        <w:r w:rsidRPr="00352D3B">
          <w:rPr>
            <w:rFonts w:ascii="DroidSerif-Bold" w:hAnsi="DroidSerif-Bold" w:cs="DroidSerif-Bold"/>
            <w:b/>
            <w:bCs/>
            <w:color w:val="032553"/>
            <w:sz w:val="16"/>
            <w:szCs w:val="32"/>
          </w:rPr>
          <w:t>remarked</w:t>
        </w:r>
      </w:hyperlink>
      <w:r w:rsidRPr="00352D3B">
        <w:rPr>
          <w:rFonts w:ascii="DroidSerif" w:hAnsi="DroidSerif" w:cs="DroidSerif"/>
          <w:color w:val="262626"/>
          <w:sz w:val="16"/>
          <w:szCs w:val="32"/>
        </w:rPr>
        <w:t xml:space="preserve"> recently that </w:t>
      </w:r>
      <w:r w:rsidRPr="00352D3B">
        <w:rPr>
          <w:rStyle w:val="StyleUnderline"/>
        </w:rPr>
        <w:t>teachers' unions are often allies for very positive education programs</w:t>
      </w:r>
      <w:r w:rsidRPr="00352D3B">
        <w:rPr>
          <w:rFonts w:ascii="DroidSerif" w:hAnsi="DroidSerif" w:cs="DroidSerif"/>
          <w:color w:val="262626"/>
          <w:sz w:val="16"/>
          <w:szCs w:val="32"/>
        </w:rPr>
        <w:t>, such as the effort to maintain socioeconomically integrated schools in Wake County (Raleigh), North Carolina. Studies show that charter schools, on the other hand, have led to a re-segregation of schools. As teachers' unions weather the storm of political attacks from Hollywood directors and Democrats associated with Wall Street, the silver lining is that the hallowed political coalition between civil-rights groups and teachers' unions -- which was ruptured during the 1968 strikes -- is today rock solid. Unions and civil-rights groups are the most important players in the coalition for genuinely progressive education reform. If we could only convince the upper-middle-class armchair pundits and filmmakers of the evidence, we might get real education reform after all.</w:t>
      </w:r>
    </w:p>
    <w:p w14:paraId="667F4CE3" w14:textId="77777777" w:rsidR="00A26334" w:rsidRPr="00A26334" w:rsidRDefault="00A26334" w:rsidP="00A26334"/>
    <w:p w14:paraId="55F7AD62" w14:textId="77777777" w:rsidR="003766B7" w:rsidRDefault="003766B7" w:rsidP="003766B7">
      <w:pPr>
        <w:pStyle w:val="Heading3"/>
      </w:pPr>
      <w:bookmarkStart w:id="0" w:name="_GoBack"/>
      <w:bookmarkEnd w:id="0"/>
    </w:p>
    <w:p w14:paraId="5599B1AA" w14:textId="2D5B1CD7" w:rsidR="001F43C5" w:rsidRDefault="00560557" w:rsidP="00560557">
      <w:pPr>
        <w:pStyle w:val="Heading1"/>
      </w:pPr>
      <w:r>
        <w:t>Anti-Gay Curriculum AFF</w:t>
      </w:r>
    </w:p>
    <w:p w14:paraId="0B433BD5" w14:textId="77777777" w:rsidR="00560557" w:rsidRDefault="00560557" w:rsidP="00560557"/>
    <w:p w14:paraId="6FF4D6F4" w14:textId="6FF5784E" w:rsidR="00560557" w:rsidRDefault="00560557" w:rsidP="00560557">
      <w:pPr>
        <w:pStyle w:val="Heading3"/>
      </w:pPr>
      <w:r>
        <w:t>SQ Doesn’t Solve</w:t>
      </w:r>
    </w:p>
    <w:p w14:paraId="1EE7416F" w14:textId="77777777" w:rsidR="00560557" w:rsidRDefault="00560557" w:rsidP="00560557">
      <w:pPr>
        <w:pStyle w:val="Heading4"/>
      </w:pPr>
      <w:r>
        <w:t>SQ doesn’t solve — LGBTQ sex education low now, plan key to inclusive sex education.</w:t>
      </w:r>
    </w:p>
    <w:p w14:paraId="28C5FD4B" w14:textId="77777777" w:rsidR="00560557" w:rsidRPr="004A67FE" w:rsidRDefault="00560557" w:rsidP="00560557">
      <w:pPr>
        <w:rPr>
          <w:rFonts w:asciiTheme="majorHAnsi" w:hAnsiTheme="majorHAnsi" w:cstheme="majorHAnsi"/>
          <w:sz w:val="16"/>
        </w:rPr>
      </w:pPr>
      <w:r>
        <w:rPr>
          <w:rStyle w:val="Style13ptBold"/>
        </w:rPr>
        <w:t xml:space="preserve">Human Rights Campaign 15, </w:t>
      </w:r>
      <w:r w:rsidRPr="004A67FE">
        <w:rPr>
          <w:rFonts w:asciiTheme="majorHAnsi" w:hAnsiTheme="majorHAnsi" w:cstheme="majorHAnsi"/>
          <w:sz w:val="16"/>
        </w:rPr>
        <w:t xml:space="preserve">The Human Rights Campaign represents a force of more than 1.5 million members and supporters nationwide. As the largest national lesbian, gay, bisexual, transgender and queer civil rights organization, HRC envisions a world where LGBTQ people are ensured of their basic equal rights, and can be open, honest and safe at home, at work and in the community. “A Call to Action: LGBTQ Youth Need Inclusive Sex Education” 2015, </w:t>
      </w:r>
      <w:r>
        <w:rPr>
          <w:rFonts w:asciiTheme="majorHAnsi" w:hAnsiTheme="majorHAnsi" w:cstheme="majorHAnsi"/>
          <w:sz w:val="16"/>
        </w:rPr>
        <w:t>&lt;</w:t>
      </w:r>
      <w:hyperlink r:id="rId17" w:history="1">
        <w:r w:rsidRPr="004A67FE">
          <w:rPr>
            <w:rStyle w:val="Hyperlink"/>
            <w:rFonts w:asciiTheme="majorHAnsi" w:hAnsiTheme="majorHAnsi" w:cstheme="majorHAnsi"/>
            <w:sz w:val="16"/>
          </w:rPr>
          <w:t>http://assets.hrc.org//files/assets/resources/HRC-SexHealthBrief-2015.pdf?_ga=2.58286634.1267853941.1500678137-436552566.1500678137</w:t>
        </w:r>
      </w:hyperlink>
      <w:r w:rsidRPr="004A67FE">
        <w:rPr>
          <w:rFonts w:asciiTheme="majorHAnsi" w:hAnsiTheme="majorHAnsi" w:cstheme="majorHAnsi"/>
          <w:sz w:val="16"/>
        </w:rPr>
        <w:t xml:space="preserve"> d.o.a 7/21/17</w:t>
      </w:r>
      <w:r>
        <w:rPr>
          <w:rFonts w:asciiTheme="majorHAnsi" w:hAnsiTheme="majorHAnsi" w:cstheme="majorHAnsi"/>
          <w:sz w:val="16"/>
        </w:rPr>
        <w:t>&gt; GDI - DS</w:t>
      </w:r>
    </w:p>
    <w:p w14:paraId="4E92E20A" w14:textId="77777777" w:rsidR="00560557" w:rsidRDefault="00560557" w:rsidP="00560557">
      <w:pPr>
        <w:rPr>
          <w:sz w:val="10"/>
        </w:rPr>
      </w:pPr>
      <w:r w:rsidRPr="00561FE1">
        <w:rPr>
          <w:sz w:val="10"/>
        </w:rPr>
        <w:t xml:space="preserve">Lesbian, gay, bisexual, transgender, queer and questioning </w:t>
      </w:r>
      <w:r w:rsidRPr="004A67FE">
        <w:rPr>
          <w:rStyle w:val="StyleUnderline"/>
        </w:rPr>
        <w:t>(LGBTQ) youth need and deserve to learn in settings that are inclusive of their experiences</w:t>
      </w:r>
      <w:r w:rsidRPr="00561FE1">
        <w:rPr>
          <w:sz w:val="10"/>
        </w:rPr>
        <w:t xml:space="preserve"> and that give them the education necessary to stay safe and healthy. </w:t>
      </w:r>
      <w:r w:rsidRPr="004A67FE">
        <w:rPr>
          <w:rStyle w:val="StyleUnderline"/>
        </w:rPr>
        <w:t>Far too many</w:t>
      </w:r>
      <w:r w:rsidRPr="00561FE1">
        <w:rPr>
          <w:sz w:val="10"/>
        </w:rPr>
        <w:t xml:space="preserve"> LGBTQ youth are sitting in classrooms where their </w:t>
      </w:r>
      <w:r w:rsidRPr="004A67FE">
        <w:rPr>
          <w:rStyle w:val="StyleUnderline"/>
        </w:rPr>
        <w:t>teachers and textbooks fail to appropriately address their identities, behaviors and experiences</w:t>
      </w:r>
      <w:r w:rsidRPr="00561FE1">
        <w:rPr>
          <w:sz w:val="10"/>
        </w:rPr>
        <w:t xml:space="preserve">. Nowhere is this absence </w:t>
      </w:r>
      <w:proofErr w:type="gramStart"/>
      <w:r w:rsidRPr="00561FE1">
        <w:rPr>
          <w:sz w:val="10"/>
        </w:rPr>
        <w:t>more clear</w:t>
      </w:r>
      <w:proofErr w:type="gramEnd"/>
      <w:r w:rsidRPr="00561FE1">
        <w:rPr>
          <w:sz w:val="10"/>
        </w:rPr>
        <w:t xml:space="preserve">, and potentially more damaging, than in sex education. Sex education can be one of the few sources of reliable information on sexuality and sexual health for youth. Hundreds of studies have shown that well-designed and </w:t>
      </w:r>
      <w:r w:rsidRPr="004A67FE">
        <w:rPr>
          <w:rStyle w:val="StyleUnderline"/>
        </w:rPr>
        <w:t>well-implemented sex education can reduce risk behavior and support positive sexual health outcomes</w:t>
      </w:r>
      <w:r w:rsidRPr="00561FE1">
        <w:rPr>
          <w:sz w:val="10"/>
        </w:rPr>
        <w:t xml:space="preserve"> among teens, such as reducing teen pregnancy and sexually transmitted infection rates.</w:t>
      </w:r>
      <w:r w:rsidRPr="00561FE1">
        <w:rPr>
          <w:sz w:val="10"/>
          <w:vertAlign w:val="superscript"/>
        </w:rPr>
        <w:t xml:space="preserve">1 </w:t>
      </w:r>
      <w:r w:rsidRPr="00561FE1">
        <w:rPr>
          <w:sz w:val="10"/>
        </w:rPr>
        <w:t xml:space="preserve">For LGBTQ youth to experience comparable health benefits to their non-LGBTQ peers, sex education programs must be LGBTQ-inclusive. Inclusive programs are those that help youth understand gender identity and sexual orientation with age-appropriate and medically accurate information; incorporate positive examples of LGBTQ individuals, romantic relationships and families; emphasize the need for protection during sex for people of all identities; and dispel common myths and stereotypes about behavior and identity. </w:t>
      </w:r>
      <w:r w:rsidRPr="004A67FE">
        <w:rPr>
          <w:rStyle w:val="StyleUnderline"/>
        </w:rPr>
        <w:t>Whether legally barred or simply ignored, LGBTQ-inclusive sex education is not available for most youth</w:t>
      </w:r>
      <w:r w:rsidRPr="00561FE1">
        <w:rPr>
          <w:sz w:val="10"/>
        </w:rPr>
        <w:t xml:space="preserve">. </w:t>
      </w:r>
      <w:hyperlink r:id="rId18" w:tgtFrame="_blank" w:history="1">
        <w:r w:rsidRPr="00561FE1">
          <w:rPr>
            <w:rStyle w:val="Hyperlink"/>
            <w:sz w:val="10"/>
          </w:rPr>
          <w:t>The GLSEN 2013 National School Climate Survey</w:t>
        </w:r>
      </w:hyperlink>
      <w:r w:rsidRPr="00561FE1">
        <w:rPr>
          <w:sz w:val="10"/>
        </w:rPr>
        <w:t xml:space="preserve"> found that </w:t>
      </w:r>
      <w:r w:rsidRPr="00561FE1">
        <w:rPr>
          <w:rStyle w:val="Emphasis"/>
        </w:rPr>
        <w:t>fewer than five percent of LGBT students had health classes that included positive representations of LGBT-related topics</w:t>
      </w:r>
      <w:r w:rsidRPr="00561FE1">
        <w:rPr>
          <w:sz w:val="10"/>
        </w:rPr>
        <w:t>.</w:t>
      </w:r>
      <w:r w:rsidRPr="00561FE1">
        <w:rPr>
          <w:sz w:val="10"/>
          <w:vertAlign w:val="superscript"/>
        </w:rPr>
        <w:t>2</w:t>
      </w:r>
      <w:r w:rsidRPr="00561FE1">
        <w:rPr>
          <w:sz w:val="10"/>
        </w:rPr>
        <w:t xml:space="preserve"> Among Millenials </w:t>
      </w:r>
      <w:hyperlink r:id="rId19" w:tgtFrame="_blank" w:history="1">
        <w:r w:rsidRPr="00561FE1">
          <w:rPr>
            <w:rStyle w:val="Hyperlink"/>
            <w:sz w:val="10"/>
          </w:rPr>
          <w:t>surveyed</w:t>
        </w:r>
      </w:hyperlink>
      <w:r w:rsidRPr="00561FE1">
        <w:rPr>
          <w:sz w:val="10"/>
        </w:rPr>
        <w:t xml:space="preserve"> in 2015, </w:t>
      </w:r>
      <w:r w:rsidRPr="00561FE1">
        <w:rPr>
          <w:rStyle w:val="Emphasis"/>
        </w:rPr>
        <w:t>only 12 percent said their sex education classes covered same-sex relationships</w:t>
      </w:r>
      <w:r w:rsidRPr="00561FE1">
        <w:rPr>
          <w:sz w:val="10"/>
        </w:rPr>
        <w:t>.</w:t>
      </w:r>
      <w:r w:rsidRPr="00561FE1">
        <w:rPr>
          <w:sz w:val="10"/>
          <w:vertAlign w:val="superscript"/>
        </w:rPr>
        <w:t>3</w:t>
      </w:r>
      <w:r w:rsidRPr="00561FE1">
        <w:rPr>
          <w:sz w:val="10"/>
        </w:rPr>
        <w:t xml:space="preserve"> </w:t>
      </w:r>
      <w:r w:rsidRPr="00561FE1">
        <w:rPr>
          <w:rStyle w:val="StyleUnderline"/>
        </w:rPr>
        <w:t xml:space="preserve">In qualitative research conducted by Planned Parenthood Federation of America (PPFA) and the Human Rights Campaign (HRC) Foundation, LGBTQ youth reported </w:t>
      </w:r>
      <w:r w:rsidRPr="00561FE1">
        <w:rPr>
          <w:sz w:val="10"/>
        </w:rPr>
        <w:t xml:space="preserve">either </w:t>
      </w:r>
      <w:r w:rsidRPr="00561FE1">
        <w:rPr>
          <w:rStyle w:val="StyleUnderline"/>
        </w:rPr>
        <w:t>not having any sex education in their schools</w:t>
      </w:r>
      <w:r w:rsidRPr="00561FE1">
        <w:rPr>
          <w:sz w:val="10"/>
        </w:rPr>
        <w:t xml:space="preserve"> </w:t>
      </w:r>
      <w:r w:rsidRPr="00561FE1">
        <w:rPr>
          <w:rStyle w:val="StyleUnderline"/>
        </w:rPr>
        <w:t>or having limited sex education that was</w:t>
      </w:r>
      <w:r w:rsidRPr="00561FE1">
        <w:rPr>
          <w:sz w:val="10"/>
        </w:rPr>
        <w:t xml:space="preserve"> primarily or </w:t>
      </w:r>
      <w:r w:rsidRPr="00561FE1">
        <w:rPr>
          <w:rStyle w:val="StyleUnderline"/>
        </w:rPr>
        <w:t>exclusively focused on heterosexual relationships</w:t>
      </w:r>
      <w:r w:rsidRPr="00561FE1">
        <w:rPr>
          <w:sz w:val="10"/>
        </w:rPr>
        <w:t xml:space="preserve"> </w:t>
      </w:r>
      <w:r w:rsidRPr="00561FE1">
        <w:rPr>
          <w:rStyle w:val="StyleUnderline"/>
        </w:rPr>
        <w:t xml:space="preserve">between cisgender people </w:t>
      </w:r>
      <w:r w:rsidRPr="00561FE1">
        <w:rPr>
          <w:sz w:val="10"/>
        </w:rPr>
        <w:t>(people whose gender identity matches their sex assigned at birth), and pregnancy prevention within those relationships. The research also showed that LGBTQ youth have a limited number of trusted adults they feel comfortable talking with about sexual health, so they frequently seek information online or from peers. Much of the sexual health information online is neither age-appropriate nor medically accurate, and peers may be misinformed. Sex education ought to help close this gap. Both public health organizations and the vast majority of parents agree and support LGBTQ-inclusive sex education. Eighty-five percent of parents surveyed supported discussion of sexual orientation as part of sex education in high school and 78 percent supported it in middle school.</w:t>
      </w:r>
      <w:r w:rsidRPr="00561FE1">
        <w:rPr>
          <w:sz w:val="10"/>
          <w:vertAlign w:val="superscript"/>
        </w:rPr>
        <w:t>4</w:t>
      </w:r>
      <w:r w:rsidRPr="00561FE1">
        <w:rPr>
          <w:sz w:val="10"/>
        </w:rPr>
        <w:t xml:space="preserve"> </w:t>
      </w:r>
      <w:r w:rsidRPr="00561FE1">
        <w:rPr>
          <w:rStyle w:val="StyleUnderline"/>
        </w:rPr>
        <w:t>Sex education is a logical venue to help all youth learn about sexual orientation and gender identity, and to encourage acceptance</w:t>
      </w:r>
      <w:r w:rsidRPr="00561FE1">
        <w:rPr>
          <w:sz w:val="10"/>
        </w:rPr>
        <w:t xml:space="preserve"> for LGBTQ people and families. When sex education is another area where LGBTQ youth are overlooked or actively stigmatized, however, it contributes to hostile school environments and places LGBTQ youth at increased risk for negative sexual health outcomes.</w:t>
      </w:r>
    </w:p>
    <w:p w14:paraId="37152CAA" w14:textId="425F57FD" w:rsidR="00560557" w:rsidRDefault="00560557" w:rsidP="00560557">
      <w:pPr>
        <w:pStyle w:val="Heading3"/>
      </w:pPr>
      <w:r>
        <w:t>Solves Health/Safety</w:t>
      </w:r>
    </w:p>
    <w:p w14:paraId="73F67185" w14:textId="77777777" w:rsidR="00560557" w:rsidRDefault="00560557" w:rsidP="00560557">
      <w:pPr>
        <w:pStyle w:val="Heading4"/>
      </w:pPr>
      <w:r>
        <w:t>Enabling LGBT-Inclusive Sex Education Means Healthier Youth and Safer Schools</w:t>
      </w:r>
    </w:p>
    <w:p w14:paraId="506DFDFE" w14:textId="77777777" w:rsidR="00560557" w:rsidRDefault="00560557" w:rsidP="00560557">
      <w:r w:rsidRPr="00561FE1">
        <w:rPr>
          <w:rStyle w:val="Style13ptBold"/>
        </w:rPr>
        <w:t>Slater 13</w:t>
      </w:r>
      <w:r>
        <w:rPr>
          <w:rStyle w:val="Style13ptBold"/>
        </w:rPr>
        <w:t xml:space="preserve"> </w:t>
      </w:r>
      <w:r w:rsidRPr="00561FE1">
        <w:t>Hannah Slater is an intern with LGBT Progress at the Center for American Progress</w:t>
      </w:r>
      <w:r>
        <w:t xml:space="preserve"> and a LGBTQ civil rights activist.</w:t>
      </w:r>
      <w:r>
        <w:rPr>
          <w:rStyle w:val="byline"/>
        </w:rPr>
        <w:t xml:space="preserve"> </w:t>
      </w:r>
      <w:r>
        <w:rPr>
          <w:rStyle w:val="posted-on"/>
        </w:rPr>
        <w:t>6/21/13</w:t>
      </w:r>
      <w:r>
        <w:t xml:space="preserve"> “LGBT-Inclusive Sex Education Means Healthier Youth and Safer Schools” &lt;</w:t>
      </w:r>
      <w:r w:rsidRPr="00561FE1">
        <w:t>https://www.americanprogress.org/issues/lgbt/news/2013/06/21/67411/lgbt-inclusive-sex-education-means-healthier-youth-and-safer-schools/</w:t>
      </w:r>
      <w:r>
        <w:t>&gt; d.o.a 7/21/17 – GDI DS</w:t>
      </w:r>
    </w:p>
    <w:p w14:paraId="26B5CAB9" w14:textId="77777777" w:rsidR="00560557" w:rsidRPr="00BD3EDC" w:rsidRDefault="00560557" w:rsidP="00560557">
      <w:pPr>
        <w:pStyle w:val="selectionshareable"/>
        <w:rPr>
          <w:sz w:val="8"/>
        </w:rPr>
      </w:pPr>
      <w:r w:rsidRPr="00BD3EDC">
        <w:rPr>
          <w:sz w:val="8"/>
        </w:rPr>
        <w:t xml:space="preserve">Earlier </w:t>
      </w:r>
      <w:hyperlink r:id="rId20" w:history="1">
        <w:r w:rsidRPr="00BD3EDC">
          <w:rPr>
            <w:rStyle w:val="Hyperlink"/>
            <w:rFonts w:eastAsiaTheme="majorEastAsia"/>
            <w:sz w:val="8"/>
          </w:rPr>
          <w:t>this year</w:t>
        </w:r>
      </w:hyperlink>
      <w:r w:rsidRPr="00BD3EDC">
        <w:rPr>
          <w:sz w:val="8"/>
        </w:rPr>
        <w:t xml:space="preserve">, the late Sen. Frank Lautenberg (D-NJ) and Rep. Barbara Lee (D-CA) reintroduced the </w:t>
      </w:r>
      <w:hyperlink r:id="rId21" w:history="1">
        <w:r w:rsidRPr="00BD3EDC">
          <w:rPr>
            <w:rStyle w:val="Hyperlink"/>
            <w:rFonts w:eastAsiaTheme="majorEastAsia"/>
            <w:sz w:val="8"/>
          </w:rPr>
          <w:t>Real Education for Healthy Youth Act</w:t>
        </w:r>
      </w:hyperlink>
      <w:r w:rsidRPr="00BD3EDC">
        <w:rPr>
          <w:sz w:val="8"/>
        </w:rPr>
        <w:t xml:space="preserve"> in both the Senate and the House of Representatives. This legislation would authorize grants for comprehensive sex-education programs that are inclusive of lesbian, gay, bisexual, and transgender, or LGBT, youth. Specifically, it would require comprehensive sex education to cover sensitive and respectful discussions of gender, gender identity, and sexual orientation, among other topics. Currently, sex-education standards </w:t>
      </w:r>
      <w:hyperlink r:id="rId22" w:history="1">
        <w:r w:rsidRPr="00BD3EDC">
          <w:rPr>
            <w:rStyle w:val="Hyperlink"/>
            <w:rFonts w:eastAsiaTheme="majorEastAsia"/>
            <w:sz w:val="8"/>
          </w:rPr>
          <w:t>vary widely</w:t>
        </w:r>
      </w:hyperlink>
      <w:r w:rsidRPr="00BD3EDC">
        <w:rPr>
          <w:sz w:val="8"/>
        </w:rPr>
        <w:t xml:space="preserve"> across the country, leaving many American youth </w:t>
      </w:r>
      <w:hyperlink r:id="rId23" w:anchor="14a" w:history="1">
        <w:r w:rsidRPr="00BD3EDC">
          <w:rPr>
            <w:rStyle w:val="Hyperlink"/>
            <w:rFonts w:eastAsiaTheme="majorEastAsia"/>
            <w:sz w:val="8"/>
          </w:rPr>
          <w:t>uninformed</w:t>
        </w:r>
      </w:hyperlink>
      <w:r w:rsidRPr="00BD3EDC">
        <w:rPr>
          <w:sz w:val="8"/>
        </w:rPr>
        <w:t xml:space="preserve"> about basic anatomy, healthy relationship skills, and safer sex practices. On top of this, LGBT youth face particular challenges. </w:t>
      </w:r>
      <w:r w:rsidRPr="00BD3EDC">
        <w:rPr>
          <w:rStyle w:val="StyleUnderline"/>
        </w:rPr>
        <w:t xml:space="preserve">Sex-education materials often </w:t>
      </w:r>
      <w:hyperlink r:id="rId24" w:history="1">
        <w:r w:rsidRPr="00BD3EDC">
          <w:rPr>
            <w:rStyle w:val="StyleUnderline"/>
            <w:rFonts w:eastAsiaTheme="majorEastAsia"/>
          </w:rPr>
          <w:t>assume</w:t>
        </w:r>
      </w:hyperlink>
      <w:r w:rsidRPr="00BD3EDC">
        <w:rPr>
          <w:rStyle w:val="StyleUnderline"/>
        </w:rPr>
        <w:t xml:space="preserve"> students are heterosexual and nontransgender. Many sex-education curricula </w:t>
      </w:r>
      <w:hyperlink r:id="rId25" w:history="1">
        <w:r w:rsidRPr="00BD3EDC">
          <w:rPr>
            <w:rStyle w:val="StyleUnderline"/>
            <w:rFonts w:eastAsiaTheme="majorEastAsia"/>
          </w:rPr>
          <w:t>do not mention</w:t>
        </w:r>
      </w:hyperlink>
      <w:r w:rsidRPr="00BD3EDC">
        <w:rPr>
          <w:rStyle w:val="StyleUnderline"/>
        </w:rPr>
        <w:t xml:space="preserve"> sexual orientation or gender identity at all, and some that do discuss it only in a negative light.</w:t>
      </w:r>
      <w:r w:rsidRPr="00BD3EDC">
        <w:rPr>
          <w:sz w:val="8"/>
        </w:rPr>
        <w:t xml:space="preserve"> This not only prevents LGBT students from learning the information and skills they need to stay healthy, but it also contributes to a climate of exclusion in schools, where LGBT students are already </w:t>
      </w:r>
      <w:hyperlink r:id="rId26" w:history="1">
        <w:r w:rsidRPr="00BD3EDC">
          <w:rPr>
            <w:rStyle w:val="Hyperlink"/>
            <w:rFonts w:eastAsiaTheme="majorEastAsia"/>
            <w:sz w:val="8"/>
          </w:rPr>
          <w:t>frequent targets</w:t>
        </w:r>
      </w:hyperlink>
      <w:r w:rsidRPr="00BD3EDC">
        <w:rPr>
          <w:sz w:val="8"/>
        </w:rPr>
        <w:t xml:space="preserve"> of bullying and discrimination. All youth deserve education that empowers them to make healthy, informed decisions about their relationships and their bodies, and the Real Education for Healthy Youth Act would help make this possible. When considering this bill, Congress should keep in mind the ways in which this legislation would positively impact LGBT youth. Comprehensive sex education benefits all students, including LGBT youth There is </w:t>
      </w:r>
      <w:hyperlink r:id="rId27" w:history="1">
        <w:r w:rsidRPr="00BD3EDC">
          <w:rPr>
            <w:rStyle w:val="Hyperlink"/>
            <w:rFonts w:eastAsiaTheme="majorEastAsia"/>
            <w:sz w:val="8"/>
          </w:rPr>
          <w:t>abundant evidence</w:t>
        </w:r>
      </w:hyperlink>
      <w:r w:rsidRPr="00BD3EDC">
        <w:rPr>
          <w:sz w:val="8"/>
        </w:rPr>
        <w:t xml:space="preserve"> that comprehensive sex education is effective at reducing high-risk sexual behaviors, promoting safer sex practices, and preventing pregnancy and sexually transmitted infections. Meanwhile, </w:t>
      </w:r>
      <w:hyperlink r:id="rId28" w:history="1">
        <w:r w:rsidRPr="00BD3EDC">
          <w:rPr>
            <w:rStyle w:val="Hyperlink"/>
            <w:rFonts w:eastAsiaTheme="majorEastAsia"/>
            <w:sz w:val="8"/>
          </w:rPr>
          <w:t>no abstinence-only programs</w:t>
        </w:r>
      </w:hyperlink>
      <w:r w:rsidRPr="00BD3EDC">
        <w:rPr>
          <w:sz w:val="8"/>
        </w:rPr>
        <w:t xml:space="preserve"> have been proven effective at achieving those results or at significantly delaying sexual activity—their intended purpose. Sex education is only legally mandated in </w:t>
      </w:r>
      <w:hyperlink r:id="rId29" w:history="1">
        <w:r w:rsidRPr="00BD3EDC">
          <w:rPr>
            <w:rStyle w:val="Hyperlink"/>
            <w:rFonts w:eastAsiaTheme="majorEastAsia"/>
            <w:sz w:val="8"/>
          </w:rPr>
          <w:t>22 states</w:t>
        </w:r>
      </w:hyperlink>
      <w:r w:rsidRPr="00BD3EDC">
        <w:rPr>
          <w:sz w:val="8"/>
        </w:rPr>
        <w:t xml:space="preserve"> plus the District of Columbia. Of these, </w:t>
      </w:r>
      <w:hyperlink r:id="rId30" w:history="1">
        <w:r w:rsidRPr="00BD3EDC">
          <w:rPr>
            <w:rStyle w:val="Hyperlink"/>
            <w:rFonts w:eastAsiaTheme="majorEastAsia"/>
            <w:sz w:val="8"/>
          </w:rPr>
          <w:t>only 12</w:t>
        </w:r>
      </w:hyperlink>
      <w:r w:rsidRPr="00BD3EDC">
        <w:rPr>
          <w:sz w:val="8"/>
        </w:rPr>
        <w:t xml:space="preserve"> mandate teaching about contraception, and </w:t>
      </w:r>
      <w:hyperlink r:id="rId31" w:history="1">
        <w:r w:rsidRPr="00BD3EDC">
          <w:rPr>
            <w:rStyle w:val="Hyperlink"/>
            <w:rFonts w:eastAsiaTheme="majorEastAsia"/>
            <w:sz w:val="8"/>
          </w:rPr>
          <w:t>only 7</w:t>
        </w:r>
      </w:hyperlink>
      <w:r w:rsidRPr="00BD3EDC">
        <w:rPr>
          <w:sz w:val="8"/>
        </w:rPr>
        <w:t xml:space="preserve"> require that the information be medically accurate. With </w:t>
      </w:r>
      <w:r w:rsidRPr="00BD3EDC">
        <w:rPr>
          <w:rStyle w:val="StyleUnderline"/>
        </w:rPr>
        <w:t>such spotty coverage and irregular standards, comprehensive sex education does not reach nearly enough youth, resulting in dangerous ignorance</w:t>
      </w:r>
      <w:r w:rsidRPr="00BD3EDC">
        <w:rPr>
          <w:sz w:val="8"/>
        </w:rPr>
        <w:t xml:space="preserve">. Among those ages 18 to 19, </w:t>
      </w:r>
      <w:hyperlink r:id="rId32" w:anchor="14a" w:history="1">
        <w:r w:rsidRPr="00BD3EDC">
          <w:rPr>
            <w:rStyle w:val="Hyperlink"/>
            <w:rFonts w:eastAsiaTheme="majorEastAsia"/>
            <w:sz w:val="8"/>
          </w:rPr>
          <w:t>41 percent say</w:t>
        </w:r>
      </w:hyperlink>
      <w:r w:rsidRPr="00BD3EDC">
        <w:rPr>
          <w:sz w:val="8"/>
        </w:rPr>
        <w:t xml:space="preserve"> they know little to nothing about condoms, and </w:t>
      </w:r>
      <w:hyperlink r:id="rId33" w:anchor="14a" w:history="1">
        <w:r w:rsidRPr="00BD3EDC">
          <w:rPr>
            <w:rStyle w:val="Hyperlink"/>
            <w:rFonts w:eastAsiaTheme="majorEastAsia"/>
            <w:sz w:val="8"/>
          </w:rPr>
          <w:t>75 percent say</w:t>
        </w:r>
      </w:hyperlink>
      <w:r w:rsidRPr="00BD3EDC">
        <w:rPr>
          <w:sz w:val="8"/>
        </w:rPr>
        <w:t xml:space="preserve"> they know little to nothing about the contraceptive pill. Comprehensive sex education is critical to young people’s sexual health, and passing the Real Education for Healthy Youth Act can improve the knowledge and well-being of students across the country, including LGBT youth. LGBT youth are disproportionally affected by negative sexual-health outcomes Young men who have sex with men, who may identify as gay or bisexual, account for </w:t>
      </w:r>
      <w:hyperlink r:id="rId34" w:history="1">
        <w:r w:rsidRPr="00BD3EDC">
          <w:rPr>
            <w:rStyle w:val="Hyperlink"/>
            <w:rFonts w:eastAsiaTheme="majorEastAsia"/>
            <w:sz w:val="8"/>
          </w:rPr>
          <w:t>more than two-thirds</w:t>
        </w:r>
      </w:hyperlink>
      <w:r w:rsidRPr="00BD3EDC">
        <w:rPr>
          <w:sz w:val="8"/>
        </w:rPr>
        <w:t xml:space="preserve"> of new HIV infections among people ages 13 to 29. Within this group, men of color are particularly affected. Additionally, men who have sex with men account for about </w:t>
      </w:r>
      <w:hyperlink r:id="rId35" w:history="1">
        <w:r w:rsidRPr="00BD3EDC">
          <w:rPr>
            <w:rStyle w:val="Hyperlink"/>
            <w:rFonts w:eastAsiaTheme="majorEastAsia"/>
            <w:sz w:val="8"/>
          </w:rPr>
          <w:t>two-thirds</w:t>
        </w:r>
      </w:hyperlink>
      <w:r w:rsidRPr="00BD3EDC">
        <w:rPr>
          <w:sz w:val="8"/>
        </w:rPr>
        <w:t xml:space="preserve"> of new syphilis cases, and the Centers for Disease Control and Prevention reports that incidence in this community may be </w:t>
      </w:r>
      <w:hyperlink r:id="rId36" w:history="1">
        <w:r w:rsidRPr="00BD3EDC">
          <w:rPr>
            <w:rStyle w:val="Hyperlink"/>
            <w:rFonts w:eastAsiaTheme="majorEastAsia"/>
            <w:sz w:val="8"/>
          </w:rPr>
          <w:t>rising</w:t>
        </w:r>
      </w:hyperlink>
      <w:r w:rsidRPr="00BD3EDC">
        <w:rPr>
          <w:sz w:val="8"/>
        </w:rPr>
        <w:t xml:space="preserve">. Young women in high school who identify as lesbian, gay, or bisexual are </w:t>
      </w:r>
      <w:hyperlink r:id="rId37" w:history="1">
        <w:r w:rsidRPr="00BD3EDC">
          <w:rPr>
            <w:rStyle w:val="Hyperlink"/>
            <w:rFonts w:eastAsiaTheme="majorEastAsia"/>
            <w:sz w:val="8"/>
          </w:rPr>
          <w:t>more likely</w:t>
        </w:r>
      </w:hyperlink>
      <w:r w:rsidRPr="00BD3EDC">
        <w:rPr>
          <w:sz w:val="8"/>
        </w:rPr>
        <w:t xml:space="preserve"> to contract an STI and </w:t>
      </w:r>
      <w:hyperlink r:id="rId38" w:history="1">
        <w:r w:rsidRPr="00BD3EDC">
          <w:rPr>
            <w:rStyle w:val="Hyperlink"/>
            <w:rFonts w:eastAsiaTheme="majorEastAsia"/>
            <w:sz w:val="8"/>
          </w:rPr>
          <w:t>more likely</w:t>
        </w:r>
      </w:hyperlink>
      <w:r w:rsidRPr="00BD3EDC">
        <w:rPr>
          <w:sz w:val="8"/>
        </w:rPr>
        <w:t xml:space="preserve"> to become pregnant than those who identify as heterosexual or questioning. They are also </w:t>
      </w:r>
      <w:hyperlink r:id="rId39" w:history="1">
        <w:r w:rsidRPr="00BD3EDC">
          <w:rPr>
            <w:rStyle w:val="Hyperlink"/>
            <w:rFonts w:eastAsiaTheme="majorEastAsia"/>
            <w:sz w:val="8"/>
          </w:rPr>
          <w:t>more likely</w:t>
        </w:r>
      </w:hyperlink>
      <w:r w:rsidRPr="00BD3EDC">
        <w:rPr>
          <w:sz w:val="8"/>
        </w:rPr>
        <w:t xml:space="preserve"> to have experienced coerced sexual contact. Young women who have had both male and female partners are at the </w:t>
      </w:r>
      <w:hyperlink r:id="rId40" w:history="1">
        <w:r w:rsidRPr="00BD3EDC">
          <w:rPr>
            <w:rStyle w:val="Hyperlink"/>
            <w:rFonts w:eastAsiaTheme="majorEastAsia"/>
            <w:sz w:val="8"/>
          </w:rPr>
          <w:t>highest risk</w:t>
        </w:r>
      </w:hyperlink>
      <w:r w:rsidRPr="00BD3EDC">
        <w:rPr>
          <w:sz w:val="8"/>
        </w:rPr>
        <w:t xml:space="preserve"> of coercion and dating violence. Among transgender people, HIV prevalence rates are </w:t>
      </w:r>
      <w:hyperlink r:id="rId41" w:history="1">
        <w:r w:rsidRPr="00BD3EDC">
          <w:rPr>
            <w:rStyle w:val="Hyperlink"/>
            <w:rFonts w:eastAsiaTheme="majorEastAsia"/>
            <w:sz w:val="8"/>
          </w:rPr>
          <w:t>more than four times</w:t>
        </w:r>
      </w:hyperlink>
      <w:r w:rsidRPr="00BD3EDC">
        <w:rPr>
          <w:sz w:val="8"/>
        </w:rPr>
        <w:t xml:space="preserve"> the national average, and transgender women of color are particularly affected. Transgender and gender nonconforming youth also experience </w:t>
      </w:r>
      <w:hyperlink r:id="rId42" w:history="1">
        <w:r w:rsidRPr="00BD3EDC">
          <w:rPr>
            <w:rStyle w:val="Hyperlink"/>
            <w:rFonts w:eastAsiaTheme="majorEastAsia"/>
            <w:sz w:val="8"/>
          </w:rPr>
          <w:t>high rates</w:t>
        </w:r>
      </w:hyperlink>
      <w:r w:rsidRPr="00BD3EDC">
        <w:rPr>
          <w:sz w:val="8"/>
        </w:rPr>
        <w:t xml:space="preserve"> of sexual violence, particularly transgender and gender nonconforming youth of color. Because LGBT youth experience more negative sexual-health outcomes than their heterosexual peers, they would especially benefit from effective and inclusive sex education. Sex education often excludes and even promotes prejudice against LGBT youth Currently, sex-education programs do not reliably talk about sexual orientation and gender identity, and when they do, the information can be inaccurate and deeply negative. Only </w:t>
      </w:r>
      <w:hyperlink r:id="rId43" w:history="1">
        <w:r w:rsidRPr="00BD3EDC">
          <w:rPr>
            <w:rStyle w:val="Hyperlink"/>
            <w:rFonts w:eastAsiaTheme="majorEastAsia"/>
            <w:sz w:val="8"/>
          </w:rPr>
          <w:t>12 states</w:t>
        </w:r>
      </w:hyperlink>
      <w:r w:rsidRPr="00BD3EDC">
        <w:rPr>
          <w:sz w:val="8"/>
        </w:rPr>
        <w:t xml:space="preserve"> require discussion of sexual orientation in sex education, and, of those, </w:t>
      </w:r>
      <w:hyperlink r:id="rId44" w:history="1">
        <w:r w:rsidRPr="00BD3EDC">
          <w:rPr>
            <w:rStyle w:val="Hyperlink"/>
            <w:rFonts w:eastAsiaTheme="majorEastAsia"/>
            <w:sz w:val="8"/>
          </w:rPr>
          <w:t>three</w:t>
        </w:r>
      </w:hyperlink>
      <w:r w:rsidRPr="00BD3EDC">
        <w:rPr>
          <w:sz w:val="8"/>
        </w:rPr>
        <w:t xml:space="preserve"> require the teaching of inaccurate and negative information. </w:t>
      </w:r>
      <w:hyperlink r:id="rId45" w:history="1">
        <w:r w:rsidRPr="00BD3EDC">
          <w:rPr>
            <w:rStyle w:val="Hyperlink"/>
            <w:rFonts w:eastAsiaTheme="majorEastAsia"/>
            <w:sz w:val="8"/>
          </w:rPr>
          <w:t>In Alabama</w:t>
        </w:r>
      </w:hyperlink>
      <w:r w:rsidRPr="00BD3EDC">
        <w:rPr>
          <w:sz w:val="8"/>
        </w:rPr>
        <w:t xml:space="preserve">, for example, sex educators must teach that “homosexuality is not a lifestyle acceptable to the general public” and that “homosexual conduct is a criminal offence under the laws of the state.” The Supreme Court </w:t>
      </w:r>
      <w:hyperlink r:id="rId46" w:history="1">
        <w:r w:rsidRPr="00BD3EDC">
          <w:rPr>
            <w:rStyle w:val="Hyperlink"/>
            <w:rFonts w:eastAsiaTheme="majorEastAsia"/>
            <w:sz w:val="8"/>
          </w:rPr>
          <w:t>invalidated</w:t>
        </w:r>
      </w:hyperlink>
      <w:r w:rsidRPr="00BD3EDC">
        <w:rPr>
          <w:sz w:val="8"/>
        </w:rPr>
        <w:t xml:space="preserve"> that state law 10 years ago. There are also </w:t>
      </w:r>
      <w:hyperlink r:id="rId47" w:history="1">
        <w:r w:rsidRPr="00BD3EDC">
          <w:rPr>
            <w:rStyle w:val="Hyperlink"/>
            <w:rFonts w:eastAsiaTheme="majorEastAsia"/>
            <w:sz w:val="8"/>
          </w:rPr>
          <w:t>seven states</w:t>
        </w:r>
      </w:hyperlink>
      <w:r w:rsidRPr="00BD3EDC">
        <w:rPr>
          <w:sz w:val="8"/>
        </w:rPr>
        <w:t xml:space="preserve"> where positive discussion of being gay is prohibited in schools. </w:t>
      </w:r>
      <w:hyperlink r:id="rId48" w:history="1">
        <w:r w:rsidRPr="00BD3EDC">
          <w:rPr>
            <w:rStyle w:val="Hyperlink"/>
            <w:rFonts w:eastAsiaTheme="majorEastAsia"/>
            <w:sz w:val="8"/>
          </w:rPr>
          <w:t>No states</w:t>
        </w:r>
      </w:hyperlink>
      <w:r w:rsidRPr="00BD3EDC">
        <w:rPr>
          <w:sz w:val="8"/>
        </w:rPr>
        <w:t xml:space="preserve"> currently mandate discussion of gender identity in sex education. A national survey found that </w:t>
      </w:r>
      <w:hyperlink r:id="rId49" w:history="1">
        <w:r w:rsidRPr="00BD3EDC">
          <w:rPr>
            <w:rStyle w:val="Hyperlink"/>
            <w:rFonts w:eastAsiaTheme="majorEastAsia"/>
            <w:sz w:val="8"/>
          </w:rPr>
          <w:t>only 4 percent</w:t>
        </w:r>
      </w:hyperlink>
      <w:r w:rsidRPr="00BD3EDC">
        <w:rPr>
          <w:sz w:val="8"/>
        </w:rPr>
        <w:t xml:space="preserve"> of LGBT youth in middle school and high school report having any positive discussion of LGBT people or issues in their health classes. A female senior in high school </w:t>
      </w:r>
      <w:hyperlink r:id="rId50" w:history="1">
        <w:r w:rsidRPr="00BD3EDC">
          <w:rPr>
            <w:rStyle w:val="Hyperlink"/>
            <w:rFonts w:eastAsiaTheme="majorEastAsia"/>
            <w:sz w:val="8"/>
          </w:rPr>
          <w:t>wrote</w:t>
        </w:r>
      </w:hyperlink>
      <w:r w:rsidRPr="00BD3EDC">
        <w:rPr>
          <w:sz w:val="8"/>
        </w:rPr>
        <w:t xml:space="preserve">, “Because my school’s health program ignores the gay students, I have been pretty clueless about safe sex. I had to find information on my own on the internet because non-straight students are ignored.” </w:t>
      </w:r>
      <w:r w:rsidRPr="00BD3EDC">
        <w:rPr>
          <w:rStyle w:val="StyleUnderline"/>
        </w:rPr>
        <w:t>Too many schools fail to provide LGBT students with inclusive information, leaving them dangerously underinformed about safer sex and healthy relationships.</w:t>
      </w:r>
      <w:r w:rsidRPr="00BD3EDC">
        <w:rPr>
          <w:sz w:val="8"/>
        </w:rPr>
        <w:t xml:space="preserve"> Leaving out LGBT youth in sex education also implies that they are abnormal or not worthy of inclusion. Many sex-education curricula assert heterosexuality as the norm and leave no room for deviation, with materials containing </w:t>
      </w:r>
      <w:hyperlink r:id="rId51" w:history="1">
        <w:r w:rsidRPr="00BD3EDC">
          <w:rPr>
            <w:rStyle w:val="Hyperlink"/>
            <w:rFonts w:eastAsiaTheme="majorEastAsia"/>
            <w:sz w:val="8"/>
          </w:rPr>
          <w:t>statements</w:t>
        </w:r>
      </w:hyperlink>
      <w:r w:rsidRPr="00BD3EDC">
        <w:rPr>
          <w:sz w:val="8"/>
        </w:rPr>
        <w:t xml:space="preserve"> such as, “What do guys talk about in the locker room? (Girls) What do girls talk about at sleepover parties? (Guys).” This type of exclusion contributes to the feelings of isolation and rejection that LGBT youth experience all too frequently. Some curricula go even further and make explicitly negative statements about LGBT people and relationships. One teacher’s manual </w:t>
      </w:r>
      <w:hyperlink r:id="rId52" w:history="1">
        <w:r w:rsidRPr="00BD3EDC">
          <w:rPr>
            <w:rStyle w:val="Hyperlink"/>
            <w:rFonts w:eastAsiaTheme="majorEastAsia"/>
            <w:sz w:val="8"/>
          </w:rPr>
          <w:t>states</w:t>
        </w:r>
      </w:hyperlink>
      <w:r w:rsidRPr="00BD3EDC">
        <w:rPr>
          <w:sz w:val="8"/>
        </w:rPr>
        <w:t xml:space="preserve">, “Any same sex ‘sexual experimentation’ can be confusing to young persons and should be strongly discouraged.” In </w:t>
      </w:r>
      <w:hyperlink r:id="rId53" w:history="1">
        <w:r w:rsidRPr="00BD3EDC">
          <w:rPr>
            <w:rStyle w:val="Hyperlink"/>
            <w:rFonts w:eastAsiaTheme="majorEastAsia"/>
            <w:sz w:val="8"/>
          </w:rPr>
          <w:t>other programs</w:t>
        </w:r>
      </w:hyperlink>
      <w:r w:rsidRPr="00BD3EDC">
        <w:rPr>
          <w:sz w:val="8"/>
        </w:rPr>
        <w:t xml:space="preserve">, educators are instructed to call being gay “unnatural” and to tell students that people with HIV or AIDS are “suffering” for the “choice” they made to be gay. These types of disparaging comments perpetuate misconceptions and carry moral judgment, contributing to LGBT students’ alienation. Abstinence-only-until-marriage curricula are particularly exclusionary to LGBT students, as they teach that sex is only permissible within a heterosexual marriage. For example, </w:t>
      </w:r>
      <w:hyperlink r:id="rId54" w:history="1">
        <w:r w:rsidRPr="00BD3EDC">
          <w:rPr>
            <w:rStyle w:val="Hyperlink"/>
            <w:rFonts w:eastAsiaTheme="majorEastAsia"/>
            <w:sz w:val="8"/>
          </w:rPr>
          <w:t>one curriculum states</w:t>
        </w:r>
      </w:hyperlink>
      <w:r w:rsidRPr="00BD3EDC">
        <w:rPr>
          <w:sz w:val="8"/>
        </w:rPr>
        <w:t xml:space="preserve">, “The only safe sex is in a marriage relationship where a man and a woman are faithful to each other for life.” </w:t>
      </w:r>
      <w:hyperlink r:id="rId55" w:history="1">
        <w:r w:rsidRPr="00BD3EDC">
          <w:rPr>
            <w:rStyle w:val="Hyperlink"/>
            <w:rFonts w:eastAsiaTheme="majorEastAsia"/>
            <w:sz w:val="8"/>
          </w:rPr>
          <w:t>Many programs</w:t>
        </w:r>
      </w:hyperlink>
      <w:r w:rsidRPr="00BD3EDC">
        <w:rPr>
          <w:sz w:val="8"/>
        </w:rPr>
        <w:t xml:space="preserve"> teach that nontraditional families are inferior, and that children of divorced or same-sex parents are worse off than children of married, heterosexual parents, encouraging prejudice against LGBT students and the children of LGBT parents. Exclusion and condemnation of LGBT people is shamefully common in sex education, leading to dangerous ignorance and contributing to hostile school environments. The Real Education for Healthy Youth Act would combat this by funding sex education that includes LGBT youth and discusses issues of sexual orientation and gender identity in an accurate and sensitive way. </w:t>
      </w:r>
      <w:r w:rsidRPr="00BD3EDC">
        <w:rPr>
          <w:rStyle w:val="StyleUnderline"/>
        </w:rPr>
        <w:t>Hostile school environments hurt LGBT youth Sex-education programs that encourage prejudice against LGBT students</w:t>
      </w:r>
      <w:r w:rsidRPr="00BD3EDC">
        <w:rPr>
          <w:sz w:val="8"/>
        </w:rPr>
        <w:t xml:space="preserve"> in schools contribute to a wide range of negative outcomes for these young people. Unsafe school environments prevent LGBT students from reaching their full academic potential. LGBT students who experience frequent harassment at school report </w:t>
      </w:r>
      <w:hyperlink r:id="rId56" w:history="1">
        <w:r w:rsidRPr="00BD3EDC">
          <w:rPr>
            <w:rStyle w:val="Hyperlink"/>
            <w:rFonts w:eastAsiaTheme="majorEastAsia"/>
            <w:sz w:val="8"/>
          </w:rPr>
          <w:t>lower grade-point averages</w:t>
        </w:r>
      </w:hyperlink>
      <w:r w:rsidRPr="00BD3EDC">
        <w:rPr>
          <w:sz w:val="8"/>
        </w:rPr>
        <w:t xml:space="preserve"> than those who are not harassed, and </w:t>
      </w:r>
      <w:hyperlink r:id="rId57" w:history="1">
        <w:r w:rsidRPr="00BD3EDC">
          <w:rPr>
            <w:rStyle w:val="Hyperlink"/>
            <w:rFonts w:eastAsiaTheme="majorEastAsia"/>
            <w:sz w:val="8"/>
          </w:rPr>
          <w:t>nearly one in three</w:t>
        </w:r>
      </w:hyperlink>
      <w:r w:rsidRPr="00BD3EDC">
        <w:rPr>
          <w:sz w:val="8"/>
        </w:rPr>
        <w:t xml:space="preserve"> LGBT students has skipped class because they feel unsafe. Stigma and discrimination in school also lead to disproportionately high rates of mental-health issues and substance abuse among LGBT youth. </w:t>
      </w:r>
      <w:r w:rsidRPr="00561FE1">
        <w:rPr>
          <w:rStyle w:val="StyleUnderline"/>
        </w:rPr>
        <w:t xml:space="preserve">Students who experience higher rates of victimization in school based on their sexual orientation or gender expression have </w:t>
      </w:r>
      <w:hyperlink r:id="rId58" w:history="1">
        <w:r w:rsidRPr="00561FE1">
          <w:rPr>
            <w:rStyle w:val="StyleUnderline"/>
            <w:rFonts w:eastAsiaTheme="majorEastAsia"/>
          </w:rPr>
          <w:t>lower self-esteem and higher rates of depression</w:t>
        </w:r>
      </w:hyperlink>
      <w:r w:rsidRPr="00BD3EDC">
        <w:rPr>
          <w:sz w:val="8"/>
        </w:rPr>
        <w:t xml:space="preserve">. Lesbian, gay, and bisexual youth are </w:t>
      </w:r>
      <w:hyperlink r:id="rId59" w:history="1">
        <w:r w:rsidRPr="00BD3EDC">
          <w:rPr>
            <w:rStyle w:val="Hyperlink"/>
            <w:rFonts w:eastAsiaTheme="majorEastAsia"/>
            <w:sz w:val="8"/>
          </w:rPr>
          <w:t>four times</w:t>
        </w:r>
      </w:hyperlink>
      <w:r w:rsidRPr="00BD3EDC">
        <w:rPr>
          <w:sz w:val="8"/>
        </w:rPr>
        <w:t xml:space="preserve"> more likely to attempt suicide than their straight peers, and </w:t>
      </w:r>
      <w:hyperlink r:id="rId60" w:history="1">
        <w:r w:rsidRPr="00BD3EDC">
          <w:rPr>
            <w:rStyle w:val="Hyperlink"/>
            <w:rFonts w:eastAsiaTheme="majorEastAsia"/>
            <w:sz w:val="8"/>
          </w:rPr>
          <w:t>more than half</w:t>
        </w:r>
      </w:hyperlink>
      <w:r w:rsidRPr="00BD3EDC">
        <w:rPr>
          <w:sz w:val="8"/>
        </w:rPr>
        <w:t xml:space="preserve"> of transgender and gender nonconforming youth who experience harassment, assault, or discrimination in school attempt suicide. In what is called the </w:t>
      </w:r>
      <w:hyperlink r:id="rId61" w:history="1">
        <w:r w:rsidRPr="00BD3EDC">
          <w:rPr>
            <w:rStyle w:val="Hyperlink"/>
            <w:rFonts w:eastAsiaTheme="majorEastAsia"/>
            <w:sz w:val="8"/>
          </w:rPr>
          <w:t>minority stress effect</w:t>
        </w:r>
      </w:hyperlink>
      <w:r w:rsidRPr="00BD3EDC">
        <w:rPr>
          <w:sz w:val="8"/>
        </w:rPr>
        <w:t xml:space="preserve">, LGBT youth may use tobacco, drugs, and alcohol to cope with the stress of stigma and discrimination, resulting in disproportionately high rates of substance abuse. </w:t>
      </w:r>
      <w:r w:rsidRPr="00561FE1">
        <w:rPr>
          <w:rStyle w:val="StyleUnderline"/>
        </w:rPr>
        <w:t xml:space="preserve">There is increasing evidence that </w:t>
      </w:r>
      <w:r w:rsidRPr="00BD3EDC">
        <w:rPr>
          <w:rStyle w:val="Emphasis"/>
        </w:rPr>
        <w:t>positive discussion of LGBT people and issues helps build safer school environments, decreasing the educational, mental, and physical harms that LGBT students</w:t>
      </w:r>
      <w:r w:rsidRPr="00BD3EDC">
        <w:rPr>
          <w:sz w:val="8"/>
        </w:rPr>
        <w:t xml:space="preserve"> experience. </w:t>
      </w:r>
      <w:r w:rsidRPr="00BD3EDC">
        <w:rPr>
          <w:rStyle w:val="StyleUnderline"/>
        </w:rPr>
        <w:t xml:space="preserve">LGBT students whose curricula include, for example, positive discussion of LGBT people, history, and events </w:t>
      </w:r>
      <w:hyperlink r:id="rId62" w:history="1">
        <w:r w:rsidRPr="00BD3EDC">
          <w:rPr>
            <w:rStyle w:val="StyleUnderline"/>
            <w:rFonts w:eastAsiaTheme="majorEastAsia"/>
          </w:rPr>
          <w:t>hear fewer homophobic remarks and feel safer</w:t>
        </w:r>
      </w:hyperlink>
      <w:r w:rsidRPr="00BD3EDC">
        <w:rPr>
          <w:rStyle w:val="StyleUnderline"/>
        </w:rPr>
        <w:t xml:space="preserve"> in school than students without inclusive curricula. </w:t>
      </w:r>
      <w:r w:rsidRPr="00BD3EDC">
        <w:rPr>
          <w:rStyle w:val="Emphasis"/>
        </w:rPr>
        <w:t xml:space="preserve">Implementing LGBT-inclusive sex education </w:t>
      </w:r>
      <w:r w:rsidRPr="00BD3EDC">
        <w:rPr>
          <w:sz w:val="8"/>
        </w:rPr>
        <w:t xml:space="preserve">under the Real Education for Healthy Youth Act </w:t>
      </w:r>
      <w:r w:rsidRPr="00BD3EDC">
        <w:rPr>
          <w:rStyle w:val="Emphasis"/>
        </w:rPr>
        <w:t>would improve school environments for LGBT youth</w:t>
      </w:r>
      <w:r w:rsidRPr="00BD3EDC">
        <w:rPr>
          <w:rStyle w:val="StyleUnderline"/>
        </w:rPr>
        <w:t>, helping them feel safer and reducing the harmful effects of stigma and discrimination</w:t>
      </w:r>
      <w:r w:rsidRPr="00BD3EDC">
        <w:rPr>
          <w:sz w:val="8"/>
        </w:rPr>
        <w:t xml:space="preserve">. There is broad support for LGBT-inclusive, comprehensive sex education Most parents, medical organizations, and educational organizations support the teaching of LGBT-inclusive, comprehensive sex education in schools. </w:t>
      </w:r>
      <w:hyperlink r:id="rId63" w:history="1">
        <w:r w:rsidRPr="00BD3EDC">
          <w:rPr>
            <w:rStyle w:val="Hyperlink"/>
            <w:rFonts w:eastAsiaTheme="majorEastAsia"/>
            <w:sz w:val="8"/>
          </w:rPr>
          <w:t>National surveys</w:t>
        </w:r>
      </w:hyperlink>
      <w:r w:rsidRPr="00BD3EDC">
        <w:rPr>
          <w:sz w:val="8"/>
        </w:rPr>
        <w:t xml:space="preserve"> reveal that 93 percent of parents of junior high school students and 91 percent of parents of high school students believe it is important to teach sex education in schools, and that 80 percent of parents of junior high school students and 73 percent of parents of high school students believe sexual orientation is an appropriate topic for inclusion. Parental support for comprehensive sex education cuts across political and religious lines. Additionally, </w:t>
      </w:r>
      <w:hyperlink r:id="rId64" w:history="1">
        <w:r w:rsidRPr="00BD3EDC">
          <w:rPr>
            <w:rStyle w:val="Hyperlink"/>
            <w:rFonts w:eastAsiaTheme="majorEastAsia"/>
            <w:sz w:val="8"/>
          </w:rPr>
          <w:t>many organizations</w:t>
        </w:r>
      </w:hyperlink>
      <w:r w:rsidRPr="00BD3EDC">
        <w:rPr>
          <w:sz w:val="8"/>
        </w:rPr>
        <w:t xml:space="preserve">, including the </w:t>
      </w:r>
      <w:hyperlink r:id="rId65" w:history="1">
        <w:r w:rsidRPr="00BD3EDC">
          <w:rPr>
            <w:rStyle w:val="Hyperlink"/>
            <w:rFonts w:eastAsiaTheme="majorEastAsia"/>
            <w:sz w:val="8"/>
          </w:rPr>
          <w:t>American Medical Association</w:t>
        </w:r>
      </w:hyperlink>
      <w:r w:rsidRPr="00BD3EDC">
        <w:rPr>
          <w:sz w:val="8"/>
        </w:rPr>
        <w:t xml:space="preserve">, the </w:t>
      </w:r>
      <w:hyperlink r:id="rId66" w:history="1">
        <w:r w:rsidRPr="00BD3EDC">
          <w:rPr>
            <w:rStyle w:val="Hyperlink"/>
            <w:rFonts w:eastAsiaTheme="majorEastAsia"/>
            <w:sz w:val="8"/>
          </w:rPr>
          <w:t>National Education Association</w:t>
        </w:r>
      </w:hyperlink>
      <w:r w:rsidRPr="00BD3EDC">
        <w:rPr>
          <w:sz w:val="8"/>
        </w:rPr>
        <w:t xml:space="preserve">, and the </w:t>
      </w:r>
      <w:hyperlink r:id="rId67" w:history="1">
        <w:r w:rsidRPr="00BD3EDC">
          <w:rPr>
            <w:rStyle w:val="Hyperlink"/>
            <w:rFonts w:eastAsiaTheme="majorEastAsia"/>
            <w:sz w:val="8"/>
          </w:rPr>
          <w:t>U.S. Department of Health and Human Services</w:t>
        </w:r>
      </w:hyperlink>
      <w:r w:rsidRPr="00BD3EDC">
        <w:rPr>
          <w:sz w:val="8"/>
        </w:rPr>
        <w:t>, all support LGBT-inclusive, comprehensive sex education. Policies supporting comprehensive sex education such as the Real Education for Healthy Youth Act align with both parents’ preferences and expert recommendations concerning the health and well-being of students</w:t>
      </w:r>
      <w:r w:rsidRPr="00BD3EDC">
        <w:rPr>
          <w:rStyle w:val="StyleUnderline"/>
        </w:rPr>
        <w:t>. All American youth, including those who are LGBT, are in dire need of inclusive sex education to improve their health outcomes and help build safe school environments where they can thrive.</w:t>
      </w:r>
      <w:r w:rsidRPr="00BD3EDC">
        <w:rPr>
          <w:sz w:val="8"/>
        </w:rPr>
        <w:t xml:space="preserve"> </w:t>
      </w:r>
      <w:r w:rsidRPr="00BD3EDC">
        <w:rPr>
          <w:sz w:val="2"/>
        </w:rPr>
        <w:t>While further action will be necessary to end the teaching of inaccurate, exclusionary, and ineffective abstinence-only programs, Congress can make comprehensive, inclusive sex education a reality for more LGBT youth across the country by passing the Real Education for Healthy Youth Act.</w:t>
      </w:r>
    </w:p>
    <w:p w14:paraId="19377999" w14:textId="40829271" w:rsidR="002122EC" w:rsidRDefault="002122EC" w:rsidP="002122EC">
      <w:pPr>
        <w:pStyle w:val="Heading3"/>
      </w:pPr>
      <w:r>
        <w:t xml:space="preserve">Possible New </w:t>
      </w:r>
      <w:r>
        <w:t>Plan Text</w:t>
      </w:r>
    </w:p>
    <w:p w14:paraId="00409F5A" w14:textId="77777777" w:rsidR="002122EC" w:rsidRDefault="002122EC" w:rsidP="002122EC"/>
    <w:p w14:paraId="4A2DFF16" w14:textId="77777777" w:rsidR="002122EC" w:rsidRPr="003C751C" w:rsidRDefault="002122EC" w:rsidP="002122EC">
      <w:pPr>
        <w:pStyle w:val="Heading4"/>
      </w:pPr>
      <w:r w:rsidRPr="00B154AE">
        <w:t>Plan:</w:t>
      </w:r>
      <w:r>
        <w:rPr>
          <w:b w:val="0"/>
        </w:rPr>
        <w:t xml:space="preserve"> </w:t>
      </w:r>
      <w:r w:rsidRPr="003C751C">
        <w:t>The Supreme Court of th</w:t>
      </w:r>
      <w:r>
        <w:t>e United States should ban</w:t>
      </w:r>
      <w:r w:rsidRPr="003C751C">
        <w:t xml:space="preserve"> </w:t>
      </w:r>
      <w:r>
        <w:t>anti-LGBTQ+ curriculum laws under the grounds that they are</w:t>
      </w:r>
      <w:r w:rsidRPr="003C751C">
        <w:t xml:space="preserve"> unconstitutional</w:t>
      </w:r>
      <w:r>
        <w:t xml:space="preserve"> violations of the Equal Protections Clause.</w:t>
      </w:r>
    </w:p>
    <w:p w14:paraId="619FBC18" w14:textId="77777777" w:rsidR="002122EC" w:rsidRDefault="002122EC" w:rsidP="002122EC"/>
    <w:p w14:paraId="47FFC96C" w14:textId="6C38C241" w:rsidR="002122EC" w:rsidRDefault="002122EC" w:rsidP="002122EC">
      <w:pPr>
        <w:pStyle w:val="Heading3"/>
      </w:pPr>
      <w:r>
        <w:t xml:space="preserve">Court </w:t>
      </w:r>
      <w:r>
        <w:t>Solvency</w:t>
      </w:r>
    </w:p>
    <w:p w14:paraId="3ADF12DF" w14:textId="77777777" w:rsidR="002122EC" w:rsidRDefault="002122EC" w:rsidP="002122EC"/>
    <w:p w14:paraId="1AE3B84D" w14:textId="77777777" w:rsidR="002122EC" w:rsidRPr="00C357BE" w:rsidRDefault="002122EC" w:rsidP="002122EC">
      <w:pPr>
        <w:pStyle w:val="Heading4"/>
      </w:pPr>
      <w:r w:rsidRPr="00C357BE">
        <w:t>Court policies are maintained even if supervision ends</w:t>
      </w:r>
    </w:p>
    <w:p w14:paraId="2D2219CC" w14:textId="77777777" w:rsidR="002122EC" w:rsidRPr="00AB3DEE" w:rsidRDefault="002122EC" w:rsidP="002122EC">
      <w:r w:rsidRPr="00C357BE">
        <w:rPr>
          <w:rStyle w:val="Style13ptBold"/>
        </w:rPr>
        <w:t>Sandler and Schoenbrod</w:t>
      </w:r>
      <w:r w:rsidRPr="00AB3DEE">
        <w:rPr>
          <w:rStyle w:val="cite"/>
          <w:rFonts w:ascii="Georgia" w:hAnsi="Georgia"/>
        </w:rPr>
        <w:t xml:space="preserve"> </w:t>
      </w:r>
      <w:r w:rsidRPr="00C357BE">
        <w:rPr>
          <w:rStyle w:val="Style13ptBold"/>
        </w:rPr>
        <w:t>3</w:t>
      </w:r>
      <w:r w:rsidRPr="00AB3DEE">
        <w:t xml:space="preserve"> (Ross and David, Director and Prof. of Law at New York City Law, “Democracy by Decree: What Happens When Courts Run Government” pg 132)</w:t>
      </w:r>
      <w:r>
        <w:t>// GDI – CF</w:t>
      </w:r>
    </w:p>
    <w:p w14:paraId="104466F4" w14:textId="77777777" w:rsidR="002122EC" w:rsidRPr="00A370C5" w:rsidRDefault="002122EC" w:rsidP="002122EC">
      <w:pPr>
        <w:rPr>
          <w:b/>
          <w:sz w:val="14"/>
        </w:rPr>
      </w:pPr>
      <w:r w:rsidRPr="00A370C5">
        <w:rPr>
          <w:rStyle w:val="underline"/>
          <w:bCs/>
        </w:rPr>
        <w:t xml:space="preserve">Even when </w:t>
      </w:r>
      <w:r w:rsidRPr="00A370C5">
        <w:rPr>
          <w:b/>
          <w:u w:val="single"/>
        </w:rPr>
        <w:t>that</w:t>
      </w:r>
      <w:r w:rsidRPr="00A370C5">
        <w:rPr>
          <w:b/>
          <w:bCs/>
          <w:u w:val="single"/>
        </w:rPr>
        <w:t xml:space="preserve"> </w:t>
      </w:r>
      <w:r w:rsidRPr="00A370C5">
        <w:rPr>
          <w:rStyle w:val="underline"/>
          <w:bCs/>
        </w:rPr>
        <w:t>supervision ends, the</w:t>
      </w:r>
      <w:r w:rsidRPr="00A370C5">
        <w:rPr>
          <w:rStyle w:val="underline"/>
        </w:rPr>
        <w:t xml:space="preserve"> </w:t>
      </w:r>
      <w:r w:rsidRPr="00A370C5">
        <w:rPr>
          <w:b/>
          <w:u w:val="single"/>
        </w:rPr>
        <w:t>consent</w:t>
      </w:r>
      <w:r w:rsidRPr="00A370C5">
        <w:rPr>
          <w:b/>
          <w:sz w:val="14"/>
        </w:rPr>
        <w:t xml:space="preserve"> </w:t>
      </w:r>
      <w:r w:rsidRPr="00A370C5">
        <w:rPr>
          <w:rStyle w:val="underline"/>
          <w:bCs/>
        </w:rPr>
        <w:t xml:space="preserve">decree </w:t>
      </w:r>
      <w:r w:rsidRPr="00A370C5">
        <w:rPr>
          <w:b/>
          <w:bCs/>
          <w:u w:val="single"/>
        </w:rPr>
        <w:t xml:space="preserve">itself </w:t>
      </w:r>
      <w:r w:rsidRPr="00A370C5">
        <w:rPr>
          <w:rStyle w:val="underline"/>
        </w:rPr>
        <w:t xml:space="preserve">does not </w:t>
      </w:r>
      <w:r w:rsidRPr="00A370C5">
        <w:rPr>
          <w:b/>
          <w:u w:val="single"/>
        </w:rPr>
        <w:t>necessarily end.</w:t>
      </w:r>
      <w:r w:rsidRPr="00A370C5">
        <w:rPr>
          <w:b/>
          <w:sz w:val="14"/>
        </w:rPr>
        <w:t xml:space="preserve"> </w:t>
      </w:r>
      <w:r w:rsidRPr="00A370C5">
        <w:rPr>
          <w:rStyle w:val="underline"/>
          <w:bCs/>
        </w:rPr>
        <w:t>As long as the decree has not been terminated, its terms can return to haunt defendants even decades later.</w:t>
      </w:r>
      <w:r w:rsidRPr="00A370C5">
        <w:rPr>
          <w:rStyle w:val="underline"/>
        </w:rPr>
        <w:t xml:space="preserve"> </w:t>
      </w:r>
      <w:r w:rsidRPr="00A370C5">
        <w:rPr>
          <w:b/>
          <w:sz w:val="14"/>
        </w:rPr>
        <w:t xml:space="preserve">Judge Raymond J. Broderick, for example, in 1998 terminated court supervision but not the consent decree in Pennhurst State School &amp; Hosp. v. Haldermann,32 one of the earliest (1974) and most cited institutional reform cases. </w:t>
      </w:r>
      <w:r w:rsidRPr="00A370C5">
        <w:rPr>
          <w:rStyle w:val="underline"/>
          <w:bCs/>
        </w:rPr>
        <w:t>The special master in the case reported that the state and county officials were substantially fulfilling their obligations under the decree and acting in good faith. Despite this glowing assessment, the special</w:t>
      </w:r>
      <w:r w:rsidRPr="00A370C5">
        <w:rPr>
          <w:rStyle w:val="underline"/>
        </w:rPr>
        <w:t xml:space="preserve"> </w:t>
      </w:r>
      <w:r w:rsidRPr="00A370C5">
        <w:rPr>
          <w:rStyle w:val="underline"/>
          <w:bCs/>
        </w:rPr>
        <w:t>master</w:t>
      </w:r>
      <w:r w:rsidRPr="00A370C5">
        <w:rPr>
          <w:rStyle w:val="underline"/>
        </w:rPr>
        <w:t xml:space="preserve">, </w:t>
      </w:r>
      <w:r w:rsidRPr="00A370C5">
        <w:rPr>
          <w:b/>
          <w:sz w:val="14"/>
        </w:rPr>
        <w:t xml:space="preserve">along with the plaintiffs, </w:t>
      </w:r>
      <w:r w:rsidRPr="00A370C5">
        <w:rPr>
          <w:rStyle w:val="underline"/>
          <w:bCs/>
        </w:rPr>
        <w:t>asked the judge to keep the case alive pending another evaluation two years later. Judge Broderick said enough was enough and closed the special master’s office but still left the consent decree in place so that it could be revived and enforced in the future</w:t>
      </w:r>
      <w:r w:rsidRPr="00A370C5">
        <w:rPr>
          <w:b/>
          <w:sz w:val="14"/>
        </w:rPr>
        <w:t>.33</w:t>
      </w:r>
    </w:p>
    <w:p w14:paraId="2B2E48D4" w14:textId="77777777" w:rsidR="002122EC" w:rsidRDefault="002122EC" w:rsidP="002122EC"/>
    <w:p w14:paraId="29ACAA9C" w14:textId="77777777" w:rsidR="002122EC" w:rsidRDefault="002122EC" w:rsidP="002122EC">
      <w:pPr>
        <w:pStyle w:val="Heading4"/>
      </w:pPr>
      <w:r>
        <w:t xml:space="preserve">The Court is the </w:t>
      </w:r>
      <w:r w:rsidRPr="009A4AB4">
        <w:rPr>
          <w:u w:val="single"/>
        </w:rPr>
        <w:t>only</w:t>
      </w:r>
      <w:r>
        <w:t xml:space="preserve"> option that can ensure equal educational opportunity for students</w:t>
      </w:r>
    </w:p>
    <w:p w14:paraId="6019E1FC" w14:textId="77777777" w:rsidR="002122EC" w:rsidRPr="002B1291" w:rsidRDefault="002122EC" w:rsidP="002122EC">
      <w:pPr>
        <w:rPr>
          <w:rStyle w:val="Style13ptBold"/>
        </w:rPr>
      </w:pPr>
      <w:r>
        <w:rPr>
          <w:rStyle w:val="Style13ptBold"/>
        </w:rPr>
        <w:t xml:space="preserve">McRae 13 </w:t>
      </w:r>
      <w:r w:rsidRPr="002B1291">
        <w:rPr>
          <w:rStyle w:val="Style13ptBold"/>
        </w:rPr>
        <w:t>(Marcellus McRae, a partner in the Los Angeles office of Gibson, Dunn &amp; Crutcher, is currently representing nine California public schoolchildren in the statewide education equality lawsuit Vergara v. California. “Education reform through the courts and why it’s necessary,</w:t>
      </w:r>
      <w:r>
        <w:rPr>
          <w:rStyle w:val="Style13ptBold"/>
        </w:rPr>
        <w:t xml:space="preserve"> </w:t>
      </w:r>
      <w:hyperlink r:id="rId68" w:history="1">
        <w:r w:rsidRPr="00D123D7">
          <w:rPr>
            <w:rStyle w:val="Hyperlink"/>
          </w:rPr>
          <w:t>https://edsource.org/2013/education-reform-through-the-courts-and-why-its-necessary/49238</w:t>
        </w:r>
      </w:hyperlink>
      <w:r w:rsidRPr="002B1291">
        <w:rPr>
          <w:rStyle w:val="Style13ptBold"/>
        </w:rPr>
        <w:t>, SR)</w:t>
      </w:r>
      <w:r>
        <w:rPr>
          <w:rStyle w:val="Style13ptBold"/>
        </w:rPr>
        <w:t xml:space="preserve"> GDI – CF </w:t>
      </w:r>
    </w:p>
    <w:p w14:paraId="5BFF6D0B" w14:textId="77777777" w:rsidR="002122EC" w:rsidRDefault="002122EC" w:rsidP="002122EC">
      <w:pPr>
        <w:rPr>
          <w:b/>
          <w:u w:val="single"/>
        </w:rPr>
      </w:pPr>
      <w:r w:rsidRPr="00FD26A0">
        <w:rPr>
          <w:sz w:val="8"/>
        </w:rPr>
        <w:t xml:space="preserve">In California – and in many other states – </w:t>
      </w:r>
      <w:r w:rsidRPr="002B1291">
        <w:rPr>
          <w:u w:val="single"/>
        </w:rPr>
        <w:t>the Legislature has proven devastatingly ineffective at ensuring equal educational opportunity in our public schools and protecting the fundamental rights of students.</w:t>
      </w:r>
      <w:r w:rsidRPr="00FD26A0">
        <w:rPr>
          <w:sz w:val="8"/>
        </w:rPr>
        <w:t xml:space="preserve"> </w:t>
      </w:r>
      <w:r w:rsidRPr="002B1291">
        <w:rPr>
          <w:u w:val="single"/>
        </w:rPr>
        <w:t xml:space="preserve">Fortunately, our government has another branch – the judiciary – whose express purpose is to protect constitutional rights, to step in when popular will or an ineffective legislature tramples the rights of the voiceless and the powerless. It is in the courts where legal challenges to statutes that infringe on constitutional rights can be resolved, free from powerful special interests and lobbyists. </w:t>
      </w:r>
      <w:r w:rsidRPr="00FD26A0">
        <w:rPr>
          <w:sz w:val="8"/>
        </w:rPr>
        <w:t xml:space="preserve">Vergara v. California, the lawsuit filed last year against the State of California by nine public schoolchildren and sponsored by the nonprofit organization Students Matter, challenges the outdated teacher tenure, dismissal and layoff system in California that entrenches grossly ineffective teachers in classrooms while pushing highly effective, but less senior, teachers out. Because these laws keep ineffective teachers in schools, especially when there are effective teachers willing to take their places, these laws violate students’ fundamental right to equal educational opportunity. This week, Plaintiffs – public schoolchildren from all over California from 8 to 17 years old – filed with the court a mountain of evidence demonstrating that the statutes violate the Equal Protection Clause by forcing school districts to keep failing teachers in the classroom year after year, with devastating consequences for the students assigned to their classrooms. The state and the </w:t>
      </w:r>
      <w:proofErr w:type="gramStart"/>
      <w:r w:rsidRPr="00FD26A0">
        <w:rPr>
          <w:sz w:val="8"/>
        </w:rPr>
        <w:t>teachers</w:t>
      </w:r>
      <w:proofErr w:type="gramEnd"/>
      <w:r w:rsidRPr="00FD26A0">
        <w:rPr>
          <w:sz w:val="8"/>
        </w:rPr>
        <w:t xml:space="preserve"> unions that intervened to justify the statutes, on the other hand, asked the court in September to summarily dismiss Plaintiffs’ claims without any trial at all. This week, I and the other attorneys on the case, Theodore B. Olson and Theodore J. Boutrous, filed a motion full of compelling evidence to demonstrate how the State of California is knowingly forcing school districts to keep ineffective teachers in the classroom, and the real-world consequences that this has on students. In a Los </w:t>
      </w:r>
      <w:proofErr w:type="gramStart"/>
      <w:r w:rsidRPr="00FD26A0">
        <w:rPr>
          <w:sz w:val="8"/>
        </w:rPr>
        <w:t>Angeles</w:t>
      </w:r>
      <w:proofErr w:type="gramEnd"/>
      <w:r w:rsidRPr="00FD26A0">
        <w:rPr>
          <w:sz w:val="8"/>
        </w:rPr>
        <w:t xml:space="preserve"> Daily News article about the Vergara lawsuit, a representative of the California Teachers Association accused the Plaintiffs of “circumventing the legislative process to strip teachers of their due-process rights.” This accusation is simply not true. The uncomfortable truth for many is that this suit merely seeks determinations that are consistent with what the Constitution demands; namely, that teacher employment provisions take student educational needs into account. Rather than attempting to subvert California’s constitution, this suit is aimed at enforcing the constitution’s guarantee of equal educational opportunity. </w:t>
      </w:r>
      <w:r w:rsidRPr="002B1291">
        <w:rPr>
          <w:u w:val="single"/>
        </w:rPr>
        <w:t xml:space="preserve">The role of the courts and impact litigation in education reform is far from new. A long line of cases has paved the way and laid the foundation for the Vergara challenge today. </w:t>
      </w:r>
      <w:r w:rsidRPr="00FD26A0">
        <w:rPr>
          <w:sz w:val="8"/>
        </w:rPr>
        <w:t xml:space="preserve">Perhaps the most famous education equality lawsuit, Brown v. Board of Education, decided in 1954, ended the forced segregation of public schools in America, establishing that separate is not equal. </w:t>
      </w:r>
      <w:r w:rsidRPr="002B1291">
        <w:rPr>
          <w:u w:val="single"/>
        </w:rPr>
        <w:t xml:space="preserve">It is hard to imagine now that some opposed the Supreme Court’s ruling in Brown v. Board of Education as an improper exercise of judicial power. It is even harder to imagine where we would be as a nation had the Supreme Court declined to act. Yet it did, and in doing so, it educated the nation that fundamental interests trump fear of change, ignorance and the misinformed view that constitutional provisions are mere suggestions rather than rights. Just as we cannot countenance statutes that engender racial marginalization, we cannot countenance statutes that engender educational marginalization of any child, let alone our most vulnerable children. </w:t>
      </w:r>
      <w:r w:rsidRPr="00FD26A0">
        <w:rPr>
          <w:sz w:val="8"/>
        </w:rPr>
        <w:t xml:space="preserve">The landmark California state case Serrano v. Priest, litigated in the mid-1970s, challenged the system of funding school districts through property taxes, claiming the vast differences in the personal wealth of families living in different districts resulted in wide discrepancies in school funding that jeopardized the quality of public education in poorer districts. The Serrano case recognized that a child’s right to an education is a fundamental interest guaranteed by the California Constitution. And in Butt v. State of California, decided in 1992, the California Supreme Court ruled that “the State itself bears the ultimate authority and responsibility to ensure that its district-based system of common schools provides basic equality of educational opportunity.” </w:t>
      </w:r>
      <w:r w:rsidRPr="002B1291">
        <w:rPr>
          <w:u w:val="single"/>
        </w:rPr>
        <w:t xml:space="preserve">Laws that inflict a “real and appreciable impact” on the fundamental right to education and that are not narrowly tailored to serve a compelling state interest are unconstitutional. </w:t>
      </w:r>
      <w:r w:rsidRPr="00FD26A0">
        <w:rPr>
          <w:sz w:val="8"/>
        </w:rPr>
        <w:t xml:space="preserve">We know now that educational quality depends on more than just curriculum and a classroom. Just as students have a fundamental right to access facilities and educational resources that meet a basic threshold of quality, students have a constitutional right to equal access to an effective teacher. </w:t>
      </w:r>
      <w:r w:rsidRPr="002B1291">
        <w:rPr>
          <w:b/>
          <w:u w:val="single"/>
        </w:rPr>
        <w:t>Children do not have a voice in the legislative process,</w:t>
      </w:r>
      <w:r w:rsidRPr="002B1291">
        <w:rPr>
          <w:u w:val="single"/>
        </w:rPr>
        <w:t xml:space="preserve"> a seat at the bargaining table or vast amounts of funds to lobby lawmakers.</w:t>
      </w:r>
      <w:r w:rsidRPr="00FD26A0">
        <w:rPr>
          <w:sz w:val="8"/>
        </w:rPr>
        <w:t xml:space="preserve"> The challenge to California’s harmful and outdated teacher employment system must be brought to the courts. </w:t>
      </w:r>
      <w:r w:rsidRPr="002B1291">
        <w:rPr>
          <w:u w:val="single"/>
        </w:rPr>
        <w:t xml:space="preserve">When decisions made above children’s heads violate their fundamental right to have an equal opportunity to learn – denying many of them their only shot at elevating themselves out of poverty – </w:t>
      </w:r>
      <w:r w:rsidRPr="002B1291">
        <w:rPr>
          <w:b/>
          <w:u w:val="single"/>
        </w:rPr>
        <w:t>the only recourse these children have to defend their fundamental rights is the courts. It is the judicial enforcement of these rights that will compel legislatures</w:t>
      </w:r>
      <w:r w:rsidRPr="002B1291">
        <w:rPr>
          <w:u w:val="single"/>
        </w:rPr>
        <w:t xml:space="preserve"> in California and other states </w:t>
      </w:r>
      <w:r w:rsidRPr="002B1291">
        <w:rPr>
          <w:b/>
          <w:u w:val="single"/>
        </w:rPr>
        <w:t>to fulfill their obligation to respect the educational rights of all our children.</w:t>
      </w:r>
    </w:p>
    <w:p w14:paraId="7107196F" w14:textId="77777777" w:rsidR="002122EC" w:rsidRDefault="002122EC" w:rsidP="002122EC"/>
    <w:p w14:paraId="38679A61" w14:textId="77777777" w:rsidR="002122EC" w:rsidRPr="008F121B" w:rsidRDefault="002122EC" w:rsidP="002122EC">
      <w:pPr>
        <w:pStyle w:val="Heading4"/>
      </w:pPr>
      <w:r>
        <w:t>The Court is able to produce social change</w:t>
      </w:r>
    </w:p>
    <w:p w14:paraId="799A5A2B" w14:textId="77777777" w:rsidR="002122EC" w:rsidRPr="00B359B4" w:rsidRDefault="002122EC" w:rsidP="002122EC">
      <w:r w:rsidRPr="00B359B4">
        <w:rPr>
          <w:b/>
          <w:bCs/>
        </w:rPr>
        <w:t>Schultz and Gottlieb 96</w:t>
      </w:r>
      <w:r w:rsidRPr="00B359B4">
        <w:t xml:space="preserve"> (David and Stephen, Professor in the Hamline University School, “Legal Functionalism and Social Change: A Reassessment of Rosenberg’s </w:t>
      </w:r>
      <w:r w:rsidRPr="00B359B4">
        <w:rPr>
          <w:i/>
          <w:iCs/>
        </w:rPr>
        <w:t>The Hollow Hope: Can Courts Bring About Social Change</w:t>
      </w:r>
      <w:r w:rsidRPr="00B359B4">
        <w:t xml:space="preserve">”, Journal of Law and Politics, 1996, Hein Online) </w:t>
      </w:r>
      <w:r>
        <w:t xml:space="preserve">// GDI – CF </w:t>
      </w:r>
    </w:p>
    <w:p w14:paraId="31822925" w14:textId="77777777" w:rsidR="002122EC" w:rsidRDefault="002122EC" w:rsidP="002122EC">
      <w:pPr>
        <w:pStyle w:val="loose"/>
        <w:rPr>
          <w:rFonts w:ascii="Georgia" w:hAnsi="Georgia"/>
          <w:sz w:val="14"/>
        </w:rPr>
      </w:pPr>
      <w:r w:rsidRPr="00B359B4">
        <w:rPr>
          <w:rFonts w:ascii="Georgia" w:hAnsi="Georgia"/>
          <w:sz w:val="22"/>
          <w:u w:val="single"/>
        </w:rPr>
        <w:t>The Supreme Court acts not only within the separate powers scheme, but within the federal system as well</w:t>
      </w:r>
      <w:r w:rsidRPr="00FD26A0">
        <w:rPr>
          <w:rFonts w:ascii="Georgia" w:hAnsi="Georgia"/>
          <w:sz w:val="14"/>
        </w:rPr>
        <w:t xml:space="preserve">. Not only must it depend on other branches of the federal government, but </w:t>
      </w:r>
      <w:r w:rsidRPr="00B359B4">
        <w:rPr>
          <w:rFonts w:ascii="Georgia" w:hAnsi="Georgia"/>
          <w:sz w:val="22"/>
          <w:u w:val="single"/>
        </w:rPr>
        <w:t>often it must depend on state and local officials to implement and reinforce its decisions</w:t>
      </w:r>
      <w:r w:rsidRPr="00FD26A0">
        <w:rPr>
          <w:rFonts w:ascii="Georgia" w:hAnsi="Georgia"/>
          <w:sz w:val="14"/>
        </w:rPr>
        <w:t xml:space="preserve">. As illustrated above, however, the Court can induce action by providing "cover" or "leverage" within this context as well. </w:t>
      </w:r>
      <w:bookmarkStart w:id="1" w:name="r129"/>
      <w:r w:rsidRPr="00B359B4">
        <w:rPr>
          <w:rFonts w:ascii="Georgia" w:hAnsi="Georgia"/>
          <w:sz w:val="22"/>
          <w:u w:val="single"/>
          <w:vertAlign w:val="superscript"/>
        </w:rPr>
        <w:fldChar w:fldCharType="begin"/>
      </w:r>
      <w:r w:rsidRPr="00B359B4">
        <w:rPr>
          <w:rFonts w:ascii="Georgia" w:hAnsi="Georgia"/>
          <w:sz w:val="22"/>
          <w:u w:val="single"/>
          <w:vertAlign w:val="superscript"/>
        </w:rPr>
        <w:instrText xml:space="preserve"> HYPERLINK "http://www.lexisnexis.com.proxy.lib.umich.edu/us/lnacademic/frame.do?tokenKey=rsh-20.526755.7234834495&amp;target=results_DocumentContent&amp;reloadEntirePage=true&amp;rand=1246299086869&amp;returnToKey=20_T6866475079&amp;parent=docview" \l "n129" </w:instrText>
      </w:r>
      <w:r w:rsidRPr="00B359B4">
        <w:rPr>
          <w:rFonts w:ascii="Georgia" w:hAnsi="Georgia"/>
          <w:sz w:val="22"/>
          <w:u w:val="single"/>
          <w:vertAlign w:val="superscript"/>
        </w:rPr>
      </w:r>
      <w:r w:rsidRPr="00B359B4">
        <w:rPr>
          <w:rFonts w:ascii="Georgia" w:hAnsi="Georgia"/>
          <w:sz w:val="22"/>
          <w:u w:val="single"/>
          <w:vertAlign w:val="superscript"/>
        </w:rPr>
        <w:fldChar w:fldCharType="separate"/>
      </w:r>
      <w:r w:rsidRPr="00B359B4">
        <w:rPr>
          <w:rStyle w:val="blue"/>
          <w:rFonts w:eastAsia="Malgun Gothic"/>
          <w:color w:val="0000FF"/>
          <w:sz w:val="22"/>
          <w:u w:val="single"/>
          <w:vertAlign w:val="superscript"/>
        </w:rPr>
        <w:t>n129</w:t>
      </w:r>
      <w:r w:rsidRPr="00B359B4">
        <w:rPr>
          <w:rFonts w:ascii="Georgia" w:hAnsi="Georgia"/>
          <w:sz w:val="22"/>
          <w:u w:val="single"/>
          <w:vertAlign w:val="superscript"/>
        </w:rPr>
        <w:fldChar w:fldCharType="end"/>
      </w:r>
      <w:bookmarkEnd w:id="1"/>
      <w:r w:rsidRPr="00B359B4">
        <w:rPr>
          <w:rFonts w:ascii="Georgia" w:hAnsi="Georgia"/>
          <w:sz w:val="22"/>
          <w:u w:val="single"/>
        </w:rPr>
        <w:t xml:space="preserve"> Indeed, by inducing local officials to act, the Court may ultimately succeed in altering public sentiment itself, if through nothing more than altering the starting point for local debate</w:t>
      </w:r>
      <w:r w:rsidRPr="00FD26A0">
        <w:rPr>
          <w:rFonts w:ascii="Georgia" w:hAnsi="Georgia"/>
          <w:sz w:val="14"/>
        </w:rPr>
        <w:t xml:space="preserve">. </w:t>
      </w:r>
      <w:bookmarkStart w:id="2" w:name="r130"/>
      <w:r w:rsidRPr="00B359B4">
        <w:rPr>
          <w:rFonts w:ascii="Georgia" w:hAnsi="Georgia"/>
          <w:sz w:val="22"/>
          <w:u w:val="single"/>
          <w:vertAlign w:val="superscript"/>
        </w:rPr>
        <w:fldChar w:fldCharType="begin"/>
      </w:r>
      <w:r w:rsidRPr="00B359B4">
        <w:rPr>
          <w:rFonts w:ascii="Georgia" w:hAnsi="Georgia"/>
          <w:sz w:val="22"/>
          <w:u w:val="single"/>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"n130" </w:instrText>
      </w:r>
      <w:r w:rsidRPr="00B359B4">
        <w:rPr>
          <w:rFonts w:ascii="Georgia" w:hAnsi="Georgia"/>
          <w:sz w:val="22"/>
          <w:u w:val="single"/>
          <w:vertAlign w:val="superscript"/>
        </w:rPr>
      </w:r>
      <w:r w:rsidRPr="00B359B4">
        <w:rPr>
          <w:rFonts w:ascii="Georgia" w:hAnsi="Georgia"/>
          <w:sz w:val="22"/>
          <w:u w:val="single"/>
          <w:vertAlign w:val="superscript"/>
        </w:rPr>
        <w:fldChar w:fldCharType="separate"/>
      </w:r>
      <w:r w:rsidRPr="00B359B4">
        <w:rPr>
          <w:rStyle w:val="blue"/>
          <w:rFonts w:eastAsia="Malgun Gothic"/>
          <w:color w:val="0000FF"/>
          <w:sz w:val="22"/>
          <w:u w:val="single"/>
          <w:vertAlign w:val="superscript"/>
        </w:rPr>
        <w:t>n130</w:t>
      </w:r>
      <w:r w:rsidRPr="00B359B4">
        <w:rPr>
          <w:rFonts w:ascii="Georgia" w:hAnsi="Georgia"/>
          <w:sz w:val="22"/>
          <w:u w:val="single"/>
          <w:vertAlign w:val="superscript"/>
        </w:rPr>
        <w:fldChar w:fldCharType="end"/>
      </w:r>
      <w:bookmarkEnd w:id="2"/>
      <w:r w:rsidRPr="00B359B4">
        <w:rPr>
          <w:rFonts w:ascii="Georgia" w:hAnsi="Georgia"/>
          <w:sz w:val="22"/>
          <w:u w:val="single"/>
        </w:rPr>
        <w:t xml:space="preserve"> Neither must the Court's "leverage" always be direct: by deciding a case, the Court may merely bring a local matter into the national political arena, subjecting the matter to a broader range of pressures for reform than might exist at the local level.</w:t>
      </w:r>
      <w:r w:rsidRPr="00FD26A0">
        <w:rPr>
          <w:rFonts w:ascii="Georgia" w:hAnsi="Georgia"/>
          <w:sz w:val="14"/>
        </w:rPr>
        <w:t xml:space="preserve"> </w:t>
      </w:r>
      <w:bookmarkStart w:id="3" w:name="r131"/>
      <w:r w:rsidRPr="00FD26A0">
        <w:rPr>
          <w:rFonts w:ascii="Georgia" w:hAnsi="Georgia"/>
          <w:sz w:val="14"/>
          <w:vertAlign w:val="superscript"/>
        </w:rPr>
        <w:fldChar w:fldCharType="begin"/>
      </w:r>
      <w:r w:rsidRPr="00FD26A0">
        <w:rPr>
          <w:rFonts w:ascii="Georgia" w:hAnsi="Georgia"/>
          <w:sz w:val="14"/>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"n131" </w:instrText>
      </w:r>
      <w:r w:rsidRPr="00FD26A0">
        <w:rPr>
          <w:rFonts w:ascii="Georgia" w:hAnsi="Georgia"/>
          <w:sz w:val="14"/>
          <w:vertAlign w:val="superscript"/>
        </w:rPr>
      </w:r>
      <w:r w:rsidRPr="00FD26A0">
        <w:rPr>
          <w:rFonts w:ascii="Georgia" w:hAnsi="Georgia"/>
          <w:sz w:val="14"/>
          <w:vertAlign w:val="superscript"/>
        </w:rPr>
        <w:fldChar w:fldCharType="separate"/>
      </w:r>
      <w:r w:rsidRPr="00FD26A0">
        <w:rPr>
          <w:rStyle w:val="blue"/>
          <w:rFonts w:eastAsia="Malgun Gothic"/>
          <w:color w:val="0000FF"/>
          <w:sz w:val="14"/>
          <w:vertAlign w:val="superscript"/>
        </w:rPr>
        <w:t>n131</w:t>
      </w:r>
      <w:r w:rsidRPr="00FD26A0">
        <w:rPr>
          <w:rFonts w:ascii="Georgia" w:hAnsi="Georgia"/>
          <w:sz w:val="14"/>
          <w:vertAlign w:val="superscript"/>
        </w:rPr>
        <w:fldChar w:fldCharType="end"/>
      </w:r>
      <w:bookmarkEnd w:id="3"/>
      <w:r w:rsidRPr="00FD26A0">
        <w:rPr>
          <w:rFonts w:ascii="Georgia" w:hAnsi="Georgia"/>
          <w:sz w:val="14"/>
          <w:vertAlign w:val="superscript"/>
        </w:rPr>
        <w:t xml:space="preserve"> </w:t>
      </w:r>
      <w:r w:rsidRPr="00B359B4">
        <w:rPr>
          <w:rFonts w:ascii="Georgia" w:hAnsi="Georgia"/>
          <w:sz w:val="22"/>
          <w:u w:val="single"/>
        </w:rPr>
        <w:t>In short, the Court's power rests not so much in its power to command as in its power to persuade. We must examine the Court as we examine other branches -- as an actor that must work with others to achieve its goals</w:t>
      </w:r>
      <w:r w:rsidRPr="00FD26A0">
        <w:rPr>
          <w:rFonts w:ascii="Georgia" w:hAnsi="Georgia"/>
          <w:sz w:val="14"/>
        </w:rPr>
        <w:t xml:space="preserve">. Just as the President's power over policy rests in great part in his power to persuade, </w:t>
      </w:r>
      <w:bookmarkStart w:id="4" w:name="r132"/>
      <w:r w:rsidRPr="00FD26A0">
        <w:rPr>
          <w:rFonts w:ascii="Georgia" w:hAnsi="Georgia"/>
          <w:sz w:val="14"/>
          <w:vertAlign w:val="superscript"/>
        </w:rPr>
        <w:fldChar w:fldCharType="begin"/>
      </w:r>
      <w:r w:rsidRPr="00FD26A0">
        <w:rPr>
          <w:rFonts w:ascii="Georgia" w:hAnsi="Georgia"/>
          <w:sz w:val="14"/>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"n132" </w:instrText>
      </w:r>
      <w:r w:rsidRPr="00FD26A0">
        <w:rPr>
          <w:rFonts w:ascii="Georgia" w:hAnsi="Georgia"/>
          <w:sz w:val="14"/>
          <w:vertAlign w:val="superscript"/>
        </w:rPr>
      </w:r>
      <w:r w:rsidRPr="00FD26A0">
        <w:rPr>
          <w:rFonts w:ascii="Georgia" w:hAnsi="Georgia"/>
          <w:sz w:val="14"/>
          <w:vertAlign w:val="superscript"/>
        </w:rPr>
        <w:fldChar w:fldCharType="separate"/>
      </w:r>
      <w:r w:rsidRPr="00FD26A0">
        <w:rPr>
          <w:rStyle w:val="blue"/>
          <w:rFonts w:eastAsia="Malgun Gothic"/>
          <w:color w:val="0000FF"/>
          <w:sz w:val="14"/>
          <w:vertAlign w:val="superscript"/>
        </w:rPr>
        <w:t>n132</w:t>
      </w:r>
      <w:r w:rsidRPr="00FD26A0">
        <w:rPr>
          <w:rFonts w:ascii="Georgia" w:hAnsi="Georgia"/>
          <w:sz w:val="14"/>
          <w:vertAlign w:val="superscript"/>
        </w:rPr>
        <w:fldChar w:fldCharType="end"/>
      </w:r>
      <w:bookmarkEnd w:id="4"/>
      <w:r w:rsidRPr="00FD26A0">
        <w:rPr>
          <w:rFonts w:ascii="Georgia" w:hAnsi="Georgia"/>
          <w:sz w:val="14"/>
        </w:rPr>
        <w:t xml:space="preserve"> so, too</w:t>
      </w:r>
      <w:r w:rsidRPr="00B359B4">
        <w:rPr>
          <w:rFonts w:ascii="Georgia" w:hAnsi="Georgia"/>
          <w:sz w:val="22"/>
          <w:u w:val="single"/>
        </w:rPr>
        <w:t>, the Court's effectiveness must be measured largely by its ability to convince others that its decisions are just and prudent</w:t>
      </w:r>
      <w:r w:rsidRPr="00FD26A0">
        <w:rPr>
          <w:rFonts w:ascii="Georgia" w:hAnsi="Georgia"/>
          <w:sz w:val="14"/>
        </w:rPr>
        <w:t xml:space="preserve">. </w:t>
      </w:r>
      <w:bookmarkStart w:id="5" w:name="r133"/>
      <w:r w:rsidRPr="00FD26A0">
        <w:rPr>
          <w:rFonts w:ascii="Georgia" w:hAnsi="Georgia"/>
          <w:sz w:val="14"/>
          <w:vertAlign w:val="superscript"/>
        </w:rPr>
        <w:fldChar w:fldCharType="begin"/>
      </w:r>
      <w:r w:rsidRPr="00FD26A0">
        <w:rPr>
          <w:rFonts w:ascii="Georgia" w:hAnsi="Georgia"/>
          <w:sz w:val="14"/>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"n133" </w:instrText>
      </w:r>
      <w:r w:rsidRPr="00FD26A0">
        <w:rPr>
          <w:rFonts w:ascii="Georgia" w:hAnsi="Georgia"/>
          <w:sz w:val="14"/>
          <w:vertAlign w:val="superscript"/>
        </w:rPr>
      </w:r>
      <w:r w:rsidRPr="00FD26A0">
        <w:rPr>
          <w:rFonts w:ascii="Georgia" w:hAnsi="Georgia"/>
          <w:sz w:val="14"/>
          <w:vertAlign w:val="superscript"/>
        </w:rPr>
        <w:fldChar w:fldCharType="separate"/>
      </w:r>
      <w:r w:rsidRPr="00FD26A0">
        <w:rPr>
          <w:rStyle w:val="blue"/>
          <w:rFonts w:eastAsia="Malgun Gothic"/>
          <w:color w:val="0000FF"/>
          <w:sz w:val="14"/>
          <w:vertAlign w:val="superscript"/>
        </w:rPr>
        <w:t>n133</w:t>
      </w:r>
      <w:r w:rsidRPr="00FD26A0">
        <w:rPr>
          <w:rFonts w:ascii="Georgia" w:hAnsi="Georgia"/>
          <w:sz w:val="14"/>
          <w:vertAlign w:val="superscript"/>
        </w:rPr>
        <w:fldChar w:fldCharType="end"/>
      </w:r>
      <w:bookmarkEnd w:id="5"/>
      <w:r w:rsidRPr="00FD26A0">
        <w:rPr>
          <w:rFonts w:ascii="Georgia" w:hAnsi="Georgia"/>
          <w:sz w:val="14"/>
        </w:rPr>
        <w:t xml:space="preserve"> Within our separate powers system, the judiciary may be unique in its capacity to challenge background assumptions, </w:t>
      </w:r>
      <w:bookmarkStart w:id="6" w:name="r134"/>
      <w:r w:rsidRPr="00FD26A0">
        <w:rPr>
          <w:rFonts w:ascii="Georgia" w:hAnsi="Georgia"/>
          <w:sz w:val="14"/>
          <w:vertAlign w:val="superscript"/>
        </w:rPr>
        <w:fldChar w:fldCharType="begin"/>
      </w:r>
      <w:r w:rsidRPr="00FD26A0">
        <w:rPr>
          <w:rFonts w:ascii="Georgia" w:hAnsi="Georgia"/>
          <w:sz w:val="14"/>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"n134" </w:instrText>
      </w:r>
      <w:r w:rsidRPr="00FD26A0">
        <w:rPr>
          <w:rFonts w:ascii="Georgia" w:hAnsi="Georgia"/>
          <w:sz w:val="14"/>
          <w:vertAlign w:val="superscript"/>
        </w:rPr>
      </w:r>
      <w:r w:rsidRPr="00FD26A0">
        <w:rPr>
          <w:rFonts w:ascii="Georgia" w:hAnsi="Georgia"/>
          <w:sz w:val="14"/>
          <w:vertAlign w:val="superscript"/>
        </w:rPr>
        <w:fldChar w:fldCharType="separate"/>
      </w:r>
      <w:r w:rsidRPr="00FD26A0">
        <w:rPr>
          <w:rStyle w:val="blue"/>
          <w:rFonts w:eastAsia="Malgun Gothic"/>
          <w:color w:val="0000FF"/>
          <w:sz w:val="14"/>
          <w:vertAlign w:val="superscript"/>
        </w:rPr>
        <w:t>n134</w:t>
      </w:r>
      <w:r w:rsidRPr="00FD26A0">
        <w:rPr>
          <w:rFonts w:ascii="Georgia" w:hAnsi="Georgia"/>
          <w:sz w:val="14"/>
          <w:vertAlign w:val="superscript"/>
        </w:rPr>
        <w:fldChar w:fldCharType="end"/>
      </w:r>
      <w:bookmarkEnd w:id="6"/>
      <w:r w:rsidRPr="00FD26A0">
        <w:rPr>
          <w:rFonts w:ascii="Georgia" w:hAnsi="Georgia"/>
          <w:sz w:val="14"/>
        </w:rPr>
        <w:t xml:space="preserve"> but </w:t>
      </w:r>
      <w:r w:rsidRPr="00B359B4">
        <w:rPr>
          <w:rFonts w:ascii="Georgia" w:hAnsi="Georgia"/>
          <w:sz w:val="22"/>
          <w:u w:val="single"/>
        </w:rPr>
        <w:t>once it mounts this challenge, other actors must use the Court's arguments to effect change</w:t>
      </w:r>
      <w:r w:rsidRPr="00FD26A0">
        <w:rPr>
          <w:rFonts w:ascii="Georgia" w:hAnsi="Georgia"/>
          <w:sz w:val="14"/>
        </w:rPr>
        <w:t xml:space="preserve">. Thus, </w:t>
      </w:r>
      <w:r w:rsidRPr="00FD26A0">
        <w:rPr>
          <w:rStyle w:val="italic"/>
          <w:rFonts w:ascii="Georgia" w:hAnsi="Georgia"/>
          <w:sz w:val="14"/>
        </w:rPr>
        <w:t>Hollow Hope</w:t>
      </w:r>
      <w:r w:rsidRPr="00FD26A0">
        <w:rPr>
          <w:rFonts w:ascii="Georgia" w:hAnsi="Georgia"/>
          <w:sz w:val="14"/>
        </w:rPr>
        <w:t xml:space="preserve"> may actually prove, not that the Court is an ineffective agent of social change, but rather that it often plays an important and powerful role in our political system.</w:t>
      </w:r>
    </w:p>
    <w:p w14:paraId="69713E4A" w14:textId="77777777" w:rsidR="002122EC" w:rsidRPr="00C357BE" w:rsidRDefault="002122EC" w:rsidP="002122EC"/>
    <w:p w14:paraId="386F9285" w14:textId="77777777" w:rsidR="002122EC" w:rsidRDefault="002122EC" w:rsidP="002122EC">
      <w:pPr>
        <w:pStyle w:val="Heading3"/>
      </w:pPr>
      <w:r>
        <w:t>A2 Federalism DA</w:t>
      </w:r>
    </w:p>
    <w:p w14:paraId="2B54D8E7" w14:textId="77777777" w:rsidR="002122EC" w:rsidRDefault="002122EC" w:rsidP="002122EC"/>
    <w:p w14:paraId="7111CE90" w14:textId="77777777" w:rsidR="002122EC" w:rsidRDefault="002122EC" w:rsidP="002122EC">
      <w:pPr>
        <w:pStyle w:val="Heading4"/>
      </w:pPr>
      <w:r>
        <w:t xml:space="preserve">No link – the courts have impacted LGBTQ education before and will again </w:t>
      </w:r>
    </w:p>
    <w:p w14:paraId="532E5070" w14:textId="77777777" w:rsidR="002122EC" w:rsidRDefault="002122EC" w:rsidP="002122EC">
      <w:r w:rsidRPr="00844512">
        <w:rPr>
          <w:rStyle w:val="Style13ptBold"/>
        </w:rPr>
        <w:t>Buckel</w:t>
      </w:r>
      <w:r>
        <w:t xml:space="preserve"> </w:t>
      </w:r>
      <w:r w:rsidRPr="00844512">
        <w:rPr>
          <w:rStyle w:val="Style13ptBold"/>
        </w:rPr>
        <w:t>2K</w:t>
      </w:r>
      <w:r>
        <w:t xml:space="preserve">. David S. Buckel. Lambda Legal Defense and Education Fund, Inc. “Legal Perspective </w:t>
      </w:r>
      <w:proofErr w:type="gramStart"/>
      <w:r>
        <w:t>On</w:t>
      </w:r>
      <w:proofErr w:type="gramEnd"/>
      <w:r>
        <w:t xml:space="preserve"> Ensuring A Safe And Nondiscriminatory School Environment For Lesbian, Gay, Bisexual, And Transgendered Students”. </w:t>
      </w:r>
      <w:hyperlink r:id="rId69" w:history="1">
        <w:r w:rsidRPr="001846C0">
          <w:rPr>
            <w:rStyle w:val="Hyperlink"/>
          </w:rPr>
          <w:t>http://journals.sagepub.com/doi/pdf/10.1177/0013124500323007</w:t>
        </w:r>
      </w:hyperlink>
      <w:r>
        <w:t xml:space="preserve"> .// GDI – CF </w:t>
      </w:r>
    </w:p>
    <w:p w14:paraId="32D0C8B5" w14:textId="77777777" w:rsidR="002122EC" w:rsidRDefault="002122EC" w:rsidP="002122EC">
      <w:pPr>
        <w:rPr>
          <w:sz w:val="24"/>
          <w:u w:val="single"/>
        </w:rPr>
      </w:pPr>
      <w:r w:rsidRPr="00BF6967">
        <w:rPr>
          <w:sz w:val="16"/>
        </w:rPr>
        <w:t xml:space="preserve">One such example is </w:t>
      </w:r>
      <w:r w:rsidRPr="00844512">
        <w:rPr>
          <w:sz w:val="24"/>
          <w:u w:val="single"/>
        </w:rPr>
        <w:t>Jamie Nabozny of Ashland, Wisconsin</w:t>
      </w:r>
      <w:r w:rsidRPr="00BF6967">
        <w:rPr>
          <w:sz w:val="16"/>
        </w:rPr>
        <w:t>,</w:t>
      </w:r>
      <w:r w:rsidRPr="00844512">
        <w:rPr>
          <w:sz w:val="24"/>
          <w:u w:val="single"/>
        </w:rPr>
        <w:t xml:space="preserve"> who in middle school in the early 1990s answered honestly</w:t>
      </w:r>
      <w:r w:rsidRPr="00BF6967">
        <w:rPr>
          <w:sz w:val="16"/>
        </w:rPr>
        <w:t xml:space="preserve"> and positively </w:t>
      </w:r>
      <w:r w:rsidRPr="00844512">
        <w:rPr>
          <w:sz w:val="24"/>
          <w:u w:val="single"/>
        </w:rPr>
        <w:t>when another student asked Jamie if he is gay</w:t>
      </w:r>
      <w:r w:rsidRPr="00BF6967">
        <w:rPr>
          <w:sz w:val="16"/>
        </w:rPr>
        <w:t xml:space="preserve">. But as often happens when members of a minority group show pride and honesty, </w:t>
      </w:r>
      <w:r w:rsidRPr="00844512">
        <w:rPr>
          <w:sz w:val="24"/>
          <w:u w:val="single"/>
        </w:rPr>
        <w:t>bigotry swelled in its fear and hatred</w:t>
      </w:r>
      <w:r w:rsidRPr="00BF6967">
        <w:rPr>
          <w:sz w:val="16"/>
        </w:rPr>
        <w:t xml:space="preserve">. Jamie, along with a growing number of his LGBT peers, saw his openness and effort at self-respect prompt years of brutal persecution, both verbal and physical, culminating with an incident </w:t>
      </w:r>
      <w:r w:rsidRPr="00BF6967">
        <w:rPr>
          <w:sz w:val="24"/>
          <w:u w:val="single"/>
        </w:rPr>
        <w:t xml:space="preserve">where several boys knocked him to the floor and kicked him so hard in the stomach that he wound up in the hospital with internal bleeding, ending his </w:t>
      </w:r>
      <w:proofErr w:type="gramStart"/>
      <w:r w:rsidRPr="00BF6967">
        <w:rPr>
          <w:sz w:val="24"/>
          <w:u w:val="single"/>
        </w:rPr>
        <w:t>public school</w:t>
      </w:r>
      <w:proofErr w:type="gramEnd"/>
      <w:r w:rsidRPr="00BF6967">
        <w:rPr>
          <w:sz w:val="24"/>
          <w:u w:val="single"/>
        </w:rPr>
        <w:t xml:space="preserve"> years forever at the age of 16.</w:t>
      </w:r>
      <w:r w:rsidRPr="00BF6967">
        <w:rPr>
          <w:sz w:val="16"/>
        </w:rPr>
        <w:t xml:space="preserve"> Although Jamie wanted to put all the pain behind him, the thought dogged him that so many other young people were going through the same pain, over and over again. </w:t>
      </w:r>
      <w:r w:rsidRPr="00BF6967">
        <w:rPr>
          <w:sz w:val="24"/>
          <w:u w:val="single"/>
        </w:rPr>
        <w:t>A friend convinced him to sue the Ashland school district for its failure to stop the harassment and violence</w:t>
      </w:r>
      <w:r w:rsidRPr="00BF6967">
        <w:rPr>
          <w:sz w:val="16"/>
        </w:rPr>
        <w:t xml:space="preserve">. After a trial court threw the lawsuit out before Jamie even had his day in court, Lambda took over the case for appeal, and </w:t>
      </w:r>
      <w:r w:rsidRPr="00BF6967">
        <w:rPr>
          <w:sz w:val="24"/>
          <w:u w:val="single"/>
        </w:rPr>
        <w:t>the federal Seventh Circuit held that Jamie was entitled to have a trail and prove his case (Nabozny v. Podlesny, 1996</w:t>
      </w:r>
      <w:r w:rsidRPr="00BF6967">
        <w:rPr>
          <w:sz w:val="28"/>
          <w:u w:val="single"/>
        </w:rPr>
        <w:t xml:space="preserve">). </w:t>
      </w:r>
      <w:r w:rsidRPr="00BF6967">
        <w:rPr>
          <w:sz w:val="24"/>
          <w:u w:val="single"/>
        </w:rPr>
        <w:t>This was the very first case ever in which a student would proceed to trial arguing that a school’s failure to stop antigay abuse was unlawful. We won at trial and put close to a $1 million price tag on antigay discrimination in schools</w:t>
      </w:r>
      <w:r w:rsidRPr="00BF6967">
        <w:rPr>
          <w:sz w:val="16"/>
        </w:rPr>
        <w:t xml:space="preserve"> – that is what Jamie received in damages. It was a huge cost of school-sanctioned antigay violence that allowed Jamie to achieve his goal of reaching out to LGBT students across the country, because the big dollar figure got a lot of attention. </w:t>
      </w:r>
      <w:r w:rsidRPr="00BF6967">
        <w:rPr>
          <w:sz w:val="24"/>
          <w:u w:val="single"/>
        </w:rPr>
        <w:t xml:space="preserve">Many more students learned they were equal under the law and deserved protection from abuse so that they could finish high school. </w:t>
      </w:r>
    </w:p>
    <w:p w14:paraId="0EB09070" w14:textId="77777777" w:rsidR="002122EC" w:rsidRPr="00C357BE" w:rsidRDefault="002122EC" w:rsidP="002122EC">
      <w:pPr>
        <w:pStyle w:val="loose"/>
        <w:rPr>
          <w:rFonts w:ascii="Georgia" w:hAnsi="Georgia"/>
          <w:sz w:val="14"/>
        </w:rPr>
      </w:pPr>
    </w:p>
    <w:p w14:paraId="26A1D382" w14:textId="77777777" w:rsidR="002122EC" w:rsidRDefault="002122EC" w:rsidP="002122EC">
      <w:pPr>
        <w:pStyle w:val="Heading3"/>
      </w:pPr>
      <w:r>
        <w:t>A2 Circumvention DA</w:t>
      </w:r>
    </w:p>
    <w:p w14:paraId="293BEC42" w14:textId="77777777" w:rsidR="002122EC" w:rsidRDefault="002122EC" w:rsidP="002122EC"/>
    <w:p w14:paraId="7AE36522" w14:textId="77777777" w:rsidR="002122EC" w:rsidRDefault="002122EC" w:rsidP="002122EC">
      <w:pPr>
        <w:pStyle w:val="Heading4"/>
      </w:pPr>
      <w:r>
        <w:t xml:space="preserve">Disapproving conservative voices in and out of school systems cannot reject LGBTQ education enforcements from the courts – violation of the EPC </w:t>
      </w:r>
    </w:p>
    <w:p w14:paraId="00ABBC4C" w14:textId="77777777" w:rsidR="002122EC" w:rsidRDefault="002122EC" w:rsidP="002122EC">
      <w:r w:rsidRPr="00844512">
        <w:rPr>
          <w:rStyle w:val="Style13ptBold"/>
        </w:rPr>
        <w:t>Buckel</w:t>
      </w:r>
      <w:r>
        <w:t xml:space="preserve"> </w:t>
      </w:r>
      <w:r w:rsidRPr="00844512">
        <w:rPr>
          <w:rStyle w:val="Style13ptBold"/>
        </w:rPr>
        <w:t>2K</w:t>
      </w:r>
      <w:r>
        <w:t xml:space="preserve">. David S. Buckel. Lambda Legal Defense and Education Fund, Inc. “Legal Perspective </w:t>
      </w:r>
      <w:proofErr w:type="gramStart"/>
      <w:r>
        <w:t>On</w:t>
      </w:r>
      <w:proofErr w:type="gramEnd"/>
      <w:r>
        <w:t xml:space="preserve"> Ensuring A Safe And Nondiscriminatory School Environment For Lesbian, Gay, Bisexual, And Transgendered Students”. </w:t>
      </w:r>
      <w:hyperlink r:id="rId70" w:history="1">
        <w:r w:rsidRPr="001846C0">
          <w:rPr>
            <w:rStyle w:val="Hyperlink"/>
          </w:rPr>
          <w:t>http://journals.sagepub.com/doi/pdf/10.1177/0013124500323007</w:t>
        </w:r>
      </w:hyperlink>
      <w:r>
        <w:t xml:space="preserve"> . // GDI – CF </w:t>
      </w:r>
    </w:p>
    <w:p w14:paraId="5763554C" w14:textId="77777777" w:rsidR="002122EC" w:rsidRDefault="002122EC" w:rsidP="002122EC">
      <w:pPr>
        <w:rPr>
          <w:sz w:val="16"/>
        </w:rPr>
      </w:pPr>
      <w:r w:rsidRPr="0037137B">
        <w:rPr>
          <w:sz w:val="24"/>
          <w:u w:val="single"/>
        </w:rPr>
        <w:t>In the Nabozny case</w:t>
      </w:r>
      <w:r w:rsidRPr="0037137B">
        <w:rPr>
          <w:sz w:val="16"/>
        </w:rPr>
        <w:t xml:space="preserve">, the principal took available to </w:t>
      </w:r>
      <w:r w:rsidRPr="0037137B">
        <w:rPr>
          <w:sz w:val="24"/>
          <w:u w:val="single"/>
        </w:rPr>
        <w:t>Jamie and Lambda was the Equal Protection Clause of the U.S. Constitution</w:t>
      </w:r>
      <w:r w:rsidRPr="0037137B">
        <w:rPr>
          <w:sz w:val="16"/>
        </w:rPr>
        <w:t xml:space="preserve">. Under this clause, </w:t>
      </w:r>
      <w:r w:rsidRPr="0037137B">
        <w:rPr>
          <w:sz w:val="24"/>
          <w:u w:val="single"/>
        </w:rPr>
        <w:t>public schools cannot pick and choose which students will be safe and which students will not be safe</w:t>
      </w:r>
      <w:r w:rsidRPr="0037137B">
        <w:rPr>
          <w:sz w:val="16"/>
        </w:rPr>
        <w:t xml:space="preserve">. We asserted that </w:t>
      </w:r>
      <w:r w:rsidRPr="0037137B">
        <w:rPr>
          <w:sz w:val="24"/>
          <w:u w:val="single"/>
        </w:rPr>
        <w:t>Jamie’s school made some students safe but treated Jamie differently</w:t>
      </w:r>
      <w:r w:rsidRPr="0037137B">
        <w:rPr>
          <w:sz w:val="16"/>
        </w:rPr>
        <w:t xml:space="preserve"> on two different independent grounds: </w:t>
      </w:r>
      <w:r w:rsidRPr="0037137B">
        <w:rPr>
          <w:sz w:val="24"/>
          <w:u w:val="single"/>
        </w:rPr>
        <w:t>because he is male and because he is gay</w:t>
      </w:r>
      <w:r w:rsidRPr="0037137B">
        <w:rPr>
          <w:sz w:val="16"/>
        </w:rPr>
        <w:t xml:space="preserve">. The </w:t>
      </w:r>
      <w:r w:rsidRPr="0037137B">
        <w:rPr>
          <w:sz w:val="24"/>
          <w:u w:val="single"/>
        </w:rPr>
        <w:t>different treatment</w:t>
      </w:r>
      <w:r w:rsidRPr="0037137B">
        <w:rPr>
          <w:u w:val="single"/>
        </w:rPr>
        <w:t xml:space="preserve"> </w:t>
      </w:r>
      <w:r w:rsidRPr="0037137B">
        <w:rPr>
          <w:sz w:val="24"/>
          <w:u w:val="single"/>
        </w:rPr>
        <w:t>because he is male</w:t>
      </w:r>
      <w:r w:rsidRPr="0037137B">
        <w:rPr>
          <w:sz w:val="16"/>
        </w:rPr>
        <w:t xml:space="preserve"> </w:t>
      </w:r>
      <w:r w:rsidRPr="0037137B">
        <w:rPr>
          <w:sz w:val="24"/>
          <w:u w:val="single"/>
        </w:rPr>
        <w:t>gave rise to a sex discrimination claim</w:t>
      </w:r>
      <w:r w:rsidRPr="0037137B">
        <w:rPr>
          <w:sz w:val="16"/>
        </w:rPr>
        <w:t xml:space="preserve">. We often find that male students are treated differently on their complaints of harassment because school administrators believe that boys should fight back physically rather than request help from administrators (and there are several other reasons why boys or girls may be treated differently based on their gender). This push toward violence as the solution to harassment is all the more tragic when considered next to the horror of boys taking guns to school and shooting their classmates. The </w:t>
      </w:r>
      <w:r w:rsidRPr="0037137B">
        <w:rPr>
          <w:sz w:val="24"/>
          <w:u w:val="single"/>
        </w:rPr>
        <w:t>different treatment because Jamie is gay gave rise to a sexual orientation claim</w:t>
      </w:r>
      <w:r w:rsidRPr="0037137B">
        <w:rPr>
          <w:sz w:val="16"/>
        </w:rPr>
        <w:t xml:space="preserve">. </w:t>
      </w:r>
      <w:proofErr w:type="gramStart"/>
      <w:r w:rsidRPr="0037137B">
        <w:rPr>
          <w:sz w:val="16"/>
        </w:rPr>
        <w:t>So</w:t>
      </w:r>
      <w:proofErr w:type="gramEnd"/>
      <w:r w:rsidRPr="0037137B">
        <w:rPr>
          <w:sz w:val="16"/>
        </w:rPr>
        <w:t xml:space="preserve"> there were two distinct claims of discrimination in Jamie’s case: sex discrimination and sexual orientation discrimination. Either of these claims could have proceeded on their own, independent of the other. Thus, </w:t>
      </w:r>
      <w:r w:rsidRPr="0037137B">
        <w:rPr>
          <w:sz w:val="24"/>
          <w:u w:val="single"/>
        </w:rPr>
        <w:t>school principals who respond appropriately to complaints of student harassment as a general matter, except doe complaints from either male students or gay students</w:t>
      </w:r>
      <w:r w:rsidRPr="0037137B">
        <w:rPr>
          <w:sz w:val="16"/>
        </w:rPr>
        <w:t xml:space="preserve"> (and in our </w:t>
      </w:r>
      <w:proofErr w:type="gramStart"/>
      <w:r w:rsidRPr="0037137B">
        <w:rPr>
          <w:sz w:val="16"/>
        </w:rPr>
        <w:t>case</w:t>
      </w:r>
      <w:proofErr w:type="gramEnd"/>
      <w:r w:rsidRPr="0037137B">
        <w:rPr>
          <w:sz w:val="16"/>
        </w:rPr>
        <w:t xml:space="preserve"> we had a gay male student), </w:t>
      </w:r>
      <w:r w:rsidRPr="0037137B">
        <w:rPr>
          <w:sz w:val="24"/>
          <w:u w:val="single"/>
        </w:rPr>
        <w:t>may be violating the</w:t>
      </w:r>
      <w:r w:rsidRPr="0037137B">
        <w:rPr>
          <w:sz w:val="16"/>
        </w:rPr>
        <w:t xml:space="preserve"> </w:t>
      </w:r>
      <w:r w:rsidRPr="0037137B">
        <w:rPr>
          <w:sz w:val="24"/>
          <w:u w:val="single"/>
        </w:rPr>
        <w:t>E</w:t>
      </w:r>
      <w:r w:rsidRPr="0037137B">
        <w:rPr>
          <w:sz w:val="16"/>
        </w:rPr>
        <w:t xml:space="preserve">qual </w:t>
      </w:r>
      <w:r w:rsidRPr="0037137B">
        <w:rPr>
          <w:sz w:val="24"/>
          <w:u w:val="single"/>
        </w:rPr>
        <w:t>P</w:t>
      </w:r>
      <w:r w:rsidRPr="0037137B">
        <w:rPr>
          <w:sz w:val="16"/>
        </w:rPr>
        <w:t xml:space="preserve">rotections </w:t>
      </w:r>
      <w:r w:rsidRPr="0037137B">
        <w:rPr>
          <w:sz w:val="24"/>
          <w:u w:val="single"/>
        </w:rPr>
        <w:t>C</w:t>
      </w:r>
      <w:r w:rsidRPr="0037137B">
        <w:rPr>
          <w:sz w:val="16"/>
        </w:rPr>
        <w:t>lause. As mentioned above, the appellate court held that Jamie was entitled to proceed to trial because he had asserted valid claims. In addition, the appellate court held that the individually named defendants did not have immunity, meaning that they could be personally liable. The three individually named defendants were the principal of Jamie’s middle school and the principal and vice principal of his high school. At trial, the jury found that all three of these school officials had discriminated against Jamie. Before we returned to trial the next day to establish what these defendants owed Jamie in damages, they settled with us for just below $1 million.</w:t>
      </w:r>
    </w:p>
    <w:p w14:paraId="18CC2C77" w14:textId="77777777" w:rsidR="002122EC" w:rsidRDefault="002122EC" w:rsidP="002122EC"/>
    <w:p w14:paraId="6BD286BA" w14:textId="77777777" w:rsidR="002122EC" w:rsidRPr="009401A8" w:rsidRDefault="002122EC" w:rsidP="002122EC">
      <w:pPr>
        <w:pStyle w:val="Heading4"/>
      </w:pPr>
      <w:r w:rsidRPr="009401A8">
        <w:t xml:space="preserve">No public backlash – zero media fallout. </w:t>
      </w:r>
    </w:p>
    <w:p w14:paraId="068781F0" w14:textId="77777777" w:rsidR="002122EC" w:rsidRPr="00A370C5" w:rsidRDefault="002122EC" w:rsidP="002122EC">
      <w:pPr>
        <w:rPr>
          <w:rStyle w:val="underline"/>
          <w:b w:val="0"/>
          <w:sz w:val="36"/>
        </w:rPr>
      </w:pPr>
      <w:r w:rsidRPr="00C357BE">
        <w:rPr>
          <w:rStyle w:val="Style13ptBold"/>
        </w:rPr>
        <w:t>Burton</w:t>
      </w:r>
      <w:r>
        <w:rPr>
          <w:rStyle w:val="Style13ptBold"/>
        </w:rPr>
        <w:t xml:space="preserve"> </w:t>
      </w:r>
      <w:r w:rsidRPr="00C357BE">
        <w:rPr>
          <w:rStyle w:val="Style13ptBold"/>
        </w:rPr>
        <w:t>4</w:t>
      </w:r>
      <w:r w:rsidRPr="00C357BE">
        <w:rPr>
          <w:sz w:val="16"/>
        </w:rPr>
        <w:t xml:space="preserve"> </w:t>
      </w:r>
      <w:r w:rsidRPr="00A370C5">
        <w:rPr>
          <w:sz w:val="18"/>
        </w:rPr>
        <w:t>[Adam Burton, graduate of Georgetown University Law Center, PAY NO ATTENTION TO THE MEN BEHIND THE CURTAIN: THE SUPREME COURT, POPULAR CULTURE, AND THE COUNTERMAJORITARIAN PROBLEM, UMKC Law Review, 73:53, Fall 2004]</w:t>
      </w:r>
      <w:r>
        <w:rPr>
          <w:sz w:val="18"/>
        </w:rPr>
        <w:t xml:space="preserve"> // GDI – CF </w:t>
      </w:r>
    </w:p>
    <w:p w14:paraId="17908B1D" w14:textId="77777777" w:rsidR="002122EC" w:rsidRPr="00A370C5" w:rsidRDefault="002122EC" w:rsidP="002122EC">
      <w:pPr>
        <w:rPr>
          <w:rStyle w:val="underline"/>
          <w:b w:val="0"/>
        </w:rPr>
      </w:pPr>
      <w:r w:rsidRPr="00A370C5">
        <w:rPr>
          <w:b/>
          <w:sz w:val="10"/>
        </w:rPr>
        <w:t>At any rate</w:t>
      </w:r>
      <w:r w:rsidRPr="00A370C5">
        <w:rPr>
          <w:rStyle w:val="underline"/>
        </w:rPr>
        <w:t>, by the 1990s, restraint in popular culture had all but evaporated</w:t>
      </w:r>
      <w:r w:rsidRPr="00A370C5">
        <w:rPr>
          <w:b/>
          <w:sz w:val="10"/>
        </w:rPr>
        <w:t xml:space="preserve">. </w:t>
      </w:r>
      <w:r w:rsidRPr="00A370C5">
        <w:rPr>
          <w:rStyle w:val="underline"/>
        </w:rPr>
        <w:t>In the most obvious example, the salivating media devoured and propagated the most lascivious details of the allegations put forth in the Starr Report, and President Clinton's sexual practices became a staple of popular culture, inspiring countless Saturday Night Live sketches</w:t>
      </w:r>
      <w:r w:rsidRPr="00A370C5">
        <w:rPr>
          <w:b/>
          <w:sz w:val="10"/>
        </w:rPr>
        <w:t xml:space="preserve">, Monica Lewinsky Halloween costumes (complete with stained blue dress), n92 and Monica internet fan pages, n93 to name only a few indicators of popular culture's obsession with the story. That the most intimate details of the President's encounters, and not merely the simple fact of the encounters, could be revealed in the government's official reports is a testament to the lack of regard that our popular culture holds for the privacy of public figures. While the degree of detail might have been thought of as excessive and in poor taste in earlier times, and may have inspired sympathy for the President's situation and repulsion for his attackers, the architects of the Starr Report calculated that exposing the salacious minutiae of the President's sex acts would fascinate the American public in the age of Jerry Springer. n94 </w:t>
      </w:r>
      <w:proofErr w:type="gramStart"/>
      <w:r w:rsidRPr="00A370C5">
        <w:rPr>
          <w:b/>
          <w:sz w:val="10"/>
        </w:rPr>
        <w:t>And</w:t>
      </w:r>
      <w:proofErr w:type="gramEnd"/>
      <w:r w:rsidRPr="00A370C5">
        <w:rPr>
          <w:b/>
          <w:sz w:val="10"/>
        </w:rPr>
        <w:t xml:space="preserve"> </w:t>
      </w:r>
      <w:r w:rsidRPr="00A370C5">
        <w:rPr>
          <w:rStyle w:val="underline"/>
        </w:rPr>
        <w:t>the new tools of information technology were quickly utilized to allow the public to satisfy its desire to know</w:t>
      </w:r>
      <w:r w:rsidRPr="00A370C5">
        <w:rPr>
          <w:b/>
          <w:sz w:val="10"/>
        </w:rPr>
        <w:t xml:space="preserve">. In addition to garnering </w:t>
      </w:r>
      <w:proofErr w:type="gramStart"/>
      <w:r w:rsidRPr="00A370C5">
        <w:rPr>
          <w:b/>
          <w:sz w:val="10"/>
        </w:rPr>
        <w:t>widespread  [</w:t>
      </w:r>
      <w:proofErr w:type="gramEnd"/>
      <w:r w:rsidRPr="00A370C5">
        <w:rPr>
          <w:b/>
          <w:sz w:val="10"/>
        </w:rPr>
        <w:t xml:space="preserve">*66]  television coverage, the Starr Report was available on the Internet within minutes of its official publication. n95 </w:t>
      </w:r>
      <w:r w:rsidRPr="00A370C5">
        <w:rPr>
          <w:rStyle w:val="underline"/>
        </w:rPr>
        <w:t>The Clinton-Lewinsky scandal is the most obvious example of the exposure of the private life of a political figure, but by no means the only one. Exposure is not limited to circumstances of scandal, sexual or otherwise</w:t>
      </w:r>
      <w:r w:rsidRPr="00A370C5">
        <w:rPr>
          <w:b/>
          <w:sz w:val="10"/>
        </w:rPr>
        <w:t xml:space="preserve">. Even before the Lewinsky scandal, the private lives of the Clintons were subject to scrutiny; an audience member at a 1992 campaign speech famously asked the future President what style of underwear he preferred. n96 </w:t>
      </w:r>
      <w:proofErr w:type="gramStart"/>
      <w:r w:rsidRPr="00A370C5">
        <w:rPr>
          <w:b/>
          <w:sz w:val="10"/>
        </w:rPr>
        <w:t>The</w:t>
      </w:r>
      <w:proofErr w:type="gramEnd"/>
      <w:r w:rsidRPr="00A370C5">
        <w:rPr>
          <w:b/>
          <w:sz w:val="10"/>
        </w:rPr>
        <w:t xml:space="preserve"> inspection of the Clintons was not limited to the family's patriarch. Chelsea's braces garnered unwanted attention, even inspiring a scene in the film Beavis and Butt-Head Do America. n97 </w:t>
      </w:r>
      <w:proofErr w:type="gramStart"/>
      <w:r w:rsidRPr="00A370C5">
        <w:rPr>
          <w:b/>
          <w:sz w:val="10"/>
        </w:rPr>
        <w:t>In</w:t>
      </w:r>
      <w:proofErr w:type="gramEnd"/>
      <w:r w:rsidRPr="00A370C5">
        <w:rPr>
          <w:b/>
          <w:sz w:val="10"/>
        </w:rPr>
        <w:t xml:space="preserve"> the same vein, the arrest of President Bush's daughter, Jenna, for underage drinking also generated headlines n98 and is manifest in expressions of popular culture. n99 </w:t>
      </w:r>
      <w:r w:rsidRPr="00A370C5">
        <w:rPr>
          <w:rStyle w:val="underline"/>
        </w:rPr>
        <w:t>How has the Supreme Court fared in an age of no restraint? If the Court's power is, as in Oz, equivalent to mystery, n100 what are the implications of this culture of exposition to the Court's ability to maintain its distance from the public, and therefore its institutional clout?</w:t>
      </w:r>
      <w:r w:rsidRPr="00A370C5">
        <w:rPr>
          <w:b/>
          <w:sz w:val="10"/>
        </w:rPr>
        <w:t xml:space="preserve"> Or, if, as in Frankfurter's estimation, the Court's authority rests on its "moral sanction," can the Court retain its aura of moral righteousness when purveyors of popular culture pander to public tastes, coveting scandal, eager to expose and exaggerate the deficiencies of any public figure? </w:t>
      </w:r>
      <w:r w:rsidRPr="00A370C5">
        <w:rPr>
          <w:rStyle w:val="underline"/>
        </w:rPr>
        <w:t>The Court has, even in our age, remained largely immune from attack in the avenues of mass visual popular culture</w:t>
      </w:r>
      <w:r w:rsidRPr="00A370C5">
        <w:rPr>
          <w:b/>
          <w:sz w:val="10"/>
        </w:rPr>
        <w:t xml:space="preserve">. Novelists and journalists have, at times, closely scrutinized, if not excoriated, the Justices and the Court as a whole. n101 Bob Woodward and Scott Armstrong examined the inner workings of the Berger Court in their best-selling non-fiction book The Brethren, n102 in which the </w:t>
      </w:r>
      <w:proofErr w:type="gramStart"/>
      <w:r w:rsidRPr="00A370C5">
        <w:rPr>
          <w:b/>
          <w:sz w:val="10"/>
        </w:rPr>
        <w:t>Justices  [</w:t>
      </w:r>
      <w:proofErr w:type="gramEnd"/>
      <w:r w:rsidRPr="00A370C5">
        <w:rPr>
          <w:b/>
          <w:sz w:val="10"/>
        </w:rPr>
        <w:t xml:space="preserve">*67]  were depicted as a body of men who engaged in petty politics not only to advance their policy preferences, but also to gratify their personal jealousies. n103 Edward Lazarus published a similar tell-all expos6 of the Rehnquist Court in Closed Chambers. n104 However, </w:t>
      </w:r>
      <w:r w:rsidRPr="00A370C5">
        <w:rPr>
          <w:rStyle w:val="underline"/>
        </w:rPr>
        <w:t>the Court as an institution has generally remained below the radar of representational popular culture and the more general audience it attracts, except in extraordinary circumstances, after which it again fades into relative obscurity.</w:t>
      </w:r>
      <w:r w:rsidRPr="00A370C5">
        <w:rPr>
          <w:b/>
          <w:sz w:val="10"/>
        </w:rPr>
        <w:t xml:space="preserve"> As I will show below, the Court's decisions sometimes frame the background of fictional productions exploring controversial social issues, such as abortion or capital punishment, and the Court has as such been portrayed as a tangential "character," sometimes without ever actually "appearing" on-screen. n105 The </w:t>
      </w:r>
      <w:r w:rsidRPr="00A370C5">
        <w:rPr>
          <w:rStyle w:val="underline"/>
        </w:rPr>
        <w:t>Court itself</w:t>
      </w:r>
      <w:r w:rsidRPr="00A370C5">
        <w:rPr>
          <w:b/>
          <w:sz w:val="10"/>
        </w:rPr>
        <w:t xml:space="preserve">, however, </w:t>
      </w:r>
      <w:r w:rsidRPr="00A370C5">
        <w:rPr>
          <w:rStyle w:val="underline"/>
        </w:rPr>
        <w:t xml:space="preserve">rarely is depicted as a subject worthy of exploration: The real Justices rarely appear on television, in the national media, or in fictitious representation. </w:t>
      </w:r>
      <w:r w:rsidRPr="00A370C5">
        <w:rPr>
          <w:rStyle w:val="StyleUnderline"/>
        </w:rPr>
        <w:t>The lack of publicity</w:t>
      </w:r>
      <w:r w:rsidRPr="00A370C5">
        <w:rPr>
          <w:rStyle w:val="underline"/>
        </w:rPr>
        <w:t xml:space="preserve"> </w:t>
      </w:r>
      <w:r w:rsidRPr="00A370C5">
        <w:rPr>
          <w:rStyle w:val="StyleUnderline"/>
        </w:rPr>
        <w:t>can</w:t>
      </w:r>
      <w:r w:rsidRPr="00A370C5">
        <w:rPr>
          <w:rStyle w:val="underline"/>
        </w:rPr>
        <w:t xml:space="preserve"> be explained in part by the Court's protection of its anonymity. Thus, "no American institution has so . . . controlled the way it is viewed by the public," n106 </w:t>
      </w:r>
      <w:r w:rsidRPr="00A370C5">
        <w:rPr>
          <w:b/>
          <w:sz w:val="10"/>
        </w:rPr>
        <w:t>although that control is neither absolute nor complete.</w:t>
      </w:r>
    </w:p>
    <w:p w14:paraId="1F35907C" w14:textId="77777777" w:rsidR="002122EC" w:rsidRDefault="002122EC" w:rsidP="002122EC"/>
    <w:p w14:paraId="64F49A52" w14:textId="77777777" w:rsidR="002122EC" w:rsidRDefault="002122EC" w:rsidP="002122EC">
      <w:pPr>
        <w:pStyle w:val="Heading3"/>
      </w:pPr>
      <w:r>
        <w:t>A2 T – “Ban”</w:t>
      </w:r>
    </w:p>
    <w:p w14:paraId="16D11B40" w14:textId="77777777" w:rsidR="002122EC" w:rsidRDefault="002122EC" w:rsidP="002122EC"/>
    <w:p w14:paraId="6F0F2975" w14:textId="77777777" w:rsidR="002122EC" w:rsidRPr="00707DBD" w:rsidRDefault="002122EC" w:rsidP="002122EC">
      <w:pPr>
        <w:pStyle w:val="Heading4"/>
        <w:rPr>
          <w:rFonts w:cs="Times New Roman"/>
        </w:rPr>
      </w:pPr>
      <w:r w:rsidRPr="00707DBD">
        <w:rPr>
          <w:rFonts w:cs="Times New Roman"/>
        </w:rPr>
        <w:t>Regulation includes any definition used to interpret the law</w:t>
      </w:r>
    </w:p>
    <w:p w14:paraId="33B66B16" w14:textId="77777777" w:rsidR="002122EC" w:rsidRPr="00707DBD" w:rsidRDefault="002122EC" w:rsidP="002122EC">
      <w:r w:rsidRPr="00707DBD">
        <w:rPr>
          <w:rStyle w:val="Style13ptBold"/>
        </w:rPr>
        <w:t>Chin, 96</w:t>
      </w:r>
      <w:r w:rsidRPr="00707DBD">
        <w:t xml:space="preserve"> – California legal </w:t>
      </w:r>
      <w:proofErr w:type="gramStart"/>
      <w:r w:rsidRPr="00707DBD">
        <w:t>document(</w:t>
      </w:r>
      <w:proofErr w:type="gramEnd"/>
      <w:r w:rsidRPr="00707DBD">
        <w:t>J., “TIDEWATER MARINE WESTERN, INC., et al., Plaintiffs and Respondents, v. VICTORIA L. BRADSHAW, as Labor Commissioner, etc., et al., Defendants and Appellants”, Supreme Court of Ca</w:t>
      </w:r>
      <w:r>
        <w:t xml:space="preserve">lifornia, 19 December, 1996)// GDI – CF </w:t>
      </w:r>
    </w:p>
    <w:p w14:paraId="7836EEF3" w14:textId="77777777" w:rsidR="002122EC" w:rsidRDefault="002122EC" w:rsidP="002122EC">
      <w:pPr>
        <w:rPr>
          <w:sz w:val="12"/>
        </w:rPr>
      </w:pPr>
      <w:r w:rsidRPr="00025A0D">
        <w:rPr>
          <w:sz w:val="12"/>
        </w:rPr>
        <w:t xml:space="preserve">Moreover, even if we were to agree with Professor Asimow that the Legislature did not consider interpretive regulations to be "quasi-legislative," an agency would arguably still have to adopt these regulations in accordance with the rulemaking procedures of the APA. Government Code section 11346 states that APA rulemaking procedures apply "to the exercise of any quasi-legislative power"; however, the statute does not state the opposite, i.e., that the rulemaking procedures do not apply when an agency adopts rules that are not quasi-legislative. On the other hand, </w:t>
      </w:r>
      <w:r w:rsidRPr="00707DBD">
        <w:rPr>
          <w:rStyle w:val="StyleUnderline"/>
        </w:rPr>
        <w:t>Government Code section 11340.5 makes clear that</w:t>
      </w:r>
      <w:r w:rsidRPr="00025A0D">
        <w:rPr>
          <w:sz w:val="12"/>
        </w:rPr>
        <w:t xml:space="preserve"> the rulemaking procedures of the APA apply to any "regulation," and </w:t>
      </w:r>
      <w:r w:rsidRPr="00707DBD">
        <w:rPr>
          <w:rStyle w:val="StyleUnderline"/>
        </w:rPr>
        <w:t>the definition of regulation includes "every rule ... adopted ... to ... interpret ... the law ..." (i.e., interpretive regulations).</w:t>
      </w:r>
      <w:r w:rsidRPr="00025A0D">
        <w:rPr>
          <w:sz w:val="12"/>
        </w:rPr>
        <w:t xml:space="preserve"> (Gov. Code, § 11342, subd. (g), italics added.) If the Legislature did not intend the APA to apply to interpretive regulations, we do not think it would have expressly included interpretive regulations in this definition. Furthermore, when the Legislature wanted to create exceptions to the formal rulemaking requirements of the APA, it did so expressly and in separate sections. (Gov. Code, §§ 11346.1, subd. (a), 11343, subds. (a), (b); see also Gov. Code, § 11351; Lab. Code, § 1185.)</w:t>
      </w:r>
    </w:p>
    <w:p w14:paraId="6E79D6D0" w14:textId="77777777" w:rsidR="002122EC" w:rsidRPr="00025A0D" w:rsidRDefault="002122EC" w:rsidP="002122EC">
      <w:pPr>
        <w:rPr>
          <w:sz w:val="12"/>
        </w:rPr>
      </w:pPr>
    </w:p>
    <w:p w14:paraId="5332D130" w14:textId="77777777" w:rsidR="002122EC" w:rsidRPr="00707DBD" w:rsidRDefault="002122EC" w:rsidP="002122EC">
      <w:pPr>
        <w:pStyle w:val="Heading4"/>
        <w:rPr>
          <w:rFonts w:cs="Times New Roman"/>
        </w:rPr>
      </w:pPr>
      <w:r w:rsidRPr="00707DBD">
        <w:rPr>
          <w:rFonts w:cs="Times New Roman"/>
        </w:rPr>
        <w:t>Regulation is defined as having the force of law</w:t>
      </w:r>
    </w:p>
    <w:p w14:paraId="5F90005E" w14:textId="77777777" w:rsidR="002122EC" w:rsidRPr="00707DBD" w:rsidRDefault="002122EC" w:rsidP="002122EC">
      <w:r w:rsidRPr="00707DBD">
        <w:rPr>
          <w:rStyle w:val="Style13ptBold"/>
        </w:rPr>
        <w:t>District Court 10</w:t>
      </w:r>
      <w:r w:rsidRPr="00707DBD">
        <w:t xml:space="preserve"> - United States District Court for the Northern District of California (Tuggles v. City of Antioch, </w:t>
      </w:r>
      <w:r>
        <w:t xml:space="preserve">2009 U.S. Dist. LEXIS 92495)// GDI – CF </w:t>
      </w:r>
    </w:p>
    <w:p w14:paraId="326AFF80" w14:textId="77777777" w:rsidR="002122EC" w:rsidRPr="00025A0D" w:rsidRDefault="002122EC" w:rsidP="002122EC">
      <w:pPr>
        <w:rPr>
          <w:sz w:val="14"/>
        </w:rPr>
      </w:pPr>
      <w:r w:rsidRPr="00025A0D">
        <w:rPr>
          <w:sz w:val="14"/>
        </w:rPr>
        <w:t xml:space="preserve">California Government Code § 815.6 provides as follows: "Where a public entity is under a mandatory duty imposed by an enactment that is designed to protect against the risk of a particular kind of injury, the public entity is liable for an injury of that kind proximately caused by its failure to discharge the duty unless the public entity establishes that </w:t>
      </w:r>
      <w:proofErr w:type="gramStart"/>
      <w:r w:rsidRPr="00025A0D">
        <w:rPr>
          <w:sz w:val="14"/>
        </w:rPr>
        <w:t>it  [</w:t>
      </w:r>
      <w:proofErr w:type="gramEnd"/>
      <w:r w:rsidRPr="00025A0D">
        <w:rPr>
          <w:sz w:val="14"/>
        </w:rPr>
        <w:t xml:space="preserve">*77] exercised reasonable diligence to discharge the duty." Plaintiff's tenth claim under this statute is based upon the allegation that Defendants breached various duties owed to her under several enactments, including 42 U.S.C. § 1983, California Constitution, article I, section 1 (right to privacy), the Fourth Amendment to the United States Constitution, and the Federal Fair Housing Act, 42 U.S.C. §§ 3604, 3617. Liability may be imposed on a public entity pursuant to section 815.6 if three factors are met: "'(1) an enactment must impose a mandatory, not discretionary, duty; (2) the enactment must intend to protect against the kind of risk of injury suffered …; and (3) breach of the mandatory duty must be a proximate cause of the injury suffered.'" MacDonald v. California, 230 Cal.App.3d 319, 327, 281 Cal. Rptr. 317 (1991) (quoting California v. Superior Court, 150 Cal.App.3d 848, 854, 197 Cal. Rptr. 914 (1984)). For purposes of section 815.6, an enactment includes a constitutional provision, statute, ordinance, or regulation. See Cal. Gov't Code § 810.6. </w:t>
      </w:r>
      <w:r w:rsidRPr="00707DBD">
        <w:rPr>
          <w:rStyle w:val="StyleUnderline"/>
        </w:rPr>
        <w:t>A regulation is defined as</w:t>
      </w:r>
      <w:r w:rsidRPr="00025A0D">
        <w:rPr>
          <w:sz w:val="14"/>
        </w:rPr>
        <w:t xml:space="preserve"> "a rule, regulation, order or standard, </w:t>
      </w:r>
      <w:r w:rsidRPr="00707DBD">
        <w:rPr>
          <w:rStyle w:val="StyleUnderline"/>
        </w:rPr>
        <w:t>having the force of law</w:t>
      </w:r>
      <w:r w:rsidRPr="00025A0D">
        <w:rPr>
          <w:sz w:val="14"/>
        </w:rPr>
        <w:t xml:space="preserve">, adopted by an employee or agency of the United States pursuant to the federal </w:t>
      </w:r>
      <w:proofErr w:type="gramStart"/>
      <w:r w:rsidRPr="00025A0D">
        <w:rPr>
          <w:sz w:val="14"/>
        </w:rPr>
        <w:t>Administrative  [</w:t>
      </w:r>
      <w:proofErr w:type="gramEnd"/>
      <w:r w:rsidRPr="00025A0D">
        <w:rPr>
          <w:sz w:val="14"/>
        </w:rPr>
        <w:t xml:space="preserve">*78] Procedures Act." Cal. Gov't Code § 811.6. "A mandatory duty must impose an affirmative duty to take action or carry out measures." Bowden v. Redwood Institute for Designed Education, Inc., 1999 U.S. Dist. LEXIS 2881, 1999 WL 138889. *6 (N.D. Cal. March 9, </w:t>
      </w:r>
      <w:proofErr w:type="gramStart"/>
      <w:r w:rsidRPr="00025A0D">
        <w:rPr>
          <w:sz w:val="14"/>
        </w:rPr>
        <w:t>1999)(</w:t>
      </w:r>
      <w:proofErr w:type="gramEnd"/>
      <w:r w:rsidRPr="00025A0D">
        <w:rPr>
          <w:sz w:val="14"/>
        </w:rPr>
        <w:t>citing Clausing v. San Francisco Unified School Dist., 221 Cal.App.3d 1224, 1240, 271 Cal. Rptr. 72 (1990)). The assertion of a right or prohibition "without specific rules and guidelines for implementation of that right or prohibition cannot create a mandatory duty." See id.</w:t>
      </w:r>
    </w:p>
    <w:p w14:paraId="4DD893D0" w14:textId="77777777" w:rsidR="002122EC" w:rsidRPr="00707DBD" w:rsidRDefault="002122EC" w:rsidP="002122EC"/>
    <w:p w14:paraId="08AB62E4" w14:textId="77777777" w:rsidR="002122EC" w:rsidRPr="00707DBD" w:rsidRDefault="002122EC" w:rsidP="002122EC">
      <w:pPr>
        <w:pStyle w:val="Heading4"/>
        <w:rPr>
          <w:rFonts w:cs="Times New Roman"/>
        </w:rPr>
      </w:pPr>
      <w:r w:rsidRPr="00707DBD">
        <w:rPr>
          <w:rFonts w:cs="Times New Roman"/>
        </w:rPr>
        <w:t xml:space="preserve">Regulation requires ‘legal </w:t>
      </w:r>
      <w:r>
        <w:rPr>
          <w:rFonts w:cs="Times New Roman"/>
        </w:rPr>
        <w:t>force</w:t>
      </w:r>
    </w:p>
    <w:p w14:paraId="31FD6D84" w14:textId="77777777" w:rsidR="002122EC" w:rsidRPr="00707DBD" w:rsidRDefault="002122EC" w:rsidP="002122EC">
      <w:r w:rsidRPr="00707DBD">
        <w:rPr>
          <w:rStyle w:val="Style13ptBold"/>
        </w:rPr>
        <w:t>District Court 9</w:t>
      </w:r>
      <w:r w:rsidRPr="00707DBD">
        <w:t xml:space="preserve"> (United States District Court for the Northern District of Ohio, Eastern Division, Chesner v. Stewart Title Guar. Co., 2009 U.</w:t>
      </w:r>
      <w:r>
        <w:t xml:space="preserve">S. Dist. LEXIS 22453, Lexis) // GDI – CF </w:t>
      </w:r>
    </w:p>
    <w:p w14:paraId="625F2CA1" w14:textId="77777777" w:rsidR="002122EC" w:rsidRDefault="002122EC" w:rsidP="002122EC">
      <w:pPr>
        <w:rPr>
          <w:sz w:val="14"/>
        </w:rPr>
      </w:pPr>
      <w:r w:rsidRPr="00707DBD">
        <w:rPr>
          <w:rStyle w:val="StyleUnderline"/>
        </w:rPr>
        <w:t>A "regulation" is defined as a rule or order, having legal force</w:t>
      </w:r>
      <w:r w:rsidRPr="00025A0D">
        <w:rPr>
          <w:sz w:val="14"/>
        </w:rPr>
        <w:t>, usually issued by an administrative agency. More like this Headnote</w:t>
      </w:r>
    </w:p>
    <w:p w14:paraId="784007DB" w14:textId="77777777" w:rsidR="002122EC" w:rsidRPr="00025A0D" w:rsidRDefault="002122EC" w:rsidP="002122EC">
      <w:pPr>
        <w:rPr>
          <w:sz w:val="14"/>
        </w:rPr>
      </w:pPr>
    </w:p>
    <w:p w14:paraId="4B7A67ED" w14:textId="77777777" w:rsidR="002122EC" w:rsidRPr="00707DBD" w:rsidRDefault="002122EC" w:rsidP="002122EC">
      <w:pPr>
        <w:pStyle w:val="Heading4"/>
        <w:rPr>
          <w:rFonts w:cs="Times New Roman"/>
        </w:rPr>
      </w:pPr>
      <w:r w:rsidRPr="00707DBD">
        <w:rPr>
          <w:rFonts w:cs="Times New Roman"/>
        </w:rPr>
        <w:t>It means to bring under control of law</w:t>
      </w:r>
    </w:p>
    <w:p w14:paraId="31F1C33E" w14:textId="77777777" w:rsidR="002122EC" w:rsidRPr="00707DBD" w:rsidRDefault="002122EC" w:rsidP="002122EC">
      <w:r w:rsidRPr="00707DBD">
        <w:rPr>
          <w:rStyle w:val="Style13ptBold"/>
        </w:rPr>
        <w:t>Connecticut Superior Court 90</w:t>
      </w:r>
      <w:r w:rsidRPr="00707DBD">
        <w:t xml:space="preserve"> (Kaye v. Westport, </w:t>
      </w:r>
      <w:r>
        <w:t xml:space="preserve">1990 Conn. Super. LEXIS 897) // GDI – CF </w:t>
      </w:r>
    </w:p>
    <w:p w14:paraId="22DBFAB1" w14:textId="77777777" w:rsidR="002122EC" w:rsidRPr="00025A0D" w:rsidRDefault="002122EC" w:rsidP="002122EC">
      <w:pPr>
        <w:rPr>
          <w:sz w:val="14"/>
        </w:rPr>
      </w:pPr>
      <w:r w:rsidRPr="00025A0D">
        <w:rPr>
          <w:sz w:val="14"/>
        </w:rPr>
        <w:t>The issue raised in the second count is that the RTM action was ineffective for failure of the Town Clerk to publish the action of the RTM in accordance with Section C5-</w:t>
      </w:r>
      <w:proofErr w:type="gramStart"/>
      <w:r w:rsidRPr="00025A0D">
        <w:rPr>
          <w:sz w:val="14"/>
        </w:rPr>
        <w:t>9.A.</w:t>
      </w:r>
      <w:proofErr w:type="gramEnd"/>
      <w:r w:rsidRPr="00025A0D">
        <w:rPr>
          <w:sz w:val="14"/>
        </w:rPr>
        <w:t xml:space="preserve"> HN8 That section requires any action, adopting, amending or repealing an ordinance by the RTM to be published, within 10 days after the adjournment of the meeting, in a newspaper. In the instant case the RTM action was not published. Section C5-1A HN9 of the Charter provides that all legislative power of the Town, including power to enact ordinances shall be vested in the RTM, § 1-1(n) C.G.S. reads</w:t>
      </w:r>
      <w:proofErr w:type="gramStart"/>
      <w:r w:rsidRPr="00025A0D">
        <w:rPr>
          <w:sz w:val="14"/>
        </w:rPr>
        <w:t>:  [</w:t>
      </w:r>
      <w:proofErr w:type="gramEnd"/>
      <w:r w:rsidRPr="00025A0D">
        <w:rPr>
          <w:sz w:val="14"/>
        </w:rPr>
        <w:t xml:space="preserve">*9]  HN10 "Ordinance shall mean an enactment under the provisions of section 7-157." Section 7-157 HN11 entitled Publication, Referendum. Publication of Summary "empowers the legislative body of any town or city to enact ordinances. It further provides that municipalities whose charter provide for the manner in which they may enact ordinances, may follow their charters as is the case in Westport. "An ordinance is a municipal legislative enactment." Great Atlantic and Pacific Tea Co. v. Schevy, 148 Conn. 721, 723. HN12 Under section C5-1(A) the power to enact ordinances is given solely to the RTM. Under section C26-2 entitled "powers and Duties" the PZC is given the powers and duties conferred or imposed by law on Planning and Zoning Commissions. Section 8-2 entitled "Regulations" provide for the zoning commission of a municipality to regulate zoning, and in every </w:t>
      </w:r>
      <w:proofErr w:type="gramStart"/>
      <w:r w:rsidRPr="00025A0D">
        <w:rPr>
          <w:sz w:val="14"/>
        </w:rPr>
        <w:t>instance</w:t>
      </w:r>
      <w:proofErr w:type="gramEnd"/>
      <w:r w:rsidRPr="00025A0D">
        <w:rPr>
          <w:sz w:val="14"/>
        </w:rPr>
        <w:t xml:space="preserve"> refers to regulating not the enactment of ordinances. Section 1 of the Zoning Regulations entitled "Legislative Intent" defines its intent and states . . . HN13 hereby adopts and promulgates the following rules and regulations in accordance with the authority vested in it the said commission by Chapter 242 of the Public Acts of  [*10]  the State of Connecticut and Chapter 124 of Title 8 of the Connecticut General Statutes. . ." Section C5-1(F) HN14 provides the RTM with the power to review any action of the PZC adopting, amending or repealing any zoning regulation and section C26-4 subdivision B states that in the event of the RTM reversing the action of the PZC such action shall be void. Of significance is that nowhere in the charter is ther a provision for publishing the action of the RTM and of even more significance is the statement that the PZC action is null and void as of the reversal of the PZC action, in this case Amendment 389. HN15 </w:t>
      </w:r>
      <w:r w:rsidRPr="00707DBD">
        <w:rPr>
          <w:rStyle w:val="StyleUnderline"/>
        </w:rPr>
        <w:t>Regulation is defined as</w:t>
      </w:r>
      <w:r w:rsidRPr="00025A0D">
        <w:rPr>
          <w:sz w:val="14"/>
        </w:rPr>
        <w:t xml:space="preserve"> ". . . meaning to "govern or direct according to rule . . . </w:t>
      </w:r>
      <w:r w:rsidRPr="00707DBD">
        <w:rPr>
          <w:rStyle w:val="StyleUnderline"/>
        </w:rPr>
        <w:t>to bring under the control of law</w:t>
      </w:r>
      <w:r w:rsidRPr="00025A0D">
        <w:rPr>
          <w:sz w:val="14"/>
        </w:rPr>
        <w:t xml:space="preserve"> or constituted authority." "Regulation connotes . . . the power to permit and control as well as to prohibit." Greenwich v. Connecticut Transportation Authority, 166 Conn 337, 342. The plaintiff's claim that the Westport Zoning Regulations were amended on January 8th by Amendment 389 has no basis in law. It was not effective before March 7th and the RTM voided it before that date on February 7th. The plaintiff reliance on Morris v. Town of Newington, </w:t>
      </w:r>
      <w:proofErr w:type="gramStart"/>
      <w:r w:rsidRPr="00025A0D">
        <w:rPr>
          <w:sz w:val="14"/>
        </w:rPr>
        <w:t>36  [</w:t>
      </w:r>
      <w:proofErr w:type="gramEnd"/>
      <w:r w:rsidRPr="00025A0D">
        <w:rPr>
          <w:sz w:val="14"/>
        </w:rPr>
        <w:t xml:space="preserve">*11]  Conn. Sup. 74 is misplaced since it contains no legal proposition to sustain his position. Since the Westport Charter contains no requirement of publication of its action when it acts on a regulation of the PZC, no publication is required. HN16 </w:t>
      </w:r>
      <w:proofErr w:type="gramStart"/>
      <w:r w:rsidRPr="00025A0D">
        <w:rPr>
          <w:sz w:val="14"/>
        </w:rPr>
        <w:t>The</w:t>
      </w:r>
      <w:proofErr w:type="gramEnd"/>
      <w:r w:rsidRPr="00025A0D">
        <w:rPr>
          <w:sz w:val="14"/>
        </w:rPr>
        <w:t xml:space="preserve"> statement in § C4-6 that the rejected regulation is void indicates an intent to have an immediate effect, without a resort to a municipal referendum which is provided for in other similar actions of the RTM. This review is different from the RTM adopting, amending or repealing an ordinance which provides for a week to elapse after publication for any of those actions to be effective. The failure of the Town Clerk to publish the action of the RTM reversing the action of the PZC in enacting Amendment 389 did not affect its action in voiding it.</w:t>
      </w:r>
    </w:p>
    <w:p w14:paraId="6C2D119E" w14:textId="77777777" w:rsidR="002122EC" w:rsidRDefault="002122EC" w:rsidP="002122EC"/>
    <w:p w14:paraId="1809D8E1" w14:textId="77777777" w:rsidR="002122EC" w:rsidRDefault="002122EC" w:rsidP="002122EC">
      <w:pPr>
        <w:pStyle w:val="Heading3"/>
      </w:pPr>
      <w:r>
        <w:t>A2 Congress CP</w:t>
      </w:r>
    </w:p>
    <w:p w14:paraId="4CD1FA97" w14:textId="77777777" w:rsidR="002122EC" w:rsidRDefault="002122EC" w:rsidP="002122EC"/>
    <w:p w14:paraId="2E875E4E" w14:textId="77777777" w:rsidR="002122EC" w:rsidRPr="00C54526" w:rsidRDefault="002122EC" w:rsidP="002122EC">
      <w:pPr>
        <w:pStyle w:val="Heading4"/>
      </w:pPr>
      <w:r w:rsidRPr="00C54526">
        <w:t>Congress incapable of day to day regulation of the classroom</w:t>
      </w:r>
    </w:p>
    <w:p w14:paraId="1A399BF2" w14:textId="77777777" w:rsidR="002122EC" w:rsidRPr="00C54526" w:rsidRDefault="002122EC" w:rsidP="002122EC">
      <w:r w:rsidRPr="00C54526">
        <w:rPr>
          <w:b/>
          <w:szCs w:val="26"/>
        </w:rPr>
        <w:t>Ravitch and Loveless, 2k</w:t>
      </w:r>
      <w:r w:rsidRPr="00C54526">
        <w:rPr>
          <w:b/>
          <w:sz w:val="20"/>
          <w:szCs w:val="26"/>
        </w:rPr>
        <w:t>-</w:t>
      </w:r>
      <w:r w:rsidRPr="00C54526">
        <w:rPr>
          <w:sz w:val="18"/>
        </w:rPr>
        <w:t xml:space="preserve">   </w:t>
      </w:r>
      <w:r w:rsidRPr="00C54526">
        <w:t xml:space="preserve">Loveless holds a Ph.D. in education from the University of Chicago, and authors The Brown Center Report on American Education (BCR), an annual report analyzing important trends in education.  Ravitch is a historian of education, an educational policy analyst, and a research professor at New York University's Steinhardt School of Culture, Education, and Human Development.  (“Broken Promises: What the Federal Government Can Do </w:t>
      </w:r>
      <w:proofErr w:type="gramStart"/>
      <w:r w:rsidRPr="00C54526">
        <w:t>To</w:t>
      </w:r>
      <w:proofErr w:type="gramEnd"/>
      <w:r w:rsidRPr="00C54526">
        <w:t xml:space="preserve"> Improve American Education”; Brookings Institute.  3/1/2000 </w:t>
      </w:r>
      <w:hyperlink r:id="rId71" w:history="1">
        <w:r w:rsidRPr="00C54526">
          <w:rPr>
            <w:rStyle w:val="Hyperlink"/>
          </w:rPr>
          <w:t>https://www.brookings.edu/articles/broken-promises-what-the-federal-government-can-do-to-improve-american-education/</w:t>
        </w:r>
      </w:hyperlink>
      <w:r>
        <w:t xml:space="preserve">) // GDI – CF </w:t>
      </w:r>
    </w:p>
    <w:p w14:paraId="2F2062F0" w14:textId="77777777" w:rsidR="002122EC" w:rsidRPr="00C54526" w:rsidRDefault="002122EC" w:rsidP="002122EC">
      <w:pPr>
        <w:rPr>
          <w:rStyle w:val="StyleUnderline"/>
        </w:rPr>
      </w:pPr>
      <w:r w:rsidRPr="00DD20EA">
        <w:rPr>
          <w:sz w:val="8"/>
        </w:rPr>
        <w:t xml:space="preserve">Education has emerged as one of the major issues in the 2000 presidential campaign. Candidates in both political parties sometimes seem to be in a bidding war to see who can devise the </w:t>
      </w:r>
      <w:proofErr w:type="gramStart"/>
      <w:r w:rsidRPr="00DD20EA">
        <w:rPr>
          <w:sz w:val="8"/>
        </w:rPr>
        <w:t>most new</w:t>
      </w:r>
      <w:proofErr w:type="gramEnd"/>
      <w:r w:rsidRPr="00DD20EA">
        <w:rPr>
          <w:sz w:val="8"/>
        </w:rPr>
        <w:t xml:space="preserve"> government programs. If there is a problem, goes the current wisdom, there must be a federal program to fix it. In their eagerness to appeal to voters, however, candidates are paying too little heed to the traditional federal role in education and the noticeable deficiencies of existing federal programs. </w:t>
      </w:r>
      <w:r w:rsidRPr="00C54526">
        <w:rPr>
          <w:rStyle w:val="StyleUnderline"/>
        </w:rPr>
        <w:t>Federal government responsibilities in education have always been limited. The word “education” does not even appear in the U.S. Constitution. States and local school districts have always made the day-to-day decisions about instruction, teachers, textbooks, and the like. For most of the nation’s history, Washington confined itself to collecting data on school systems and disseminating information on the progress of education. Until 1965, when the Elementary and Secondary Education Act was passed, federal support for K-12 education was minimal.</w:t>
      </w:r>
      <w:r w:rsidRPr="00DD20EA">
        <w:rPr>
          <w:sz w:val="8"/>
        </w:rPr>
        <w:t xml:space="preserve"> Today the federal government foots only about 7 percent of the nation’s K-12 education bill, and its share has never exceeded 10 percent. The small slice of federal funding for education goes mostly to “categorical” programs. The two largest serve poor (Title I) and handicapped (special education) students. The vast majority of American children do not qualify for these or any other categorical program. For most students in most schools, only a penny or two of each education dollar can be traced back to Washington. The </w:t>
      </w:r>
      <w:r w:rsidRPr="00C54526">
        <w:rPr>
          <w:rStyle w:val="StyleUnderline"/>
        </w:rPr>
        <w:t>most significant limit on federal influence arises from the sheer distance between Washington and the classroom. Federal programs typically travel first to the 50 state departments of education, which send them to local school districts, then to administrators at school sites, and finally, perhaps, to classroom teachers.</w:t>
      </w:r>
      <w:r w:rsidRPr="00DD20EA">
        <w:rPr>
          <w:sz w:val="8"/>
        </w:rPr>
        <w:t xml:space="preserve"> At each stop, money is drained off to support a bureaucracy. Regulations are tweaked and molded to fit local priorities. On reaching the classroom, federal policy bears as much resemblance to its original form as a bird to a dinosaur, its evolutionary ancestor. </w:t>
      </w:r>
      <w:r w:rsidRPr="00C54526">
        <w:rPr>
          <w:rStyle w:val="StyleUnderline"/>
        </w:rPr>
        <w:t>Candidates for office—whether running for president or for Congress—should recognize these realities. The current political climate, however, makes it difficult for politicians to acknowledge Washington’s limited role. Education, they know from opinion polls, is the public’s number one concern. In recent years, Democrats and Republicans alike have supported dramatically extending the federal reach into schools. Placing more technology in classrooms, establishing school disciplinary codes, deciding how reading will be taught, recruiting new teachers and determining their qualifications, launching after-school programs, selecting exemplary math textbooks—these are just a few areas that were once the sole responsibility of state and local school officials but that now seem to be regarded as the proper subject of federal action.</w:t>
      </w:r>
      <w:r>
        <w:rPr>
          <w:u w:val="single"/>
        </w:rPr>
        <w:t xml:space="preserve"> </w:t>
      </w:r>
      <w:r w:rsidRPr="00DD20EA">
        <w:rPr>
          <w:sz w:val="8"/>
        </w:rPr>
        <w:t xml:space="preserve">An Appropriate Federal Role </w:t>
      </w:r>
      <w:r w:rsidRPr="00734FAF">
        <w:rPr>
          <w:u w:val="single"/>
        </w:rPr>
        <w:t>T</w:t>
      </w:r>
      <w:r w:rsidRPr="00C54526">
        <w:rPr>
          <w:rStyle w:val="StyleUnderline"/>
        </w:rPr>
        <w:t>he public’s desire to improve public schools, though laudable, does not justify expanding the federal government’s role in education. There is scant evidence that existing federal programs are accomplishing their goals; indeed, most evaluations of the major federal categorical programs suggest that they are failing to make a dent in the problems they were designed to solve</w:t>
      </w:r>
      <w:r w:rsidRPr="00DD20EA">
        <w:rPr>
          <w:sz w:val="8"/>
        </w:rPr>
        <w:t xml:space="preserve">. Even Head Start, probably the most popular federal initiative, has been unable to close the large gaps in achievement between poor children and their advantaged peers. </w:t>
      </w:r>
      <w:r w:rsidRPr="00C54526">
        <w:rPr>
          <w:rStyle w:val="StyleUnderline"/>
        </w:rPr>
        <w:t>Yet Congress has been consistently unwilling to overhaul or discontinue any education program, regardless of its lack of effectiveness. Every federal program can mobilize a devoted constituency on its behalf, and even the smallest programs have kept their federal funds flowing.</w:t>
      </w:r>
      <w:r>
        <w:rPr>
          <w:u w:val="single"/>
        </w:rPr>
        <w:t xml:space="preserve"> </w:t>
      </w:r>
      <w:r w:rsidRPr="00DD20EA">
        <w:rPr>
          <w:sz w:val="8"/>
        </w:rPr>
        <w:t xml:space="preserve">Here is a suggestion for the candidates: </w:t>
      </w:r>
      <w:r w:rsidRPr="00C54526">
        <w:rPr>
          <w:rStyle w:val="StyleUnderline"/>
        </w:rPr>
        <w:t xml:space="preserve">fix existing federal education programs before telling school boards, principals, teachers, and parents how to run local schools. There is no reason to believe that the president or Congress is well-suited to decide who should teach, what should be taught, or how schools should be organized. Nor do we know of any evidence that the U.S. Department of Education is in a better position to direct local schools than the people who work in them and send their children to learn there. </w:t>
      </w:r>
      <w:r w:rsidRPr="00DD20EA">
        <w:rPr>
          <w:sz w:val="8"/>
        </w:rPr>
        <w:t xml:space="preserve">And, frankly, taking on vast new responsibilities before fulfilling existing obligations is indefensible for any government at any level. Before launching bold education initiatives, the federal government should follow a simple rule: improve what it does now before attempting anything new. Even then, Washington should never impose new programs on local authorities without clear evidence that the proposed intervention will improve children’s education. </w:t>
      </w:r>
      <w:r w:rsidRPr="00C54526">
        <w:rPr>
          <w:rStyle w:val="StyleUnderline"/>
        </w:rPr>
        <w:t>The two most important federal categorical programs—special education and Title I—need to be overhauled. Both could be changed by the president and Congress in ways that would help the children who are their intended beneficiaries.</w:t>
      </w:r>
    </w:p>
    <w:p w14:paraId="08806ABB" w14:textId="77777777" w:rsidR="002122EC" w:rsidRDefault="002122EC" w:rsidP="002122EC"/>
    <w:p w14:paraId="418B3DBB" w14:textId="77777777" w:rsidR="002122EC" w:rsidRPr="009437A9" w:rsidRDefault="002122EC" w:rsidP="002122EC">
      <w:pPr>
        <w:pStyle w:val="Heading4"/>
        <w:rPr>
          <w:rStyle w:val="Heading4Char"/>
          <w:b/>
        </w:rPr>
      </w:pPr>
      <w:r>
        <w:rPr>
          <w:rStyle w:val="Heading4Char"/>
          <w:b/>
        </w:rPr>
        <w:t>Congressional educational reforms fail – empirics prove</w:t>
      </w:r>
    </w:p>
    <w:p w14:paraId="15CC18CF" w14:textId="77777777" w:rsidR="002122EC" w:rsidRDefault="002122EC" w:rsidP="002122EC">
      <w:r w:rsidRPr="009437A9">
        <w:rPr>
          <w:rStyle w:val="Heading4Char"/>
        </w:rPr>
        <w:t xml:space="preserve">Bentsen 16 </w:t>
      </w:r>
      <w:r>
        <w:t xml:space="preserve">– (Lloyd M. Bentsen IV is the NCPA senior research fellow covering a variety of topics that includes education reform, school choice, student engagement, energy, environment, natural resources and economics. Lloyd is a regular contributor to the NCPA Education Reform Blog. Lloyd received his Bachelor of Arts degree in political science from Southern Methodist University and Master of Business Administration degree from the University of Houston, NCPA, Issue Brief No. 186, Four Failed Federal Education Reforms, 1-25-2016, </w:t>
      </w:r>
      <w:hyperlink r:id="rId72" w:history="1">
        <w:r w:rsidRPr="00DE3192">
          <w:rPr>
            <w:rStyle w:val="Hyperlink"/>
          </w:rPr>
          <w:t>http://www.ncpa.org/pub/four-failed-federal-education-reforms)//dnarayan</w:t>
        </w:r>
      </w:hyperlink>
      <w:r>
        <w:rPr>
          <w:rStyle w:val="Hyperlink"/>
        </w:rPr>
        <w:t xml:space="preserve"> // GDI – CF </w:t>
      </w:r>
    </w:p>
    <w:p w14:paraId="51E089ED" w14:textId="77777777" w:rsidR="002122EC" w:rsidRPr="00A370C5" w:rsidRDefault="002122EC" w:rsidP="002122EC">
      <w:pPr>
        <w:rPr>
          <w:rStyle w:val="StyleUnderline"/>
        </w:rPr>
      </w:pPr>
      <w:r w:rsidRPr="00A370C5">
        <w:rPr>
          <w:sz w:val="8"/>
        </w:rPr>
        <w:t xml:space="preserve">Over the years, </w:t>
      </w:r>
      <w:r w:rsidRPr="00A370C5">
        <w:rPr>
          <w:u w:val="single"/>
        </w:rPr>
        <w:t xml:space="preserve">federal funding of primary and secondary education has increased, while students’ academic performance has flatlined. For instance, the high school reading and math scores on the National Assessment of Education Progress show that </w:t>
      </w:r>
      <w:r w:rsidRPr="00A370C5">
        <w:rPr>
          <w:rStyle w:val="Emphasis"/>
          <w:b w:val="0"/>
        </w:rPr>
        <w:t>student performance has remained flat for the past 20 years</w:t>
      </w:r>
      <w:r w:rsidRPr="00A370C5">
        <w:rPr>
          <w:rStyle w:val="Emphasis"/>
        </w:rPr>
        <w:t xml:space="preserve"> </w:t>
      </w:r>
      <w:r w:rsidRPr="00A370C5">
        <w:rPr>
          <w:u w:val="single"/>
        </w:rPr>
        <w:t xml:space="preserve">[see Figure I]. </w:t>
      </w:r>
      <w:r w:rsidRPr="00A370C5">
        <w:rPr>
          <w:rStyle w:val="StyleUnderline"/>
        </w:rPr>
        <w:t>Recent education reform initiatives by several administrations produced, at best, minimal improvements in student performance at a high price to taxpayers.</w:t>
      </w:r>
      <w:r w:rsidRPr="00A370C5">
        <w:rPr>
          <w:sz w:val="8"/>
        </w:rPr>
        <w:t xml:space="preserve"> </w:t>
      </w:r>
      <w:r w:rsidRPr="00A370C5">
        <w:rPr>
          <w:rStyle w:val="Emphasis"/>
          <w:b w:val="0"/>
          <w:sz w:val="24"/>
          <w:szCs w:val="32"/>
        </w:rPr>
        <w:t>Given its track record, the federal government should get out of the education business.</w:t>
      </w:r>
      <w:r w:rsidRPr="00A370C5">
        <w:rPr>
          <w:rStyle w:val="Emphasis"/>
          <w:sz w:val="32"/>
          <w:szCs w:val="32"/>
        </w:rPr>
        <w:t xml:space="preserve"> </w:t>
      </w:r>
      <w:r w:rsidRPr="00A370C5">
        <w:rPr>
          <w:sz w:val="8"/>
        </w:rPr>
        <w:t xml:space="preserve">Federal Education Funding Federal education funding comes in several forms. While most federal funds go to the states (a total of $37 billion in 2015) for K-12 school districts, $4 billion is devoted to special projects such as educational reforms through initiatives.1 </w:t>
      </w:r>
      <w:r w:rsidRPr="00A370C5">
        <w:rPr>
          <w:rStyle w:val="StyleUnderline"/>
        </w:rPr>
        <w:t>Though federal money is only 11 percent of total spending on public schools, it comes with a host of strings attached.2 Federal spending on elementary and secondary education more than doubled from 1995 to 2003, with a large increase in funding for initiatives such as No Child Left Behind in 2003</w:t>
      </w:r>
      <w:r w:rsidRPr="00A370C5">
        <w:rPr>
          <w:sz w:val="8"/>
        </w:rPr>
        <w:t xml:space="preserve"> [see Figure II]: </w:t>
      </w:r>
      <w:r w:rsidRPr="00A370C5">
        <w:rPr>
          <w:rFonts w:ascii="Arial" w:hAnsi="Arial" w:cs="Arial"/>
          <w:sz w:val="8"/>
        </w:rPr>
        <w:t>■</w:t>
      </w:r>
      <w:r w:rsidRPr="00A370C5">
        <w:rPr>
          <w:sz w:val="8"/>
        </w:rPr>
        <w:t xml:space="preserve"> Federal funding for elementary and secondary education more than doubled from $15 billion in 1995 to $35 billion in 2003, and education initiative funding more than doubled from $2 billion in 2001 to $7 billion in 2003. </w:t>
      </w:r>
      <w:r w:rsidRPr="00A370C5">
        <w:rPr>
          <w:rFonts w:ascii="Arial" w:hAnsi="Arial" w:cs="Arial"/>
          <w:sz w:val="8"/>
        </w:rPr>
        <w:t>■</w:t>
      </w:r>
      <w:r w:rsidRPr="00A370C5">
        <w:rPr>
          <w:sz w:val="8"/>
        </w:rPr>
        <w:t xml:space="preserve"> Total federal education funding increased from $42 billion a year in 2001 to $63 billion in 2003.3 </w:t>
      </w:r>
      <w:r w:rsidRPr="00A370C5">
        <w:rPr>
          <w:rFonts w:ascii="Arial" w:hAnsi="Arial" w:cs="Arial"/>
          <w:sz w:val="8"/>
        </w:rPr>
        <w:t>■</w:t>
      </w:r>
      <w:r w:rsidRPr="00A370C5">
        <w:rPr>
          <w:sz w:val="8"/>
        </w:rPr>
        <w:t xml:space="preserve"> Education initiative spending peaked at 20 percent of total federal spending on elementary and secondary education and dropped to 10 percent by 2015. </w:t>
      </w:r>
      <w:r w:rsidRPr="00A370C5">
        <w:rPr>
          <w:rStyle w:val="StyleUnderline"/>
        </w:rPr>
        <w:t>Both overall funding for elementary and secondary education, as well as spending on education initiatives, began to drop after 2005 due to factors such as the Great Recession of 2007.</w:t>
      </w:r>
      <w:r w:rsidRPr="00A370C5">
        <w:rPr>
          <w:sz w:val="8"/>
        </w:rPr>
        <w:t xml:space="preserve"> Four Federal Initiatives </w:t>
      </w:r>
      <w:r w:rsidRPr="00A370C5">
        <w:rPr>
          <w:rStyle w:val="StyleUnderline"/>
        </w:rPr>
        <w:t xml:space="preserve">The four most recent federal education reform initiatives include “Goals 2000″ of the Clinton administration, “No Child Left Behind” of the Bush administration, and “Race to the Top” and “Common Core” of the Obama administration. Goals 2000. Though Goals 2000 was presented to the states as a program in which they could “voluntarily” participate, opting out meant passing up significant federal funds. The federal government invested over $500 million into the program before funding was cut off. Some of the </w:t>
      </w:r>
      <w:r w:rsidRPr="00DD20EA">
        <w:rPr>
          <w:rStyle w:val="Emphasis"/>
          <w:b w:val="0"/>
        </w:rPr>
        <w:t>overly ambitious goals</w:t>
      </w:r>
      <w:r w:rsidRPr="00A370C5">
        <w:rPr>
          <w:rStyle w:val="StyleUnderline"/>
        </w:rPr>
        <w:t xml:space="preserve"> included that by the year 2000: </w:t>
      </w:r>
      <w:r w:rsidRPr="00A370C5">
        <w:rPr>
          <w:rFonts w:ascii="Arial" w:hAnsi="Arial" w:cs="Arial"/>
          <w:sz w:val="8"/>
        </w:rPr>
        <w:t>■</w:t>
      </w:r>
      <w:r w:rsidRPr="00A370C5">
        <w:rPr>
          <w:sz w:val="8"/>
        </w:rPr>
        <w:t xml:space="preserve"> All children in America will start school ready to learn. </w:t>
      </w:r>
      <w:r w:rsidRPr="00A370C5">
        <w:rPr>
          <w:rFonts w:ascii="Arial" w:hAnsi="Arial" w:cs="Arial"/>
          <w:sz w:val="8"/>
        </w:rPr>
        <w:t>■</w:t>
      </w:r>
      <w:r w:rsidRPr="00A370C5">
        <w:rPr>
          <w:sz w:val="8"/>
        </w:rPr>
        <w:t xml:space="preserve"> The high school graduation rate will increase to at least 90 percent. </w:t>
      </w:r>
      <w:r w:rsidRPr="00A370C5">
        <w:rPr>
          <w:rFonts w:ascii="Arial" w:hAnsi="Arial" w:cs="Arial"/>
          <w:sz w:val="8"/>
        </w:rPr>
        <w:t>■</w:t>
      </w:r>
      <w:r w:rsidRPr="00A370C5">
        <w:rPr>
          <w:sz w:val="8"/>
        </w:rPr>
        <w:t xml:space="preserve"> American students will be first in the world in science and mathematics achievement. </w:t>
      </w:r>
      <w:r w:rsidRPr="00A370C5">
        <w:rPr>
          <w:rFonts w:ascii="Arial" w:hAnsi="Arial" w:cs="Arial"/>
          <w:sz w:val="8"/>
        </w:rPr>
        <w:t>■</w:t>
      </w:r>
      <w:r w:rsidRPr="00A370C5">
        <w:rPr>
          <w:sz w:val="8"/>
        </w:rPr>
        <w:t xml:space="preserve"> Every adult American will be literate and will possess the knowledge and skills necessary to compete in a global economy and exercise the rights and responsibilities of citizenship. </w:t>
      </w:r>
      <w:r w:rsidRPr="00A370C5">
        <w:rPr>
          <w:rFonts w:ascii="Arial" w:hAnsi="Arial" w:cs="Arial"/>
          <w:sz w:val="8"/>
        </w:rPr>
        <w:t>■</w:t>
      </w:r>
      <w:r w:rsidRPr="00A370C5">
        <w:rPr>
          <w:sz w:val="8"/>
        </w:rPr>
        <w:t xml:space="preserve"> Every school in America will be free of drugs and violence and will offer a disciplined environment conducive to learning. However, the states found quite a few mandates hidden in the small print, including such requirements as: submitting grant proposals and “improvement plans” for the U.S. Secretary of Education’s approval; penalties for failing to comply with their own improvement plans; and coordinating their Goals 2000 efforts with School-toWork and other social reform programs.4 </w:t>
      </w:r>
      <w:r w:rsidRPr="00DD20EA">
        <w:rPr>
          <w:rStyle w:val="Emphasis"/>
          <w:b w:val="0"/>
        </w:rPr>
        <w:t>None of the goals were met by the year 2000 and the states lost ground on a couple of goals, including teacher quality and school safety. The program was scrapped by Congress and essentially replaced by No Child Left Behind (NCLB).5 No Child Left Behind</w:t>
      </w:r>
      <w:r w:rsidRPr="00A370C5">
        <w:rPr>
          <w:rStyle w:val="Emphasis"/>
        </w:rPr>
        <w:t>.</w:t>
      </w:r>
      <w:r w:rsidRPr="00A370C5">
        <w:rPr>
          <w:sz w:val="8"/>
        </w:rPr>
        <w:t xml:space="preserve"> The 2002 reauthorization of the Elementary and Secondary Education Act of 1965, No Child Left Behind, expanded the federal role in public education through further emphasis on annual testing, annual academic progress, report cards and teacher qualifications, as well as significant increases in funding. </w:t>
      </w:r>
      <w:r w:rsidRPr="00A370C5">
        <w:rPr>
          <w:rStyle w:val="StyleUnderline"/>
        </w:rPr>
        <w:t xml:space="preserve">No Child Left Behind assumed that boosting test scores should be the primary goal of schools, an approach that </w:t>
      </w:r>
      <w:r w:rsidRPr="00DD20EA">
        <w:rPr>
          <w:rStyle w:val="Emphasis"/>
          <w:b w:val="0"/>
        </w:rPr>
        <w:t>has not improved education when implemented</w:t>
      </w:r>
      <w:r w:rsidRPr="00A370C5">
        <w:rPr>
          <w:rStyle w:val="StyleUnderline"/>
        </w:rPr>
        <w:t xml:space="preserve"> by individual states.</w:t>
      </w:r>
      <w:r w:rsidRPr="00A370C5">
        <w:rPr>
          <w:sz w:val="8"/>
        </w:rPr>
        <w:t xml:space="preserve"> </w:t>
      </w:r>
      <w:r w:rsidRPr="00DD20EA">
        <w:rPr>
          <w:rStyle w:val="Emphasis"/>
          <w:b w:val="0"/>
          <w:szCs w:val="32"/>
        </w:rPr>
        <w:t xml:space="preserve">Widespread school “failure” was an inevitable outcome of NCLB’s one-sizefits-all design because of rigid “adequate yearly progress” provisions, which set unrealistic goals for academic gains, punished diversity and ignored measurement error. </w:t>
      </w:r>
      <w:r w:rsidRPr="00A370C5">
        <w:rPr>
          <w:sz w:val="8"/>
        </w:rPr>
        <w:t>The NCLB requirement that limited English proficient students score “proficient” on English exams was self contradictory, as was the provision that most children with special needs demonstrate competency in the same manner as other students</w:t>
      </w:r>
      <w:r w:rsidRPr="00DD20EA">
        <w:rPr>
          <w:rStyle w:val="Emphasis"/>
          <w:b w:val="0"/>
        </w:rPr>
        <w:t xml:space="preserve">. </w:t>
      </w:r>
      <w:r w:rsidRPr="00DD20EA">
        <w:rPr>
          <w:rStyle w:val="Emphasis"/>
          <w:b w:val="0"/>
          <w:szCs w:val="32"/>
        </w:rPr>
        <w:t>Education was damaged as students were coached to pass tests rather than taught a rich curriculum to prepare them for life in the 21st century</w:t>
      </w:r>
      <w:r w:rsidRPr="00DD20EA">
        <w:rPr>
          <w:rStyle w:val="Emphasis"/>
          <w:b w:val="0"/>
          <w:sz w:val="16"/>
        </w:rPr>
        <w:t xml:space="preserve">. </w:t>
      </w:r>
      <w:r w:rsidRPr="00DD20EA">
        <w:rPr>
          <w:rStyle w:val="Emphasis"/>
          <w:b w:val="0"/>
        </w:rPr>
        <w:t xml:space="preserve">NCLB severely damaged educational quality and equity, with its narrowing and limiting effects falling most severely on the poor. </w:t>
      </w:r>
      <w:r w:rsidRPr="00DD20EA">
        <w:rPr>
          <w:rStyle w:val="Emphasis"/>
          <w:b w:val="0"/>
          <w:szCs w:val="32"/>
        </w:rPr>
        <w:t>NCLB failed to significantly increase average academic performance or narrow demographic achievement gaps</w:t>
      </w:r>
      <w:r w:rsidRPr="00A370C5">
        <w:rPr>
          <w:sz w:val="8"/>
        </w:rPr>
        <w:t xml:space="preserve">.6 </w:t>
      </w:r>
      <w:r w:rsidRPr="00A370C5">
        <w:rPr>
          <w:rStyle w:val="StyleUnderline"/>
        </w:rPr>
        <w:t>No Child Left Behind’s reliance on one-size-fits-all testing, labeling and sanctioning schools undermined many education reform efforts. As a result, many schools, particularly those serving low-income students, have become little more than test-preparation programs.</w:t>
      </w:r>
      <w:r w:rsidRPr="00A370C5">
        <w:rPr>
          <w:sz w:val="8"/>
        </w:rPr>
        <w:t xml:space="preserve"> Race to the Top. The federal government has offered grants through Race to the Top (RTTT) or so-called Flexibility Waivers under NCLB, School Improvement Grants and various other programs to push states, districts and schools to line up behind policies that use these same test scores in high-stakes evaluations of teachers and principals, in addition to the NCLB focus on schools.7 President Obama’s 2009 Race to the Top initiative dedicated over $4 billion to 19 states that created robust plans to address four key areas of K-12 education reform, including:8 </w:t>
      </w:r>
      <w:r w:rsidRPr="00A370C5">
        <w:rPr>
          <w:rFonts w:ascii="Arial" w:hAnsi="Arial" w:cs="Arial"/>
          <w:sz w:val="8"/>
        </w:rPr>
        <w:t>■</w:t>
      </w:r>
      <w:r w:rsidRPr="00A370C5">
        <w:rPr>
          <w:sz w:val="8"/>
        </w:rPr>
        <w:t xml:space="preserve"> Adopting standards and assessments that prepare students to succeed in college and the workplace and to compete in the global economy; </w:t>
      </w:r>
      <w:r w:rsidRPr="00A370C5">
        <w:rPr>
          <w:rFonts w:ascii="Arial" w:hAnsi="Arial" w:cs="Arial"/>
          <w:sz w:val="8"/>
        </w:rPr>
        <w:t>■</w:t>
      </w:r>
      <w:r w:rsidRPr="00A370C5">
        <w:rPr>
          <w:sz w:val="8"/>
        </w:rPr>
        <w:t xml:space="preserve"> Building data systems that measure student growth and success, and inform teachers and principals about how they can improve instruction; </w:t>
      </w:r>
      <w:r w:rsidRPr="00A370C5">
        <w:rPr>
          <w:rFonts w:ascii="Arial" w:hAnsi="Arial" w:cs="Arial"/>
          <w:sz w:val="8"/>
        </w:rPr>
        <w:t>■</w:t>
      </w:r>
      <w:r w:rsidRPr="00A370C5">
        <w:rPr>
          <w:sz w:val="8"/>
        </w:rPr>
        <w:t xml:space="preserve"> Recruiting, developing, rewarding and retaining effective teachers and principals, especially where they are needed most; and </w:t>
      </w:r>
      <w:r w:rsidRPr="00A370C5">
        <w:rPr>
          <w:rFonts w:ascii="Arial" w:hAnsi="Arial" w:cs="Arial"/>
          <w:sz w:val="8"/>
        </w:rPr>
        <w:t>■</w:t>
      </w:r>
      <w:r w:rsidRPr="00A370C5">
        <w:rPr>
          <w:sz w:val="8"/>
        </w:rPr>
        <w:t xml:space="preserve"> Turning around the lowest-achieving schools. States have focused heavily on developing teacher evaluation systems based on student test scores, but not nearly as much on using the evaluations to improve instruction. </w:t>
      </w:r>
      <w:r w:rsidRPr="00A370C5">
        <w:rPr>
          <w:rStyle w:val="StyleUnderline"/>
        </w:rPr>
        <w:t>By 2012, states were largely behind schedule in meeting goals for improving instruction and school and educational outcomes. Many states were experiencing substantial setbacks due to unrealistic promises and unexpected challenges.</w:t>
      </w:r>
      <w:r w:rsidRPr="00A370C5">
        <w:rPr>
          <w:sz w:val="8"/>
        </w:rPr>
        <w:t xml:space="preserve">9 Common Core’s relationship with the federal government is a result of President Obama’s Race to the Top initiative.10 Common Core. Common Core math and English standards were released in 2010 and implemented by many states in 2014. </w:t>
      </w:r>
      <w:r w:rsidRPr="00A370C5">
        <w:rPr>
          <w:rStyle w:val="StyleUnderline"/>
        </w:rPr>
        <w:t>However, of the states that adopted and have been implementing the standards, 14 are downgrading their participation or withdrawing from national tests designed around the standards. Texas, Alaska, Nebraska and Virginia outright rejected the standards from the beginning. Indiana, Oklahoma, South Carolina, Louisiana and Ohio have withdrawn. Since adopting the standards, Massachusetts has suspended implementation of the standards and other states are also taking steps to withdraw</w:t>
      </w:r>
      <w:r w:rsidRPr="00A370C5">
        <w:rPr>
          <w:sz w:val="8"/>
        </w:rPr>
        <w:t xml:space="preserve">.11 Two multistate testing groups — the Smarter Balanced Assessment Consortium (SBAC) and the Partnership for Assessment of Readiness for College and Careers (PARCC) — received $360 million in taxpayer funds to create Common-Core-compliant tests.12 </w:t>
      </w:r>
      <w:r w:rsidRPr="00A370C5">
        <w:rPr>
          <w:rStyle w:val="StyleUnderline"/>
        </w:rPr>
        <w:t xml:space="preserve">But there are growing concerns over the program, such as the cost and classroom time consumed by state tests. </w:t>
      </w:r>
      <w:r w:rsidRPr="00DD20EA">
        <w:rPr>
          <w:rStyle w:val="Emphasis"/>
          <w:b w:val="0"/>
        </w:rPr>
        <w:t>Several states recently decided to use alternative tests and withdraw from the Smarter Balanced and PARCC programs</w:t>
      </w:r>
      <w:r w:rsidRPr="00A370C5">
        <w:rPr>
          <w:sz w:val="8"/>
        </w:rPr>
        <w:t xml:space="preserve">.13 </w:t>
      </w:r>
      <w:r w:rsidRPr="00A370C5">
        <w:rPr>
          <w:rStyle w:val="StyleUnderline"/>
        </w:rPr>
        <w:t xml:space="preserve">Kansas withdrew from the Smarter Balanced group and plans to use tests from the University of Kansas instead and in 2014 Alaska announced that it will do the same. Florida has also withdrawn from PARCC and is looking at alternative testing options. Alabama, Georgia and Oklahoma withdrew from the program in the summer of 2013 and Pennsylvania plans to use its own state tests instead.14 Originally, 31 states were members of SBAC; now it only has 18 member states. PARCC started out with 25 states and the District of Colombia. It is now down to 11 and D.C. — with Arkansas, Mississippi and Ohio officially set to leave even that small group in 2016. PARCC is also possibly on the ropes in Massachusetts.15 Adding to the testing woes are massive opt-outs (students refusing to take the test) in New York and, to a lesser extent in other states, and states falsely inflating testing results and school performance. The backlash against Common Core has grown steadily since states first implemented the initiative, and now even teachers’ unions are withdrawing their support. </w:t>
      </w:r>
      <w:r w:rsidRPr="00DD20EA">
        <w:rPr>
          <w:rStyle w:val="Emphasis"/>
          <w:b w:val="0"/>
        </w:rPr>
        <w:t>Common Core is also losing public support</w:t>
      </w:r>
      <w:r w:rsidRPr="00A370C5">
        <w:rPr>
          <w:sz w:val="8"/>
        </w:rPr>
        <w:t xml:space="preserve">, according to the latest Education Next poll, which found public support dropping from 65 percent in 2013 to 49 percent in 2015. Among teachers, support for Common Core fell from 76 percent to 40 percent, with 50 percent now opposing.16 </w:t>
      </w:r>
      <w:r w:rsidRPr="00DD20EA">
        <w:rPr>
          <w:b/>
          <w:sz w:val="2"/>
        </w:rPr>
        <w:t xml:space="preserve">Conclusion </w:t>
      </w:r>
      <w:r w:rsidRPr="00DD20EA">
        <w:rPr>
          <w:rStyle w:val="Emphasis"/>
          <w:b w:val="0"/>
          <w:szCs w:val="32"/>
        </w:rPr>
        <w:t>Federal education reforms have failed to achieve their goals and failed to have a positive impact on education performance</w:t>
      </w:r>
      <w:r w:rsidRPr="00DD20EA">
        <w:rPr>
          <w:b/>
          <w:sz w:val="8"/>
        </w:rPr>
        <w:t xml:space="preserve">. </w:t>
      </w:r>
      <w:r w:rsidRPr="00DD20EA">
        <w:rPr>
          <w:rStyle w:val="Emphasis"/>
          <w:b w:val="0"/>
        </w:rPr>
        <w:t>Perhaps their failure was due to lack of funding or poor execution, but the fact remains that these excuses are made over and over again on both the federal and state level without significant improvement. Despite the federal government’s valiant attempts, a universal national curriculum leaves too many students behind</w:t>
      </w:r>
      <w:r w:rsidRPr="00A370C5">
        <w:rPr>
          <w:rStyle w:val="Emphasis"/>
        </w:rPr>
        <w:t xml:space="preserve">. </w:t>
      </w:r>
      <w:r w:rsidRPr="00A370C5">
        <w:rPr>
          <w:rStyle w:val="StyleUnderline"/>
        </w:rPr>
        <w:t>A single, unachievable standard ends up making struggling students a problem that ultimately the economy inherits. No matter how well the government makes plans to properly fund and operate an education program, it will never meet the standard and success of a private, free market system of education.</w:t>
      </w:r>
    </w:p>
    <w:p w14:paraId="2E1822F0" w14:textId="77777777" w:rsidR="002122EC" w:rsidRDefault="002122EC" w:rsidP="002122EC"/>
    <w:p w14:paraId="6F0122DB" w14:textId="77777777" w:rsidR="002122EC" w:rsidRDefault="002122EC" w:rsidP="002122EC">
      <w:pPr>
        <w:pStyle w:val="Heading4"/>
      </w:pPr>
      <w:r>
        <w:t>Congressional policy has empirically failed and harms education—turns the CP</w:t>
      </w:r>
    </w:p>
    <w:p w14:paraId="19A32B50" w14:textId="77777777" w:rsidR="002122EC" w:rsidRDefault="002122EC" w:rsidP="002122EC">
      <w:r w:rsidRPr="00B729C6">
        <w:rPr>
          <w:b/>
          <w:sz w:val="26"/>
          <w:szCs w:val="26"/>
        </w:rPr>
        <w:t>Coulson, 11</w:t>
      </w:r>
      <w:r>
        <w:t>-</w:t>
      </w:r>
      <w:r w:rsidRPr="00B729C6">
        <w:t xml:space="preserve"> </w:t>
      </w:r>
      <w:r>
        <w:t>Senior fellow of Education at the CATO institution.  (Andrew, “</w:t>
      </w:r>
      <w:r w:rsidRPr="00B729C6">
        <w:t>The Impact of Federal Involvement in America’s Classrooms</w:t>
      </w:r>
      <w:r>
        <w:t xml:space="preserve">”; CATO Institute.  2/10/11.  </w:t>
      </w:r>
      <w:hyperlink r:id="rId73" w:history="1">
        <w:r w:rsidRPr="00F65A6D">
          <w:rPr>
            <w:rStyle w:val="Hyperlink"/>
          </w:rPr>
          <w:t>https://www.cato.org/publications/congressional-testimony/impact-federal-involvement-americas-classrooms</w:t>
        </w:r>
      </w:hyperlink>
      <w:r>
        <w:t xml:space="preserve">) GDI – CF </w:t>
      </w:r>
    </w:p>
    <w:p w14:paraId="23C16A5D" w14:textId="77777777" w:rsidR="002122EC" w:rsidRPr="00DD20EA" w:rsidRDefault="002122EC" w:rsidP="002122EC">
      <w:pPr>
        <w:rPr>
          <w:sz w:val="8"/>
        </w:rPr>
      </w:pPr>
      <w:r w:rsidRPr="00DD20EA">
        <w:rPr>
          <w:sz w:val="8"/>
        </w:rPr>
        <w:t xml:space="preserve">Chairman Kline, members of the Committee, thank you for inviting me to speak with you today. My name is Andrew Coulson and I direct the Center for Educational Freedom at the Cato Institute, a nonprofit, non-partisan public policy research organization. My comments are my own, and do not represent any position of the Institute. </w:t>
      </w:r>
      <w:r w:rsidRPr="008A2E12">
        <w:rPr>
          <w:rStyle w:val="StyleUnderline"/>
        </w:rPr>
        <w:t>For over half a century, a succession of Congresses and presidents has sought to do two things for American elementary and secondary education: raise overall achievement, and narrow the gaps between high- and low-income students as well as between minority and white students. The federal government has spent roughly $2 trillion on these efforts since 1965, adjusting for inflation</w:t>
      </w:r>
      <w:r w:rsidRPr="00DD20EA">
        <w:rPr>
          <w:sz w:val="8"/>
        </w:rPr>
        <w:t xml:space="preserve">. In the next few minutes I will summarize the results of these efforts and their implications for federal education policy. </w:t>
      </w:r>
      <w:r w:rsidRPr="008A2E12">
        <w:rPr>
          <w:rStyle w:val="StyleUnderline"/>
        </w:rPr>
        <w:t>Congress’ first attempt to improve the quality of instruction in the nation’s schools was the National Defense Education Act of 1958, a direct response to the Soviet launch of the satellite Sputnik. It was intended to raise mathematics and science achievement</w:t>
      </w:r>
      <w:r w:rsidRPr="00DD20EA">
        <w:rPr>
          <w:sz w:val="8"/>
        </w:rPr>
        <w:t xml:space="preserve">. There are no data on science achievement during this period to my knowledge, but we do have nationally representative trend data for mathematics performance at the end of high school, which I present in Figure 1. As </w:t>
      </w:r>
      <w:r w:rsidRPr="008A2E12">
        <w:rPr>
          <w:rStyle w:val="StyleUnderline"/>
        </w:rPr>
        <w:t>can be seen from the chart, math scores declined slightly during the latter half of the 1950s, and this decline accelerated from 1960 to 1966, after the NDEA was passed. Scores had still not recovered to their 1955 high point three decades later</w:t>
      </w:r>
      <w:r w:rsidRPr="00DD20EA">
        <w:rPr>
          <w:sz w:val="8"/>
        </w:rPr>
        <w:t>. While the up-trend between 1966 and 1983 looks promising, it was not sustained. Figure 2 charts the percent change in Math, Science, and Reading scores from the 1970s to the present, along with the percent change in real federal education spending per pupil. Math and Reading scores at the end of high school are unchanged over the past forty years, while Science scores suffered a slight decline through the year 1999, the last time that test was administered. Data from another nationally representative test series show a continuing decline in 12th grade Science between 1996 and 2005, the last year for which we have trend data.2 Presented with stagnant or declining performance in the face of a meteoric rise in federal spending per pupil, it is reasonable to ask: what happened to total spending? If state and local expenditures fell to such an extent that they offset federal increases, that might explain the profound disconnect revealed in Figure 2. To answer that question, I present Figure 3, showing how the total cost of an entire k-through-12 public school education has changed over time. W</w:t>
      </w:r>
      <w:r w:rsidRPr="008A2E12">
        <w:rPr>
          <w:rStyle w:val="StyleUnderline"/>
        </w:rPr>
        <w:t>e spent over $151,000 per student sending the graduating class of 2009 through public schools. That is nearly three times as much as we spent on the graduating class of 1970, adjusting for inflation. Despite that massive real spending increase, overall achievement has stagnated or declined, depending on the subject.</w:t>
      </w:r>
      <w:r>
        <w:rPr>
          <w:rStyle w:val="StyleUnderline"/>
        </w:rPr>
        <w:t xml:space="preserve"> </w:t>
      </w:r>
      <w:r w:rsidRPr="00DD20EA">
        <w:rPr>
          <w:sz w:val="8"/>
        </w:rPr>
        <w:t xml:space="preserve">But what of the federal government’s other educational goal: narrowing the achievement gaps by income and minority status? Test score breakdowns by family income are not available, but we do have something close: a breakdown by parents’ level of education. This allows us to compare the children of high school dropouts to those of college graduates. In Reading and Science, the gap between these students has not narrowed in 40 years. In </w:t>
      </w:r>
      <w:proofErr w:type="gramStart"/>
      <w:r w:rsidRPr="00DD20EA">
        <w:rPr>
          <w:sz w:val="8"/>
        </w:rPr>
        <w:t>Math</w:t>
      </w:r>
      <w:proofErr w:type="gramEnd"/>
      <w:r w:rsidRPr="00DD20EA">
        <w:rPr>
          <w:sz w:val="8"/>
        </w:rPr>
        <w:t xml:space="preserve"> it has narrowed by barely one percent of the test score scale.3 So, here again, federal appropriations and the programs they have funded have failed to achieve their goals. </w:t>
      </w:r>
      <w:r w:rsidRPr="008A2E12">
        <w:rPr>
          <w:rStyle w:val="StyleUnderline"/>
        </w:rPr>
        <w:t>That leaves us with one last federal policy goal to examine: Shrinking the gaps between minority and white students. In science, these gaps, too, are unchanged,4 while they have narrowed in Reading and Mathematics. But a key question remains: were federal programs responsible for this isolated gap narrowing?</w:t>
      </w:r>
      <w:r>
        <w:rPr>
          <w:u w:val="single"/>
        </w:rPr>
        <w:t xml:space="preserve"> </w:t>
      </w:r>
      <w:r w:rsidRPr="00DD20EA">
        <w:rPr>
          <w:sz w:val="8"/>
        </w:rPr>
        <w:t xml:space="preserve">If so, the gap narrowing that did occur should track federal legislation and spending: starting gradually and then accelerating rapidly during the past two decades. To see if that is indeed the pattern, Figure 4 charts changes in the black/white Reading gap (which is one of the larger majority/minority gap reductions, with a fairly typical time trend). Comparing Figure 4 with the federal spending per pupil trend shown in Figure 2, there seems to be little support for the hypothesis that federal efforts have narrowed the black/white reading gap. The gap was essentially unchanged for the first 15 years after the passage of the ESEA and Head Start. Then, in the absence of any dramatic change in federal policy or spending, the gap suddenly narrowed between 1980 and 1988. Since 1988, the gap has actually widened slightly, despite a dramatic rise in federal spending over that period. The patterns for both math and reading for both black and Hispanic students tell similar stories.5 </w:t>
      </w:r>
      <w:r w:rsidRPr="008A2E12">
        <w:rPr>
          <w:rStyle w:val="StyleUnderline"/>
        </w:rPr>
        <w:t>To sum up, we have little to show for the $2 trillion in federal education spending of the past half century. In the face of concerted and unflagging efforts by Congress and the states, public schooling has suffered a massive productivity collapse — it now costs three times as much to provide essentially the same education as we provided in 1970.</w:t>
      </w:r>
      <w:r>
        <w:rPr>
          <w:u w:val="single"/>
        </w:rPr>
        <w:t xml:space="preserve"> </w:t>
      </w:r>
      <w:r w:rsidRPr="00DD20EA">
        <w:rPr>
          <w:sz w:val="8"/>
        </w:rPr>
        <w:t xml:space="preserve">Grim as that picture may seem, it fails to capture the full measure of the problem. Because as productivity was falling relentlessly in education, it was rising everywhere else. A pound of grocery store coffee is not merely as affordable as it was in 1970 — it hasn’t just held its ground — it is cheaper in real dollars. </w:t>
      </w:r>
      <w:proofErr w:type="gramStart"/>
      <w:r w:rsidRPr="00DD20EA">
        <w:rPr>
          <w:sz w:val="8"/>
        </w:rPr>
        <w:t>Indeed</w:t>
      </w:r>
      <w:proofErr w:type="gramEnd"/>
      <w:r w:rsidRPr="00DD20EA">
        <w:rPr>
          <w:sz w:val="8"/>
        </w:rPr>
        <w:t xml:space="preserve"> virtually every product and service has gotten better, or more affordable, or both over the past two generations. </w:t>
      </w:r>
      <w:r>
        <w:rPr>
          <w:rStyle w:val="StyleUnderline"/>
        </w:rPr>
        <w:t>S</w:t>
      </w:r>
      <w:r w:rsidRPr="008A2E12">
        <w:rPr>
          <w:rStyle w:val="StyleUnderline"/>
        </w:rPr>
        <w:t>een in that proper context, we would have to be disappointed with our nation’s lack of educational improvement even if federal spending had not increased at all. The fact that outcomes have remained flat or declined while spending skyrocketed is a disaster unparalleled in any other field. The only thing it appears to have accomplished is to apply the brakes to the nation’s economic growth, by taxing trillions of dollars out of the productive sector of the economy and spending it on ineffective programs.</w:t>
      </w:r>
      <w:r>
        <w:rPr>
          <w:u w:val="single"/>
        </w:rPr>
        <w:t xml:space="preserve"> </w:t>
      </w:r>
      <w:r w:rsidRPr="00DD20EA">
        <w:rPr>
          <w:sz w:val="8"/>
        </w:rPr>
        <w:t>B</w:t>
      </w:r>
      <w:r w:rsidRPr="008A2E12">
        <w:rPr>
          <w:rStyle w:val="StyleUnderline"/>
        </w:rPr>
        <w:t>ut amidst this bleak overall record, there is one federal education program that has been proven to both improve educational outcomes and dramatically lower costs. That is the Washington, DC Opportunity Scholarships Program. Research conducted by the Department of Education finds that students attending private schools thanks to this program have equal or better academic performance than their peers in the local public schools, and have significantly higher graduation rates. This, and very high levels of parental satisfaction, come at an average per pupil cost of around $7,000.</w:t>
      </w:r>
      <w:r w:rsidRPr="00DD20EA">
        <w:rPr>
          <w:sz w:val="8"/>
        </w:rPr>
        <w:t xml:space="preserve"> By contrast, per pupil spending on k-12 public education in the nation’s capital was roughly $28,000 during the 2008-09 school year.6 The OSP program is thus producing better results at a quarter the cost. DC, of course, is a special case. The federal government is not empowered by the Constitution to create such a program on a national level. </w:t>
      </w:r>
      <w:proofErr w:type="gramStart"/>
      <w:r w:rsidRPr="00DD20EA">
        <w:rPr>
          <w:sz w:val="8"/>
        </w:rPr>
        <w:t>Indeed</w:t>
      </w:r>
      <w:proofErr w:type="gramEnd"/>
      <w:r w:rsidRPr="00DD20EA">
        <w:rPr>
          <w:sz w:val="8"/>
        </w:rPr>
        <w:t xml:space="preserve"> the Constitution delegates to the federal government no national education policy powers, reserving them, under the 10th Amendment, to the states and the people. Clearly, this limit has not been observed for generations, but its wisdom is by now inescapable. We have decades of evidence of the inability of our national education programs to fulfill their worthy intentions. Nevertheless, Congress could contribute greatly to the spread of educational excellence around the nation by preserving and growing the Opportunity Scholarships Program as an example of what is possible and by phasing out its vast array of ineffective programs. This would ultimately allow for a permanent annual tax cut on the order of seventy billion dollars, and would bolster interest in the many state level private school choice programs that have also been improving outcomes while lowering costs. Any move in this direction would be of lasting value to American families and the American economy.</w:t>
      </w:r>
    </w:p>
    <w:p w14:paraId="4E1A4481" w14:textId="77777777" w:rsidR="002122EC" w:rsidRDefault="002122EC" w:rsidP="002122EC"/>
    <w:p w14:paraId="60C2F715" w14:textId="77777777" w:rsidR="002122EC" w:rsidRDefault="002122EC" w:rsidP="002122EC">
      <w:pPr>
        <w:pStyle w:val="Heading4"/>
      </w:pPr>
      <w:r>
        <w:t xml:space="preserve">Courts are </w:t>
      </w:r>
      <w:r w:rsidRPr="00974F76">
        <w:rPr>
          <w:u w:val="single"/>
        </w:rPr>
        <w:t>independent of public opinion</w:t>
      </w:r>
      <w:r>
        <w:t xml:space="preserve"> – solvency isn’t inevitable – </w:t>
      </w:r>
      <w:r w:rsidRPr="00974F76">
        <w:t>signal is key</w:t>
      </w:r>
    </w:p>
    <w:p w14:paraId="328DC1E3" w14:textId="77777777" w:rsidR="002122EC" w:rsidRDefault="002122EC" w:rsidP="002122EC">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74" w:history="1">
        <w:r w:rsidRPr="008D5EA2">
          <w:rPr>
            <w:rStyle w:val="Hyperlink"/>
          </w:rPr>
          <w:t>http://chicagounbound.uchicago.edu/cgi/viewcontent.cgi?article=1072&amp;context=public_law_and_legal_theory</w:t>
        </w:r>
      </w:hyperlink>
      <w:r>
        <w:t xml:space="preserve">) // GDI – CF </w:t>
      </w:r>
    </w:p>
    <w:p w14:paraId="0353F277" w14:textId="77777777" w:rsidR="002122EC" w:rsidRDefault="002122EC" w:rsidP="002122EC">
      <w:pPr>
        <w:rPr>
          <w:rStyle w:val="StyleUnderline"/>
        </w:rPr>
      </w:pPr>
      <w:r w:rsidRPr="00DD20EA">
        <w:rPr>
          <w:sz w:val="8"/>
        </w:rPr>
        <w:t xml:space="preserve">As for structure, </w:t>
      </w:r>
      <w:r w:rsidRPr="00166E8A">
        <w:rPr>
          <w:rStyle w:val="StyleUnderline"/>
        </w:rPr>
        <w:t>it is more plausible to say that large-scale change occurs outside the judiciary</w:t>
      </w:r>
      <w:r w:rsidRPr="00DD20EA">
        <w:rPr>
          <w:sz w:val="8"/>
        </w:rPr>
        <w:t xml:space="preserve">, </w:t>
      </w:r>
      <w:r w:rsidRPr="00166E8A">
        <w:rPr>
          <w:rStyle w:val="StyleUnderline"/>
        </w:rPr>
        <w:t>that the judges simply get out of the way of it</w:t>
      </w:r>
      <w:r w:rsidRPr="00DD20EA">
        <w:rPr>
          <w:sz w:val="8"/>
        </w:rPr>
        <w:t xml:space="preserve">, </w:t>
      </w:r>
      <w:r w:rsidRPr="00166E8A">
        <w:rPr>
          <w:rStyle w:val="StyleUnderline"/>
        </w:rPr>
        <w:t>and that the outcomes are the same as those that would have occurred had the judges simply gotten out of the business of constitutional review altogether</w:t>
      </w:r>
      <w:r w:rsidRPr="00DD20EA">
        <w:rPr>
          <w:sz w:val="8"/>
        </w:rPr>
        <w:t xml:space="preserve">. But getting out of the way, as the judges did after the New Deal, required capacious interpretation of the national government’s powers— which was itself just another type of judicial updating. </w:t>
      </w:r>
      <w:r w:rsidRPr="00965813">
        <w:rPr>
          <w:rStyle w:val="Emphasis"/>
        </w:rPr>
        <w:t>It is illusory to think that structural innovations can achieve constitutional status through silent judicial acquiescence. Many such innovations have developed over generations</w:t>
      </w:r>
      <w:r w:rsidRPr="00DD20EA">
        <w:rPr>
          <w:sz w:val="8"/>
        </w:rPr>
        <w:t xml:space="preserve">, and seemingly become entrenched, </w:t>
      </w:r>
      <w:r w:rsidRPr="00965813">
        <w:rPr>
          <w:rStyle w:val="Emphasis"/>
        </w:rPr>
        <w:t>only to be rejected by the judges when the issue was squarely posed</w:t>
      </w:r>
      <w:r w:rsidRPr="00DD20EA">
        <w:rPr>
          <w:sz w:val="8"/>
        </w:rPr>
        <w:t>. Consider the legislative veto, which became a ubiquitous feature of federal law between World War I and 1983, when the Supreme Court invalidated all such provisions at a stroke.</w:t>
      </w:r>
      <w:r w:rsidRPr="00166E8A">
        <w:rPr>
          <w:rStyle w:val="StyleUnderline"/>
        </w:rPr>
        <w:t xml:space="preserve">71 Many thought the legislative veto was an entrenched nonjudicial structural change, a fait accompli that the judges would have to ratify; but the judges didn’t think so. </w:t>
      </w:r>
    </w:p>
    <w:p w14:paraId="46898045" w14:textId="77777777" w:rsidR="002122EC" w:rsidRDefault="002122EC" w:rsidP="002122EC"/>
    <w:p w14:paraId="240AA406" w14:textId="77777777" w:rsidR="002122EC" w:rsidRDefault="002122EC" w:rsidP="002122EC">
      <w:pPr>
        <w:pStyle w:val="Heading4"/>
      </w:pPr>
      <w:r>
        <w:t>Perm solves any of their offense or the counterplan gets rolled back</w:t>
      </w:r>
    </w:p>
    <w:p w14:paraId="47433333" w14:textId="77777777" w:rsidR="002122EC" w:rsidRPr="00C766E2" w:rsidRDefault="002122EC" w:rsidP="002122EC">
      <w:pPr>
        <w:rPr>
          <w:bCs/>
        </w:rPr>
      </w:pPr>
      <w:r>
        <w:rPr>
          <w:rStyle w:val="Style13ptBold"/>
        </w:rPr>
        <w:t>Hamilton 11- [</w:t>
      </w:r>
      <w:r w:rsidRPr="00711320">
        <w:rPr>
          <w:rStyle w:val="Style13ptBold"/>
          <w:sz w:val="18"/>
        </w:rPr>
        <w:t xml:space="preserve">Lee, Director of the Center on Congress at Indiana University, Co-Chairman of the National Advisory Committee to the Campaign for the Civic Mission of Schools, serving with retired Supreme Court Justice Sandra Day O’Connor and former Colorado Gov. Roy Romer,  member of the President’s Homeland Security Advisory Council,  Professor of Practice in the School for Public and Environmental Affairs, Distinguished Scholar in the School of Global and International Studies, and Co-Chair for IU’s International Engagement Advisory Board, “With Congress And The Courts, What Matters Is Balance”, Indian University Center on Representative Government, web.6.30.17. </w:t>
      </w:r>
      <w:hyperlink r:id="rId75" w:history="1">
        <w:r w:rsidRPr="00711320">
          <w:rPr>
            <w:rStyle w:val="Hyperlink"/>
            <w:sz w:val="14"/>
          </w:rPr>
          <w:t>http://corg.indiana.edu/congress-and-the-courts-what-matters-balance</w:t>
        </w:r>
      </w:hyperlink>
      <w:r w:rsidRPr="00711320">
        <w:rPr>
          <w:rStyle w:val="Style13ptBold"/>
          <w:sz w:val="18"/>
        </w:rPr>
        <w:t>] April 12, 2011</w:t>
      </w:r>
      <w:r>
        <w:rPr>
          <w:rStyle w:val="Style13ptBold"/>
        </w:rPr>
        <w:t xml:space="preserve"> // GDI – CF </w:t>
      </w:r>
    </w:p>
    <w:p w14:paraId="78100E21" w14:textId="77777777" w:rsidR="002122EC" w:rsidRPr="00D805C5" w:rsidRDefault="002122EC" w:rsidP="002122EC">
      <w:pPr>
        <w:rPr>
          <w:sz w:val="8"/>
        </w:rPr>
      </w:pPr>
      <w:r w:rsidRPr="00D805C5">
        <w:rPr>
          <w:sz w:val="8"/>
        </w:rPr>
        <w:t xml:space="preserve">A year after the passage of the health-care reform law known as “the Affordable Care Act,” its legal future is up in the air. Judges in five federal courts have weighed in on it, two of them declaring it unconstitutional and three supporting it. </w:t>
      </w:r>
      <w:r w:rsidRPr="003B6E9D">
        <w:rPr>
          <w:u w:val="single"/>
        </w:rPr>
        <w:t>These decisions underline anew the tensions between Congress and the courts that our system of government creates.</w:t>
      </w:r>
      <w:r>
        <w:rPr>
          <w:u w:val="single"/>
        </w:rPr>
        <w:t xml:space="preserve"> </w:t>
      </w:r>
      <w:r w:rsidRPr="00D805C5">
        <w:rPr>
          <w:sz w:val="8"/>
        </w:rPr>
        <w:t xml:space="preserve">The political opponents of the health-reform law have been quick to seize on the rulings against it. </w:t>
      </w:r>
      <w:r w:rsidRPr="00192AB2">
        <w:rPr>
          <w:u w:val="single"/>
        </w:rPr>
        <w:t>Republicans in Congress declared that they validated their opposition, while a number of governors announced they would halt implementing the law in their states</w:t>
      </w:r>
      <w:r w:rsidRPr="00D805C5">
        <w:rPr>
          <w:sz w:val="8"/>
        </w:rPr>
        <w:t xml:space="preserve">. Supporters of reform, on the other hand, point out that the two antagonistic rulings came from judges who’d been appointed by Republican presidents; the three judicial decisions upholding the law, meanwhile, have come from judges appointed by Democrats. With the law clearly headed toward the Supreme Court, partisans on both sides have drawn attention to the Court’s Republican-appointed majority and suggested that the reforms may face tough sledding there. In theory, of course, </w:t>
      </w:r>
      <w:r w:rsidRPr="00192AB2">
        <w:rPr>
          <w:u w:val="single"/>
        </w:rPr>
        <w:t>the politics should be beside the point</w:t>
      </w:r>
      <w:r w:rsidRPr="00D805C5">
        <w:rPr>
          <w:sz w:val="8"/>
        </w:rPr>
        <w:t xml:space="preserve">. A cardinal tenet of the American system of government is an independent, impartial judiciary, and among both politicians and ordinary citizens there is a broad understanding that the </w:t>
      </w:r>
      <w:r w:rsidRPr="00192AB2">
        <w:rPr>
          <w:rStyle w:val="Emphasis"/>
        </w:rPr>
        <w:t>courts have a central role to play in the checks and balances woven into our constitutional system.</w:t>
      </w:r>
      <w:r>
        <w:rPr>
          <w:rStyle w:val="Emphasis"/>
        </w:rPr>
        <w:t xml:space="preserve"> </w:t>
      </w:r>
      <w:r w:rsidRPr="00D805C5">
        <w:rPr>
          <w:sz w:val="8"/>
        </w:rPr>
        <w:t xml:space="preserve">Yet </w:t>
      </w:r>
      <w:r w:rsidRPr="00192AB2">
        <w:rPr>
          <w:u w:val="single"/>
        </w:rPr>
        <w:t>that hasn’t stopped politicians and citizens from reacting with outrage to various judicial decisions</w:t>
      </w:r>
      <w:r w:rsidRPr="00D805C5">
        <w:rPr>
          <w:sz w:val="8"/>
        </w:rPr>
        <w:t xml:space="preserve">. The unseating of state supreme court justices in Iowa who’d decided in favor of gay marriage; the death threats against U.S. District Court Judge John Roll — who was killed in January’s shooting rampage in Tucson — for his decisions on illegal immigrants’ rights; public anger over decisions decriminalizing sodomy, furthering civil rights, upholding abortion rights, governing the display of the Ten Commandments on public property; the near certainty that presidential appointments to the bench will be held up by senators of the other party who object to this or that item in the nominee’s past — all of these illustrate how blurred the line is between the judicial and the political. Which may be why some judges provoke such animosity. I still remember campaigning for Congress in southern Indiana and driving past signs on the rural highways reading, “Impeach Earl Warren!” — long after the Supreme Court chief justice had died. And today, </w:t>
      </w:r>
      <w:r w:rsidRPr="00192AB2">
        <w:rPr>
          <w:u w:val="single"/>
        </w:rPr>
        <w:t>Congress has been forced to increase security arrangements for federal judges, while courthouses are coming to resemble fortified stronghouses more than the tribunals of an open democracy.</w:t>
      </w:r>
      <w:r>
        <w:rPr>
          <w:u w:val="single"/>
        </w:rPr>
        <w:t xml:space="preserve"> </w:t>
      </w:r>
      <w:r w:rsidRPr="00192AB2">
        <w:rPr>
          <w:u w:val="single"/>
        </w:rPr>
        <w:t>Members of Congress often decry “activist” judges who they claim disregard the law in favor of their political preferences</w:t>
      </w:r>
      <w:r w:rsidRPr="00D805C5">
        <w:rPr>
          <w:sz w:val="8"/>
        </w:rPr>
        <w:t xml:space="preserve">. </w:t>
      </w:r>
      <w:r w:rsidRPr="00192AB2">
        <w:rPr>
          <w:u w:val="single"/>
        </w:rPr>
        <w:t>Every session some member is bound to propose legislation stripping the courts of their jurisdiction over one issue or another, or threaten to cut funding for the courts in retaliation for a particularly controversial decision</w:t>
      </w:r>
      <w:r w:rsidRPr="00D805C5">
        <w:rPr>
          <w:sz w:val="8"/>
        </w:rPr>
        <w:t xml:space="preserve">. Some want to investigate or monitor the courts, while every so often, a serious move will get under way to impeach a judge. Yet significantly, most of these steps never get very far. As our system has evolved, </w:t>
      </w:r>
      <w:r w:rsidRPr="00192AB2">
        <w:rPr>
          <w:rStyle w:val="Emphasis"/>
        </w:rPr>
        <w:t>the power of Congress, the President, and the judiciary are meant to be in careful balance, and most observers are keenly aware of the risks if that balance is upset</w:t>
      </w:r>
      <w:r w:rsidRPr="00D805C5">
        <w:rPr>
          <w:sz w:val="8"/>
        </w:rPr>
        <w:t xml:space="preserve">. </w:t>
      </w:r>
      <w:r w:rsidRPr="00192AB2">
        <w:rPr>
          <w:u w:val="single"/>
        </w:rPr>
        <w:t>Congress has enormous power over the judiciary</w:t>
      </w:r>
      <w:r w:rsidRPr="00D805C5">
        <w:rPr>
          <w:sz w:val="8"/>
        </w:rPr>
        <w:t xml:space="preserve"> through its control of the purse-strings; it could, if it wanted, make the judiciary a subservient branch. </w:t>
      </w:r>
      <w:r w:rsidRPr="00192AB2">
        <w:rPr>
          <w:u w:val="single"/>
        </w:rPr>
        <w:t>And the courts have enormous power over Congress,</w:t>
      </w:r>
      <w:r w:rsidRPr="00D805C5">
        <w:rPr>
          <w:sz w:val="8"/>
        </w:rPr>
        <w:t xml:space="preserve"> </w:t>
      </w:r>
      <w:r w:rsidRPr="00192AB2">
        <w:rPr>
          <w:rStyle w:val="Emphasis"/>
        </w:rPr>
        <w:t>with their ability to strike down a law as unconstitutional</w:t>
      </w:r>
      <w:r w:rsidRPr="00D805C5">
        <w:rPr>
          <w:sz w:val="8"/>
        </w:rPr>
        <w:t xml:space="preserve"> or to interpret a law in light of the Constitution in a way that may differ from Congress’s sentiments. For the most part, both act with great restraint and try to avoid unnecessary confrontations. This is as it should be. As Indiana University law professor Charles Gardner Geyh argues in his crucial book, </w:t>
      </w:r>
      <w:r w:rsidRPr="00192AB2">
        <w:rPr>
          <w:u w:val="single"/>
        </w:rPr>
        <w:t xml:space="preserve">When Courts and Congress Collide, with two such immensely powerful institutions the system can only work if there is a </w:t>
      </w:r>
      <w:r w:rsidRPr="00192AB2">
        <w:rPr>
          <w:rStyle w:val="Emphasis"/>
        </w:rPr>
        <w:t>balance</w:t>
      </w:r>
      <w:r w:rsidRPr="00192AB2">
        <w:rPr>
          <w:u w:val="single"/>
        </w:rPr>
        <w:t xml:space="preserve"> between them</w:t>
      </w:r>
      <w:r w:rsidRPr="00D805C5">
        <w:rPr>
          <w:sz w:val="8"/>
        </w:rPr>
        <w:t xml:space="preserve">. Congress needs to respect judicial independence; judges need to remain accountable for their decisions. The public, for now, continues to have confidence in the fairness and impartiality of judges. </w:t>
      </w:r>
      <w:r w:rsidRPr="00192AB2">
        <w:rPr>
          <w:u w:val="single"/>
        </w:rPr>
        <w:t xml:space="preserve">Congress and the courts may be separate branches of government, but </w:t>
      </w:r>
      <w:r w:rsidRPr="00192AB2">
        <w:rPr>
          <w:rStyle w:val="Emphasis"/>
        </w:rPr>
        <w:t>they are interdependent</w:t>
      </w:r>
      <w:r w:rsidRPr="00D805C5">
        <w:rPr>
          <w:sz w:val="8"/>
        </w:rPr>
        <w:t xml:space="preserve">, and </w:t>
      </w:r>
      <w:r w:rsidRPr="00192AB2">
        <w:rPr>
          <w:rStyle w:val="StyleUnderline"/>
        </w:rPr>
        <w:t>it’s crucial that each respect the core powers of the other as they interact with one another</w:t>
      </w:r>
      <w:r w:rsidRPr="00D805C5">
        <w:rPr>
          <w:sz w:val="8"/>
        </w:rPr>
        <w:t>. Every year will bring a new test of where that balance ought to lie — which in a living democracy like ours is exactly as it should be.</w:t>
      </w:r>
    </w:p>
    <w:p w14:paraId="1AFB09B1" w14:textId="77777777" w:rsidR="002122EC" w:rsidRDefault="002122EC" w:rsidP="002122EC"/>
    <w:p w14:paraId="2BAF8EF6" w14:textId="77777777" w:rsidR="002122EC" w:rsidRPr="00A46F87" w:rsidRDefault="002122EC" w:rsidP="002122EC">
      <w:pPr>
        <w:pStyle w:val="Heading4"/>
      </w:pPr>
      <w:r w:rsidRPr="00541931">
        <w:t>Supreme Court is key to setting precede</w:t>
      </w:r>
      <w:r w:rsidRPr="00A46F87">
        <w:t xml:space="preserve">nt </w:t>
      </w:r>
    </w:p>
    <w:p w14:paraId="090C4E09" w14:textId="77777777" w:rsidR="002122EC" w:rsidRPr="00541931" w:rsidRDefault="002122EC" w:rsidP="002122EC">
      <w:r w:rsidRPr="00541931">
        <w:rPr>
          <w:rStyle w:val="citesChar"/>
        </w:rPr>
        <w:t>Cross 07</w:t>
      </w:r>
      <w:r w:rsidRPr="00541931">
        <w:rPr>
          <w:rStyle w:val="StyletinyBoldChar"/>
        </w:rPr>
        <w:t xml:space="preserve"> </w:t>
      </w:r>
      <w:r w:rsidRPr="00541931">
        <w:t xml:space="preserve">Centennial Professor of Business Law at University of Texas, JD from Harvard [Frank B., Decision making in the U.S. Courts of Appeals, p99-101, Google </w:t>
      </w:r>
      <w:proofErr w:type="gramStart"/>
      <w:r w:rsidRPr="00541931">
        <w:t>Books]</w:t>
      </w:r>
      <w:r>
        <w:t xml:space="preserve">  /</w:t>
      </w:r>
      <w:proofErr w:type="gramEnd"/>
      <w:r>
        <w:t xml:space="preserve">/ GDI – CF </w:t>
      </w:r>
    </w:p>
    <w:p w14:paraId="381A5A81" w14:textId="77777777" w:rsidR="002122EC" w:rsidRDefault="002122EC" w:rsidP="002122EC">
      <w:pPr>
        <w:rPr>
          <w:sz w:val="14"/>
        </w:rPr>
      </w:pPr>
      <w:r w:rsidRPr="00FD26A0">
        <w:rPr>
          <w:sz w:val="14"/>
        </w:rPr>
        <w:t xml:space="preserve">Technically speaking, a judicial decision resolves only a dispute between the particular litigating parties. Practically speaking, the decision may have far greater societal importance because of its precedential impact. </w:t>
      </w:r>
      <w:r w:rsidRPr="00541931">
        <w:rPr>
          <w:rStyle w:val="underlinedChar"/>
          <w:rFonts w:eastAsiaTheme="minorHAnsi"/>
        </w:rPr>
        <w:t>When the U.S. Supreme Court decides that the broad prohibitions on abortion of a state law are unconstitutional, that decision directly strikes down the particular state prohibition in the case before the Court but functionally invalidates a wide range of additional laws in other states</w:t>
      </w:r>
      <w:r w:rsidRPr="00FD26A0">
        <w:rPr>
          <w:sz w:val="14"/>
        </w:rPr>
        <w:t xml:space="preserve">. </w:t>
      </w:r>
      <w:r w:rsidRPr="00541931">
        <w:rPr>
          <w:rStyle w:val="underlinedChar"/>
          <w:rFonts w:eastAsiaTheme="minorHAnsi"/>
        </w:rPr>
        <w:t>Courts at all levels of the judiciary,</w:t>
      </w:r>
      <w:r w:rsidRPr="00FD26A0">
        <w:rPr>
          <w:sz w:val="14"/>
        </w:rPr>
        <w:t xml:space="preserve"> including circuit courts, </w:t>
      </w:r>
      <w:r w:rsidRPr="00541931">
        <w:rPr>
          <w:rStyle w:val="underlinedChar"/>
          <w:rFonts w:eastAsiaTheme="minorHAnsi"/>
        </w:rPr>
        <w:t>are to take the Supreme Court’s ruling and apply it as governing law in future cases that challenge those other laws</w:t>
      </w:r>
      <w:r w:rsidRPr="00FD26A0">
        <w:rPr>
          <w:sz w:val="14"/>
        </w:rPr>
        <w:t xml:space="preserve">. They are to examine the facts of those other laws, apply the Supreme Court’s reasoning, and thus determine if the other laws pass constitutional muster.  One type of precedential impact is vertical and hierarchical. </w:t>
      </w:r>
      <w:r w:rsidRPr="00541931">
        <w:rPr>
          <w:rStyle w:val="underlinedChar"/>
          <w:rFonts w:eastAsiaTheme="minorHAnsi"/>
        </w:rPr>
        <w:t>When a higher court rules on a legal issue, that ruling controls subsequent decisions of lower courts</w:t>
      </w:r>
      <w:r w:rsidRPr="00FD26A0">
        <w:rPr>
          <w:sz w:val="14"/>
        </w:rPr>
        <w:t xml:space="preserve">. </w:t>
      </w:r>
      <w:r w:rsidRPr="00541931">
        <w:rPr>
          <w:rStyle w:val="underlinedChar"/>
          <w:rFonts w:eastAsiaTheme="minorHAnsi"/>
        </w:rPr>
        <w:t>If the U.S. Supreme Court declares a particular statutory provision unconstitutional, that precedent prevents lower courts from legally applying and enforcing the provision</w:t>
      </w:r>
      <w:r w:rsidRPr="00FD26A0">
        <w:rPr>
          <w:sz w:val="14"/>
        </w:rPr>
        <w:t xml:space="preserve">. Circuit court precedents may also have this hierarchical governing effect. </w:t>
      </w:r>
      <w:r w:rsidRPr="00541931">
        <w:rPr>
          <w:rStyle w:val="underlinedChar"/>
          <w:rFonts w:eastAsiaTheme="minorHAnsi"/>
        </w:rPr>
        <w:t xml:space="preserve">When a circuit court makes a ruling, </w:t>
      </w:r>
      <w:r w:rsidRPr="00FD26A0">
        <w:rPr>
          <w:sz w:val="14"/>
        </w:rPr>
        <w:t xml:space="preserve">such as declaring a statutory provision unconstitutional, that holding governs future rulings of district courts located within the circuit because they are vertically subordinate to that circuit court (e.g., district courts in Florida are governed by the eleventh circuit). </w:t>
      </w:r>
      <w:r w:rsidRPr="00541931">
        <w:rPr>
          <w:rStyle w:val="underlinedChar"/>
          <w:rFonts w:eastAsiaTheme="minorHAnsi"/>
        </w:rPr>
        <w:t>District courts that are located outside the geographical perimeters of the particular circuit court are not legally bound by its rulings</w:t>
      </w:r>
      <w:r w:rsidRPr="00FD26A0">
        <w:rPr>
          <w:sz w:val="14"/>
        </w:rPr>
        <w:t xml:space="preserve">, though they may still use them in reaching a decision. Chapter 4 presented evidence that circuit courts were indeed bound by vertical precedent as reflected in recent rulings of the Supreme Court.  </w:t>
      </w:r>
      <w:r w:rsidRPr="00541931">
        <w:rPr>
          <w:rStyle w:val="underlinedChar"/>
          <w:rFonts w:eastAsiaTheme="minorHAnsi"/>
        </w:rPr>
        <w:t>The issue of horizontal precedent is commonly raised because the nation has a dozen circuit courts that have different geographic coverage. Such precedents are not binding. A particular ruling by the fourth circuit court of appeals does not control a subsequent ruling on an identical issue by the sixth circuit court of appeals.</w:t>
      </w:r>
      <w:r w:rsidRPr="00FD26A0">
        <w:rPr>
          <w:sz w:val="14"/>
        </w:rPr>
        <w:t xml:space="preserve"> Because circuit courts are horizontal equals their decisions are not controlled by precedents from sister circuits. Horizontal precedents may have a persuasive effect, however. Circuit courts may give some deference to the reasoned judgment of other circuits. Circuit courts may be </w:t>
      </w:r>
      <w:proofErr w:type="gramStart"/>
      <w:r w:rsidRPr="00FD26A0">
        <w:rPr>
          <w:sz w:val="14"/>
        </w:rPr>
        <w:t>loathe</w:t>
      </w:r>
      <w:proofErr w:type="gramEnd"/>
      <w:r w:rsidRPr="00FD26A0">
        <w:rPr>
          <w:sz w:val="14"/>
        </w:rPr>
        <w:t xml:space="preserve"> to directly contradict a decision from another circuit because doing so creates geographic disparities in the law. </w:t>
      </w:r>
      <w:r w:rsidRPr="00541931">
        <w:rPr>
          <w:rStyle w:val="underlinedChar"/>
          <w:rFonts w:eastAsiaTheme="minorHAnsi"/>
        </w:rPr>
        <w:t>When the circuits disagree, a uniform federal status may have completely different meanings in different states of the union, a consequence generally to be avoided</w:t>
      </w:r>
      <w:r w:rsidRPr="00FD26A0">
        <w:rPr>
          <w:sz w:val="14"/>
        </w:rPr>
        <w:t xml:space="preserve">. But </w:t>
      </w:r>
      <w:r w:rsidRPr="00541931">
        <w:rPr>
          <w:rStyle w:val="underlinedChar"/>
          <w:rFonts w:eastAsiaTheme="minorHAnsi"/>
        </w:rPr>
        <w:t>such disagreements</w:t>
      </w:r>
      <w:r w:rsidRPr="00FD26A0">
        <w:rPr>
          <w:sz w:val="14"/>
        </w:rPr>
        <w:t xml:space="preserve">, often called circuit splits, among the circuits </w:t>
      </w:r>
      <w:r w:rsidRPr="00541931">
        <w:rPr>
          <w:rStyle w:val="underlinedChar"/>
          <w:rFonts w:eastAsiaTheme="minorHAnsi"/>
        </w:rPr>
        <w:t xml:space="preserve">are by no means uncommon. If a circuit court believes that another circuit got a decision wrong, it will not defer but will issue a contrasting ruling. Such a split may be resolved conclusively by the U.S. Supreme Court, </w:t>
      </w:r>
      <w:r w:rsidRPr="00FD26A0">
        <w:rPr>
          <w:sz w:val="14"/>
        </w:rPr>
        <w:t>with</w:t>
      </w:r>
    </w:p>
    <w:p w14:paraId="660ED948" w14:textId="77777777" w:rsidR="002122EC" w:rsidRDefault="002122EC" w:rsidP="002122EC">
      <w:pPr>
        <w:rPr>
          <w:sz w:val="14"/>
        </w:rPr>
      </w:pPr>
    </w:p>
    <w:p w14:paraId="62B297DD" w14:textId="77777777" w:rsidR="002122EC" w:rsidRPr="005D2D34" w:rsidRDefault="002122EC" w:rsidP="002122EC">
      <w:pPr>
        <w:pStyle w:val="Heading4"/>
      </w:pPr>
      <w:r w:rsidRPr="005B1813">
        <w:t>It will take a long time to allow lower court</w:t>
      </w:r>
      <w:r>
        <w:t xml:space="preserve"> or congressional</w:t>
      </w:r>
      <w:r w:rsidRPr="005B1813">
        <w:t xml:space="preserve"> jurisdi</w:t>
      </w:r>
      <w:r>
        <w:t xml:space="preserve">ction </w:t>
      </w:r>
    </w:p>
    <w:p w14:paraId="7878EB06" w14:textId="77777777" w:rsidR="002122EC" w:rsidRPr="005D2D34" w:rsidRDefault="002122EC" w:rsidP="002122EC">
      <w:r w:rsidRPr="00837B2F">
        <w:rPr>
          <w:rStyle w:val="citesChar"/>
        </w:rPr>
        <w:t>Bhagwat 00</w:t>
      </w:r>
      <w:r w:rsidRPr="001047F5">
        <w:rPr>
          <w:rStyle w:val="StyletinyBoldChar"/>
        </w:rPr>
        <w:t xml:space="preserve"> </w:t>
      </w:r>
      <w:r w:rsidRPr="005D2D34">
        <w:t>Professor of Law at University of California, JD from University of Chicago Law School</w:t>
      </w:r>
      <w:r>
        <w:t xml:space="preserve"> </w:t>
      </w:r>
      <w:r w:rsidRPr="005D2D34">
        <w:t xml:space="preserve">[Ashutosh, "SEPARATE BUT </w:t>
      </w:r>
      <w:proofErr w:type="gramStart"/>
      <w:r w:rsidRPr="005D2D34">
        <w:t>EQUAL?:</w:t>
      </w:r>
      <w:proofErr w:type="gramEnd"/>
      <w:r w:rsidRPr="005D2D34">
        <w:t xml:space="preserve"> THE SUPREME COURT, THE LOWER FEDERAL COURTS, AND THE NATURE OF THE "JUDICIAL POWER"</w:t>
      </w:r>
      <w:r>
        <w:t>,</w:t>
      </w:r>
      <w:r w:rsidRPr="005D2D34">
        <w:t xml:space="preserve">" </w:t>
      </w:r>
      <w:r>
        <w:t xml:space="preserve">80 B.U.L. Rev. 967, October, </w:t>
      </w:r>
      <w:r w:rsidRPr="005D2D34">
        <w:t>Lexis]</w:t>
      </w:r>
      <w:r>
        <w:t xml:space="preserve"> // GDI – CF </w:t>
      </w:r>
    </w:p>
    <w:p w14:paraId="51DD3B0B" w14:textId="77777777" w:rsidR="002122EC" w:rsidRPr="00FD26A0" w:rsidRDefault="002122EC" w:rsidP="002122EC">
      <w:pPr>
        <w:pStyle w:val="tiny"/>
        <w:rPr>
          <w:sz w:val="14"/>
        </w:rPr>
      </w:pPr>
      <w:r w:rsidRPr="00FD26A0">
        <w:rPr>
          <w:sz w:val="14"/>
        </w:rPr>
        <w:t xml:space="preserve">Moreover, </w:t>
      </w:r>
      <w:r w:rsidRPr="00541931">
        <w:rPr>
          <w:rStyle w:val="underlinedChar"/>
          <w:rFonts w:eastAsia="Malgun Gothic"/>
        </w:rPr>
        <w:t xml:space="preserve">even if the Court is willing to contemplate a loss of power, such changes </w:t>
      </w:r>
      <w:r w:rsidRPr="00FD26A0">
        <w:rPr>
          <w:sz w:val="14"/>
        </w:rPr>
        <w:t>in the Court's culture and practices</w:t>
      </w:r>
      <w:r w:rsidRPr="00541931">
        <w:rPr>
          <w:rStyle w:val="underlinedChar"/>
          <w:rFonts w:eastAsia="Malgun Gothic"/>
        </w:rPr>
        <w:t xml:space="preserve"> will take some time to become useful, because of the effects that the modern Court's approach of stripping independence and authority has had on the culture of the lower federal courts. Many if not most lower court judges no longer think of themselves as participants in the joint process of formulating legal rules, and the consequent loss of intellectual independence and curiosity makes those courts ill-suited to</w:t>
      </w:r>
      <w:r w:rsidRPr="00FD26A0">
        <w:rPr>
          <w:sz w:val="14"/>
        </w:rPr>
        <w:t xml:space="preserve"> (and apparently uninterested in) </w:t>
      </w:r>
      <w:r w:rsidRPr="00541931">
        <w:rPr>
          <w:rStyle w:val="underlinedChar"/>
          <w:rFonts w:eastAsia="Malgun Gothic"/>
        </w:rPr>
        <w:t>the collaborative process</w:t>
      </w:r>
      <w:r w:rsidRPr="00FD26A0">
        <w:rPr>
          <w:sz w:val="14"/>
        </w:rPr>
        <w:t xml:space="preserve"> which I espouse. None of this, however, is irreversible, and such resistance, if it were to emerge, would provide at least some check on the Court's power. That can only be an improvement on the current situation: </w:t>
      </w:r>
      <w:proofErr w:type="gramStart"/>
      <w:r w:rsidRPr="00FD26A0">
        <w:rPr>
          <w:sz w:val="14"/>
        </w:rPr>
        <w:t>a</w:t>
      </w:r>
      <w:proofErr w:type="gramEnd"/>
      <w:r w:rsidRPr="00FD26A0">
        <w:rPr>
          <w:sz w:val="14"/>
        </w:rPr>
        <w:t xml:space="preserve"> Court which faces essentially no external restraints on its power, and has largely abandoned any internal ones.</w:t>
      </w:r>
    </w:p>
    <w:p w14:paraId="2F2EE432" w14:textId="77777777" w:rsidR="002122EC" w:rsidRDefault="002122EC" w:rsidP="002122EC"/>
    <w:p w14:paraId="34F52BC8" w14:textId="77777777" w:rsidR="002122EC" w:rsidRDefault="002122EC" w:rsidP="002122EC">
      <w:pPr>
        <w:pStyle w:val="Heading3"/>
      </w:pPr>
      <w:r>
        <w:t>A2 1</w:t>
      </w:r>
      <w:r w:rsidRPr="00815AB0">
        <w:rPr>
          <w:vertAlign w:val="superscript"/>
        </w:rPr>
        <w:t>st</w:t>
      </w:r>
      <w:r>
        <w:t xml:space="preserve"> Amendment CP</w:t>
      </w:r>
    </w:p>
    <w:p w14:paraId="3C9D546C" w14:textId="77777777" w:rsidR="002122EC" w:rsidRDefault="002122EC" w:rsidP="002122EC"/>
    <w:p w14:paraId="7ABC98FC" w14:textId="77777777" w:rsidR="002122EC" w:rsidRDefault="002122EC" w:rsidP="002122EC">
      <w:pPr>
        <w:pStyle w:val="Heading4"/>
      </w:pPr>
      <w:r>
        <w:t xml:space="preserve">Teacher voices in and out of school systems cannot reject LGBTQ education enforcements from the courts – violation of the EPC </w:t>
      </w:r>
    </w:p>
    <w:p w14:paraId="3045EF03" w14:textId="77777777" w:rsidR="002122EC" w:rsidRDefault="002122EC" w:rsidP="002122EC">
      <w:r w:rsidRPr="00844512">
        <w:rPr>
          <w:rStyle w:val="Style13ptBold"/>
        </w:rPr>
        <w:t>Buckel</w:t>
      </w:r>
      <w:r>
        <w:t xml:space="preserve"> </w:t>
      </w:r>
      <w:r w:rsidRPr="00844512">
        <w:rPr>
          <w:rStyle w:val="Style13ptBold"/>
        </w:rPr>
        <w:t>2K</w:t>
      </w:r>
      <w:r>
        <w:t xml:space="preserve">. David S. Buckel. Lambda Legal Defense and Education Fund, Inc. “Legal Perspective </w:t>
      </w:r>
      <w:proofErr w:type="gramStart"/>
      <w:r>
        <w:t>On</w:t>
      </w:r>
      <w:proofErr w:type="gramEnd"/>
      <w:r>
        <w:t xml:space="preserve"> Ensuring A Safe And Nondiscriminatory School Environment For Lesbian, Gay, Bisexual, And Transgendered Students”. </w:t>
      </w:r>
      <w:hyperlink r:id="rId76" w:history="1">
        <w:r w:rsidRPr="001846C0">
          <w:rPr>
            <w:rStyle w:val="Hyperlink"/>
          </w:rPr>
          <w:t>http://journals.sagepub.com/doi/pdf/10.1177/0013124500323007</w:t>
        </w:r>
      </w:hyperlink>
      <w:r>
        <w:t xml:space="preserve"> . /</w:t>
      </w:r>
      <w:proofErr w:type="gramStart"/>
      <w:r>
        <w:t>/  GDI</w:t>
      </w:r>
      <w:proofErr w:type="gramEnd"/>
      <w:r>
        <w:t xml:space="preserve"> – CF </w:t>
      </w:r>
    </w:p>
    <w:p w14:paraId="05EF1C7C" w14:textId="77777777" w:rsidR="002122EC" w:rsidRDefault="002122EC" w:rsidP="002122EC">
      <w:pPr>
        <w:rPr>
          <w:sz w:val="16"/>
        </w:rPr>
      </w:pPr>
      <w:r w:rsidRPr="0037137B">
        <w:rPr>
          <w:sz w:val="24"/>
          <w:u w:val="single"/>
        </w:rPr>
        <w:t>In the Nabozny case</w:t>
      </w:r>
      <w:r w:rsidRPr="0037137B">
        <w:rPr>
          <w:sz w:val="16"/>
        </w:rPr>
        <w:t xml:space="preserve">, the principal took available to </w:t>
      </w:r>
      <w:r w:rsidRPr="0037137B">
        <w:rPr>
          <w:sz w:val="24"/>
          <w:u w:val="single"/>
        </w:rPr>
        <w:t>Jamie and Lambda was the Equal Protection Clause of the U.S. Constitution</w:t>
      </w:r>
      <w:r w:rsidRPr="0037137B">
        <w:rPr>
          <w:sz w:val="16"/>
        </w:rPr>
        <w:t xml:space="preserve">. Under this clause, </w:t>
      </w:r>
      <w:r w:rsidRPr="0037137B">
        <w:rPr>
          <w:sz w:val="24"/>
          <w:u w:val="single"/>
        </w:rPr>
        <w:t>public schools cannot pick and choose which students will be safe and which students will not be safe</w:t>
      </w:r>
      <w:r w:rsidRPr="0037137B">
        <w:rPr>
          <w:sz w:val="16"/>
        </w:rPr>
        <w:t xml:space="preserve">. We asserted that </w:t>
      </w:r>
      <w:r w:rsidRPr="0037137B">
        <w:rPr>
          <w:sz w:val="24"/>
          <w:u w:val="single"/>
        </w:rPr>
        <w:t>Jamie’s school made some students safe but treated Jamie differently</w:t>
      </w:r>
      <w:r w:rsidRPr="0037137B">
        <w:rPr>
          <w:sz w:val="16"/>
        </w:rPr>
        <w:t xml:space="preserve"> on two different independent grounds: </w:t>
      </w:r>
      <w:r w:rsidRPr="0037137B">
        <w:rPr>
          <w:sz w:val="24"/>
          <w:u w:val="single"/>
        </w:rPr>
        <w:t>because he is male and because he is gay</w:t>
      </w:r>
      <w:r w:rsidRPr="0037137B">
        <w:rPr>
          <w:sz w:val="16"/>
        </w:rPr>
        <w:t xml:space="preserve">. The </w:t>
      </w:r>
      <w:r w:rsidRPr="0037137B">
        <w:rPr>
          <w:sz w:val="24"/>
          <w:u w:val="single"/>
        </w:rPr>
        <w:t>different treatment</w:t>
      </w:r>
      <w:r w:rsidRPr="0037137B">
        <w:rPr>
          <w:u w:val="single"/>
        </w:rPr>
        <w:t xml:space="preserve"> </w:t>
      </w:r>
      <w:r w:rsidRPr="0037137B">
        <w:rPr>
          <w:sz w:val="24"/>
          <w:u w:val="single"/>
        </w:rPr>
        <w:t>because he is male</w:t>
      </w:r>
      <w:r w:rsidRPr="0037137B">
        <w:rPr>
          <w:sz w:val="16"/>
        </w:rPr>
        <w:t xml:space="preserve"> </w:t>
      </w:r>
      <w:r w:rsidRPr="0037137B">
        <w:rPr>
          <w:sz w:val="24"/>
          <w:u w:val="single"/>
        </w:rPr>
        <w:t>gave rise to a sex discrimination claim</w:t>
      </w:r>
      <w:r w:rsidRPr="0037137B">
        <w:rPr>
          <w:sz w:val="16"/>
        </w:rPr>
        <w:t xml:space="preserve">. We often find that male students are treated differently on their complaints of harassment because school administrators believe that boys should fight back physically rather than request help from administrators (and there are several other reasons why boys or girls may be treated differently based on their gender). This push toward violence as the solution to harassment is all the more tragic when considered next to the horror of boys taking guns to school and shooting their classmates. The </w:t>
      </w:r>
      <w:r w:rsidRPr="0037137B">
        <w:rPr>
          <w:sz w:val="24"/>
          <w:u w:val="single"/>
        </w:rPr>
        <w:t>different treatment because Jamie is gay gave rise to a sexual orientation claim</w:t>
      </w:r>
      <w:r w:rsidRPr="0037137B">
        <w:rPr>
          <w:sz w:val="16"/>
        </w:rPr>
        <w:t xml:space="preserve">. </w:t>
      </w:r>
      <w:proofErr w:type="gramStart"/>
      <w:r w:rsidRPr="0037137B">
        <w:rPr>
          <w:sz w:val="16"/>
        </w:rPr>
        <w:t>So</w:t>
      </w:r>
      <w:proofErr w:type="gramEnd"/>
      <w:r w:rsidRPr="0037137B">
        <w:rPr>
          <w:sz w:val="16"/>
        </w:rPr>
        <w:t xml:space="preserve"> there were two distinct claims of discrimination in Jamie’s case: sex discrimination and sexual orientation discrimination. Either of these claims could have proceeded on their own, independent of the other. Thus, </w:t>
      </w:r>
      <w:r w:rsidRPr="0037137B">
        <w:rPr>
          <w:sz w:val="24"/>
          <w:u w:val="single"/>
        </w:rPr>
        <w:t>school principals who respond appropriately to complaints of student harassment as a general matter, except doe complaints from either male students or gay students</w:t>
      </w:r>
      <w:r w:rsidRPr="0037137B">
        <w:rPr>
          <w:sz w:val="16"/>
        </w:rPr>
        <w:t xml:space="preserve"> (and in our </w:t>
      </w:r>
      <w:proofErr w:type="gramStart"/>
      <w:r w:rsidRPr="0037137B">
        <w:rPr>
          <w:sz w:val="16"/>
        </w:rPr>
        <w:t>case</w:t>
      </w:r>
      <w:proofErr w:type="gramEnd"/>
      <w:r w:rsidRPr="0037137B">
        <w:rPr>
          <w:sz w:val="16"/>
        </w:rPr>
        <w:t xml:space="preserve"> we had a gay male student), </w:t>
      </w:r>
      <w:r w:rsidRPr="0037137B">
        <w:rPr>
          <w:sz w:val="24"/>
          <w:u w:val="single"/>
        </w:rPr>
        <w:t>may be violating the</w:t>
      </w:r>
      <w:r w:rsidRPr="0037137B">
        <w:rPr>
          <w:sz w:val="16"/>
        </w:rPr>
        <w:t xml:space="preserve"> </w:t>
      </w:r>
      <w:r w:rsidRPr="0037137B">
        <w:rPr>
          <w:sz w:val="24"/>
          <w:u w:val="single"/>
        </w:rPr>
        <w:t>E</w:t>
      </w:r>
      <w:r w:rsidRPr="0037137B">
        <w:rPr>
          <w:sz w:val="16"/>
        </w:rPr>
        <w:t xml:space="preserve">qual </w:t>
      </w:r>
      <w:r w:rsidRPr="0037137B">
        <w:rPr>
          <w:sz w:val="24"/>
          <w:u w:val="single"/>
        </w:rPr>
        <w:t>P</w:t>
      </w:r>
      <w:r w:rsidRPr="0037137B">
        <w:rPr>
          <w:sz w:val="16"/>
        </w:rPr>
        <w:t xml:space="preserve">rotections </w:t>
      </w:r>
      <w:r w:rsidRPr="0037137B">
        <w:rPr>
          <w:sz w:val="24"/>
          <w:u w:val="single"/>
        </w:rPr>
        <w:t>C</w:t>
      </w:r>
      <w:r w:rsidRPr="0037137B">
        <w:rPr>
          <w:sz w:val="16"/>
        </w:rPr>
        <w:t>lause. As mentioned above, the appellate court held that Jamie was entitled to proceed to trial because he had asserted valid claims. In addition, the appellate court held that the individually named defendants did not have immunity, meaning that they could be personally liable. The three individually named defendants were the principal of Jamie’s middle school and the principal and vice principal of his high school. At trial, the jury found that all three of these school officials had discriminated against Jamie. Before we returned to trial the next day to establish what these defendants owed Jamie in damages, they settled with us for just below $1 million.</w:t>
      </w:r>
    </w:p>
    <w:p w14:paraId="41248515" w14:textId="77777777" w:rsidR="002122EC" w:rsidRDefault="002122EC" w:rsidP="002122EC"/>
    <w:p w14:paraId="31124DC6" w14:textId="77777777" w:rsidR="002122EC" w:rsidRDefault="002122EC" w:rsidP="002122EC">
      <w:pPr>
        <w:pStyle w:val="Heading3"/>
      </w:pPr>
      <w:r>
        <w:t>A2 State Courts CP</w:t>
      </w:r>
    </w:p>
    <w:p w14:paraId="263E61EC" w14:textId="77777777" w:rsidR="002122EC" w:rsidRDefault="002122EC" w:rsidP="002122EC"/>
    <w:p w14:paraId="423F6F07" w14:textId="77777777" w:rsidR="002122EC" w:rsidRPr="00A46F87" w:rsidRDefault="002122EC" w:rsidP="002122EC">
      <w:pPr>
        <w:pStyle w:val="Heading4"/>
      </w:pPr>
      <w:r w:rsidRPr="00541931">
        <w:t>Supreme Court is key to setting precede</w:t>
      </w:r>
      <w:r w:rsidRPr="00A46F87">
        <w:t xml:space="preserve">nt </w:t>
      </w:r>
      <w:r>
        <w:t>– state courts can’t fully enforce</w:t>
      </w:r>
    </w:p>
    <w:p w14:paraId="169346A6" w14:textId="77777777" w:rsidR="002122EC" w:rsidRPr="00541931" w:rsidRDefault="002122EC" w:rsidP="002122EC">
      <w:r w:rsidRPr="00541931">
        <w:rPr>
          <w:rStyle w:val="citesChar"/>
        </w:rPr>
        <w:t>Cross 07</w:t>
      </w:r>
      <w:r w:rsidRPr="00541931">
        <w:rPr>
          <w:rStyle w:val="StyletinyBoldChar"/>
        </w:rPr>
        <w:t xml:space="preserve"> </w:t>
      </w:r>
      <w:r w:rsidRPr="00541931">
        <w:t>Centennial Professor of Business Law at University of Texas, JD from Harvard [Frank B., Decision making in the U.S. Courts of Appeals, p99-101, Google Books]</w:t>
      </w:r>
      <w:r>
        <w:t xml:space="preserve"> // GDI – CF </w:t>
      </w:r>
    </w:p>
    <w:p w14:paraId="2B09FF62" w14:textId="77777777" w:rsidR="002122EC" w:rsidRPr="00FD26A0" w:rsidRDefault="002122EC" w:rsidP="002122EC">
      <w:pPr>
        <w:pStyle w:val="tiny"/>
        <w:rPr>
          <w:sz w:val="14"/>
        </w:rPr>
      </w:pPr>
      <w:r w:rsidRPr="00FD26A0">
        <w:rPr>
          <w:sz w:val="14"/>
        </w:rPr>
        <w:t xml:space="preserve">Technically speaking, a judicial decision resolves only a dispute between the particular litigating parties. Practically speaking, the decision may have far greater societal importance because of its precedential impact. </w:t>
      </w:r>
      <w:r w:rsidRPr="00541931">
        <w:rPr>
          <w:rStyle w:val="underlinedChar"/>
          <w:rFonts w:eastAsia="Malgun Gothic"/>
        </w:rPr>
        <w:t>When the U.S. Supreme Court decides that the broad prohibitions on abortion of a state law are unconstitutional, that decision directly strikes down the particular state prohibition in the case before the Court but functionally invalidates a wide range of additional laws in other states</w:t>
      </w:r>
      <w:r w:rsidRPr="00FD26A0">
        <w:rPr>
          <w:sz w:val="14"/>
        </w:rPr>
        <w:t xml:space="preserve">. </w:t>
      </w:r>
      <w:r w:rsidRPr="00541931">
        <w:rPr>
          <w:rStyle w:val="underlinedChar"/>
          <w:rFonts w:eastAsia="Malgun Gothic"/>
        </w:rPr>
        <w:t>Courts at all levels of the judiciary,</w:t>
      </w:r>
      <w:r w:rsidRPr="00FD26A0">
        <w:rPr>
          <w:sz w:val="14"/>
        </w:rPr>
        <w:t xml:space="preserve"> including circuit courts, </w:t>
      </w:r>
      <w:r w:rsidRPr="00541931">
        <w:rPr>
          <w:rStyle w:val="underlinedChar"/>
          <w:rFonts w:eastAsia="Malgun Gothic"/>
        </w:rPr>
        <w:t>are to take the Supreme Court’s ruling and apply it as governing law in future cases that challenge those other laws</w:t>
      </w:r>
      <w:r w:rsidRPr="00FD26A0">
        <w:rPr>
          <w:sz w:val="14"/>
        </w:rPr>
        <w:t xml:space="preserve">. They are to examine the facts of those other laws, apply the Supreme Court’s reasoning, and thus determine if the other laws pass constitutional muster.  One type of precedential impact is vertical and hierarchical. </w:t>
      </w:r>
      <w:r w:rsidRPr="00541931">
        <w:rPr>
          <w:rStyle w:val="underlinedChar"/>
          <w:rFonts w:eastAsia="Malgun Gothic"/>
        </w:rPr>
        <w:t>When a higher court rules on a legal issue, that ruling controls subsequent decisions of lower courts</w:t>
      </w:r>
      <w:r w:rsidRPr="00FD26A0">
        <w:rPr>
          <w:sz w:val="14"/>
        </w:rPr>
        <w:t xml:space="preserve">. </w:t>
      </w:r>
      <w:r w:rsidRPr="00541931">
        <w:rPr>
          <w:rStyle w:val="underlinedChar"/>
          <w:rFonts w:eastAsia="Malgun Gothic"/>
        </w:rPr>
        <w:t>If the U.S. Supreme Court declares a particular statutory provision unconstitutional, that precedent prevents lower courts from legally applying and enforcing the provision</w:t>
      </w:r>
      <w:r w:rsidRPr="00FD26A0">
        <w:rPr>
          <w:sz w:val="14"/>
        </w:rPr>
        <w:t xml:space="preserve">. Circuit court precedents may also have this hierarchical governing effect. </w:t>
      </w:r>
      <w:r w:rsidRPr="00541931">
        <w:rPr>
          <w:rStyle w:val="underlinedChar"/>
          <w:rFonts w:eastAsia="Malgun Gothic"/>
        </w:rPr>
        <w:t xml:space="preserve">When a circuit court makes a ruling, </w:t>
      </w:r>
      <w:r w:rsidRPr="00FD26A0">
        <w:rPr>
          <w:sz w:val="14"/>
        </w:rPr>
        <w:t xml:space="preserve">such as declaring a statutory provision unconstitutional, that holding governs future rulings of district courts located within the circuit because they are vertically subordinate to that circuit court (e.g., district courts in Florida are governed by the eleventh circuit). </w:t>
      </w:r>
      <w:r w:rsidRPr="00541931">
        <w:rPr>
          <w:rStyle w:val="underlinedChar"/>
          <w:rFonts w:eastAsia="Malgun Gothic"/>
        </w:rPr>
        <w:t>District courts that are located outside the geographical perimeters of the particular circuit court are not legally bound by its rulings</w:t>
      </w:r>
      <w:r w:rsidRPr="00FD26A0">
        <w:rPr>
          <w:sz w:val="14"/>
        </w:rPr>
        <w:t xml:space="preserve">, though they may still use them in reaching a decision. Chapter 4 presented evidence that circuit courts were indeed bound by vertical precedent as reflected in recent rulings of the Supreme Court.  </w:t>
      </w:r>
      <w:r w:rsidRPr="00541931">
        <w:rPr>
          <w:rStyle w:val="underlinedChar"/>
          <w:rFonts w:eastAsia="Malgun Gothic"/>
        </w:rPr>
        <w:t>The issue of horizontal precedent is commonly raised because the nation has a dozen circuit courts that have different geographic coverage. Such precedents are not binding. A particular ruling by the fourth circuit court of appeals does not control a subsequent ruling on an identical issue by the sixth circuit court of appeals.</w:t>
      </w:r>
      <w:r w:rsidRPr="00FD26A0">
        <w:rPr>
          <w:sz w:val="14"/>
        </w:rPr>
        <w:t xml:space="preserve"> Because circuit courts are horizontal equals their decisions are not controlled by precedents from sister circuits. Horizontal precedents may have a persuasive effect, however. Circuit courts may give some deference to the reasoned judgment of other circuits. Circuit courts may be </w:t>
      </w:r>
      <w:proofErr w:type="gramStart"/>
      <w:r w:rsidRPr="00FD26A0">
        <w:rPr>
          <w:sz w:val="14"/>
        </w:rPr>
        <w:t>loathe</w:t>
      </w:r>
      <w:proofErr w:type="gramEnd"/>
      <w:r w:rsidRPr="00FD26A0">
        <w:rPr>
          <w:sz w:val="14"/>
        </w:rPr>
        <w:t xml:space="preserve"> to directly contradict a decision from another circuit because doing so creates geographic disparities in the law. </w:t>
      </w:r>
      <w:r w:rsidRPr="00541931">
        <w:rPr>
          <w:rStyle w:val="underlinedChar"/>
          <w:rFonts w:eastAsia="Malgun Gothic"/>
        </w:rPr>
        <w:t>When the circuits disagree, a uniform federal status may have completely different meanings in different states of the union, a consequence generally to be avoided</w:t>
      </w:r>
      <w:r w:rsidRPr="00FD26A0">
        <w:rPr>
          <w:sz w:val="14"/>
        </w:rPr>
        <w:t xml:space="preserve">. But </w:t>
      </w:r>
      <w:r w:rsidRPr="00541931">
        <w:rPr>
          <w:rStyle w:val="underlinedChar"/>
          <w:rFonts w:eastAsia="Malgun Gothic"/>
        </w:rPr>
        <w:t>such disagreements</w:t>
      </w:r>
      <w:r w:rsidRPr="00FD26A0">
        <w:rPr>
          <w:sz w:val="14"/>
        </w:rPr>
        <w:t xml:space="preserve">, often called circuit splits, among the circuits </w:t>
      </w:r>
      <w:r w:rsidRPr="00541931">
        <w:rPr>
          <w:rStyle w:val="underlinedChar"/>
          <w:rFonts w:eastAsia="Malgun Gothic"/>
        </w:rPr>
        <w:t xml:space="preserve">are by no means uncommon. If a circuit court believes that another circuit got a decision wrong, it will not defer but will issue a contrasting ruling. Such a split may be resolved conclusively by the U.S. Supreme Court, </w:t>
      </w:r>
      <w:r w:rsidRPr="00FD26A0">
        <w:rPr>
          <w:sz w:val="14"/>
        </w:rPr>
        <w:t xml:space="preserve">with its vertical precedential power over all the circuits, or may persist.  </w:t>
      </w:r>
    </w:p>
    <w:p w14:paraId="39972B78" w14:textId="77777777" w:rsidR="002122EC" w:rsidRDefault="002122EC" w:rsidP="002122EC"/>
    <w:p w14:paraId="776B5E67" w14:textId="77777777" w:rsidR="002122EC" w:rsidRDefault="002122EC" w:rsidP="002122EC">
      <w:pPr>
        <w:pStyle w:val="Heading4"/>
      </w:pPr>
      <w:r>
        <w:t xml:space="preserve">Empirics prove lower courts </w:t>
      </w:r>
      <w:r w:rsidRPr="000F2975">
        <w:rPr>
          <w:u w:val="single"/>
        </w:rPr>
        <w:t>fail</w:t>
      </w:r>
      <w:r>
        <w:t xml:space="preserve"> </w:t>
      </w:r>
      <w:r w:rsidRPr="000F2975">
        <w:t>at</w:t>
      </w:r>
      <w:r>
        <w:t xml:space="preserve"> making education policies</w:t>
      </w:r>
    </w:p>
    <w:p w14:paraId="6D117E04" w14:textId="77777777" w:rsidR="002122EC" w:rsidRPr="005B1813" w:rsidRDefault="002122EC" w:rsidP="002122EC">
      <w:pPr>
        <w:rPr>
          <w:rStyle w:val="Style13ptBold"/>
        </w:rPr>
      </w:pPr>
      <w:r>
        <w:rPr>
          <w:rStyle w:val="Style13ptBold"/>
        </w:rPr>
        <w:t xml:space="preserve">Izumi 16 (Lance Izumi, </w:t>
      </w:r>
      <w:r w:rsidRPr="00260596">
        <w:rPr>
          <w:rStyle w:val="Style13ptBold"/>
        </w:rPr>
        <w:t>Senior Director of PRI’s Center for Education and Koret Senior Fellow in Education Studies. He is the author of the highly acclaimed 2012 book Obama’s Education Takeover</w:t>
      </w:r>
      <w:r>
        <w:rPr>
          <w:rStyle w:val="Style13ptBold"/>
        </w:rPr>
        <w:t xml:space="preserve">. “Courts Shouldn’t Make Education Policy”, </w:t>
      </w:r>
      <w:hyperlink r:id="rId77" w:history="1">
        <w:r w:rsidRPr="00BF1BF6">
          <w:rPr>
            <w:rStyle w:val="Hyperlink"/>
          </w:rPr>
          <w:t>https://www.pacificresearch.org/article/courts-shouldnt-make-education-policy/</w:t>
        </w:r>
      </w:hyperlink>
      <w:r>
        <w:rPr>
          <w:rStyle w:val="Style13ptBold"/>
        </w:rPr>
        <w:t xml:space="preserve">, SR) // GDI – CF </w:t>
      </w:r>
    </w:p>
    <w:p w14:paraId="531C4F2C" w14:textId="77777777" w:rsidR="002122EC" w:rsidRPr="005B1813" w:rsidRDefault="002122EC" w:rsidP="002122EC">
      <w:pPr>
        <w:rPr>
          <w:u w:val="single"/>
        </w:rPr>
      </w:pPr>
      <w:r w:rsidRPr="005B1813">
        <w:rPr>
          <w:u w:val="single"/>
        </w:rPr>
        <w:t xml:space="preserve">In a recent decision, the California Court of Appeal ruled that it was up to the California Legislature, not the judiciary, to set the level of spending for schools. The court's ruling makes good sense, not only for legal reasons, but also </w:t>
      </w:r>
      <w:r w:rsidRPr="005B1813">
        <w:rPr>
          <w:b/>
          <w:u w:val="single"/>
        </w:rPr>
        <w:t xml:space="preserve">in light of judicial history and education </w:t>
      </w:r>
      <w:proofErr w:type="gramStart"/>
      <w:r w:rsidRPr="005B1813">
        <w:rPr>
          <w:b/>
          <w:u w:val="single"/>
        </w:rPr>
        <w:t>research.</w:t>
      </w:r>
      <w:r w:rsidRPr="00FD26A0">
        <w:rPr>
          <w:sz w:val="12"/>
        </w:rPr>
        <w:t>∂</w:t>
      </w:r>
      <w:proofErr w:type="gramEnd"/>
      <w:r w:rsidRPr="00FD26A0">
        <w:rPr>
          <w:sz w:val="16"/>
        </w:rPr>
        <w:t xml:space="preserve"> The 1st District Court of Appeal's decision came in the consolidated appeal of Campaign for Quality Education v. California and Maya Robles-Wong v. California. 2016 DJDAR 3853 (April 20, 2016). In their appeal, the plaintiff-appellants alleged that California violated Sections 1 and 5 of Article IX of the California Constitution.</w:t>
      </w:r>
      <w:r w:rsidRPr="00FD26A0">
        <w:rPr>
          <w:sz w:val="12"/>
        </w:rPr>
        <w:t>∂</w:t>
      </w:r>
      <w:r w:rsidRPr="00FD26A0">
        <w:rPr>
          <w:sz w:val="16"/>
        </w:rPr>
        <w:t xml:space="preserve"> Specifically, the appellants alleged that these sections provided for, according to the appellate court, "a judicially-enforceable right to an education of 'some quality' for all public school children, and alternatively, that the Legislature is currently violating its constitutional obligations to 'provide for' and keep up and support' the 'system of common schools' by its current educational financing system." In other words, the appellants wanted the court to find that there was some minimal level of funding required to ensure a quality education for public school </w:t>
      </w:r>
      <w:proofErr w:type="gramStart"/>
      <w:r w:rsidRPr="00FD26A0">
        <w:rPr>
          <w:sz w:val="16"/>
        </w:rPr>
        <w:t>students.</w:t>
      </w:r>
      <w:r w:rsidRPr="00FD26A0">
        <w:rPr>
          <w:sz w:val="12"/>
        </w:rPr>
        <w:t>∂</w:t>
      </w:r>
      <w:proofErr w:type="gramEnd"/>
      <w:r w:rsidRPr="00FD26A0">
        <w:rPr>
          <w:sz w:val="16"/>
        </w:rPr>
        <w:t xml:space="preserve"> </w:t>
      </w:r>
      <w:r w:rsidRPr="005B1813">
        <w:rPr>
          <w:u w:val="single"/>
        </w:rPr>
        <w:t>The court, however, in its 2-1 decision, refused to become embroiled in setting education quality and spending levels.</w:t>
      </w:r>
      <w:r w:rsidRPr="00FD26A0">
        <w:rPr>
          <w:sz w:val="16"/>
        </w:rPr>
        <w:t xml:space="preserve"> "To the contrary," said the court majority, "the language of these constitutional sections do not include qualitative or funding elements that may be judicially enforced by the courts." Rather, "the constitutional sections leave the difficult and policy-laden questions associated with educational adequacy and funding to the legislative branch."</w:t>
      </w:r>
      <w:r w:rsidRPr="00FD26A0">
        <w:rPr>
          <w:sz w:val="12"/>
        </w:rPr>
        <w:t>∂</w:t>
      </w:r>
      <w:r w:rsidRPr="00FD26A0">
        <w:rPr>
          <w:sz w:val="16"/>
        </w:rPr>
        <w:t xml:space="preserve"> Further, the court majority, citing the landmark Serrano v. Priest education funding case, noted that the California Supreme Court found no constitutional mandate for the state Legislature "to provide funds for each child in the State at some magic level to produce either an adequate-quality educational program or a high-quality educational program."</w:t>
      </w:r>
      <w:r w:rsidRPr="00FD26A0">
        <w:rPr>
          <w:sz w:val="12"/>
        </w:rPr>
        <w:t>∂</w:t>
      </w:r>
      <w:r w:rsidRPr="00FD26A0">
        <w:rPr>
          <w:sz w:val="16"/>
        </w:rPr>
        <w:t xml:space="preserve"> The appellants' funding claim would have required the court to impose its "judgment over that of the Legislature in order to determine whether particular policy benefits public education," which the court said, "we decline to do." </w:t>
      </w:r>
      <w:r w:rsidRPr="005B1813">
        <w:rPr>
          <w:u w:val="single"/>
        </w:rPr>
        <w:t>The court's declination was prudent given the history of failed judicial interventions into education spending and policy decision-</w:t>
      </w:r>
      <w:proofErr w:type="gramStart"/>
      <w:r w:rsidRPr="005B1813">
        <w:rPr>
          <w:u w:val="single"/>
        </w:rPr>
        <w:t>making.</w:t>
      </w:r>
      <w:r w:rsidRPr="00FD26A0">
        <w:rPr>
          <w:sz w:val="12"/>
        </w:rPr>
        <w:t>∂</w:t>
      </w:r>
      <w:proofErr w:type="gramEnd"/>
      <w:r w:rsidRPr="005B1813">
        <w:rPr>
          <w:u w:val="single"/>
        </w:rPr>
        <w:t xml:space="preserve"> Perhaps the most egregious example of judicial intervention occurred between 1985 and 1997 in Kansas City, Missouri, where a federal district court judge set himself up as the policymaking czar for the city's school system. Over the 12-year period, Judge Russell Clark ordered the state and the local school district to spend more than $2 billion on a variety of projects and programs in order to improve student </w:t>
      </w:r>
      <w:proofErr w:type="gramStart"/>
      <w:r w:rsidRPr="005B1813">
        <w:rPr>
          <w:u w:val="single"/>
        </w:rPr>
        <w:t>achievement.</w:t>
      </w:r>
      <w:r w:rsidRPr="00FD26A0">
        <w:rPr>
          <w:sz w:val="12"/>
        </w:rPr>
        <w:t>∂</w:t>
      </w:r>
      <w:proofErr w:type="gramEnd"/>
      <w:r w:rsidRPr="00FD26A0">
        <w:rPr>
          <w:sz w:val="16"/>
        </w:rPr>
        <w:t xml:space="preserve"> According to a report on the case by the Washington, D.C.-based Cato Institute, "With that money, the district built 15 new schools and renovated 54 others." These schools had amenities ranging from robotics labs to new libraries to even a planetarium. One high school "had 900 interconnected computers, one for every student in the school," which was a cutting-edge innovation in the 1990s.</w:t>
      </w:r>
      <w:r w:rsidRPr="00FD26A0">
        <w:rPr>
          <w:sz w:val="12"/>
        </w:rPr>
        <w:t>∂</w:t>
      </w:r>
      <w:r w:rsidRPr="00FD26A0">
        <w:rPr>
          <w:sz w:val="16"/>
        </w:rPr>
        <w:t xml:space="preserve"> In addition, the district-wide student to instructional staff ratio was reduced down to less than 13-to-1, the lowest of any major school district in the nation. The Cato report noted, "For working parents, the district provided all-day kindergarten for youngsters and before- and after-school programs for older students."</w:t>
      </w:r>
      <w:r w:rsidRPr="00FD26A0">
        <w:rPr>
          <w:sz w:val="12"/>
        </w:rPr>
        <w:t>∂</w:t>
      </w:r>
      <w:r w:rsidRPr="00FD26A0">
        <w:rPr>
          <w:sz w:val="16"/>
        </w:rPr>
        <w:t xml:space="preserve"> Judge Clark even ordered massive increases in local property taxes to pay for, among other things, a 40 percent increase in the salaries of teachers and other school </w:t>
      </w:r>
      <w:proofErr w:type="gramStart"/>
      <w:r w:rsidRPr="00FD26A0">
        <w:rPr>
          <w:sz w:val="16"/>
        </w:rPr>
        <w:t>personnel.</w:t>
      </w:r>
      <w:r w:rsidRPr="00FD26A0">
        <w:rPr>
          <w:sz w:val="12"/>
        </w:rPr>
        <w:t>∂</w:t>
      </w:r>
      <w:proofErr w:type="gramEnd"/>
      <w:r w:rsidRPr="00FD26A0">
        <w:rPr>
          <w:sz w:val="16"/>
        </w:rPr>
        <w:t xml:space="preserve"> Kansas City's per-pupil spending ranking shot up to number one among the 280 largest school districts in the country. But in the end, all that spending produced very little improvement in student </w:t>
      </w:r>
      <w:proofErr w:type="gramStart"/>
      <w:r w:rsidRPr="00FD26A0">
        <w:rPr>
          <w:sz w:val="16"/>
        </w:rPr>
        <w:t>achievement.</w:t>
      </w:r>
      <w:r w:rsidRPr="00FD26A0">
        <w:rPr>
          <w:sz w:val="12"/>
        </w:rPr>
        <w:t>∂</w:t>
      </w:r>
      <w:proofErr w:type="gramEnd"/>
      <w:r w:rsidRPr="00FD26A0">
        <w:rPr>
          <w:sz w:val="16"/>
        </w:rPr>
        <w:t xml:space="preserve"> According to the Cato report, "Year after year the test scores would come out, the achievement levels would be no higher than before, and the black-white [performance] gap would be no smaller."</w:t>
      </w:r>
      <w:r w:rsidRPr="00FD26A0">
        <w:rPr>
          <w:sz w:val="12"/>
        </w:rPr>
        <w:t>∂</w:t>
      </w:r>
      <w:r w:rsidRPr="00FD26A0">
        <w:rPr>
          <w:sz w:val="16"/>
        </w:rPr>
        <w:t xml:space="preserve"> "I truly believed," said then-Kansas City school board president Sue Fulson, "if we gave teachers and administrators everything they said they needed that they would truly make a huge difference." She was confident that "we would see not just results, but dramatic results, educationally." When those results failed to appear, Fulson said it was "my bitterest disappointment."</w:t>
      </w:r>
      <w:r w:rsidRPr="00FD26A0">
        <w:rPr>
          <w:sz w:val="12"/>
        </w:rPr>
        <w:t>∂</w:t>
      </w:r>
      <w:r w:rsidRPr="00FD26A0">
        <w:rPr>
          <w:sz w:val="16"/>
        </w:rPr>
        <w:t xml:space="preserve"> Kansas City's failure is not surprising given the weight of education research on education spending and quality. Stanford University's Eric Hanushek, one of the nation's top education economists, has warned: "Simple conclusions such as 'lack of resources is the fundamental factor driving low achievement' have been contradicted by the evidence: dramatic increases in resources have not led to the improvement in performance of our students."</w:t>
      </w:r>
      <w:r w:rsidRPr="00FD26A0">
        <w:rPr>
          <w:sz w:val="12"/>
        </w:rPr>
        <w:t>∂</w:t>
      </w:r>
      <w:r w:rsidRPr="00FD26A0">
        <w:rPr>
          <w:sz w:val="16"/>
        </w:rPr>
        <w:t xml:space="preserve"> A recent comprehensive multi-year analysis of Michigan's education spending and student testing data by the Mackinac Center, a public policy research organization, found that "there is no statistically significant correlation between how much money public schools in Michigan spend and how well students perform academically." To explain this lack of correlation, the Mackinac researchers posit, "public schools, on average, fail to spend additional resources in ways that measurably improve student achievement."</w:t>
      </w:r>
      <w:r w:rsidRPr="00FD26A0">
        <w:rPr>
          <w:sz w:val="12"/>
        </w:rPr>
        <w:t>∂</w:t>
      </w:r>
      <w:r w:rsidRPr="00FD26A0">
        <w:rPr>
          <w:sz w:val="16"/>
        </w:rPr>
        <w:t xml:space="preserve"> Given the myriad factors that influence the quality of education, many of which have little to do with state spending levels, it is no wonder that the Legislative Analyst's Office, the respected research arm of the California Legislature, has said: "Research and experience suggest that how we spend available resources is at least as important as how much we spend on education."</w:t>
      </w:r>
      <w:r w:rsidRPr="00FD26A0">
        <w:rPr>
          <w:sz w:val="12"/>
        </w:rPr>
        <w:t>∂</w:t>
      </w:r>
      <w:r w:rsidRPr="00FD26A0">
        <w:rPr>
          <w:sz w:val="16"/>
        </w:rPr>
        <w:t xml:space="preserve"> </w:t>
      </w:r>
      <w:r w:rsidRPr="005B1813">
        <w:rPr>
          <w:u w:val="single"/>
        </w:rPr>
        <w:t xml:space="preserve">In the majority opinion in Campaign for Quality Education, Justice Martin Jenkins wrote that the state constitution does not allow courts "to dictate to the Legislature, a coequal branch of government, how to best exercise its constitutional powers to encourage education and provide for and support a system of common schools throughout the state." By limiting judicial intervention into education policymaking, the court not only remained true to the intent of the state constitution, but </w:t>
      </w:r>
      <w:r w:rsidRPr="005B1813">
        <w:rPr>
          <w:b/>
          <w:u w:val="single"/>
        </w:rPr>
        <w:t>it also saved itself from having to make determinations on a litany of in-the-weeds issues that it would almost certainly get wrong</w:t>
      </w:r>
      <w:r w:rsidRPr="005B1813">
        <w:rPr>
          <w:u w:val="single"/>
        </w:rPr>
        <w:t>.</w:t>
      </w:r>
    </w:p>
    <w:p w14:paraId="00161E3C" w14:textId="77777777" w:rsidR="002122EC" w:rsidRDefault="002122EC" w:rsidP="002122EC"/>
    <w:p w14:paraId="6B928FB4" w14:textId="77777777" w:rsidR="002122EC" w:rsidRPr="005D2D34" w:rsidRDefault="002122EC" w:rsidP="002122EC">
      <w:pPr>
        <w:pStyle w:val="Heading4"/>
      </w:pPr>
      <w:r w:rsidRPr="005B1813">
        <w:t>It will take a long time to allow lower court jurisdi</w:t>
      </w:r>
      <w:r>
        <w:t xml:space="preserve">ction </w:t>
      </w:r>
    </w:p>
    <w:p w14:paraId="709FD72A" w14:textId="77777777" w:rsidR="002122EC" w:rsidRPr="005D2D34" w:rsidRDefault="002122EC" w:rsidP="002122EC">
      <w:r w:rsidRPr="00837B2F">
        <w:rPr>
          <w:rStyle w:val="citesChar"/>
        </w:rPr>
        <w:t>Bhagwat 00</w:t>
      </w:r>
      <w:r w:rsidRPr="001047F5">
        <w:rPr>
          <w:rStyle w:val="StyletinyBoldChar"/>
        </w:rPr>
        <w:t xml:space="preserve"> </w:t>
      </w:r>
      <w:r w:rsidRPr="005D2D34">
        <w:t>Professor of Law at University of California, JD from University of Chicago Law School</w:t>
      </w:r>
      <w:r>
        <w:t xml:space="preserve"> </w:t>
      </w:r>
      <w:r w:rsidRPr="005D2D34">
        <w:t xml:space="preserve">[Ashutosh, "SEPARATE BUT </w:t>
      </w:r>
      <w:proofErr w:type="gramStart"/>
      <w:r w:rsidRPr="005D2D34">
        <w:t>EQUAL?:</w:t>
      </w:r>
      <w:proofErr w:type="gramEnd"/>
      <w:r w:rsidRPr="005D2D34">
        <w:t xml:space="preserve"> THE SUPREME COURT, THE LOWER FEDERAL COURTS, AND THE NATURE OF THE "JUDICIAL POWER"</w:t>
      </w:r>
      <w:r>
        <w:t>,</w:t>
      </w:r>
      <w:r w:rsidRPr="005D2D34">
        <w:t xml:space="preserve">" </w:t>
      </w:r>
      <w:r>
        <w:t xml:space="preserve">80 B.U.L. Rev. 967, October, </w:t>
      </w:r>
      <w:r w:rsidRPr="005D2D34">
        <w:t>Lexis]</w:t>
      </w:r>
      <w:r>
        <w:t xml:space="preserve"> // GDI – CF </w:t>
      </w:r>
    </w:p>
    <w:p w14:paraId="3F0E4797" w14:textId="77777777" w:rsidR="002122EC" w:rsidRPr="00FD26A0" w:rsidRDefault="002122EC" w:rsidP="002122EC">
      <w:pPr>
        <w:pStyle w:val="tiny"/>
        <w:rPr>
          <w:sz w:val="14"/>
        </w:rPr>
      </w:pPr>
      <w:r w:rsidRPr="00FD26A0">
        <w:rPr>
          <w:sz w:val="14"/>
        </w:rPr>
        <w:t xml:space="preserve">Moreover, </w:t>
      </w:r>
      <w:r w:rsidRPr="00541931">
        <w:rPr>
          <w:rStyle w:val="underlinedChar"/>
          <w:rFonts w:eastAsia="Malgun Gothic"/>
        </w:rPr>
        <w:t xml:space="preserve">even if the Court is willing to contemplate a loss of power, such changes </w:t>
      </w:r>
      <w:r w:rsidRPr="00FD26A0">
        <w:rPr>
          <w:sz w:val="14"/>
        </w:rPr>
        <w:t>in the Court's culture and practices</w:t>
      </w:r>
      <w:r w:rsidRPr="00541931">
        <w:rPr>
          <w:rStyle w:val="underlinedChar"/>
          <w:rFonts w:eastAsia="Malgun Gothic"/>
        </w:rPr>
        <w:t xml:space="preserve"> will take some time to become useful, because of the effects that the modern Court's approach of stripping independence and authority has had on the culture of the lower federal courts. Many if not most lower court judges no longer think of themselves as participants in the joint process of formulating legal rules, and the consequent loss of intellectual independence and curiosity makes those courts ill-suited to</w:t>
      </w:r>
      <w:r w:rsidRPr="00FD26A0">
        <w:rPr>
          <w:sz w:val="14"/>
        </w:rPr>
        <w:t xml:space="preserve"> (and apparently uninterested in) </w:t>
      </w:r>
      <w:r w:rsidRPr="00541931">
        <w:rPr>
          <w:rStyle w:val="underlinedChar"/>
          <w:rFonts w:eastAsia="Malgun Gothic"/>
        </w:rPr>
        <w:t>the collaborative process</w:t>
      </w:r>
      <w:r w:rsidRPr="00FD26A0">
        <w:rPr>
          <w:sz w:val="14"/>
        </w:rPr>
        <w:t xml:space="preserve"> which I espouse. None of this, however, is irreversible, and such resistance, if it were to emerge, would provide at least some check on the Court's power. That can only be an improvement on the current situation: </w:t>
      </w:r>
      <w:proofErr w:type="gramStart"/>
      <w:r w:rsidRPr="00FD26A0">
        <w:rPr>
          <w:sz w:val="14"/>
        </w:rPr>
        <w:t>a</w:t>
      </w:r>
      <w:proofErr w:type="gramEnd"/>
      <w:r w:rsidRPr="00FD26A0">
        <w:rPr>
          <w:sz w:val="14"/>
        </w:rPr>
        <w:t xml:space="preserve"> Court which faces essentially no external restraints on its power, and has largely abandoned any internal ones.</w:t>
      </w:r>
    </w:p>
    <w:p w14:paraId="21DD43E6" w14:textId="77777777" w:rsidR="002122EC" w:rsidRPr="00711320" w:rsidRDefault="002122EC" w:rsidP="002122EC"/>
    <w:p w14:paraId="1B6E425E" w14:textId="77777777" w:rsidR="00560557" w:rsidRPr="00560557" w:rsidRDefault="00560557" w:rsidP="00560557"/>
    <w:p w14:paraId="0441B847" w14:textId="77777777" w:rsidR="001F43C5" w:rsidRPr="001F43C5" w:rsidRDefault="001F43C5" w:rsidP="001F43C5"/>
    <w:sectPr w:rsidR="001F43C5" w:rsidRPr="001F43C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Malgun Gothic">
    <w:panose1 w:val="020B0503020000020004"/>
    <w:charset w:val="81"/>
    <w:family w:val="auto"/>
    <w:pitch w:val="variable"/>
    <w:sig w:usb0="9000002F" w:usb1="29D77CFB" w:usb2="00000012" w:usb3="00000000" w:csb0="00080001" w:csb1="00000000"/>
  </w:font>
  <w:font w:name="Calibri Light">
    <w:panose1 w:val="020F0302020204030204"/>
    <w:charset w:val="00"/>
    <w:family w:val="auto"/>
    <w:pitch w:val="variable"/>
    <w:sig w:usb0="A00002EF" w:usb1="4000207B" w:usb2="00000000" w:usb3="00000000" w:csb0="0000019F" w:csb1="00000000"/>
  </w:font>
  <w:font w:name="DroidSerif">
    <w:altName w:val="Calibri"/>
    <w:panose1 w:val="00000000000000000000"/>
    <w:charset w:val="00"/>
    <w:family w:val="auto"/>
    <w:notTrueType/>
    <w:pitch w:val="default"/>
    <w:sig w:usb0="00000003" w:usb1="00000000" w:usb2="00000000" w:usb3="00000000" w:csb0="00000001" w:csb1="00000000"/>
  </w:font>
  <w:font w:name="DroidSerif-Italic">
    <w:altName w:val="Calibri"/>
    <w:panose1 w:val="00000000000000000000"/>
    <w:charset w:val="00"/>
    <w:family w:val="auto"/>
    <w:notTrueType/>
    <w:pitch w:val="default"/>
    <w:sig w:usb0="00000003" w:usb1="00000000" w:usb2="00000000" w:usb3="00000000" w:csb0="00000001" w:csb1="00000000"/>
  </w:font>
  <w:font w:name="DroidSeri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F43C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3089"/>
    <w:rsid w:val="001F1173"/>
    <w:rsid w:val="001F43C5"/>
    <w:rsid w:val="002005A8"/>
    <w:rsid w:val="00203DD8"/>
    <w:rsid w:val="00204E1D"/>
    <w:rsid w:val="002059BD"/>
    <w:rsid w:val="00207FD8"/>
    <w:rsid w:val="00210FAF"/>
    <w:rsid w:val="002122EC"/>
    <w:rsid w:val="00213B1E"/>
    <w:rsid w:val="00215284"/>
    <w:rsid w:val="002168F2"/>
    <w:rsid w:val="0022589F"/>
    <w:rsid w:val="002343FE"/>
    <w:rsid w:val="00235F7B"/>
    <w:rsid w:val="002502CF"/>
    <w:rsid w:val="002549BD"/>
    <w:rsid w:val="002624C8"/>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3FBC"/>
    <w:rsid w:val="00330E13"/>
    <w:rsid w:val="00335A23"/>
    <w:rsid w:val="00340707"/>
    <w:rsid w:val="00341C61"/>
    <w:rsid w:val="00351841"/>
    <w:rsid w:val="003624A6"/>
    <w:rsid w:val="00364ADF"/>
    <w:rsid w:val="00365C8D"/>
    <w:rsid w:val="003670D9"/>
    <w:rsid w:val="00370B41"/>
    <w:rsid w:val="00371B27"/>
    <w:rsid w:val="003726C3"/>
    <w:rsid w:val="00375D2E"/>
    <w:rsid w:val="003766B7"/>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5F08"/>
    <w:rsid w:val="005028E5"/>
    <w:rsid w:val="00503735"/>
    <w:rsid w:val="00516A88"/>
    <w:rsid w:val="00522065"/>
    <w:rsid w:val="005224F2"/>
    <w:rsid w:val="00533F1C"/>
    <w:rsid w:val="00536D8B"/>
    <w:rsid w:val="005379C3"/>
    <w:rsid w:val="005519C2"/>
    <w:rsid w:val="005523E0"/>
    <w:rsid w:val="0055320F"/>
    <w:rsid w:val="0055699B"/>
    <w:rsid w:val="0056020A"/>
    <w:rsid w:val="00560557"/>
    <w:rsid w:val="00563299"/>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4D6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47D3"/>
    <w:rsid w:val="009509D5"/>
    <w:rsid w:val="009538F5"/>
    <w:rsid w:val="00957187"/>
    <w:rsid w:val="00960255"/>
    <w:rsid w:val="009603E1"/>
    <w:rsid w:val="00961C9D"/>
    <w:rsid w:val="00963065"/>
    <w:rsid w:val="0097151F"/>
    <w:rsid w:val="00973777"/>
    <w:rsid w:val="00976C8F"/>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6334"/>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2388"/>
    <w:rsid w:val="00B24662"/>
    <w:rsid w:val="00B3569C"/>
    <w:rsid w:val="00B43676"/>
    <w:rsid w:val="00B5602D"/>
    <w:rsid w:val="00B60125"/>
    <w:rsid w:val="00B62728"/>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1CE7"/>
    <w:rsid w:val="00C203FA"/>
    <w:rsid w:val="00C244F5"/>
    <w:rsid w:val="00C3164F"/>
    <w:rsid w:val="00C31B5E"/>
    <w:rsid w:val="00C34D3E"/>
    <w:rsid w:val="00C35B37"/>
    <w:rsid w:val="00C3747A"/>
    <w:rsid w:val="00C37F29"/>
    <w:rsid w:val="00C56DCC"/>
    <w:rsid w:val="00C57075"/>
    <w:rsid w:val="00C72AFE"/>
    <w:rsid w:val="00C81619"/>
    <w:rsid w:val="00C84696"/>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5A4B"/>
    <w:rsid w:val="00F201E7"/>
    <w:rsid w:val="00F204E0"/>
    <w:rsid w:val="00F20B16"/>
    <w:rsid w:val="00F21C79"/>
    <w:rsid w:val="00F238C9"/>
    <w:rsid w:val="00F23CA5"/>
    <w:rsid w:val="00F277AA"/>
    <w:rsid w:val="00F31955"/>
    <w:rsid w:val="00F34C06"/>
    <w:rsid w:val="00F43EA3"/>
    <w:rsid w:val="00F44CF9"/>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6951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1F43C5"/>
    <w:rPr>
      <w:rFonts w:ascii="Calibri" w:hAnsi="Calibri"/>
      <w:sz w:val="22"/>
    </w:rPr>
  </w:style>
  <w:style w:type="paragraph" w:styleId="Heading1">
    <w:name w:val="heading 1"/>
    <w:aliases w:val="Pocket"/>
    <w:basedOn w:val="Normal"/>
    <w:next w:val="Normal"/>
    <w:link w:val="Heading1Char"/>
    <w:uiPriority w:val="9"/>
    <w:qFormat/>
    <w:rsid w:val="001F43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F43C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F43C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F43C5"/>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F43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43C5"/>
  </w:style>
  <w:style w:type="character" w:customStyle="1" w:styleId="Heading1Char">
    <w:name w:val="Heading 1 Char"/>
    <w:aliases w:val="Pocket Char"/>
    <w:basedOn w:val="DefaultParagraphFont"/>
    <w:link w:val="Heading1"/>
    <w:uiPriority w:val="9"/>
    <w:rsid w:val="001F43C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F43C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F43C5"/>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1F43C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43C5"/>
    <w:rPr>
      <w:b/>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1F43C5"/>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1F43C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1F43C5"/>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1F43C5"/>
    <w:rPr>
      <w:color w:val="auto"/>
      <w:u w:val="none"/>
    </w:rPr>
  </w:style>
  <w:style w:type="paragraph" w:styleId="DocumentMap">
    <w:name w:val="Document Map"/>
    <w:basedOn w:val="Normal"/>
    <w:link w:val="DocumentMapChar"/>
    <w:uiPriority w:val="99"/>
    <w:semiHidden/>
    <w:unhideWhenUsed/>
    <w:rsid w:val="001F43C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43C5"/>
    <w:rPr>
      <w:rFonts w:ascii="Lucida Grande" w:hAnsi="Lucida Grande" w:cs="Lucida Grande"/>
    </w:rPr>
  </w:style>
  <w:style w:type="character" w:customStyle="1" w:styleId="m2461348632819758400gmail-style13ptbold">
    <w:name w:val="m_2461348632819758400gmail-style13ptbold"/>
    <w:basedOn w:val="DefaultParagraphFont"/>
    <w:rsid w:val="00844D6B"/>
  </w:style>
  <w:style w:type="character" w:customStyle="1" w:styleId="byline">
    <w:name w:val="byline"/>
    <w:basedOn w:val="DefaultParagraphFont"/>
    <w:rsid w:val="00560557"/>
  </w:style>
  <w:style w:type="character" w:customStyle="1" w:styleId="posted-on">
    <w:name w:val="posted-on"/>
    <w:basedOn w:val="DefaultParagraphFont"/>
    <w:rsid w:val="00560557"/>
  </w:style>
  <w:style w:type="paragraph" w:customStyle="1" w:styleId="selectionshareable">
    <w:name w:val="selectionshareable"/>
    <w:basedOn w:val="Normal"/>
    <w:rsid w:val="00560557"/>
    <w:pPr>
      <w:spacing w:before="100" w:beforeAutospacing="1" w:after="100" w:afterAutospacing="1"/>
    </w:pPr>
    <w:rPr>
      <w:rFonts w:ascii="Times New Roman" w:eastAsia="Times New Roman" w:hAnsi="Times New Roman" w:cs="Times New Roman"/>
      <w:sz w:val="24"/>
      <w:lang w:eastAsia="ja-JP"/>
    </w:rPr>
  </w:style>
  <w:style w:type="character" w:customStyle="1" w:styleId="blue">
    <w:name w:val="blue"/>
    <w:basedOn w:val="DefaultParagraphFont"/>
    <w:rsid w:val="002122EC"/>
  </w:style>
  <w:style w:type="character" w:customStyle="1" w:styleId="italic">
    <w:name w:val="italic"/>
    <w:basedOn w:val="DefaultParagraphFont"/>
    <w:rsid w:val="002122EC"/>
  </w:style>
  <w:style w:type="paragraph" w:customStyle="1" w:styleId="loose">
    <w:name w:val="loose"/>
    <w:basedOn w:val="Normal"/>
    <w:rsid w:val="002122EC"/>
    <w:pPr>
      <w:spacing w:before="100" w:beforeAutospacing="1" w:after="100" w:afterAutospacing="1"/>
    </w:pPr>
    <w:rPr>
      <w:rFonts w:ascii="Times New Roman" w:eastAsia="Times New Roman" w:hAnsi="Times New Roman" w:cs="Times New Roman"/>
      <w:sz w:val="24"/>
      <w:szCs w:val="22"/>
    </w:rPr>
  </w:style>
  <w:style w:type="character" w:customStyle="1" w:styleId="cite">
    <w:name w:val="cite"/>
    <w:basedOn w:val="DefaultParagraphFont"/>
    <w:rsid w:val="002122EC"/>
    <w:rPr>
      <w:rFonts w:ascii="Times New Roman" w:hAnsi="Times New Roman"/>
      <w:b/>
      <w:sz w:val="24"/>
    </w:rPr>
  </w:style>
  <w:style w:type="character" w:customStyle="1" w:styleId="underline">
    <w:name w:val="underline"/>
    <w:basedOn w:val="DefaultParagraphFont"/>
    <w:qFormat/>
    <w:rsid w:val="002122EC"/>
    <w:rPr>
      <w:b/>
      <w:u w:val="single"/>
    </w:rPr>
  </w:style>
  <w:style w:type="paragraph" w:customStyle="1" w:styleId="textbold">
    <w:name w:val="text bold"/>
    <w:basedOn w:val="Normal"/>
    <w:link w:val="Emphasis"/>
    <w:uiPriority w:val="7"/>
    <w:qFormat/>
    <w:rsid w:val="002122EC"/>
    <w:pPr>
      <w:spacing w:after="160" w:line="259" w:lineRule="auto"/>
      <w:ind w:left="720"/>
      <w:jc w:val="both"/>
    </w:pPr>
    <w:rPr>
      <w:b/>
      <w:iCs/>
      <w:u w:val="single"/>
      <w:bdr w:val="single" w:sz="8" w:space="0" w:color="auto"/>
    </w:rPr>
  </w:style>
  <w:style w:type="character" w:customStyle="1" w:styleId="StyletinyBoldChar">
    <w:name w:val="Style tiny + Bold Char"/>
    <w:basedOn w:val="DefaultParagraphFont"/>
    <w:link w:val="StyletinyBold"/>
    <w:locked/>
    <w:rsid w:val="002122EC"/>
    <w:rPr>
      <w:rFonts w:ascii="Georgia" w:eastAsia="Malgun Gothic" w:hAnsi="Georgia" w:cs="Times New Roman"/>
      <w:bCs/>
    </w:rPr>
  </w:style>
  <w:style w:type="paragraph" w:customStyle="1" w:styleId="StyletinyBold">
    <w:name w:val="Style tiny + Bold"/>
    <w:basedOn w:val="Normal"/>
    <w:link w:val="StyletinyBoldChar"/>
    <w:rsid w:val="002122EC"/>
    <w:pPr>
      <w:contextualSpacing/>
    </w:pPr>
    <w:rPr>
      <w:rFonts w:ascii="Georgia" w:eastAsia="Malgun Gothic" w:hAnsi="Georgia" w:cs="Times New Roman"/>
      <w:bCs/>
      <w:sz w:val="24"/>
    </w:rPr>
  </w:style>
  <w:style w:type="paragraph" w:customStyle="1" w:styleId="cites">
    <w:name w:val="cites"/>
    <w:link w:val="citesChar"/>
    <w:autoRedefine/>
    <w:rsid w:val="002122EC"/>
    <w:pPr>
      <w:contextualSpacing/>
    </w:pPr>
    <w:rPr>
      <w:rFonts w:ascii="Georgia" w:eastAsia="Malgun Gothic" w:hAnsi="Georgia" w:cs="Times New Roman"/>
      <w:b/>
      <w:sz w:val="22"/>
      <w:szCs w:val="22"/>
    </w:rPr>
  </w:style>
  <w:style w:type="character" w:customStyle="1" w:styleId="citesChar">
    <w:name w:val="cites Char"/>
    <w:basedOn w:val="DefaultParagraphFont"/>
    <w:link w:val="cites"/>
    <w:rsid w:val="002122EC"/>
    <w:rPr>
      <w:rFonts w:ascii="Georgia" w:eastAsia="Malgun Gothic" w:hAnsi="Georgia" w:cs="Times New Roman"/>
      <w:b/>
      <w:sz w:val="22"/>
      <w:szCs w:val="22"/>
    </w:rPr>
  </w:style>
  <w:style w:type="character" w:customStyle="1" w:styleId="underlinedChar">
    <w:name w:val="underlined Char"/>
    <w:basedOn w:val="DefaultParagraphFont"/>
    <w:rsid w:val="002122EC"/>
    <w:rPr>
      <w:rFonts w:ascii="Times New Roman" w:eastAsia="Times New Roman" w:hAnsi="Times New Roman" w:cs="Times New Roman"/>
      <w:sz w:val="20"/>
      <w:szCs w:val="24"/>
      <w:u w:val="single"/>
    </w:rPr>
  </w:style>
  <w:style w:type="character" w:customStyle="1" w:styleId="tinyChar">
    <w:name w:val="tiny Char"/>
    <w:basedOn w:val="DefaultParagraphFont"/>
    <w:link w:val="tiny"/>
    <w:locked/>
    <w:rsid w:val="002122EC"/>
    <w:rPr>
      <w:rFonts w:ascii="Georgia" w:eastAsia="Malgun Gothic" w:hAnsi="Georgia" w:cs="Times New Roman"/>
    </w:rPr>
  </w:style>
  <w:style w:type="paragraph" w:customStyle="1" w:styleId="tiny">
    <w:name w:val="tiny"/>
    <w:next w:val="Normal"/>
    <w:link w:val="tinyChar"/>
    <w:autoRedefine/>
    <w:rsid w:val="002122EC"/>
    <w:pPr>
      <w:contextualSpacing/>
    </w:pPr>
    <w:rPr>
      <w:rFonts w:ascii="Georgia" w:eastAsia="Malgun Gothic" w:hAnsi="Georg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blogs.edweek.org/edweek/rick_hess_straight_up/2010/09/waiting_for_superman_my_conversion_experience.html" TargetMode="External"/><Relationship Id="rId14" Type="http://schemas.openxmlformats.org/officeDocument/2006/relationships/hyperlink" Target="http://www.edexcellence.net/flypaper/index.php/2010/09/cracking-the-code-or-ed-reformers-on-crack/" TargetMode="External"/><Relationship Id="rId15" Type="http://schemas.openxmlformats.org/officeDocument/2006/relationships/hyperlink" Target="http://www.hepg.org/hep/book/101/LeadingForEquity" TargetMode="External"/><Relationship Id="rId16" Type="http://schemas.openxmlformats.org/officeDocument/2006/relationships/hyperlink" Target="http://www.educationnation.com/index.cfm?objectid=261DC910-A41C-11DF-A44E000C296BA163" TargetMode="External"/><Relationship Id="rId17" Type="http://schemas.openxmlformats.org/officeDocument/2006/relationships/hyperlink" Target="http://assets.hrc.org//files/assets/resources/HRC-SexHealthBrief-2015.pdf?_ga=2.58286634.1267853941.1500678137-436552566.1500678137" TargetMode="External"/><Relationship Id="rId18" Type="http://schemas.openxmlformats.org/officeDocument/2006/relationships/hyperlink" Target="http://www.glsen.org/sites/default/files/2013%20National%20School%20Climate%20Survey%20Full%20Report_0.pdf" TargetMode="External"/><Relationship Id="rId19" Type="http://schemas.openxmlformats.org/officeDocument/2006/relationships/hyperlink" Target="http://publicreligion.org/site/wp-content/uploads/2015/03/PRRI-Millennials-Web-FINAL.pdf" TargetMode="External"/><Relationship Id="rId63" Type="http://schemas.openxmlformats.org/officeDocument/2006/relationships/hyperlink" Target="http://siecus.org/_data/global/images/public_support.pdf" TargetMode="External"/><Relationship Id="rId64" Type="http://schemas.openxmlformats.org/officeDocument/2006/relationships/hyperlink" Target="http://www.siecus.org/index.cfm?fuseaction=Page.ViewPage&amp;PageID=1198" TargetMode="External"/><Relationship Id="rId65" Type="http://schemas.openxmlformats.org/officeDocument/2006/relationships/hyperlink" Target="http://www.advocatesforyouth.org/topics-issues/sexeducation/833?task=view" TargetMode="External"/><Relationship Id="rId66" Type="http://schemas.openxmlformats.org/officeDocument/2006/relationships/hyperlink" Target="http://www.siecus.org/index.cfm?fuseaction=Page.ViewPage&amp;PageID=1198" TargetMode="External"/><Relationship Id="rId67" Type="http://schemas.openxmlformats.org/officeDocument/2006/relationships/hyperlink" Target="http://www.hrc.org/blog/entry/hhs-encourages-lgbt-inclusive-sex-ed" TargetMode="External"/><Relationship Id="rId68" Type="http://schemas.openxmlformats.org/officeDocument/2006/relationships/hyperlink" Target="https://edsource.org/2013/education-reform-through-the-courts-and-why-its-necessary/49238" TargetMode="External"/><Relationship Id="rId69" Type="http://schemas.openxmlformats.org/officeDocument/2006/relationships/hyperlink" Target="http://journals.sagepub.com/doi/pdf/10.1177/0013124500323007" TargetMode="External"/><Relationship Id="rId50" Type="http://schemas.openxmlformats.org/officeDocument/2006/relationships/hyperlink" Target="http://www.glsen.org/cgi-bin/iowa/all/news/record/2897.html" TargetMode="External"/><Relationship Id="rId51" Type="http://schemas.openxmlformats.org/officeDocument/2006/relationships/hyperlink" Target="http://www.communityactionkit.org/index.cfm?fuseaction=page.viewPage&amp;pageID=1095&amp;nodeID=3&amp;stopRedirect=1" TargetMode="External"/><Relationship Id="rId52" Type="http://schemas.openxmlformats.org/officeDocument/2006/relationships/hyperlink" Target="http://www.communityactionkit.org/index.cfm?fuseaction=page.viewPage&amp;pageID=1095&amp;nodeID=3&amp;stopRedirect=1" TargetMode="External"/><Relationship Id="rId53" Type="http://schemas.openxmlformats.org/officeDocument/2006/relationships/hyperlink" Target="http://www.aclupa.org/downloads/LGBT.pdf" TargetMode="External"/><Relationship Id="rId54" Type="http://schemas.openxmlformats.org/officeDocument/2006/relationships/hyperlink" Target="http://www.communityactionkit.org/index.cfm?fuseaction=page.viewPage&amp;pageID=1095&amp;nodeID=3&amp;stopRedirect=1" TargetMode="External"/><Relationship Id="rId55" Type="http://schemas.openxmlformats.org/officeDocument/2006/relationships/hyperlink" Target="http://www.communityactionkit.org/index.cfm?fuseaction=page.viewPage&amp;pageID=1095&amp;nodeID=3&amp;stopRedirect=1" TargetMode="External"/><Relationship Id="rId56" Type="http://schemas.openxmlformats.org/officeDocument/2006/relationships/hyperlink" Target="http://www.americanprogress.org/issues/lgbt/news/2013/05/02/62087/improving-the-lives-of-lgbt-americans-beginning-with-our-youth/" TargetMode="External"/><Relationship Id="rId57" Type="http://schemas.openxmlformats.org/officeDocument/2006/relationships/hyperlink" Target="http://www.americanprogress.org/issues/lgbt/news/2013/05/02/62087/improving-the-lives-of-lgbt-americans-beginning-with-our-youth/" TargetMode="External"/><Relationship Id="rId58" Type="http://schemas.openxmlformats.org/officeDocument/2006/relationships/hyperlink" Target="http://www.glsen.org/cgi-bin/iowa/all/news/record/2897.html" TargetMode="External"/><Relationship Id="rId59" Type="http://schemas.openxmlformats.org/officeDocument/2006/relationships/hyperlink" Target="http://www.americanprogress.org/issues/lgbt/news/2013/05/02/62087/improving-the-lives-of-lgbt-americans-beginning-with-our-youth/" TargetMode="External"/><Relationship Id="rId40" Type="http://schemas.openxmlformats.org/officeDocument/2006/relationships/hyperlink" Target="http://siecus.org/index.cfm?fuseaction=Feature.showFeature&amp;featureid=1501&amp;pageid=518&amp;parentid=514" TargetMode="External"/><Relationship Id="rId41" Type="http://schemas.openxmlformats.org/officeDocument/2006/relationships/hyperlink" Target="http://www.thetaskforce.org/downloads/reports/reports/ntds_full.pdf" TargetMode="External"/><Relationship Id="rId42" Type="http://schemas.openxmlformats.org/officeDocument/2006/relationships/hyperlink" Target="http://nsvrc.org/sites/default/files/Publications_NSVRC_Research-Brief_Sexual-Violence-LGBTQ.pdf" TargetMode="External"/><Relationship Id="rId43" Type="http://schemas.openxmlformats.org/officeDocument/2006/relationships/hyperlink" Target="http://www.guttmacher.org/statecenter/spibs/spib_SE.pdf" TargetMode="External"/><Relationship Id="rId44" Type="http://schemas.openxmlformats.org/officeDocument/2006/relationships/hyperlink" Target="http://www.guttmacher.org/statecenter/spibs/spib_SE.pdf" TargetMode="External"/><Relationship Id="rId45" Type="http://schemas.openxmlformats.org/officeDocument/2006/relationships/hyperlink" Target="http://codes.lp.findlaw.com/alcode/16/40A/16-40A-2" TargetMode="External"/><Relationship Id="rId46" Type="http://schemas.openxmlformats.org/officeDocument/2006/relationships/hyperlink" Target="http://supreme.justia.com/cases/federal/us/539/558/case.html" TargetMode="External"/><Relationship Id="rId47" Type="http://schemas.openxmlformats.org/officeDocument/2006/relationships/hyperlink" Target="http://www.advocatesforyouth.org/index.php?option=com_content&amp;task=view&amp;id=1042&amp;Itemid=629" TargetMode="External"/><Relationship Id="rId48" Type="http://schemas.openxmlformats.org/officeDocument/2006/relationships/hyperlink" Target="http://www.guttmacher.org/statecenter/spibs/spib_SE.pdf" TargetMode="External"/><Relationship Id="rId49" Type="http://schemas.openxmlformats.org/officeDocument/2006/relationships/hyperlink" Target="http://www.glsen.org/cgi-bin/iowa/all/news/record/2897.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helda.helsinki.fi/bitstream/handle/10138/19772/institut.pdf;jsessionid=F84F34E3570398D7CDCDF521470A22C2?sequence%3D1" TargetMode="External"/><Relationship Id="rId30" Type="http://schemas.openxmlformats.org/officeDocument/2006/relationships/hyperlink" Target="http://www.guttmacher.org/statecenter/spibs/spib_SE.pdf" TargetMode="External"/><Relationship Id="rId31" Type="http://schemas.openxmlformats.org/officeDocument/2006/relationships/hyperlink" Target="http://www.guttmacher.org/statecenter/spibs/spib_SE.pdf" TargetMode="External"/><Relationship Id="rId32" Type="http://schemas.openxmlformats.org/officeDocument/2006/relationships/hyperlink" Target="http://www.guttmacher.org/pubs/FB-Teen-Sex-Ed.html" TargetMode="External"/><Relationship Id="rId33" Type="http://schemas.openxmlformats.org/officeDocument/2006/relationships/hyperlink" Target="http://www.guttmacher.org/pubs/FB-Teen-Sex-Ed.html" TargetMode="External"/><Relationship Id="rId34" Type="http://schemas.openxmlformats.org/officeDocument/2006/relationships/hyperlink" Target="http://www.cdc.gov/hiv/risk/age/youth/" TargetMode="External"/><Relationship Id="rId35" Type="http://schemas.openxmlformats.org/officeDocument/2006/relationships/hyperlink" Target="http://www.cdc.gov/std/Syphilis/STDFact-MSM-Syphilis.htm" TargetMode="External"/><Relationship Id="rId36" Type="http://schemas.openxmlformats.org/officeDocument/2006/relationships/hyperlink" Target="http://www.cdc.gov/std/Syphilis/STDFact-MSM-Syphilis.htm" TargetMode="External"/><Relationship Id="rId37" Type="http://schemas.openxmlformats.org/officeDocument/2006/relationships/hyperlink" Target="http://siecus.org/index.cfm?fuseaction=Feature.showFeature&amp;featureid=1501&amp;pageid=518&amp;parentid=514" TargetMode="External"/><Relationship Id="rId38" Type="http://schemas.openxmlformats.org/officeDocument/2006/relationships/hyperlink" Target="http://www.advocatesforyouth.org/publications/552?task=view" TargetMode="External"/><Relationship Id="rId39" Type="http://schemas.openxmlformats.org/officeDocument/2006/relationships/hyperlink" Target="http://siecus.org/index.cfm?fuseaction=Feature.showFeature&amp;featureid=1501&amp;pageid=518&amp;parentid=514" TargetMode="External"/><Relationship Id="rId70" Type="http://schemas.openxmlformats.org/officeDocument/2006/relationships/hyperlink" Target="http://journals.sagepub.com/doi/pdf/10.1177/0013124500323007" TargetMode="External"/><Relationship Id="rId71" Type="http://schemas.openxmlformats.org/officeDocument/2006/relationships/hyperlink" Target="https://www.brookings.edu/articles/broken-promises-what-the-federal-government-can-do-to-improve-american-education/" TargetMode="External"/><Relationship Id="rId72" Type="http://schemas.openxmlformats.org/officeDocument/2006/relationships/hyperlink" Target="http://www.ncpa.org/pub/four-failed-federal-education-reforms)//dnarayan" TargetMode="External"/><Relationship Id="rId20" Type="http://schemas.openxmlformats.org/officeDocument/2006/relationships/hyperlink" Target="http://thinkprogress.org/health/2013/02/15/1602441/comprehensive-sex-ed-bill/" TargetMode="External"/><Relationship Id="rId21" Type="http://schemas.openxmlformats.org/officeDocument/2006/relationships/hyperlink" Target="http://beta.congress.gov/bill/113th-congress/senate-bill/372/text" TargetMode="External"/><Relationship Id="rId22" Type="http://schemas.openxmlformats.org/officeDocument/2006/relationships/hyperlink" Target="http://www.guttmacher.org/statecenter/spibs/spib_SE.pdf" TargetMode="External"/><Relationship Id="rId23" Type="http://schemas.openxmlformats.org/officeDocument/2006/relationships/hyperlink" Target="http://www.guttmacher.org/pubs/FB-Teen-Sex-Ed.html" TargetMode="External"/><Relationship Id="rId24" Type="http://schemas.openxmlformats.org/officeDocument/2006/relationships/hyperlink" Target="http://www.communityactionkit.org/index.cfm?fuseaction=page.viewPage&amp;pageID=1095&amp;nodeID=3&amp;stopRedirect=1" TargetMode="External"/><Relationship Id="rId25" Type="http://schemas.openxmlformats.org/officeDocument/2006/relationships/hyperlink" Target="http://www.communityactionkit.org/index.cfm?fuseaction=page.viewPage&amp;pageID=1095&amp;nodeID=3&amp;stopRedirect=1" TargetMode="External"/><Relationship Id="rId26" Type="http://schemas.openxmlformats.org/officeDocument/2006/relationships/hyperlink" Target="http://www.glsen.org/cgi-bin/iowa/all/library/record/2897.html?state=research&amp;type=research" TargetMode="External"/><Relationship Id="rId27" Type="http://schemas.openxmlformats.org/officeDocument/2006/relationships/hyperlink" Target="http://www.advocatesforyouth.org/publications/1487?task=view" TargetMode="External"/><Relationship Id="rId28" Type="http://schemas.openxmlformats.org/officeDocument/2006/relationships/hyperlink" Target="http://www.advocatesforyouth.org/publications/1487?task=view" TargetMode="External"/><Relationship Id="rId29" Type="http://schemas.openxmlformats.org/officeDocument/2006/relationships/hyperlink" Target="http://www.guttmacher.org/statecenter/spibs/spib_SE.pdf" TargetMode="External"/><Relationship Id="rId73" Type="http://schemas.openxmlformats.org/officeDocument/2006/relationships/hyperlink" Target="https://www.cato.org/publications/congressional-testimony/impact-federal-involvement-americas-classrooms" TargetMode="External"/><Relationship Id="rId74" Type="http://schemas.openxmlformats.org/officeDocument/2006/relationships/hyperlink" Target="http://chicagounbound.uchicago.edu/cgi/viewcontent.cgi?article=1072&amp;context=public_law_and_legal_theory" TargetMode="External"/><Relationship Id="rId75" Type="http://schemas.openxmlformats.org/officeDocument/2006/relationships/hyperlink" Target="http://corg.indiana.edu/congress-and-the-courts-what-matters-balance" TargetMode="External"/><Relationship Id="rId76" Type="http://schemas.openxmlformats.org/officeDocument/2006/relationships/hyperlink" Target="http://journals.sagepub.com/doi/pdf/10.1177/0013124500323007" TargetMode="External"/><Relationship Id="rId77" Type="http://schemas.openxmlformats.org/officeDocument/2006/relationships/hyperlink" Target="https://www.pacificresearch.org/article/courts-shouldnt-make-education-policy/" TargetMode="External"/><Relationship Id="rId78" Type="http://schemas.openxmlformats.org/officeDocument/2006/relationships/fontTable" Target="fontTable.xml"/><Relationship Id="rId79" Type="http://schemas.openxmlformats.org/officeDocument/2006/relationships/theme" Target="theme/theme1.xml"/><Relationship Id="rId60" Type="http://schemas.openxmlformats.org/officeDocument/2006/relationships/hyperlink" Target="http://www.thetaskforce.org/downloads/reports/reports/ntds_full.pdf" TargetMode="External"/><Relationship Id="rId61" Type="http://schemas.openxmlformats.org/officeDocument/2006/relationships/hyperlink" Target="http://www.americanprogress.org/issues/lgbt/report/2012/03/09/11228/why-the-gay-and-transgender-population-experiences-higher-rates-of-substance-use/" TargetMode="External"/><Relationship Id="rId62" Type="http://schemas.openxmlformats.org/officeDocument/2006/relationships/hyperlink" Target="http://www.glsen.org/cgi-bin/iowa/all/news/record/2897.html" TargetMode="External"/><Relationship Id="rId10" Type="http://schemas.openxmlformats.org/officeDocument/2006/relationships/hyperlink" Target="https://www.forbes.com/sites/timworstall/2016/09/15/sure-if-youve-a-teacher-shortage-then-raising-teacher-pay-sounds-sensible/#766054513075" TargetMode="External"/><Relationship Id="rId11" Type="http://schemas.openxmlformats.org/officeDocument/2006/relationships/hyperlink" Target="http://prospect.org/article/its-not-teachers-unions" TargetMode="External"/><Relationship Id="rId12" Type="http://schemas.openxmlformats.org/officeDocument/2006/relationships/hyperlink" Target="http://prospect.org/article/www.publicagenda.org/files/pdf/stand_by_m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rearee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0E78BDAE-CE73-E943-B180-F7C96881E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17534</Words>
  <Characters>99948</Characters>
  <Application>Microsoft Macintosh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117248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 Reed</dc:creator>
  <cp:keywords>5.2</cp:keywords>
  <dc:description/>
  <cp:lastModifiedBy>A Reed</cp:lastModifiedBy>
  <cp:revision>16</cp:revision>
  <dcterms:created xsi:type="dcterms:W3CDTF">2017-07-21T23:42:00Z</dcterms:created>
  <dcterms:modified xsi:type="dcterms:W3CDTF">2017-07-21T23:54:00Z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