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0F3B49" w14:textId="65B93335" w:rsidR="00326BF6" w:rsidRDefault="00326BF6" w:rsidP="00326BF6">
      <w:pPr>
        <w:pStyle w:val="Heading3"/>
      </w:pPr>
      <w:r>
        <w:t>CP – No Solve</w:t>
      </w:r>
    </w:p>
    <w:p w14:paraId="7B57E2CF" w14:textId="44B926B8" w:rsidR="00612E4A" w:rsidRDefault="00612E4A" w:rsidP="00612E4A">
      <w:pPr>
        <w:pStyle w:val="Heading4"/>
      </w:pPr>
      <w:r>
        <w:t xml:space="preserve">Counterplan fails – judicial barriers and lack of motivation to experiment – assumes their solvency advocate  </w:t>
      </w:r>
    </w:p>
    <w:p w14:paraId="75A52BFD" w14:textId="77777777" w:rsidR="00612E4A" w:rsidRPr="00612E4A" w:rsidRDefault="00612E4A" w:rsidP="00612E4A">
      <w:r>
        <w:rPr>
          <w:b/>
        </w:rPr>
        <w:t xml:space="preserve">Bernstein and </w:t>
      </w:r>
      <w:proofErr w:type="spellStart"/>
      <w:r>
        <w:rPr>
          <w:b/>
        </w:rPr>
        <w:t>Murrary</w:t>
      </w:r>
      <w:proofErr w:type="spellEnd"/>
      <w:r>
        <w:rPr>
          <w:b/>
        </w:rPr>
        <w:t xml:space="preserve"> 16 </w:t>
      </w:r>
      <w:r>
        <w:t>-</w:t>
      </w:r>
      <w:r w:rsidRPr="007C54D4">
        <w:rPr>
          <w:sz w:val="16"/>
          <w:szCs w:val="16"/>
        </w:rPr>
        <w:t>-- Burstein is an Associate Professor of Law at Cardozo School of Law. Murray is the Associate Dean for Innovation and William Porter (1967) Professor of Entrepreneurship at MIT Sloan School of Management. (Michael J., and Fiona E., “INNOVATION PRIZES IN PRACTICE AND THEORY,” Harvard Journal of Law &amp; Technology, Volume 29, Number 2 Spring 2016, p455-456)//</w:t>
      </w:r>
      <w:proofErr w:type="spellStart"/>
      <w:r w:rsidRPr="007C54D4">
        <w:rPr>
          <w:sz w:val="16"/>
          <w:szCs w:val="16"/>
        </w:rPr>
        <w:t>ernst</w:t>
      </w:r>
      <w:proofErr w:type="spellEnd"/>
    </w:p>
    <w:p w14:paraId="5C956E70" w14:textId="77777777" w:rsidR="00E42E4C" w:rsidRDefault="00612E4A" w:rsidP="00612E4A">
      <w:pPr>
        <w:rPr>
          <w:rStyle w:val="StyleUnderline"/>
        </w:rPr>
      </w:pPr>
      <w:r w:rsidRPr="00612E4A">
        <w:rPr>
          <w:sz w:val="16"/>
        </w:rPr>
        <w:t xml:space="preserve">First, </w:t>
      </w:r>
      <w:r w:rsidRPr="00612E4A">
        <w:rPr>
          <w:rStyle w:val="StyleUnderline"/>
        </w:rPr>
        <w:t>the conditions in which experimentation will work often are</w:t>
      </w:r>
      <w:r>
        <w:rPr>
          <w:rStyle w:val="StyleUnderline"/>
        </w:rPr>
        <w:t xml:space="preserve"> </w:t>
      </w:r>
      <w:r w:rsidRPr="00612E4A">
        <w:rPr>
          <w:rStyle w:val="StyleUnderline"/>
        </w:rPr>
        <w:t>more limited than new governance proponents suggest</w:t>
      </w:r>
      <w:r w:rsidRPr="00612E4A">
        <w:rPr>
          <w:sz w:val="16"/>
        </w:rPr>
        <w:t xml:space="preserve">. David </w:t>
      </w:r>
      <w:r w:rsidRPr="00612E4A">
        <w:rPr>
          <w:rStyle w:val="StyleUnderline"/>
        </w:rPr>
        <w:t>Super,</w:t>
      </w:r>
      <w:r>
        <w:rPr>
          <w:rStyle w:val="StyleUnderline"/>
        </w:rPr>
        <w:t xml:space="preserve"> </w:t>
      </w:r>
      <w:r w:rsidRPr="00612E4A">
        <w:rPr>
          <w:sz w:val="16"/>
        </w:rPr>
        <w:t xml:space="preserve">for example, </w:t>
      </w:r>
      <w:r w:rsidRPr="00612E4A">
        <w:rPr>
          <w:rStyle w:val="StyleUnderline"/>
        </w:rPr>
        <w:t>identifies several key assumptions underlying new governance</w:t>
      </w:r>
      <w:r>
        <w:rPr>
          <w:rStyle w:val="StyleUnderline"/>
        </w:rPr>
        <w:t xml:space="preserve"> </w:t>
      </w:r>
      <w:r w:rsidRPr="00612E4A">
        <w:rPr>
          <w:rStyle w:val="StyleUnderline"/>
        </w:rPr>
        <w:t>models: (1) "[A] general consensus about the existence and</w:t>
      </w:r>
      <w:r>
        <w:rPr>
          <w:rStyle w:val="StyleUnderline"/>
        </w:rPr>
        <w:t xml:space="preserve"> </w:t>
      </w:r>
      <w:r w:rsidRPr="00612E4A">
        <w:rPr>
          <w:rStyle w:val="StyleUnderline"/>
        </w:rPr>
        <w:t>nature of a problem;" (2) "that all relevant players are inclined to act</w:t>
      </w:r>
      <w:r>
        <w:rPr>
          <w:rStyle w:val="StyleUnderline"/>
        </w:rPr>
        <w:t xml:space="preserve"> </w:t>
      </w:r>
      <w:r w:rsidRPr="00612E4A">
        <w:rPr>
          <w:rStyle w:val="StyleUnderline"/>
        </w:rPr>
        <w:t>in a public-spirited way to correct that problem;" (3) "that reliable</w:t>
      </w:r>
      <w:r>
        <w:rPr>
          <w:rStyle w:val="StyleUnderline"/>
        </w:rPr>
        <w:t xml:space="preserve"> </w:t>
      </w:r>
      <w:r w:rsidRPr="00612E4A">
        <w:rPr>
          <w:rStyle w:val="StyleUnderline"/>
        </w:rPr>
        <w:t>metrics exist, and can readily be agreed upon and implemented, for</w:t>
      </w:r>
      <w:r>
        <w:rPr>
          <w:rStyle w:val="StyleUnderline"/>
        </w:rPr>
        <w:t xml:space="preserve"> </w:t>
      </w:r>
      <w:r w:rsidRPr="00612E4A">
        <w:rPr>
          <w:rStyle w:val="StyleUnderline"/>
        </w:rPr>
        <w:t>measuring policies' effectiveness;" (4) "that time does not constrain</w:t>
      </w:r>
      <w:r>
        <w:rPr>
          <w:rStyle w:val="StyleUnderline"/>
        </w:rPr>
        <w:t xml:space="preserve"> </w:t>
      </w:r>
      <w:r w:rsidRPr="00612E4A">
        <w:rPr>
          <w:rStyle w:val="StyleUnderline"/>
        </w:rPr>
        <w:t>decision making;" (5) "the absence of factors that would necessitate</w:t>
      </w:r>
      <w:r>
        <w:rPr>
          <w:rStyle w:val="StyleUnderline"/>
        </w:rPr>
        <w:t xml:space="preserve"> </w:t>
      </w:r>
      <w:r w:rsidRPr="00612E4A">
        <w:rPr>
          <w:rStyle w:val="StyleUnderline"/>
        </w:rPr>
        <w:t>national regulation;" and (6) "that transaction costs do not significantly</w:t>
      </w:r>
      <w:r>
        <w:rPr>
          <w:rStyle w:val="StyleUnderline"/>
        </w:rPr>
        <w:t xml:space="preserve"> </w:t>
      </w:r>
      <w:r w:rsidRPr="00612E4A">
        <w:rPr>
          <w:rStyle w:val="StyleUnderline"/>
        </w:rPr>
        <w:t>deter political participation.</w:t>
      </w:r>
      <w:r w:rsidRPr="00612E4A">
        <w:rPr>
          <w:sz w:val="16"/>
        </w:rPr>
        <w:t xml:space="preserve">" 264 He argues that when any one of 263. See generally ALBERT 0. HIRSCHMAN, EXIT, VOICE AND LOYALTY: RESPONSES TO DECLINE IN FIRMS, ORGANIZATIONS, AND STATES (1970). 264. Super, supra note 260, at 553-58. 444 [Vol. 29 Innovation Prizes in Practice and Theory these assumptions is missing, </w:t>
      </w:r>
      <w:r w:rsidRPr="00612E4A">
        <w:rPr>
          <w:rStyle w:val="StyleUnderline"/>
        </w:rPr>
        <w:t>experimentalism may serve to entrench</w:t>
      </w:r>
      <w:r>
        <w:rPr>
          <w:rStyle w:val="StyleUnderline"/>
        </w:rPr>
        <w:t xml:space="preserve"> </w:t>
      </w:r>
      <w:r w:rsidRPr="00612E4A">
        <w:rPr>
          <w:rStyle w:val="StyleUnderline"/>
        </w:rPr>
        <w:t>existing policies rather than to break out of the cycle of traditional</w:t>
      </w:r>
      <w:r>
        <w:rPr>
          <w:rStyle w:val="StyleUnderline"/>
        </w:rPr>
        <w:t xml:space="preserve"> </w:t>
      </w:r>
      <w:r w:rsidRPr="00612E4A">
        <w:rPr>
          <w:rStyle w:val="StyleUnderline"/>
        </w:rPr>
        <w:t>regulation.</w:t>
      </w:r>
      <w:r w:rsidRPr="00612E4A">
        <w:rPr>
          <w:sz w:val="16"/>
        </w:rPr>
        <w:t xml:space="preserve">265 </w:t>
      </w:r>
      <w:r w:rsidRPr="00612E4A">
        <w:rPr>
          <w:rStyle w:val="StyleUnderline"/>
        </w:rPr>
        <w:t>A similar critique by Martin Kurzweil notes that collaborative</w:t>
      </w:r>
      <w:r>
        <w:rPr>
          <w:rStyle w:val="StyleUnderline"/>
        </w:rPr>
        <w:t xml:space="preserve"> </w:t>
      </w:r>
      <w:r w:rsidRPr="00612E4A">
        <w:rPr>
          <w:rStyle w:val="StyleUnderline"/>
        </w:rPr>
        <w:t>governance is difficult and expensive to undertake: "Because</w:t>
      </w:r>
      <w:r>
        <w:rPr>
          <w:rStyle w:val="StyleUnderline"/>
        </w:rPr>
        <w:t xml:space="preserve"> </w:t>
      </w:r>
      <w:r w:rsidRPr="00612E4A">
        <w:rPr>
          <w:rStyle w:val="StyleUnderline"/>
        </w:rPr>
        <w:t>experimentalism requires close observation, critical self-evaluation,</w:t>
      </w:r>
      <w:r>
        <w:rPr>
          <w:rStyle w:val="StyleUnderline"/>
        </w:rPr>
        <w:t xml:space="preserve"> </w:t>
      </w:r>
      <w:r w:rsidRPr="00612E4A">
        <w:rPr>
          <w:rStyle w:val="StyleUnderline"/>
        </w:rPr>
        <w:t>and constant revision, significant effort is expected of participants. It</w:t>
      </w:r>
      <w:r>
        <w:rPr>
          <w:rStyle w:val="StyleUnderline"/>
        </w:rPr>
        <w:t xml:space="preserve"> </w:t>
      </w:r>
      <w:r w:rsidRPr="00612E4A">
        <w:rPr>
          <w:rStyle w:val="StyleUnderline"/>
        </w:rPr>
        <w:t>is a far more active and mentally taxing form of governance than bureaucracy.</w:t>
      </w:r>
      <w:r>
        <w:rPr>
          <w:rStyle w:val="StyleUnderline"/>
        </w:rPr>
        <w:t xml:space="preserve"> </w:t>
      </w:r>
      <w:r w:rsidRPr="00612E4A">
        <w:rPr>
          <w:rStyle w:val="StyleUnderline"/>
        </w:rPr>
        <w:t>Experimentalism also requires this active engagement from</w:t>
      </w:r>
      <w:r>
        <w:rPr>
          <w:rStyle w:val="StyleUnderline"/>
        </w:rPr>
        <w:t xml:space="preserve"> </w:t>
      </w:r>
      <w:r w:rsidRPr="00612E4A">
        <w:rPr>
          <w:rStyle w:val="StyleUnderline"/>
        </w:rPr>
        <w:t>more people than traditional bureaucracy."</w:t>
      </w:r>
      <w:r w:rsidRPr="00612E4A">
        <w:rPr>
          <w:sz w:val="16"/>
        </w:rPr>
        <w:t xml:space="preserve">266 The X PRIZE Foundation itself witnessed the high profile failure of an innovation prize in part for some of the reasons that Super suggests. </w:t>
      </w:r>
      <w:r w:rsidRPr="00612E4A">
        <w:rPr>
          <w:rStyle w:val="StyleUnderline"/>
        </w:rPr>
        <w:t>The $10 million Archon Genomics X Prize was offered for the</w:t>
      </w:r>
      <w:r>
        <w:rPr>
          <w:rStyle w:val="StyleUnderline"/>
        </w:rPr>
        <w:t xml:space="preserve"> </w:t>
      </w:r>
      <w:r w:rsidRPr="00612E4A">
        <w:rPr>
          <w:rStyle w:val="StyleUnderline"/>
        </w:rPr>
        <w:t>development of the next generation of genome sequencing.</w:t>
      </w:r>
      <w:r w:rsidRPr="00612E4A">
        <w:rPr>
          <w:sz w:val="16"/>
        </w:rPr>
        <w:t xml:space="preserve"> Although the prize was announced in 2006, it struggled to attract competitors and had to be re-launched with a different goal and incentive structure in 2011. Even then, it attracted only two teams and was cancelled before the formal start of competition in 2013. Much of the difficulty with the prize arose because the technology was moving rapidly and the parties could not execute an agreement as to the relevant rules and guidelines before it would have become outmoded. </w:t>
      </w:r>
      <w:r w:rsidRPr="00612E4A">
        <w:rPr>
          <w:rStyle w:val="StyleUnderline"/>
        </w:rPr>
        <w:t>Ultimately, the</w:t>
      </w:r>
      <w:r>
        <w:rPr>
          <w:rStyle w:val="StyleUnderline"/>
        </w:rPr>
        <w:t xml:space="preserve"> </w:t>
      </w:r>
      <w:r w:rsidRPr="00612E4A">
        <w:rPr>
          <w:rStyle w:val="StyleUnderline"/>
        </w:rPr>
        <w:t>prize became irrelevant to the development of the technology</w:t>
      </w:r>
      <w:r w:rsidRPr="00612E4A">
        <w:rPr>
          <w:sz w:val="16"/>
        </w:rPr>
        <w:t xml:space="preserve">.2 67 Second, and relatedly, prize models are likely to break down if much of modern administrative law applies with rigor.2 68 </w:t>
      </w:r>
      <w:r w:rsidRPr="00612E4A">
        <w:rPr>
          <w:rStyle w:val="StyleUnderline"/>
        </w:rPr>
        <w:t>A full assessment</w:t>
      </w:r>
      <w:r>
        <w:rPr>
          <w:rStyle w:val="StyleUnderline"/>
        </w:rPr>
        <w:t xml:space="preserve"> </w:t>
      </w:r>
      <w:r w:rsidRPr="00612E4A">
        <w:rPr>
          <w:rStyle w:val="StyleUnderline"/>
        </w:rPr>
        <w:t>of the relationship between prizes and administrative law is</w:t>
      </w:r>
      <w:r>
        <w:rPr>
          <w:rStyle w:val="StyleUnderline"/>
        </w:rPr>
        <w:t xml:space="preserve"> </w:t>
      </w:r>
      <w:r w:rsidRPr="00612E4A">
        <w:rPr>
          <w:rStyle w:val="StyleUnderline"/>
        </w:rPr>
        <w:t>beyond the scope of this article, but it suffices to say that experimentalist</w:t>
      </w:r>
      <w:r>
        <w:rPr>
          <w:rStyle w:val="StyleUnderline"/>
        </w:rPr>
        <w:t xml:space="preserve"> </w:t>
      </w:r>
      <w:r w:rsidRPr="00612E4A">
        <w:rPr>
          <w:rStyle w:val="StyleUnderline"/>
        </w:rPr>
        <w:t>governance fits only uncomfortably within conventional administrative</w:t>
      </w:r>
      <w:r>
        <w:rPr>
          <w:rStyle w:val="StyleUnderline"/>
        </w:rPr>
        <w:t xml:space="preserve"> </w:t>
      </w:r>
      <w:r w:rsidRPr="00612E4A">
        <w:rPr>
          <w:rStyle w:val="StyleUnderline"/>
        </w:rPr>
        <w:t>law.</w:t>
      </w:r>
      <w:r w:rsidRPr="00612E4A">
        <w:rPr>
          <w:sz w:val="16"/>
        </w:rPr>
        <w:t xml:space="preserve"> And prizes are no exception.2 69 </w:t>
      </w:r>
      <w:r w:rsidRPr="00612E4A">
        <w:rPr>
          <w:rStyle w:val="StyleUnderline"/>
        </w:rPr>
        <w:t>Consider just a few of</w:t>
      </w:r>
      <w:r>
        <w:rPr>
          <w:rStyle w:val="StyleUnderline"/>
        </w:rPr>
        <w:t xml:space="preserve"> </w:t>
      </w:r>
      <w:r w:rsidRPr="00612E4A">
        <w:rPr>
          <w:rStyle w:val="StyleUnderline"/>
        </w:rPr>
        <w:t>the requirements of conventional administrative law that might interfere</w:t>
      </w:r>
      <w:r>
        <w:rPr>
          <w:rStyle w:val="StyleUnderline"/>
        </w:rPr>
        <w:t xml:space="preserve"> </w:t>
      </w:r>
      <w:r w:rsidRPr="00612E4A">
        <w:rPr>
          <w:rStyle w:val="StyleUnderline"/>
        </w:rPr>
        <w:t>with the model of prize governance described above.</w:t>
      </w:r>
      <w:r w:rsidRPr="00612E4A">
        <w:rPr>
          <w:sz w:val="16"/>
        </w:rPr>
        <w:t xml:space="preserve"> </w:t>
      </w:r>
      <w:r w:rsidRPr="00612E4A">
        <w:rPr>
          <w:rStyle w:val="StyleUnderline"/>
        </w:rPr>
        <w:t>The Federal</w:t>
      </w:r>
      <w:r>
        <w:rPr>
          <w:rStyle w:val="StyleUnderline"/>
        </w:rPr>
        <w:t xml:space="preserve"> </w:t>
      </w:r>
      <w:r w:rsidRPr="00612E4A">
        <w:rPr>
          <w:rStyle w:val="StyleUnderline"/>
        </w:rPr>
        <w:t>Advisory Committee Act would subject information gathering at the</w:t>
      </w:r>
      <w:r>
        <w:rPr>
          <w:rStyle w:val="StyleUnderline"/>
        </w:rPr>
        <w:t xml:space="preserve"> </w:t>
      </w:r>
      <w:r w:rsidRPr="00612E4A">
        <w:rPr>
          <w:rStyle w:val="StyleUnderline"/>
        </w:rPr>
        <w:t>beginning of the prize development process to a series of disclosure</w:t>
      </w:r>
      <w:r>
        <w:rPr>
          <w:rStyle w:val="StyleUnderline"/>
        </w:rPr>
        <w:t xml:space="preserve"> </w:t>
      </w:r>
      <w:r w:rsidRPr="00612E4A">
        <w:rPr>
          <w:rStyle w:val="StyleUnderline"/>
        </w:rPr>
        <w:t>obligations.</w:t>
      </w:r>
      <w:r w:rsidRPr="00612E4A">
        <w:rPr>
          <w:sz w:val="16"/>
        </w:rPr>
        <w:t xml:space="preserve">2 70 Although there is an argument that the COMPETES Act notice requirement - that agencies publish basic rules in the Federal Register before conducting a prize competition271 - supplants notice-and-comment rulemaking under the Administrative Pro- 265. See id. at 559-63. 266. Martin A. Kurzweil, Disciplined Devolution and the New Education Federalism, 103 CALIF. L. REV. 565, 585 (2015). 267. See Peter </w:t>
      </w:r>
      <w:proofErr w:type="spellStart"/>
      <w:r w:rsidRPr="00612E4A">
        <w:rPr>
          <w:sz w:val="16"/>
        </w:rPr>
        <w:t>Diamandis</w:t>
      </w:r>
      <w:proofErr w:type="spellEnd"/>
      <w:r w:rsidRPr="00612E4A">
        <w:rPr>
          <w:sz w:val="16"/>
        </w:rPr>
        <w:t xml:space="preserve">, Cancellation of the Archon Genomics XPRIZE: A Public Debate, X PRIZE </w:t>
      </w:r>
      <w:proofErr w:type="spellStart"/>
      <w:r w:rsidRPr="00612E4A">
        <w:rPr>
          <w:sz w:val="16"/>
        </w:rPr>
        <w:t>FouND</w:t>
      </w:r>
      <w:proofErr w:type="spellEnd"/>
      <w:r w:rsidRPr="00612E4A">
        <w:rPr>
          <w:sz w:val="16"/>
        </w:rPr>
        <w:t xml:space="preserve">., http://genomics.xprize.org/news/blog/cancellation-ofarchon-genomics-xprize-public-debate [https://perma.cc/DBS5-PYEB]. 268. See Craig &amp; Ruhl, supra note 230, at 27. 269. See generally Steven L. Schooner &amp; Nathaniel E. Castellano, Eyes on the Prize, Head in the Sand: Filling the Due Process Vacuum in Federally Administered Contests, 24 FED. CIR. B.J. 391 (2014). 270. 5 U.S.C. app. § 1-16 (2012). 271. See 15 U.S.C. § 3719(f) (2012). No. 2] 445 Harvard Journal of Law &amp; Technology </w:t>
      </w:r>
      <w:proofErr w:type="spellStart"/>
      <w:r w:rsidRPr="00612E4A">
        <w:rPr>
          <w:sz w:val="16"/>
        </w:rPr>
        <w:t>cedure</w:t>
      </w:r>
      <w:proofErr w:type="spellEnd"/>
      <w:r w:rsidRPr="00612E4A">
        <w:rPr>
          <w:sz w:val="16"/>
        </w:rPr>
        <w:t xml:space="preserve"> Act ("APA"), that is not certain. And requiring such </w:t>
      </w:r>
      <w:proofErr w:type="spellStart"/>
      <w:r w:rsidRPr="00612E4A">
        <w:rPr>
          <w:sz w:val="16"/>
        </w:rPr>
        <w:t>noticeand</w:t>
      </w:r>
      <w:proofErr w:type="spellEnd"/>
      <w:r w:rsidRPr="00612E4A">
        <w:rPr>
          <w:sz w:val="16"/>
        </w:rPr>
        <w:t xml:space="preserve">-comment rulemaking would prove to be cumbersome. Notwithstanding the Auto X Prize's success at using a similar mechanism, APA rulemakings can be exceedingly complex.272 More fundamentally, </w:t>
      </w:r>
      <w:r w:rsidRPr="00612E4A">
        <w:rPr>
          <w:rStyle w:val="StyleUnderline"/>
        </w:rPr>
        <w:t>when agencies change their position on any</w:t>
      </w:r>
      <w:r>
        <w:rPr>
          <w:rStyle w:val="StyleUnderline"/>
        </w:rPr>
        <w:t xml:space="preserve"> </w:t>
      </w:r>
      <w:r w:rsidRPr="00612E4A">
        <w:rPr>
          <w:rStyle w:val="StyleUnderline"/>
        </w:rPr>
        <w:t>given issue, they usually are expected to provide adequate notice and</w:t>
      </w:r>
      <w:r>
        <w:rPr>
          <w:rStyle w:val="StyleUnderline"/>
        </w:rPr>
        <w:t xml:space="preserve"> </w:t>
      </w:r>
      <w:r w:rsidRPr="00612E4A">
        <w:rPr>
          <w:rStyle w:val="StyleUnderline"/>
        </w:rPr>
        <w:t>a reasoned explanation for the departure.</w:t>
      </w:r>
      <w:r w:rsidRPr="00612E4A">
        <w:rPr>
          <w:sz w:val="16"/>
        </w:rPr>
        <w:t xml:space="preserve">2 73 </w:t>
      </w:r>
      <w:r w:rsidRPr="00612E4A">
        <w:rPr>
          <w:rStyle w:val="StyleUnderline"/>
        </w:rPr>
        <w:t>Even if prizes were to</w:t>
      </w:r>
      <w:r>
        <w:rPr>
          <w:rStyle w:val="StyleUnderline"/>
        </w:rPr>
        <w:t xml:space="preserve"> </w:t>
      </w:r>
      <w:r w:rsidRPr="00612E4A">
        <w:rPr>
          <w:rStyle w:val="StyleUnderline"/>
        </w:rPr>
        <w:t>adopt the model of transparency we describe above</w:t>
      </w:r>
      <w:r w:rsidRPr="00612E4A">
        <w:rPr>
          <w:sz w:val="16"/>
        </w:rPr>
        <w:t xml:space="preserve">,274 </w:t>
      </w:r>
      <w:r w:rsidRPr="00612E4A">
        <w:rPr>
          <w:rStyle w:val="StyleUnderline"/>
        </w:rPr>
        <w:t>the quick adaptation</w:t>
      </w:r>
      <w:r>
        <w:rPr>
          <w:rStyle w:val="StyleUnderline"/>
        </w:rPr>
        <w:t xml:space="preserve"> </w:t>
      </w:r>
      <w:r w:rsidRPr="00612E4A">
        <w:rPr>
          <w:rStyle w:val="StyleUnderline"/>
        </w:rPr>
        <w:t>to changing circumstances required of the model would be almost</w:t>
      </w:r>
      <w:r>
        <w:rPr>
          <w:rStyle w:val="StyleUnderline"/>
        </w:rPr>
        <w:t xml:space="preserve"> </w:t>
      </w:r>
      <w:r w:rsidRPr="00612E4A">
        <w:rPr>
          <w:rStyle w:val="StyleUnderline"/>
        </w:rPr>
        <w:t>impossible by the standards of reasoned decision-making in</w:t>
      </w:r>
      <w:r>
        <w:rPr>
          <w:rStyle w:val="StyleUnderline"/>
        </w:rPr>
        <w:t xml:space="preserve"> </w:t>
      </w:r>
      <w:r w:rsidRPr="00612E4A">
        <w:rPr>
          <w:rStyle w:val="StyleUnderline"/>
        </w:rPr>
        <w:t>administrative law.</w:t>
      </w:r>
      <w:r>
        <w:rPr>
          <w:rStyle w:val="StyleUnderline"/>
        </w:rPr>
        <w:t xml:space="preserve"> </w:t>
      </w:r>
      <w:r w:rsidRPr="00612E4A">
        <w:rPr>
          <w:sz w:val="16"/>
        </w:rPr>
        <w:t xml:space="preserve">And, finally, </w:t>
      </w:r>
      <w:r w:rsidRPr="00612E4A">
        <w:rPr>
          <w:rStyle w:val="StyleUnderline"/>
        </w:rPr>
        <w:t>basic notions of due process arguably may be implicated</w:t>
      </w:r>
      <w:r>
        <w:rPr>
          <w:rStyle w:val="StyleUnderline"/>
        </w:rPr>
        <w:t xml:space="preserve"> </w:t>
      </w:r>
      <w:r w:rsidRPr="00612E4A">
        <w:rPr>
          <w:rStyle w:val="StyleUnderline"/>
        </w:rPr>
        <w:t>when disappointed prize contestants are not given full information</w:t>
      </w:r>
      <w:r>
        <w:rPr>
          <w:rStyle w:val="StyleUnderline"/>
        </w:rPr>
        <w:t xml:space="preserve"> </w:t>
      </w:r>
      <w:r w:rsidRPr="00612E4A">
        <w:rPr>
          <w:rStyle w:val="StyleUnderline"/>
        </w:rPr>
        <w:t>about why they failed to achieve the prize</w:t>
      </w:r>
      <w:r w:rsidRPr="00612E4A">
        <w:rPr>
          <w:sz w:val="16"/>
        </w:rPr>
        <w:t xml:space="preserve">. Already </w:t>
      </w:r>
      <w:r w:rsidRPr="00612E4A">
        <w:rPr>
          <w:rStyle w:val="StyleUnderline"/>
        </w:rPr>
        <w:t>at least one</w:t>
      </w:r>
      <w:r>
        <w:rPr>
          <w:rStyle w:val="StyleUnderline"/>
        </w:rPr>
        <w:t xml:space="preserve"> </w:t>
      </w:r>
      <w:r w:rsidRPr="00612E4A">
        <w:rPr>
          <w:rStyle w:val="StyleUnderline"/>
        </w:rPr>
        <w:t>such contestant has filed suit in the Court of Federal Claims seeking</w:t>
      </w:r>
      <w:r>
        <w:rPr>
          <w:rStyle w:val="StyleUnderline"/>
        </w:rPr>
        <w:t xml:space="preserve"> </w:t>
      </w:r>
      <w:r w:rsidRPr="00612E4A">
        <w:rPr>
          <w:rStyle w:val="StyleUnderline"/>
        </w:rPr>
        <w:t>compensation for an agency's failure to award him a prize</w:t>
      </w:r>
      <w:r w:rsidRPr="00612E4A">
        <w:rPr>
          <w:sz w:val="16"/>
        </w:rPr>
        <w:t xml:space="preserve">.275 That case was brought on a breach of contract theory and the court ultimately held that the participation agreement barred the suit.27 6 But a challenge to such an outcome under the APA is plausible.277 The COMPETES Act is silent on the subject of judicial review, so the ordinary presumption of reviewability of agency actions should apply.278 The theory of relief would be a straightforward application of § 706 of the APA, which authorizes courts to set aside arbitrary and capricious agency action. 279 </w:t>
      </w:r>
      <w:r w:rsidRPr="00612E4A">
        <w:rPr>
          <w:rStyle w:val="StyleUnderline"/>
        </w:rPr>
        <w:t>Given the subjectivity and quick turnaround</w:t>
      </w:r>
      <w:r>
        <w:rPr>
          <w:rStyle w:val="StyleUnderline"/>
        </w:rPr>
        <w:t xml:space="preserve"> </w:t>
      </w:r>
      <w:r w:rsidRPr="00612E4A">
        <w:rPr>
          <w:rStyle w:val="StyleUnderline"/>
        </w:rPr>
        <w:t>inevitable in prize judging, it is unlikely that any given decision</w:t>
      </w:r>
      <w:r>
        <w:rPr>
          <w:rStyle w:val="StyleUnderline"/>
        </w:rPr>
        <w:t xml:space="preserve"> </w:t>
      </w:r>
      <w:r w:rsidRPr="00612E4A">
        <w:rPr>
          <w:rStyle w:val="StyleUnderline"/>
        </w:rPr>
        <w:t>will withstand hard look review if applied by a court</w:t>
      </w:r>
      <w:r w:rsidRPr="00612E4A">
        <w:rPr>
          <w:sz w:val="16"/>
        </w:rPr>
        <w:t>.280 As a practical matter</w:t>
      </w:r>
      <w:r w:rsidRPr="00612E4A">
        <w:rPr>
          <w:rStyle w:val="StyleUnderline"/>
        </w:rPr>
        <w:t>, the application of ordinary administrative</w:t>
      </w:r>
      <w:r>
        <w:rPr>
          <w:rStyle w:val="StyleUnderline"/>
        </w:rPr>
        <w:t xml:space="preserve"> </w:t>
      </w:r>
      <w:r w:rsidRPr="00612E4A">
        <w:rPr>
          <w:rStyle w:val="StyleUnderline"/>
        </w:rPr>
        <w:t>law might pose a barrier to implementing prizes at significant scale.</w:t>
      </w:r>
      <w:r>
        <w:rPr>
          <w:rStyle w:val="StyleUnderline"/>
        </w:rPr>
        <w:t xml:space="preserve"> </w:t>
      </w:r>
      <w:r w:rsidRPr="00612E4A">
        <w:rPr>
          <w:sz w:val="16"/>
        </w:rPr>
        <w:t xml:space="preserve">Absent a change in law, </w:t>
      </w:r>
      <w:r w:rsidRPr="00612E4A">
        <w:rPr>
          <w:rStyle w:val="StyleUnderline"/>
        </w:rPr>
        <w:t>the sustainability of an innovation prize depends</w:t>
      </w:r>
      <w:r>
        <w:rPr>
          <w:rStyle w:val="StyleUnderline"/>
        </w:rPr>
        <w:t xml:space="preserve"> </w:t>
      </w:r>
      <w:r w:rsidRPr="00612E4A">
        <w:rPr>
          <w:rStyle w:val="StyleUnderline"/>
        </w:rPr>
        <w:t>on the willingness of parties to go along with the mod</w:t>
      </w:r>
      <w:r w:rsidRPr="00612E4A">
        <w:rPr>
          <w:sz w:val="16"/>
        </w:rPr>
        <w:t>el</w:t>
      </w:r>
      <w:r w:rsidRPr="00612E4A">
        <w:rPr>
          <w:rStyle w:val="StyleUnderline"/>
        </w:rPr>
        <w:t>. This</w:t>
      </w:r>
      <w:r>
        <w:rPr>
          <w:rStyle w:val="StyleUnderline"/>
        </w:rPr>
        <w:t xml:space="preserve"> </w:t>
      </w:r>
      <w:r w:rsidRPr="00612E4A">
        <w:rPr>
          <w:rStyle w:val="StyleUnderline"/>
        </w:rPr>
        <w:t>cannot be assured in all cases, and the likelihood of participation</w:t>
      </w:r>
      <w:r>
        <w:rPr>
          <w:rStyle w:val="StyleUnderline"/>
        </w:rPr>
        <w:t xml:space="preserve"> </w:t>
      </w:r>
      <w:r w:rsidRPr="00612E4A">
        <w:rPr>
          <w:rStyle w:val="StyleUnderline"/>
        </w:rPr>
        <w:t>without defection necessarily limits the scale that a prize system can</w:t>
      </w:r>
      <w:r>
        <w:rPr>
          <w:rStyle w:val="StyleUnderline"/>
        </w:rPr>
        <w:t xml:space="preserve"> </w:t>
      </w:r>
      <w:r w:rsidRPr="00612E4A">
        <w:rPr>
          <w:rStyle w:val="StyleUnderline"/>
        </w:rPr>
        <w:t>achieve.</w:t>
      </w:r>
    </w:p>
    <w:p w14:paraId="4EC3A860" w14:textId="5BD5DF31" w:rsidR="00326BF6" w:rsidRPr="00326BF6" w:rsidRDefault="00326BF6" w:rsidP="00326BF6">
      <w:pPr>
        <w:pStyle w:val="Heading3"/>
      </w:pPr>
      <w:bookmarkStart w:id="0" w:name="_GoBack"/>
      <w:bookmarkEnd w:id="0"/>
      <w:r>
        <w:t>AT: Experimentation</w:t>
      </w:r>
    </w:p>
    <w:p w14:paraId="6BBA9D52" w14:textId="0CEE71A4" w:rsidR="007C54D4" w:rsidRDefault="007C54D4" w:rsidP="007C54D4">
      <w:pPr>
        <w:pStyle w:val="Heading4"/>
        <w:rPr>
          <w:rStyle w:val="StyleUnderline"/>
          <w:u w:val="none"/>
        </w:rPr>
      </w:pPr>
      <w:r>
        <w:rPr>
          <w:rStyle w:val="StyleUnderline"/>
          <w:u w:val="none"/>
        </w:rPr>
        <w:t xml:space="preserve">The counterplan fails – NCLB proves – states will cheat to get the prize </w:t>
      </w:r>
    </w:p>
    <w:p w14:paraId="71323C6F" w14:textId="77777777" w:rsidR="007C54D4" w:rsidRPr="007C54D4" w:rsidRDefault="007C54D4" w:rsidP="007C54D4">
      <w:r>
        <w:rPr>
          <w:b/>
        </w:rPr>
        <w:t xml:space="preserve">Liebman, Cruikshank, Ma et al 16 </w:t>
      </w:r>
      <w:r w:rsidRPr="007C54D4">
        <w:rPr>
          <w:sz w:val="16"/>
          <w:szCs w:val="16"/>
        </w:rPr>
        <w:t>---</w:t>
      </w:r>
      <w:r>
        <w:t xml:space="preserve"> </w:t>
      </w:r>
      <w:r w:rsidRPr="007C54D4">
        <w:rPr>
          <w:sz w:val="16"/>
          <w:szCs w:val="16"/>
        </w:rPr>
        <w:t xml:space="preserve">James S. Liebman, Simon H. Rifkind Professor, Columbia Law School; Elizabeth R. Cruikshank, J.D., Columbia Law School, 2015; Christina C. Ma, J.D., Columbia Law School 2012, Associate, </w:t>
      </w:r>
      <w:proofErr w:type="spellStart"/>
      <w:r w:rsidRPr="007C54D4">
        <w:rPr>
          <w:sz w:val="16"/>
          <w:szCs w:val="16"/>
        </w:rPr>
        <w:t>Wachtell</w:t>
      </w:r>
      <w:proofErr w:type="spellEnd"/>
      <w:r w:rsidRPr="007C54D4">
        <w:rPr>
          <w:sz w:val="16"/>
          <w:szCs w:val="16"/>
        </w:rPr>
        <w:t xml:space="preserve">, Lipton, Rosen &amp; Katz. We are grateful to a number of Columbia Law students who contributed substantially to the writing of this Essay: Anoushka </w:t>
      </w:r>
      <w:proofErr w:type="spellStart"/>
      <w:r w:rsidRPr="007C54D4">
        <w:rPr>
          <w:sz w:val="16"/>
          <w:szCs w:val="16"/>
        </w:rPr>
        <w:t>Asgari</w:t>
      </w:r>
      <w:proofErr w:type="spellEnd"/>
      <w:r w:rsidRPr="007C54D4">
        <w:rPr>
          <w:sz w:val="16"/>
          <w:szCs w:val="16"/>
        </w:rPr>
        <w:t xml:space="preserve">, Brian Campbell, Caleb </w:t>
      </w:r>
      <w:proofErr w:type="spellStart"/>
      <w:r w:rsidRPr="007C54D4">
        <w:rPr>
          <w:sz w:val="16"/>
          <w:szCs w:val="16"/>
        </w:rPr>
        <w:t>Deats</w:t>
      </w:r>
      <w:proofErr w:type="spellEnd"/>
      <w:r w:rsidRPr="007C54D4">
        <w:rPr>
          <w:sz w:val="16"/>
          <w:szCs w:val="16"/>
        </w:rPr>
        <w:t xml:space="preserve">, Levi Downing, Peter Fountain, Mark Goldberg, Simon Greenberg, Remy </w:t>
      </w:r>
      <w:proofErr w:type="spellStart"/>
      <w:r w:rsidRPr="007C54D4">
        <w:rPr>
          <w:sz w:val="16"/>
          <w:szCs w:val="16"/>
        </w:rPr>
        <w:t>Grosbard</w:t>
      </w:r>
      <w:proofErr w:type="spellEnd"/>
      <w:r w:rsidRPr="007C54D4">
        <w:rPr>
          <w:sz w:val="16"/>
          <w:szCs w:val="16"/>
        </w:rPr>
        <w:t xml:space="preserve">, Daniel Hamburg, Kelsey Hogan, Ryan Johansen, Tara </w:t>
      </w:r>
      <w:proofErr w:type="spellStart"/>
      <w:r w:rsidRPr="007C54D4">
        <w:rPr>
          <w:sz w:val="16"/>
          <w:szCs w:val="16"/>
        </w:rPr>
        <w:t>Raam</w:t>
      </w:r>
      <w:proofErr w:type="spellEnd"/>
      <w:r w:rsidRPr="007C54D4">
        <w:rPr>
          <w:sz w:val="16"/>
          <w:szCs w:val="16"/>
        </w:rPr>
        <w:t xml:space="preserve">, Gautam Rao, Jason </w:t>
      </w:r>
      <w:proofErr w:type="spellStart"/>
      <w:r w:rsidRPr="007C54D4">
        <w:rPr>
          <w:sz w:val="16"/>
          <w:szCs w:val="16"/>
        </w:rPr>
        <w:t>Schnier</w:t>
      </w:r>
      <w:proofErr w:type="spellEnd"/>
      <w:r w:rsidRPr="007C54D4">
        <w:rPr>
          <w:sz w:val="16"/>
          <w:szCs w:val="16"/>
        </w:rPr>
        <w:t xml:space="preserve">, Prateek </w:t>
      </w:r>
      <w:proofErr w:type="spellStart"/>
      <w:r w:rsidRPr="007C54D4">
        <w:rPr>
          <w:sz w:val="16"/>
          <w:szCs w:val="16"/>
        </w:rPr>
        <w:t>Vasireddy</w:t>
      </w:r>
      <w:proofErr w:type="spellEnd"/>
      <w:r w:rsidRPr="007C54D4">
        <w:rPr>
          <w:sz w:val="16"/>
          <w:szCs w:val="16"/>
        </w:rPr>
        <w:t>, and Jamie Wolfe. (James S., Simon H., Christina C., “Governance of Steel and Kryptonite Politics in Contemporary Public Education Reform,” p44, https://papers.ssrn.com/sol3/papers.cfm?abstract_id=2739734)//ernst</w:t>
      </w:r>
    </w:p>
    <w:p w14:paraId="2F457306" w14:textId="36E03FBB" w:rsidR="007C54D4" w:rsidRDefault="007C54D4" w:rsidP="007C54D4">
      <w:pPr>
        <w:rPr>
          <w:rStyle w:val="StyleUnderline"/>
          <w:sz w:val="16"/>
          <w:u w:val="none"/>
        </w:rPr>
      </w:pPr>
      <w:r w:rsidRPr="007C54D4">
        <w:rPr>
          <w:rStyle w:val="StyleUnderline"/>
        </w:rPr>
        <w:t>The post-NCLB reforms discussed above, which rely on accountability and evaluation</w:t>
      </w:r>
      <w:r>
        <w:rPr>
          <w:rStyle w:val="StyleUnderline"/>
        </w:rPr>
        <w:t xml:space="preserve"> </w:t>
      </w:r>
      <w:r w:rsidRPr="007C54D4">
        <w:rPr>
          <w:rStyle w:val="StyleUnderline"/>
        </w:rPr>
        <w:t>systems to rate schools and teachers and impose consequences based on student test scores</w:t>
      </w:r>
      <w:r w:rsidRPr="007C54D4">
        <w:rPr>
          <w:rStyle w:val="StyleUnderline"/>
          <w:sz w:val="16"/>
          <w:u w:val="none"/>
        </w:rPr>
        <w:t xml:space="preserve">,242 </w:t>
      </w:r>
      <w:r w:rsidRPr="007C54D4">
        <w:rPr>
          <w:rStyle w:val="StyleUnderline"/>
        </w:rPr>
        <w:t>have an obvious resemblance to managerialism.</w:t>
      </w:r>
      <w:r w:rsidRPr="007C54D4">
        <w:rPr>
          <w:rStyle w:val="StyleUnderline"/>
          <w:sz w:val="16"/>
          <w:u w:val="none"/>
        </w:rPr>
        <w:t xml:space="preserve"> On closer inspection, however, </w:t>
      </w:r>
      <w:proofErr w:type="spellStart"/>
      <w:r w:rsidRPr="007C54D4">
        <w:rPr>
          <w:rStyle w:val="StyleUnderline"/>
        </w:rPr>
        <w:t>nonmanagerialist</w:t>
      </w:r>
      <w:proofErr w:type="spellEnd"/>
      <w:r>
        <w:rPr>
          <w:rStyle w:val="StyleUnderline"/>
        </w:rPr>
        <w:t xml:space="preserve"> </w:t>
      </w:r>
      <w:r w:rsidRPr="007C54D4">
        <w:rPr>
          <w:rStyle w:val="StyleUnderline"/>
        </w:rPr>
        <w:t>features dominate,</w:t>
      </w:r>
      <w:r w:rsidRPr="007C54D4">
        <w:rPr>
          <w:rStyle w:val="StyleUnderline"/>
          <w:sz w:val="16"/>
          <w:u w:val="none"/>
        </w:rPr>
        <w:t xml:space="preserve"> including the use of leading or diagnostic indicators derived from qualitative reviews and student surveys of schools and teachers, in addition to the lagging, </w:t>
      </w:r>
      <w:r w:rsidRPr="007C54D4">
        <w:rPr>
          <w:rStyle w:val="StyleUnderline"/>
        </w:rPr>
        <w:t>quantitative indicators on which managerialism exclusively relies;</w:t>
      </w:r>
      <w:r w:rsidRPr="007C54D4">
        <w:rPr>
          <w:rStyle w:val="StyleUnderline"/>
          <w:sz w:val="16"/>
          <w:u w:val="none"/>
        </w:rPr>
        <w:t xml:space="preserve"> disaggregation of both types of information down to the level of each individual student, which serves no managerialist function; and inquiry teams’ use of all available information to hypothesize and quickly test causes and solutions for instructional failure.243 </w:t>
      </w:r>
      <w:r w:rsidRPr="007C54D4">
        <w:rPr>
          <w:rStyle w:val="StyleUnderline"/>
        </w:rPr>
        <w:t>In these ways, the reforms use tests scores, as</w:t>
      </w:r>
      <w:r>
        <w:rPr>
          <w:rStyle w:val="StyleUnderline"/>
        </w:rPr>
        <w:t xml:space="preserve"> </w:t>
      </w:r>
      <w:r w:rsidRPr="007C54D4">
        <w:rPr>
          <w:rStyle w:val="StyleUnderline"/>
        </w:rPr>
        <w:t>well as a variety of qualitative information about schools and educators, to develop the inside-</w:t>
      </w:r>
      <w:r>
        <w:rPr>
          <w:rStyle w:val="StyleUnderline"/>
        </w:rPr>
        <w:t xml:space="preserve"> </w:t>
      </w:r>
      <w:r w:rsidRPr="007C54D4">
        <w:rPr>
          <w:rStyle w:val="StyleUnderline"/>
        </w:rPr>
        <w:t>the-black-box, learning-from-experience, and transferrable explanations for success and failure</w:t>
      </w:r>
      <w:r>
        <w:rPr>
          <w:rStyle w:val="StyleUnderline"/>
        </w:rPr>
        <w:t xml:space="preserve"> </w:t>
      </w:r>
      <w:r w:rsidRPr="007C54D4">
        <w:rPr>
          <w:rStyle w:val="StyleUnderline"/>
        </w:rPr>
        <w:t>that both marketization and managerialism eschew as discredited echo of bureaucracies’ faith in</w:t>
      </w:r>
      <w:r>
        <w:rPr>
          <w:rStyle w:val="StyleUnderline"/>
        </w:rPr>
        <w:t xml:space="preserve"> </w:t>
      </w:r>
      <w:r w:rsidRPr="007C54D4">
        <w:rPr>
          <w:rStyle w:val="StyleUnderline"/>
        </w:rPr>
        <w:t>learned experts.</w:t>
      </w:r>
      <w:r w:rsidRPr="007C54D4">
        <w:rPr>
          <w:rStyle w:val="StyleUnderline"/>
          <w:sz w:val="16"/>
          <w:u w:val="none"/>
        </w:rPr>
        <w:t xml:space="preserve">244 </w:t>
      </w:r>
      <w:r w:rsidRPr="007C54D4">
        <w:rPr>
          <w:rStyle w:val="StyleUnderline"/>
        </w:rPr>
        <w:t>The reforms use performance indicators not to line up all school and</w:t>
      </w:r>
      <w:r>
        <w:rPr>
          <w:rStyle w:val="StyleUnderline"/>
        </w:rPr>
        <w:t xml:space="preserve"> </w:t>
      </w:r>
      <w:r w:rsidRPr="007C54D4">
        <w:rPr>
          <w:rStyle w:val="StyleUnderline"/>
        </w:rPr>
        <w:t>classroom managers from best to worst and impose consequences accordingly but to motivate</w:t>
      </w:r>
      <w:r>
        <w:rPr>
          <w:rStyle w:val="StyleUnderline"/>
        </w:rPr>
        <w:t xml:space="preserve"> </w:t>
      </w:r>
      <w:r w:rsidRPr="007C54D4">
        <w:rPr>
          <w:rStyle w:val="StyleUnderline"/>
        </w:rPr>
        <w:t>and facilitate a search for transferrable local expertise—and for the few schools and educators</w:t>
      </w:r>
      <w:r>
        <w:rPr>
          <w:rStyle w:val="StyleUnderline"/>
        </w:rPr>
        <w:t xml:space="preserve"> </w:t>
      </w:r>
      <w:r w:rsidRPr="007C54D4">
        <w:rPr>
          <w:rStyle w:val="StyleUnderline"/>
        </w:rPr>
        <w:t>who are so chronically incapable of learning to improve and so harmful to children that they do</w:t>
      </w:r>
      <w:r>
        <w:rPr>
          <w:rStyle w:val="StyleUnderline"/>
        </w:rPr>
        <w:t xml:space="preserve"> </w:t>
      </w:r>
      <w:r w:rsidRPr="007C54D4">
        <w:rPr>
          <w:rStyle w:val="StyleUnderline"/>
        </w:rPr>
        <w:t>not belong in the system.245</w:t>
      </w:r>
      <w:r>
        <w:rPr>
          <w:rStyle w:val="StyleUnderline"/>
        </w:rPr>
        <w:t xml:space="preserve"> </w:t>
      </w:r>
      <w:r w:rsidRPr="007C54D4">
        <w:rPr>
          <w:rStyle w:val="StyleUnderline"/>
        </w:rPr>
        <w:t>As NCLB illustrates, managerialism is unlikely to be a fruitful model for school reform.</w:t>
      </w:r>
      <w:r>
        <w:rPr>
          <w:rStyle w:val="StyleUnderline"/>
        </w:rPr>
        <w:t xml:space="preserve"> </w:t>
      </w:r>
      <w:r w:rsidRPr="007C54D4">
        <w:rPr>
          <w:rStyle w:val="StyleUnderline"/>
        </w:rPr>
        <w:t>Targets used solely for non-diagnostic evaluation and without iterative testing and improvement</w:t>
      </w:r>
      <w:r>
        <w:rPr>
          <w:rStyle w:val="StyleUnderline"/>
        </w:rPr>
        <w:t xml:space="preserve"> </w:t>
      </w:r>
      <w:r w:rsidRPr="007C54D4">
        <w:rPr>
          <w:rStyle w:val="StyleUnderline"/>
        </w:rPr>
        <w:t>of their acuity are likely to be unrealistically high or low; lead to distortionary behavior like the</w:t>
      </w:r>
      <w:r>
        <w:rPr>
          <w:rStyle w:val="StyleUnderline"/>
        </w:rPr>
        <w:t xml:space="preserve"> </w:t>
      </w:r>
      <w:r w:rsidRPr="007C54D4">
        <w:rPr>
          <w:rStyle w:val="StyleUnderline"/>
        </w:rPr>
        <w:t>dumbing down of standards or cheating;</w:t>
      </w:r>
      <w:r w:rsidRPr="007C54D4">
        <w:rPr>
          <w:rStyle w:val="StyleUnderline"/>
          <w:sz w:val="16"/>
          <w:u w:val="none"/>
        </w:rPr>
        <w:t>246 c</w:t>
      </w:r>
      <w:r w:rsidRPr="007C54D4">
        <w:rPr>
          <w:rStyle w:val="StyleUnderline"/>
        </w:rPr>
        <w:t>urb creativity and focus attention only on actions</w:t>
      </w:r>
      <w:r>
        <w:rPr>
          <w:rStyle w:val="StyleUnderline"/>
        </w:rPr>
        <w:t xml:space="preserve"> </w:t>
      </w:r>
      <w:r w:rsidRPr="007C54D4">
        <w:rPr>
          <w:rStyle w:val="StyleUnderline"/>
        </w:rPr>
        <w:t>within the target’s narrow purview</w:t>
      </w:r>
      <w:r w:rsidRPr="007C54D4">
        <w:rPr>
          <w:rStyle w:val="StyleUnderline"/>
          <w:sz w:val="16"/>
          <w:u w:val="none"/>
        </w:rPr>
        <w:t xml:space="preserve">—for example, interventions only for children at or near the proficiency line; and depend for their effect on talented managers who are in short supply absent centrally organized capacity-building efforts that managerialism is unprepared to provide.247 Finally, </w:t>
      </w:r>
      <w:r w:rsidRPr="007C54D4">
        <w:rPr>
          <w:rStyle w:val="StyleUnderline"/>
        </w:rPr>
        <w:t>managerialism’s failure to provide an alternative to special-interest politics and</w:t>
      </w:r>
      <w:r>
        <w:rPr>
          <w:rStyle w:val="StyleUnderline"/>
        </w:rPr>
        <w:t xml:space="preserve"> </w:t>
      </w:r>
      <w:r w:rsidRPr="007C54D4">
        <w:rPr>
          <w:rStyle w:val="StyleUnderline"/>
        </w:rPr>
        <w:t>its reliance instead on diminishing the range of issues that bureaucratic elites control leave</w:t>
      </w:r>
      <w:r>
        <w:rPr>
          <w:rStyle w:val="StyleUnderline"/>
        </w:rPr>
        <w:t xml:space="preserve"> </w:t>
      </w:r>
      <w:r w:rsidRPr="007C54D4">
        <w:rPr>
          <w:rStyle w:val="StyleUnderline"/>
        </w:rPr>
        <w:t>targets vulnerable for another reason. As long as central administrators retain the power to set</w:t>
      </w:r>
      <w:r>
        <w:rPr>
          <w:rStyle w:val="StyleUnderline"/>
        </w:rPr>
        <w:t xml:space="preserve"> </w:t>
      </w:r>
      <w:r w:rsidRPr="007C54D4">
        <w:rPr>
          <w:rStyle w:val="StyleUnderline"/>
        </w:rPr>
        <w:t>goals and hold principals and teachers accountable for failing to meeting them, the likeliest</w:t>
      </w:r>
      <w:r>
        <w:rPr>
          <w:rStyle w:val="StyleUnderline"/>
        </w:rPr>
        <w:t xml:space="preserve"> </w:t>
      </w:r>
      <w:r w:rsidRPr="007C54D4">
        <w:rPr>
          <w:rStyle w:val="StyleUnderline"/>
        </w:rPr>
        <w:t>outcome is that the interest groups with the greatest influence over school bureaucracies—those</w:t>
      </w:r>
      <w:r>
        <w:rPr>
          <w:rStyle w:val="StyleUnderline"/>
        </w:rPr>
        <w:t xml:space="preserve"> </w:t>
      </w:r>
      <w:r w:rsidRPr="007C54D4">
        <w:rPr>
          <w:rStyle w:val="StyleUnderline"/>
        </w:rPr>
        <w:t>representing the very same principals and teachers—will succeed in disrupting the process.</w:t>
      </w:r>
      <w:r w:rsidRPr="007C54D4">
        <w:rPr>
          <w:rStyle w:val="StyleUnderline"/>
          <w:sz w:val="16"/>
          <w:u w:val="none"/>
        </w:rPr>
        <w:t>248</w:t>
      </w:r>
    </w:p>
    <w:p w14:paraId="182BCEFD" w14:textId="6DFA004F" w:rsidR="00326BF6" w:rsidRPr="00326BF6" w:rsidRDefault="00326BF6" w:rsidP="00326BF6">
      <w:pPr>
        <w:pStyle w:val="Heading3"/>
      </w:pPr>
      <w:r>
        <w:t>States Say No/Weak Framework</w:t>
      </w:r>
    </w:p>
    <w:p w14:paraId="3BA7B06A" w14:textId="2AFA904B" w:rsidR="00E70BEA" w:rsidRDefault="00E70BEA" w:rsidP="00E70BEA">
      <w:pPr>
        <w:pStyle w:val="Heading4"/>
      </w:pPr>
      <w:r>
        <w:t xml:space="preserve">States say no or develop less effective </w:t>
      </w:r>
      <w:proofErr w:type="spellStart"/>
      <w:r>
        <w:t>strats</w:t>
      </w:r>
      <w:proofErr w:type="spellEnd"/>
      <w:r>
        <w:t xml:space="preserve"> </w:t>
      </w:r>
    </w:p>
    <w:p w14:paraId="2B27A53B" w14:textId="626F641B" w:rsidR="00E70BEA" w:rsidRPr="00277F1F" w:rsidRDefault="00E70BEA" w:rsidP="00E70BEA">
      <w:r>
        <w:rPr>
          <w:b/>
        </w:rPr>
        <w:t>Bulman-</w:t>
      </w:r>
      <w:proofErr w:type="spellStart"/>
      <w:r>
        <w:rPr>
          <w:b/>
        </w:rPr>
        <w:t>Pozen</w:t>
      </w:r>
      <w:proofErr w:type="spellEnd"/>
      <w:r>
        <w:rPr>
          <w:b/>
        </w:rPr>
        <w:t xml:space="preserve"> and Metzger </w:t>
      </w:r>
      <w:r w:rsidR="00277F1F">
        <w:rPr>
          <w:b/>
        </w:rPr>
        <w:t xml:space="preserve">16 </w:t>
      </w:r>
      <w:r w:rsidR="00277F1F">
        <w:t>--- both at Columbia University (Jessica, Gillian E., “</w:t>
      </w:r>
      <w:r w:rsidR="00277F1F" w:rsidRPr="00277F1F">
        <w:t>The President and the States: Patterns of Contestation and Collaboration under Obama</w:t>
      </w:r>
      <w:r w:rsidR="00277F1F">
        <w:t xml:space="preserve">,” May 21, 2016, Publius, Vol 46, Issue 3, Summer 2016, </w:t>
      </w:r>
      <w:r w:rsidR="00277F1F" w:rsidRPr="00277F1F">
        <w:t>https://academic.oup.com/publius/article-abstract/46/3/308/1752741/The-President-and-the-States-Patterns-of</w:t>
      </w:r>
      <w:r w:rsidR="00277F1F">
        <w:t>)//ernst</w:t>
      </w:r>
    </w:p>
    <w:p w14:paraId="7B7391B8" w14:textId="2B698787" w:rsidR="00481D70" w:rsidRPr="00481D70" w:rsidRDefault="00481D70" w:rsidP="00481D70">
      <w:pPr>
        <w:rPr>
          <w:rStyle w:val="StyleUnderline"/>
        </w:rPr>
      </w:pPr>
      <w:r w:rsidRPr="00277F1F">
        <w:rPr>
          <w:sz w:val="16"/>
        </w:rPr>
        <w:t>State Law as a Substitute</w:t>
      </w:r>
      <w:r w:rsidR="00277F1F" w:rsidRPr="00277F1F">
        <w:rPr>
          <w:sz w:val="16"/>
        </w:rPr>
        <w:t xml:space="preserve"> </w:t>
      </w:r>
      <w:r w:rsidRPr="00277F1F">
        <w:rPr>
          <w:sz w:val="16"/>
        </w:rPr>
        <w:t>The federal executive branch has not only relied on state laws and policies to</w:t>
      </w:r>
      <w:r w:rsidR="00277F1F" w:rsidRPr="00277F1F">
        <w:rPr>
          <w:sz w:val="16"/>
        </w:rPr>
        <w:t xml:space="preserve"> </w:t>
      </w:r>
      <w:r w:rsidRPr="00277F1F">
        <w:rPr>
          <w:sz w:val="16"/>
        </w:rPr>
        <w:t>complement federal law, but also to stand in for absent federal law or, more</w:t>
      </w:r>
      <w:r w:rsidR="00277F1F" w:rsidRPr="00277F1F">
        <w:rPr>
          <w:sz w:val="16"/>
        </w:rPr>
        <w:t xml:space="preserve"> </w:t>
      </w:r>
      <w:r w:rsidRPr="00277F1F">
        <w:rPr>
          <w:sz w:val="16"/>
        </w:rPr>
        <w:t>controversially, to substitute for federal laws with which it disagrees. First, the</w:t>
      </w:r>
      <w:r w:rsidR="00277F1F" w:rsidRPr="00277F1F">
        <w:rPr>
          <w:sz w:val="16"/>
        </w:rPr>
        <w:t xml:space="preserve"> </w:t>
      </w:r>
      <w:r w:rsidRPr="00277F1F">
        <w:rPr>
          <w:sz w:val="16"/>
        </w:rPr>
        <w:t>federal executive has increasingly pushed for new state laws to achieve objectives</w:t>
      </w:r>
      <w:r w:rsidR="00277F1F" w:rsidRPr="00277F1F">
        <w:rPr>
          <w:sz w:val="16"/>
        </w:rPr>
        <w:t xml:space="preserve"> </w:t>
      </w:r>
      <w:r w:rsidRPr="00277F1F">
        <w:rPr>
          <w:sz w:val="16"/>
        </w:rPr>
        <w:t xml:space="preserve">that are stymied in Washington. </w:t>
      </w:r>
      <w:r w:rsidRPr="00481D70">
        <w:rPr>
          <w:rStyle w:val="StyleUnderline"/>
        </w:rPr>
        <w:t>Although the authority granted to them by federal</w:t>
      </w:r>
      <w:r w:rsidR="00277F1F">
        <w:rPr>
          <w:rStyle w:val="StyleUnderline"/>
        </w:rPr>
        <w:t xml:space="preserve"> </w:t>
      </w:r>
      <w:r w:rsidRPr="00481D70">
        <w:rPr>
          <w:rStyle w:val="StyleUnderline"/>
        </w:rPr>
        <w:t>statutes often gives federal agencies broad room in which to operate, some policy</w:t>
      </w:r>
      <w:r w:rsidR="00277F1F">
        <w:rPr>
          <w:rStyle w:val="StyleUnderline"/>
        </w:rPr>
        <w:t xml:space="preserve"> </w:t>
      </w:r>
      <w:r w:rsidRPr="00481D70">
        <w:rPr>
          <w:rStyle w:val="StyleUnderline"/>
        </w:rPr>
        <w:t>goals are attainable only through new legislation</w:t>
      </w:r>
      <w:r w:rsidRPr="00277F1F">
        <w:rPr>
          <w:sz w:val="16"/>
        </w:rPr>
        <w:t>. Even here, however, a</w:t>
      </w:r>
      <w:r w:rsidRPr="00481D70">
        <w:rPr>
          <w:rStyle w:val="StyleUnderline"/>
        </w:rPr>
        <w:t xml:space="preserve"> gridlocked</w:t>
      </w:r>
      <w:r w:rsidR="00277F1F">
        <w:rPr>
          <w:rStyle w:val="StyleUnderline"/>
        </w:rPr>
        <w:t xml:space="preserve"> </w:t>
      </w:r>
      <w:r w:rsidRPr="00481D70">
        <w:rPr>
          <w:rStyle w:val="StyleUnderline"/>
        </w:rPr>
        <w:t>Congress may sometimes be surmounted by turning to the states, with sub-federal</w:t>
      </w:r>
      <w:r w:rsidR="00277F1F">
        <w:rPr>
          <w:rStyle w:val="StyleUnderline"/>
        </w:rPr>
        <w:t xml:space="preserve"> </w:t>
      </w:r>
      <w:r w:rsidRPr="00481D70">
        <w:rPr>
          <w:rStyle w:val="StyleUnderline"/>
        </w:rPr>
        <w:t xml:space="preserve">legislation standing in for federal legislation. </w:t>
      </w:r>
      <w:r w:rsidRPr="00277F1F">
        <w:rPr>
          <w:szCs w:val="22"/>
          <w:u w:val="single"/>
        </w:rPr>
        <w:t>Unable to get a national minimum</w:t>
      </w:r>
      <w:r w:rsidR="00277F1F" w:rsidRPr="00277F1F">
        <w:rPr>
          <w:szCs w:val="22"/>
          <w:u w:val="single"/>
        </w:rPr>
        <w:t xml:space="preserve"> </w:t>
      </w:r>
      <w:r w:rsidRPr="00277F1F">
        <w:rPr>
          <w:szCs w:val="22"/>
          <w:u w:val="single"/>
        </w:rPr>
        <w:t>wage increase through Congress, for instance, President Obama encouraged states</w:t>
      </w:r>
      <w:r w:rsidR="00277F1F" w:rsidRPr="00277F1F">
        <w:rPr>
          <w:szCs w:val="22"/>
          <w:u w:val="single"/>
        </w:rPr>
        <w:t xml:space="preserve"> </w:t>
      </w:r>
      <w:r w:rsidRPr="00277F1F">
        <w:rPr>
          <w:szCs w:val="22"/>
          <w:u w:val="single"/>
        </w:rPr>
        <w:t>to act, and several increased their minimum wage</w:t>
      </w:r>
      <w:r w:rsidRPr="00277F1F">
        <w:rPr>
          <w:sz w:val="16"/>
        </w:rPr>
        <w:t xml:space="preserve"> (</w:t>
      </w:r>
      <w:proofErr w:type="spellStart"/>
      <w:r w:rsidRPr="00277F1F">
        <w:rPr>
          <w:sz w:val="16"/>
        </w:rPr>
        <w:t>Memoli</w:t>
      </w:r>
      <w:proofErr w:type="spellEnd"/>
      <w:r w:rsidRPr="00277F1F">
        <w:rPr>
          <w:sz w:val="16"/>
        </w:rPr>
        <w:t xml:space="preserve"> 2014). States and</w:t>
      </w:r>
      <w:r w:rsidR="00277F1F" w:rsidRPr="00277F1F">
        <w:rPr>
          <w:sz w:val="16"/>
        </w:rPr>
        <w:t xml:space="preserve"> </w:t>
      </w:r>
      <w:r w:rsidRPr="00277F1F">
        <w:rPr>
          <w:sz w:val="16"/>
        </w:rPr>
        <w:t>localities also passed laws guaranteeing sick days for workers, family leave policies,</w:t>
      </w:r>
      <w:r w:rsidR="00277F1F" w:rsidRPr="00277F1F">
        <w:rPr>
          <w:sz w:val="16"/>
        </w:rPr>
        <w:t xml:space="preserve"> </w:t>
      </w:r>
      <w:r w:rsidRPr="00277F1F">
        <w:rPr>
          <w:sz w:val="16"/>
        </w:rPr>
        <w:t>and early childhood education programs, even as Congress ignored the President’s</w:t>
      </w:r>
      <w:r w:rsidR="00277F1F" w:rsidRPr="00277F1F">
        <w:rPr>
          <w:sz w:val="16"/>
        </w:rPr>
        <w:t xml:space="preserve"> </w:t>
      </w:r>
      <w:r w:rsidRPr="00277F1F">
        <w:rPr>
          <w:sz w:val="16"/>
        </w:rPr>
        <w:t xml:space="preserve">entreaties to do so. </w:t>
      </w:r>
      <w:r w:rsidRPr="00481D70">
        <w:rPr>
          <w:rStyle w:val="StyleUnderline"/>
        </w:rPr>
        <w:t>Because both state and federal legislatures have authority to</w:t>
      </w:r>
      <w:r w:rsidR="00277F1F">
        <w:rPr>
          <w:rStyle w:val="StyleUnderline"/>
        </w:rPr>
        <w:t xml:space="preserve"> </w:t>
      </w:r>
      <w:r w:rsidRPr="00481D70">
        <w:rPr>
          <w:rStyle w:val="StyleUnderline"/>
        </w:rPr>
        <w:t>prescribe these policies, state law may achieve the same result as a federal law</w:t>
      </w:r>
      <w:r w:rsidR="00277F1F">
        <w:rPr>
          <w:rStyle w:val="StyleUnderline"/>
        </w:rPr>
        <w:t xml:space="preserve"> </w:t>
      </w:r>
      <w:r w:rsidRPr="00481D70">
        <w:rPr>
          <w:rStyle w:val="StyleUnderline"/>
        </w:rPr>
        <w:t>would have within a particular jurisdiction.</w:t>
      </w:r>
      <w:r w:rsidR="00277F1F">
        <w:rPr>
          <w:rStyle w:val="StyleUnderline"/>
        </w:rPr>
        <w:t xml:space="preserve"> </w:t>
      </w:r>
      <w:r w:rsidRPr="00277F1F">
        <w:rPr>
          <w:sz w:val="16"/>
        </w:rPr>
        <w:t>That states and localities are codifying these policies reflects more than</w:t>
      </w:r>
      <w:r w:rsidR="00277F1F" w:rsidRPr="00277F1F">
        <w:rPr>
          <w:sz w:val="16"/>
        </w:rPr>
        <w:t xml:space="preserve"> </w:t>
      </w:r>
      <w:r w:rsidRPr="00277F1F">
        <w:rPr>
          <w:sz w:val="16"/>
        </w:rPr>
        <w:t>coincidence, and even more than the deep integration of today’s Democratic and</w:t>
      </w:r>
      <w:r w:rsidR="00277F1F" w:rsidRPr="00277F1F">
        <w:rPr>
          <w:sz w:val="16"/>
        </w:rPr>
        <w:t xml:space="preserve"> </w:t>
      </w:r>
      <w:r w:rsidRPr="00277F1F">
        <w:rPr>
          <w:sz w:val="16"/>
        </w:rPr>
        <w:t xml:space="preserve">Republican parties across state and federal lines. </w:t>
      </w:r>
      <w:r w:rsidRPr="00481D70">
        <w:rPr>
          <w:rStyle w:val="StyleUnderline"/>
        </w:rPr>
        <w:t>The President himself reached out</w:t>
      </w:r>
      <w:r w:rsidR="00277F1F">
        <w:rPr>
          <w:rStyle w:val="StyleUnderline"/>
        </w:rPr>
        <w:t xml:space="preserve"> </w:t>
      </w:r>
      <w:r w:rsidRPr="00481D70">
        <w:rPr>
          <w:rStyle w:val="StyleUnderline"/>
        </w:rPr>
        <w:t xml:space="preserve">to state officials, </w:t>
      </w:r>
      <w:r w:rsidRPr="00277F1F">
        <w:rPr>
          <w:sz w:val="16"/>
        </w:rPr>
        <w:t>including at meetings of groups like the National Governors</w:t>
      </w:r>
      <w:r w:rsidR="00277F1F" w:rsidRPr="00277F1F">
        <w:rPr>
          <w:sz w:val="16"/>
        </w:rPr>
        <w:t xml:space="preserve"> </w:t>
      </w:r>
      <w:r w:rsidRPr="00277F1F">
        <w:rPr>
          <w:sz w:val="16"/>
        </w:rPr>
        <w:t>Association and U.S. Conference of Mayors, and the White House and federal</w:t>
      </w:r>
      <w:r w:rsidR="00277F1F" w:rsidRPr="00277F1F">
        <w:rPr>
          <w:sz w:val="16"/>
        </w:rPr>
        <w:t xml:space="preserve"> </w:t>
      </w:r>
      <w:r w:rsidRPr="00277F1F">
        <w:rPr>
          <w:sz w:val="16"/>
        </w:rPr>
        <w:t>agencies have more broadly engaged in outreach and offered technical, financial,</w:t>
      </w:r>
      <w:r w:rsidR="00277F1F" w:rsidRPr="00277F1F">
        <w:rPr>
          <w:sz w:val="16"/>
        </w:rPr>
        <w:t xml:space="preserve"> </w:t>
      </w:r>
      <w:r w:rsidRPr="00277F1F">
        <w:rPr>
          <w:sz w:val="16"/>
        </w:rPr>
        <w:t>and other assistance to state and local actors pursuing shared policy goals. As</w:t>
      </w:r>
      <w:r w:rsidR="00277F1F" w:rsidRPr="00277F1F">
        <w:rPr>
          <w:sz w:val="16"/>
        </w:rPr>
        <w:t xml:space="preserve"> </w:t>
      </w:r>
      <w:r w:rsidRPr="00277F1F">
        <w:rPr>
          <w:sz w:val="16"/>
        </w:rPr>
        <w:t>Senior Advisor Valerie Jarrett put it, ‘‘It is a change in the paradigm, where we</w:t>
      </w:r>
      <w:r w:rsidR="00277F1F" w:rsidRPr="00277F1F">
        <w:rPr>
          <w:sz w:val="16"/>
        </w:rPr>
        <w:t xml:space="preserve"> </w:t>
      </w:r>
      <w:r w:rsidRPr="00277F1F">
        <w:rPr>
          <w:sz w:val="16"/>
        </w:rPr>
        <w:t>used to sit passively by waiting for elected officials to come to us. We think we can</w:t>
      </w:r>
      <w:r w:rsidR="00277F1F" w:rsidRPr="00277F1F">
        <w:rPr>
          <w:sz w:val="16"/>
        </w:rPr>
        <w:t xml:space="preserve"> </w:t>
      </w:r>
      <w:r w:rsidRPr="00277F1F">
        <w:rPr>
          <w:sz w:val="16"/>
        </w:rPr>
        <w:t>have a more substantial impact if we collaborate’’ (Korte 2015). The federal</w:t>
      </w:r>
      <w:r w:rsidR="00277F1F" w:rsidRPr="00277F1F">
        <w:rPr>
          <w:sz w:val="16"/>
        </w:rPr>
        <w:t xml:space="preserve"> </w:t>
      </w:r>
      <w:r w:rsidRPr="00277F1F">
        <w:rPr>
          <w:sz w:val="16"/>
        </w:rPr>
        <w:t>executive branch has increasingly recognized that states may be critical allies in</w:t>
      </w:r>
      <w:r w:rsidR="00277F1F" w:rsidRPr="00277F1F">
        <w:rPr>
          <w:sz w:val="16"/>
        </w:rPr>
        <w:t xml:space="preserve"> </w:t>
      </w:r>
      <w:r w:rsidRPr="00277F1F">
        <w:rPr>
          <w:sz w:val="16"/>
        </w:rPr>
        <w:t>achieving federal objectives without Congress.</w:t>
      </w:r>
      <w:r w:rsidR="00277F1F" w:rsidRPr="00277F1F">
        <w:rPr>
          <w:sz w:val="16"/>
        </w:rPr>
        <w:t xml:space="preserve"> </w:t>
      </w:r>
      <w:r w:rsidRPr="00481D70">
        <w:rPr>
          <w:rStyle w:val="StyleUnderline"/>
        </w:rPr>
        <w:t>In some cases, state law does not substitute for an absent federal law but for an</w:t>
      </w:r>
      <w:r w:rsidR="00277F1F">
        <w:rPr>
          <w:rStyle w:val="StyleUnderline"/>
        </w:rPr>
        <w:t xml:space="preserve"> </w:t>
      </w:r>
      <w:r w:rsidRPr="00481D70">
        <w:rPr>
          <w:rStyle w:val="StyleUnderline"/>
        </w:rPr>
        <w:t>existing federal law that the federal executive branch declines to fully enforce</w:t>
      </w:r>
      <w:r w:rsidRPr="00277F1F">
        <w:rPr>
          <w:sz w:val="16"/>
        </w:rPr>
        <w:t>. Of</w:t>
      </w:r>
      <w:r w:rsidR="00277F1F" w:rsidRPr="00277F1F">
        <w:rPr>
          <w:sz w:val="16"/>
        </w:rPr>
        <w:t xml:space="preserve"> </w:t>
      </w:r>
      <w:r w:rsidRPr="00277F1F">
        <w:rPr>
          <w:sz w:val="16"/>
        </w:rPr>
        <w:t xml:space="preserve">course, </w:t>
      </w:r>
      <w:r w:rsidRPr="00481D70">
        <w:rPr>
          <w:rStyle w:val="StyleUnderline"/>
        </w:rPr>
        <w:t>federal nonenforcement need not be a matter of deferring to state law;</w:t>
      </w:r>
      <w:r w:rsidR="00277F1F">
        <w:rPr>
          <w:rStyle w:val="StyleUnderline"/>
        </w:rPr>
        <w:t xml:space="preserve"> </w:t>
      </w:r>
      <w:r w:rsidRPr="00277F1F">
        <w:rPr>
          <w:sz w:val="16"/>
        </w:rPr>
        <w:t>President Obama’s controversial immigration executive actions underscore</w:t>
      </w:r>
      <w:r w:rsidR="00277F1F" w:rsidRPr="00277F1F">
        <w:rPr>
          <w:sz w:val="16"/>
        </w:rPr>
        <w:t xml:space="preserve"> </w:t>
      </w:r>
      <w:r w:rsidRPr="00277F1F">
        <w:rPr>
          <w:sz w:val="16"/>
        </w:rPr>
        <w:t>nonenforcement’s potentially unilateral character, although even these actions</w:t>
      </w:r>
      <w:r w:rsidR="00277F1F" w:rsidRPr="00277F1F">
        <w:rPr>
          <w:sz w:val="16"/>
        </w:rPr>
        <w:t xml:space="preserve"> </w:t>
      </w:r>
      <w:r w:rsidRPr="00277F1F">
        <w:rPr>
          <w:sz w:val="16"/>
        </w:rPr>
        <w:t>implicate state law insofar as they presume states will grant benefits such as driver</w:t>
      </w:r>
      <w:r w:rsidR="00277F1F" w:rsidRPr="00277F1F">
        <w:rPr>
          <w:sz w:val="16"/>
        </w:rPr>
        <w:t xml:space="preserve"> </w:t>
      </w:r>
      <w:r w:rsidRPr="00277F1F">
        <w:rPr>
          <w:sz w:val="16"/>
        </w:rPr>
        <w:t>licenses to the immigrants affected (</w:t>
      </w:r>
      <w:proofErr w:type="spellStart"/>
      <w:r w:rsidRPr="00277F1F">
        <w:rPr>
          <w:sz w:val="16"/>
        </w:rPr>
        <w:t>Gulasekaram</w:t>
      </w:r>
      <w:proofErr w:type="spellEnd"/>
      <w:r w:rsidRPr="00277F1F">
        <w:rPr>
          <w:sz w:val="16"/>
        </w:rPr>
        <w:t xml:space="preserve"> and Ramakrishnan 2016). But</w:t>
      </w:r>
      <w:r w:rsidR="00277F1F" w:rsidRPr="00277F1F">
        <w:rPr>
          <w:sz w:val="16"/>
        </w:rPr>
        <w:t xml:space="preserve"> </w:t>
      </w:r>
      <w:r w:rsidRPr="00481D70">
        <w:rPr>
          <w:rStyle w:val="StyleUnderline"/>
        </w:rPr>
        <w:t>federal nonenforcement may also be a matter of allowing state law to occupy a</w:t>
      </w:r>
      <w:r w:rsidR="00277F1F">
        <w:rPr>
          <w:rStyle w:val="StyleUnderline"/>
        </w:rPr>
        <w:t xml:space="preserve"> </w:t>
      </w:r>
      <w:r w:rsidRPr="00481D70">
        <w:rPr>
          <w:rStyle w:val="StyleUnderline"/>
        </w:rPr>
        <w:t>policy space, as recent marijuana policy illustrates</w:t>
      </w:r>
      <w:r w:rsidRPr="00277F1F">
        <w:rPr>
          <w:sz w:val="16"/>
        </w:rPr>
        <w:t>. Under the federal Controlled</w:t>
      </w:r>
      <w:r w:rsidR="00277F1F" w:rsidRPr="00277F1F">
        <w:rPr>
          <w:sz w:val="16"/>
        </w:rPr>
        <w:t xml:space="preserve"> </w:t>
      </w:r>
      <w:r w:rsidRPr="00277F1F">
        <w:rPr>
          <w:sz w:val="16"/>
        </w:rPr>
        <w:t>Substances Act, marijuana is a Schedule I drug, meaning that all use and sale of the</w:t>
      </w:r>
      <w:r w:rsidR="00277F1F" w:rsidRPr="00277F1F">
        <w:rPr>
          <w:sz w:val="16"/>
        </w:rPr>
        <w:t xml:space="preserve"> </w:t>
      </w:r>
      <w:r w:rsidRPr="00277F1F">
        <w:rPr>
          <w:sz w:val="16"/>
        </w:rPr>
        <w:t>drug is a federal offense. But a number of states have decriminalized or legalized</w:t>
      </w:r>
      <w:r w:rsidR="00277F1F" w:rsidRPr="00277F1F">
        <w:rPr>
          <w:sz w:val="16"/>
        </w:rPr>
        <w:t xml:space="preserve"> </w:t>
      </w:r>
      <w:r w:rsidRPr="00277F1F">
        <w:rPr>
          <w:sz w:val="16"/>
        </w:rPr>
        <w:t>324 J. Bulman-</w:t>
      </w:r>
      <w:proofErr w:type="spellStart"/>
      <w:r w:rsidRPr="00277F1F">
        <w:rPr>
          <w:sz w:val="16"/>
        </w:rPr>
        <w:t>Pozen</w:t>
      </w:r>
      <w:proofErr w:type="spellEnd"/>
      <w:r w:rsidRPr="00277F1F">
        <w:rPr>
          <w:sz w:val="16"/>
        </w:rPr>
        <w:t xml:space="preserve"> and G. E. Metzger</w:t>
      </w:r>
      <w:r w:rsidR="00277F1F" w:rsidRPr="00277F1F">
        <w:rPr>
          <w:sz w:val="16"/>
        </w:rPr>
        <w:t xml:space="preserve"> </w:t>
      </w:r>
      <w:r w:rsidRPr="00277F1F">
        <w:rPr>
          <w:sz w:val="16"/>
        </w:rPr>
        <w:t>the drug under state law, first for medicinal purposes and more recently for</w:t>
      </w:r>
      <w:r w:rsidR="00277F1F" w:rsidRPr="00277F1F">
        <w:rPr>
          <w:sz w:val="16"/>
        </w:rPr>
        <w:t xml:space="preserve"> </w:t>
      </w:r>
      <w:r w:rsidRPr="00277F1F">
        <w:rPr>
          <w:sz w:val="16"/>
        </w:rPr>
        <w:t xml:space="preserve">recreational purposes as well. </w:t>
      </w:r>
      <w:r w:rsidRPr="00481D70">
        <w:rPr>
          <w:rStyle w:val="StyleUnderline"/>
        </w:rPr>
        <w:t>The Department of Justice (DOJ) could effectively</w:t>
      </w:r>
      <w:r w:rsidR="00277F1F">
        <w:rPr>
          <w:rStyle w:val="StyleUnderline"/>
        </w:rPr>
        <w:t xml:space="preserve"> </w:t>
      </w:r>
      <w:r w:rsidRPr="00481D70">
        <w:rPr>
          <w:rStyle w:val="StyleUnderline"/>
        </w:rPr>
        <w:t>nullify these state decisions simply by enforcing federal law: State laws legalizing</w:t>
      </w:r>
      <w:r w:rsidR="00277F1F">
        <w:rPr>
          <w:rStyle w:val="StyleUnderline"/>
        </w:rPr>
        <w:t xml:space="preserve"> </w:t>
      </w:r>
      <w:r w:rsidRPr="00481D70">
        <w:rPr>
          <w:rStyle w:val="StyleUnderline"/>
        </w:rPr>
        <w:t>marijuana do not change the federal status of the drug, and the federal government</w:t>
      </w:r>
      <w:r w:rsidR="00277F1F">
        <w:rPr>
          <w:rStyle w:val="StyleUnderline"/>
        </w:rPr>
        <w:t xml:space="preserve"> </w:t>
      </w:r>
      <w:r w:rsidRPr="00481D70">
        <w:rPr>
          <w:rStyle w:val="StyleUnderline"/>
        </w:rPr>
        <w:t>could continue to enforce the Controlled Substances Act even in states that have</w:t>
      </w:r>
      <w:r w:rsidR="00277F1F">
        <w:rPr>
          <w:rStyle w:val="StyleUnderline"/>
        </w:rPr>
        <w:t xml:space="preserve"> </w:t>
      </w:r>
      <w:r w:rsidRPr="00481D70">
        <w:rPr>
          <w:rStyle w:val="StyleUnderline"/>
        </w:rPr>
        <w:t>legalized marijuana. But the DOJ has instead largely declined to enforce the federal</w:t>
      </w:r>
      <w:r w:rsidR="00277F1F">
        <w:rPr>
          <w:rStyle w:val="StyleUnderline"/>
        </w:rPr>
        <w:t xml:space="preserve"> </w:t>
      </w:r>
      <w:r w:rsidRPr="00481D70">
        <w:rPr>
          <w:rStyle w:val="StyleUnderline"/>
        </w:rPr>
        <w:t>law in these states, thereby permitting state policy to become federal policy as well.</w:t>
      </w:r>
      <w:r w:rsidR="00277F1F">
        <w:rPr>
          <w:rStyle w:val="StyleUnderline"/>
        </w:rPr>
        <w:t xml:space="preserve"> </w:t>
      </w:r>
      <w:r w:rsidRPr="00277F1F">
        <w:rPr>
          <w:sz w:val="16"/>
        </w:rPr>
        <w:t>A series of negotiations between the DOJ and state officials—and also, it seems,</w:t>
      </w:r>
      <w:r w:rsidR="00277F1F" w:rsidRPr="00277F1F">
        <w:rPr>
          <w:sz w:val="16"/>
        </w:rPr>
        <w:t xml:space="preserve"> </w:t>
      </w:r>
      <w:r w:rsidRPr="00277F1F">
        <w:rPr>
          <w:sz w:val="16"/>
        </w:rPr>
        <w:t>among various DOJ officials, including political appointees in Washington, career</w:t>
      </w:r>
      <w:r w:rsidR="00277F1F" w:rsidRPr="00277F1F">
        <w:rPr>
          <w:sz w:val="16"/>
        </w:rPr>
        <w:t xml:space="preserve"> </w:t>
      </w:r>
      <w:r w:rsidRPr="00277F1F">
        <w:rPr>
          <w:sz w:val="16"/>
        </w:rPr>
        <w:t>Drug Enforcement Administration officials, and U.S. Attorneys—yielded this</w:t>
      </w:r>
      <w:r w:rsidR="00277F1F" w:rsidRPr="00277F1F">
        <w:rPr>
          <w:sz w:val="16"/>
        </w:rPr>
        <w:t xml:space="preserve"> </w:t>
      </w:r>
      <w:proofErr w:type="spellStart"/>
      <w:r w:rsidRPr="00277F1F">
        <w:rPr>
          <w:sz w:val="16"/>
        </w:rPr>
        <w:t>de´tente</w:t>
      </w:r>
      <w:proofErr w:type="spellEnd"/>
      <w:r w:rsidRPr="00277F1F">
        <w:rPr>
          <w:sz w:val="16"/>
        </w:rPr>
        <w:t xml:space="preserve"> (</w:t>
      </w:r>
      <w:proofErr w:type="spellStart"/>
      <w:r w:rsidRPr="00277F1F">
        <w:rPr>
          <w:sz w:val="16"/>
        </w:rPr>
        <w:t>Rodrı´guez</w:t>
      </w:r>
      <w:proofErr w:type="spellEnd"/>
      <w:r w:rsidRPr="00277F1F">
        <w:rPr>
          <w:sz w:val="16"/>
        </w:rPr>
        <w:t xml:space="preserve"> 2014). In 2009 and 2011, </w:t>
      </w:r>
      <w:r w:rsidRPr="00481D70">
        <w:rPr>
          <w:rStyle w:val="StyleUnderline"/>
        </w:rPr>
        <w:t>the DOJ issued competing</w:t>
      </w:r>
      <w:r w:rsidR="00277F1F">
        <w:rPr>
          <w:rStyle w:val="StyleUnderline"/>
        </w:rPr>
        <w:t xml:space="preserve"> </w:t>
      </w:r>
      <w:r w:rsidRPr="00481D70">
        <w:rPr>
          <w:rStyle w:val="StyleUnderline"/>
        </w:rPr>
        <w:t>memoranda about how it would respond to state legalization efforts</w:t>
      </w:r>
      <w:r w:rsidRPr="00277F1F">
        <w:rPr>
          <w:sz w:val="16"/>
        </w:rPr>
        <w:t>, first</w:t>
      </w:r>
      <w:r w:rsidR="00277F1F" w:rsidRPr="00277F1F">
        <w:rPr>
          <w:sz w:val="16"/>
        </w:rPr>
        <w:t xml:space="preserve"> </w:t>
      </w:r>
      <w:r w:rsidRPr="00277F1F">
        <w:rPr>
          <w:sz w:val="16"/>
        </w:rPr>
        <w:t>instructing U.S. Attorneys to focus their resources on prosecuting individuals who</w:t>
      </w:r>
      <w:r w:rsidR="00277F1F" w:rsidRPr="00277F1F">
        <w:rPr>
          <w:sz w:val="16"/>
        </w:rPr>
        <w:t xml:space="preserve"> </w:t>
      </w:r>
      <w:r w:rsidRPr="00277F1F">
        <w:rPr>
          <w:sz w:val="16"/>
        </w:rPr>
        <w:t>were violating state as well as federal law but then stating that it did not intend to</w:t>
      </w:r>
      <w:r w:rsidR="00277F1F" w:rsidRPr="00277F1F">
        <w:rPr>
          <w:sz w:val="16"/>
        </w:rPr>
        <w:t xml:space="preserve"> </w:t>
      </w:r>
      <w:r w:rsidRPr="00277F1F">
        <w:rPr>
          <w:sz w:val="16"/>
        </w:rPr>
        <w:t>shield the use and sale of marijuana from federal enforcement action (Ogden 2009;</w:t>
      </w:r>
      <w:r w:rsidR="00277F1F" w:rsidRPr="00277F1F">
        <w:rPr>
          <w:sz w:val="16"/>
        </w:rPr>
        <w:t xml:space="preserve"> </w:t>
      </w:r>
      <w:r w:rsidRPr="00277F1F">
        <w:rPr>
          <w:sz w:val="16"/>
        </w:rPr>
        <w:t xml:space="preserve">Cole 2013). </w:t>
      </w:r>
      <w:r w:rsidRPr="00481D70">
        <w:rPr>
          <w:rStyle w:val="StyleUnderline"/>
        </w:rPr>
        <w:t>After Colorado and Washington adopted ballot initiatives in 2012</w:t>
      </w:r>
      <w:r w:rsidR="00277F1F">
        <w:rPr>
          <w:rStyle w:val="StyleUnderline"/>
        </w:rPr>
        <w:t xml:space="preserve"> </w:t>
      </w:r>
      <w:r w:rsidRPr="00481D70">
        <w:rPr>
          <w:rStyle w:val="StyleUnderline"/>
        </w:rPr>
        <w:t>legalizing recreational marijuana, their governors asked the DOJ to clarify its</w:t>
      </w:r>
      <w:r w:rsidR="00277F1F">
        <w:rPr>
          <w:rStyle w:val="StyleUnderline"/>
        </w:rPr>
        <w:t xml:space="preserve"> </w:t>
      </w:r>
      <w:r w:rsidRPr="00481D70">
        <w:rPr>
          <w:rStyle w:val="StyleUnderline"/>
        </w:rPr>
        <w:t>enforcement intentions.</w:t>
      </w:r>
      <w:r w:rsidRPr="00277F1F">
        <w:rPr>
          <w:sz w:val="16"/>
        </w:rPr>
        <w:t xml:space="preserve"> With apparent presidential support, attorney general Eric</w:t>
      </w:r>
      <w:r w:rsidR="00277F1F" w:rsidRPr="00277F1F">
        <w:rPr>
          <w:sz w:val="16"/>
        </w:rPr>
        <w:t xml:space="preserve"> </w:t>
      </w:r>
      <w:r w:rsidRPr="00277F1F">
        <w:rPr>
          <w:sz w:val="16"/>
        </w:rPr>
        <w:t>Holder indicated both that the DOJ would not seek to challenge the state initiatives</w:t>
      </w:r>
      <w:r w:rsidR="00277F1F" w:rsidRPr="00277F1F">
        <w:rPr>
          <w:sz w:val="16"/>
        </w:rPr>
        <w:t xml:space="preserve"> </w:t>
      </w:r>
      <w:r w:rsidRPr="00277F1F">
        <w:rPr>
          <w:sz w:val="16"/>
        </w:rPr>
        <w:t>as preempted, as it recently had with respect to Arizona’s immigration law, and</w:t>
      </w:r>
      <w:r w:rsidR="00277F1F" w:rsidRPr="00277F1F">
        <w:rPr>
          <w:sz w:val="16"/>
        </w:rPr>
        <w:t xml:space="preserve"> </w:t>
      </w:r>
      <w:r w:rsidRPr="00277F1F">
        <w:rPr>
          <w:sz w:val="16"/>
        </w:rPr>
        <w:t>that it would not vigorously enforce the Controlled Substances Act in those states.</w:t>
      </w:r>
      <w:r w:rsidR="00277F1F" w:rsidRPr="00277F1F">
        <w:rPr>
          <w:sz w:val="16"/>
        </w:rPr>
        <w:t xml:space="preserve"> </w:t>
      </w:r>
      <w:r w:rsidRPr="00277F1F">
        <w:rPr>
          <w:sz w:val="16"/>
        </w:rPr>
        <w:t>The attorney general proposed a sort of compromise</w:t>
      </w:r>
      <w:r w:rsidRPr="00481D70">
        <w:rPr>
          <w:rStyle w:val="StyleUnderline"/>
        </w:rPr>
        <w:t>: If state officials controlled</w:t>
      </w:r>
      <w:r w:rsidR="00277F1F">
        <w:rPr>
          <w:rStyle w:val="StyleUnderline"/>
        </w:rPr>
        <w:t xml:space="preserve"> </w:t>
      </w:r>
      <w:r w:rsidRPr="00481D70">
        <w:rPr>
          <w:rStyle w:val="StyleUnderline"/>
        </w:rPr>
        <w:t>externalities of concern to the federal government, such as violence and gang</w:t>
      </w:r>
      <w:r w:rsidR="00277F1F">
        <w:rPr>
          <w:rStyle w:val="StyleUnderline"/>
        </w:rPr>
        <w:t xml:space="preserve"> </w:t>
      </w:r>
      <w:r w:rsidRPr="00481D70">
        <w:rPr>
          <w:rStyle w:val="StyleUnderline"/>
        </w:rPr>
        <w:t>activity and distribution of drugs to minors, the DOJ would let state law trump the</w:t>
      </w:r>
      <w:r w:rsidR="00277F1F">
        <w:rPr>
          <w:rStyle w:val="StyleUnderline"/>
        </w:rPr>
        <w:t xml:space="preserve"> </w:t>
      </w:r>
      <w:r w:rsidRPr="00481D70">
        <w:rPr>
          <w:rStyle w:val="StyleUnderline"/>
        </w:rPr>
        <w:t>enforcement of federal law within their borders; but if state legalization began to</w:t>
      </w:r>
      <w:r w:rsidR="00277F1F">
        <w:rPr>
          <w:rStyle w:val="StyleUnderline"/>
        </w:rPr>
        <w:t xml:space="preserve"> </w:t>
      </w:r>
      <w:r w:rsidRPr="00481D70">
        <w:rPr>
          <w:rStyle w:val="StyleUnderline"/>
        </w:rPr>
        <w:t>interfere with federal priorities, the DOJ would escalate its enforcement of the</w:t>
      </w:r>
      <w:r w:rsidR="00277F1F">
        <w:rPr>
          <w:rStyle w:val="StyleUnderline"/>
        </w:rPr>
        <w:t xml:space="preserve"> </w:t>
      </w:r>
      <w:r w:rsidRPr="00481D70">
        <w:rPr>
          <w:rStyle w:val="StyleUnderline"/>
        </w:rPr>
        <w:t>Controlled Substances Act and might even challenge the state regulatory schemes as</w:t>
      </w:r>
      <w:r w:rsidR="00277F1F">
        <w:rPr>
          <w:rStyle w:val="StyleUnderline"/>
        </w:rPr>
        <w:t xml:space="preserve"> </w:t>
      </w:r>
      <w:r w:rsidRPr="00481D70">
        <w:rPr>
          <w:rStyle w:val="StyleUnderline"/>
        </w:rPr>
        <w:t>preempted.</w:t>
      </w:r>
      <w:r w:rsidRPr="00277F1F">
        <w:rPr>
          <w:sz w:val="16"/>
        </w:rPr>
        <w:t xml:space="preserve"> To date the deal seems to be holding, and the federal executive branch</w:t>
      </w:r>
      <w:r w:rsidR="00277F1F" w:rsidRPr="00277F1F">
        <w:rPr>
          <w:sz w:val="16"/>
        </w:rPr>
        <w:t xml:space="preserve"> </w:t>
      </w:r>
      <w:r w:rsidRPr="00277F1F">
        <w:rPr>
          <w:sz w:val="16"/>
        </w:rPr>
        <w:t>is effectively deferring to state law (</w:t>
      </w:r>
      <w:proofErr w:type="spellStart"/>
      <w:r w:rsidRPr="00277F1F">
        <w:rPr>
          <w:sz w:val="16"/>
        </w:rPr>
        <w:t>Kamin</w:t>
      </w:r>
      <w:proofErr w:type="spellEnd"/>
      <w:r w:rsidRPr="00277F1F">
        <w:rPr>
          <w:sz w:val="16"/>
        </w:rPr>
        <w:t xml:space="preserve"> 2015). </w:t>
      </w:r>
      <w:r w:rsidRPr="00481D70">
        <w:rPr>
          <w:rStyle w:val="StyleUnderline"/>
        </w:rPr>
        <w:t>Without any amendment to</w:t>
      </w:r>
      <w:r w:rsidR="00277F1F">
        <w:rPr>
          <w:rStyle w:val="StyleUnderline"/>
        </w:rPr>
        <w:t xml:space="preserve"> </w:t>
      </w:r>
      <w:r w:rsidRPr="00481D70">
        <w:rPr>
          <w:rStyle w:val="StyleUnderline"/>
        </w:rPr>
        <w:t>federal law, then, the federal executive branch’s decision to defer to state</w:t>
      </w:r>
      <w:r w:rsidR="00277F1F">
        <w:rPr>
          <w:rStyle w:val="StyleUnderline"/>
        </w:rPr>
        <w:t xml:space="preserve"> </w:t>
      </w:r>
      <w:r w:rsidRPr="00481D70">
        <w:rPr>
          <w:rStyle w:val="StyleUnderline"/>
        </w:rPr>
        <w:t>legalization initiatives and not to enforce the federal prohibition has transformed</w:t>
      </w:r>
      <w:r w:rsidR="00277F1F">
        <w:rPr>
          <w:rStyle w:val="StyleUnderline"/>
        </w:rPr>
        <w:t xml:space="preserve"> </w:t>
      </w:r>
      <w:r w:rsidRPr="00481D70">
        <w:rPr>
          <w:rStyle w:val="StyleUnderline"/>
        </w:rPr>
        <w:t>federal law on the ground.</w:t>
      </w:r>
    </w:p>
    <w:sectPr w:rsidR="00481D70" w:rsidRPr="00481D7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130"/>
  <w:proofState w:spelling="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12E4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6902"/>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77F1F"/>
    <w:rsid w:val="002843B2"/>
    <w:rsid w:val="00284ED6"/>
    <w:rsid w:val="00290C5A"/>
    <w:rsid w:val="00290C92"/>
    <w:rsid w:val="0029635E"/>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26BF6"/>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3D46"/>
    <w:rsid w:val="004270E3"/>
    <w:rsid w:val="004348DC"/>
    <w:rsid w:val="00434921"/>
    <w:rsid w:val="00442018"/>
    <w:rsid w:val="00446567"/>
    <w:rsid w:val="00447B10"/>
    <w:rsid w:val="00452EE4"/>
    <w:rsid w:val="00452F0B"/>
    <w:rsid w:val="004536D6"/>
    <w:rsid w:val="00457224"/>
    <w:rsid w:val="0047482C"/>
    <w:rsid w:val="00475436"/>
    <w:rsid w:val="0048047E"/>
    <w:rsid w:val="00481D70"/>
    <w:rsid w:val="00482AF9"/>
    <w:rsid w:val="00496586"/>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2E4A"/>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16AC"/>
    <w:rsid w:val="00793F46"/>
    <w:rsid w:val="007A1325"/>
    <w:rsid w:val="007A1A18"/>
    <w:rsid w:val="007A3BAF"/>
    <w:rsid w:val="007B53D8"/>
    <w:rsid w:val="007C22C5"/>
    <w:rsid w:val="007C54D4"/>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73A"/>
    <w:rsid w:val="008C0FA2"/>
    <w:rsid w:val="008C2342"/>
    <w:rsid w:val="008C77B6"/>
    <w:rsid w:val="008D1B91"/>
    <w:rsid w:val="008D724A"/>
    <w:rsid w:val="008E7A3E"/>
    <w:rsid w:val="008F41FD"/>
    <w:rsid w:val="008F4479"/>
    <w:rsid w:val="008F4BA0"/>
    <w:rsid w:val="008F6EF4"/>
    <w:rsid w:val="00901726"/>
    <w:rsid w:val="00920E6A"/>
    <w:rsid w:val="00931816"/>
    <w:rsid w:val="00932C71"/>
    <w:rsid w:val="00946952"/>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67C4"/>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08D5"/>
    <w:rsid w:val="00E63419"/>
    <w:rsid w:val="00E64496"/>
    <w:rsid w:val="00E70BEA"/>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2D72"/>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8C23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612E4A"/>
    <w:pPr>
      <w:spacing w:after="160" w:line="259" w:lineRule="auto"/>
    </w:pPr>
    <w:rPr>
      <w:rFonts w:ascii="Georgia" w:hAnsi="Georgia"/>
      <w:sz w:val="22"/>
    </w:rPr>
  </w:style>
  <w:style w:type="paragraph" w:styleId="Heading1">
    <w:name w:val="heading 1"/>
    <w:aliases w:val="Pocket"/>
    <w:basedOn w:val="Normal"/>
    <w:next w:val="Normal"/>
    <w:link w:val="Heading1Char"/>
    <w:uiPriority w:val="9"/>
    <w:qFormat/>
    <w:rsid w:val="00612E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12E4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12E4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12E4A"/>
    <w:pPr>
      <w:keepNext/>
      <w:keepLines/>
      <w:spacing w:before="40" w:after="0"/>
      <w:outlineLvl w:val="3"/>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12E4A"/>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612E4A"/>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612E4A"/>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612E4A"/>
    <w:rPr>
      <w:rFonts w:ascii="Georgia" w:eastAsiaTheme="majorEastAsia" w:hAnsi="Georgia" w:cstheme="majorBidi"/>
      <w:b/>
      <w:bCs/>
      <w:sz w:val="22"/>
      <w:szCs w:val="26"/>
    </w:rPr>
  </w:style>
  <w:style w:type="character" w:customStyle="1" w:styleId="Style13ptBold">
    <w:name w:val="Style 13 pt Bold"/>
    <w:aliases w:val="Cite"/>
    <w:basedOn w:val="DefaultParagraphFont"/>
    <w:uiPriority w:val="1"/>
    <w:qFormat/>
    <w:rsid w:val="00612E4A"/>
    <w:rPr>
      <w:b/>
      <w:sz w:val="22"/>
      <w:u w:val="none"/>
    </w:rPr>
  </w:style>
  <w:style w:type="character" w:customStyle="1" w:styleId="StyleUnderline">
    <w:name w:val="Style Underline"/>
    <w:aliases w:val="Underline"/>
    <w:basedOn w:val="DefaultParagraphFont"/>
    <w:uiPriority w:val="1"/>
    <w:qFormat/>
    <w:rsid w:val="00612E4A"/>
    <w:rPr>
      <w:b w:val="0"/>
      <w:sz w:val="22"/>
      <w:u w:val="single"/>
    </w:rPr>
  </w:style>
  <w:style w:type="character" w:styleId="Emphasis">
    <w:name w:val="Emphasis"/>
    <w:basedOn w:val="DefaultParagraphFont"/>
    <w:uiPriority w:val="20"/>
    <w:qFormat/>
    <w:rsid w:val="00612E4A"/>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612E4A"/>
    <w:rPr>
      <w:color w:val="auto"/>
      <w:u w:val="none"/>
    </w:rPr>
  </w:style>
  <w:style w:type="character" w:styleId="Hyperlink">
    <w:name w:val="Hyperlink"/>
    <w:basedOn w:val="DefaultParagraphFont"/>
    <w:uiPriority w:val="99"/>
    <w:semiHidden/>
    <w:unhideWhenUsed/>
    <w:rsid w:val="00612E4A"/>
    <w:rPr>
      <w:color w:val="auto"/>
      <w:u w:val="none"/>
    </w:rPr>
  </w:style>
  <w:style w:type="paragraph" w:styleId="DocumentMap">
    <w:name w:val="Document Map"/>
    <w:basedOn w:val="Normal"/>
    <w:link w:val="DocumentMapChar"/>
    <w:uiPriority w:val="99"/>
    <w:semiHidden/>
    <w:unhideWhenUsed/>
    <w:rsid w:val="00612E4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12E4A"/>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E2FD432-7432-465B-B6B8-95D1EF8E0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2452</Words>
  <Characters>13982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laern18@icstudents.org</dc:creator>
  <cp:keywords>5.2</cp:keywords>
  <dc:description/>
  <cp:lastModifiedBy>Kurt Fifelski</cp:lastModifiedBy>
  <cp:revision>4</cp:revision>
  <dcterms:created xsi:type="dcterms:W3CDTF">2017-07-22T01:05:00Z</dcterms:created>
  <dcterms:modified xsi:type="dcterms:W3CDTF">2017-07-22T01:15:00Z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