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A259B" w14:textId="77777777" w:rsidR="00B45FE9" w:rsidRDefault="001D311D" w:rsidP="001D311D">
      <w:pPr>
        <w:pStyle w:val="Heading1"/>
      </w:pPr>
      <w:bookmarkStart w:id="0" w:name="_GoBack"/>
      <w:bookmarkEnd w:id="0"/>
      <w:r>
        <w:t>JDI 2017-2018 States CP</w:t>
      </w:r>
    </w:p>
    <w:p w14:paraId="2F8B4813" w14:textId="236AEC9B" w:rsidR="006B739D" w:rsidRDefault="006B739D" w:rsidP="006B739D">
      <w:pPr>
        <w:pStyle w:val="Heading2"/>
      </w:pPr>
      <w:r>
        <w:lastRenderedPageBreak/>
        <w:t>NOTES</w:t>
      </w:r>
    </w:p>
    <w:p w14:paraId="1A32AB74" w14:textId="77777777" w:rsidR="000320BD" w:rsidRDefault="000320BD" w:rsidP="006B739D"/>
    <w:p w14:paraId="0D58D187" w14:textId="14F871CE" w:rsidR="006B739D" w:rsidRDefault="000320BD" w:rsidP="006B739D">
      <w:r>
        <w:t>There are several versions of the CP included. The ESA CP can be used for affirmatives that increase funding. The State Courts CP works for eliminating teacher tenure and the right to education affs. The NGA and P-20 CPs can be useful for affs that increase regulations but do not use the courts. Be on the lookout for each aff/case neg file because each lab is likely putting out state CP cards too.</w:t>
      </w:r>
    </w:p>
    <w:p w14:paraId="1B43D96A" w14:textId="77777777" w:rsidR="000320BD" w:rsidRPr="006B739D" w:rsidRDefault="000320BD" w:rsidP="006B739D"/>
    <w:p w14:paraId="25AEA0C2" w14:textId="13D6B9C4" w:rsidR="006B739D" w:rsidRDefault="006B739D" w:rsidP="006B739D">
      <w:pPr>
        <w:pStyle w:val="Heading2"/>
      </w:pPr>
      <w:r>
        <w:lastRenderedPageBreak/>
        <w:t>*Theory</w:t>
      </w:r>
    </w:p>
    <w:p w14:paraId="2FA14ECC" w14:textId="2C9A1E5B" w:rsidR="006B739D" w:rsidRDefault="006B739D" w:rsidP="006B739D">
      <w:pPr>
        <w:pStyle w:val="Heading3"/>
      </w:pPr>
      <w:r>
        <w:lastRenderedPageBreak/>
        <w:t>Theory – A2 Fifty State Fiat</w:t>
      </w:r>
    </w:p>
    <w:p w14:paraId="5A58C398" w14:textId="77777777" w:rsidR="006B739D" w:rsidRDefault="006B739D" w:rsidP="006B739D">
      <w:pPr>
        <w:pStyle w:val="Heading4"/>
      </w:pPr>
      <w:r>
        <w:t xml:space="preserve">Uniform 50 State fiat is good--  </w:t>
      </w:r>
    </w:p>
    <w:p w14:paraId="1A54961B" w14:textId="77777777" w:rsidR="006B739D" w:rsidRDefault="006B739D" w:rsidP="006B739D">
      <w:pPr>
        <w:pStyle w:val="Heading4"/>
      </w:pPr>
      <w:r>
        <w:t>1</w:t>
      </w:r>
      <w:r w:rsidRPr="0022488C">
        <w:t>. The states CP is an important test of the desirability and necessity of federal action- that’s the nexus question of this topic</w:t>
      </w:r>
    </w:p>
    <w:p w14:paraId="3A0F5543" w14:textId="77777777" w:rsidR="006B739D" w:rsidRPr="008A1C10" w:rsidRDefault="006B739D" w:rsidP="006B739D">
      <w:pPr>
        <w:rPr>
          <w:rStyle w:val="StyleStyleBold12pt"/>
          <w:b w:val="0"/>
        </w:rPr>
      </w:pPr>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14:paraId="7946C1CE" w14:textId="77777777" w:rsidR="006B739D" w:rsidRPr="008A1C10" w:rsidRDefault="006B739D" w:rsidP="006B739D">
      <w:pPr>
        <w:rPr>
          <w:sz w:val="16"/>
        </w:rPr>
      </w:pPr>
      <w:r w:rsidRPr="008A1C10">
        <w:rPr>
          <w:sz w:val="16"/>
        </w:rPr>
        <w:t xml:space="preserve">My purpose in this article is to review the major theoretical and substantive arguments for and against the state counterplan and to offer some tactical tips to those engaged in this debate. (I will, however, only speak briefly to the plan inclusiveness of the state counterplan since this is the subject of a separate article in the previous Debater's Research Guide: Juvenile Crime handbook by Paul Skiermont.) This discussion should have the twofold benefit of directly addressing an important negative strategy and of reviewing basic counterplan theory. Before beginning, however, it is important to be clear on exactly what is at stake in this discussion. </w:t>
      </w:r>
      <w:r w:rsidRPr="008A1C10">
        <w:rPr>
          <w:rStyle w:val="StyleBoldUnderline"/>
        </w:rPr>
        <w:t>The state counterplan</w:t>
      </w:r>
      <w:r w:rsidRPr="008A1C10">
        <w:rPr>
          <w:sz w:val="16"/>
        </w:rPr>
        <w:t xml:space="preserve">, I believe, </w:t>
      </w:r>
      <w:r w:rsidRPr="008A1C10">
        <w:rPr>
          <w:rStyle w:val="Emphasis"/>
        </w:rPr>
        <w:t>will be a vital part of the negative arsenal on this topic</w:t>
      </w:r>
      <w:r w:rsidRPr="008A1C10">
        <w:rPr>
          <w:sz w:val="16"/>
        </w:rPr>
        <w:t xml:space="preserve">. </w:t>
      </w:r>
      <w:r w:rsidRPr="008A1C10">
        <w:rPr>
          <w:rStyle w:val="StyleBoldUnderline"/>
        </w:rPr>
        <w:t>This resolution is incredibly expansive</w:t>
      </w:r>
      <w:r w:rsidRPr="008A1C10">
        <w:rPr>
          <w:sz w:val="16"/>
        </w:rPr>
        <w:t xml:space="preserve">, one of the broadest which I've encountered in my twenty-odd years in debate. </w:t>
      </w:r>
      <w:r w:rsidRPr="008A1C10">
        <w:rPr>
          <w:rStyle w:val="StyleBoldUnderline"/>
        </w:rPr>
        <w:t>The negative will not be prepared to effectively contest the specifics of every affirmative case they encounter, but the state counterplan gives them a generic strategy of considerable adapt ability and strength</w:t>
      </w:r>
      <w:r w:rsidRPr="008A1C10">
        <w:rPr>
          <w:sz w:val="16"/>
        </w:rPr>
        <w:t xml:space="preserve">. The state counterplan, like most agent counterplans, is designed to capture the affirmative advantage (because it duplicates the plan's mandates), while avoiding disadvantages linked to federal action. </w:t>
      </w:r>
      <w:r w:rsidRPr="008A1C10">
        <w:rPr>
          <w:rStyle w:val="StyleBoldUnderline"/>
        </w:rPr>
        <w:t>On this topic, there are several powerful negative arguments, including federalism, federal spending, and presidential political popularity, which can serve as net benefits to the counterplan</w:t>
      </w:r>
      <w:r w:rsidRPr="008A1C10">
        <w:rPr>
          <w:sz w:val="16"/>
        </w:rPr>
        <w:t xml:space="preserve">. The position is further strengthened by the fact that </w:t>
      </w:r>
      <w:r w:rsidRPr="008A1C10">
        <w:rPr>
          <w:rStyle w:val="StyleBoldUnderline"/>
        </w:rPr>
        <w:t>secondary</w:t>
      </w:r>
      <w:r w:rsidRPr="008A1C10">
        <w:rPr>
          <w:sz w:val="16"/>
        </w:rPr>
        <w:t xml:space="preserve"> </w:t>
      </w:r>
      <w:r w:rsidRPr="008A1C10">
        <w:rPr>
          <w:rStyle w:val="Emphasis"/>
        </w:rPr>
        <w:t>education policy is almost exclusively a concern of state and local governments</w:t>
      </w:r>
      <w:r w:rsidRPr="008A1C10">
        <w:rPr>
          <w:sz w:val="16"/>
        </w:rPr>
        <w:t xml:space="preserve">. Though </w:t>
      </w:r>
      <w:r w:rsidRPr="008A1C10">
        <w:rPr>
          <w:rStyle w:val="StyleBoldUnderline"/>
        </w:rPr>
        <w:t>federal politicians may bemoan the poor state of secondary education, they actually have very little to do with it.</w:t>
      </w:r>
      <w:r w:rsidRPr="008A1C10">
        <w:rPr>
          <w:sz w:val="16"/>
        </w:rPr>
        <w:t xml:space="preserve"> Thus, </w:t>
      </w:r>
      <w:r w:rsidRPr="008A1C10">
        <w:rPr>
          <w:rStyle w:val="StyleBoldUnderline"/>
        </w:rPr>
        <w:t>the state counterplan seems to be a substantively sound as well as strategically strong position</w:t>
      </w:r>
      <w:r w:rsidRPr="008A1C10">
        <w:rPr>
          <w:sz w:val="16"/>
        </w:rPr>
        <w:t>.</w:t>
      </w:r>
    </w:p>
    <w:p w14:paraId="2A85ED34" w14:textId="77777777" w:rsidR="006B739D" w:rsidRPr="0022488C" w:rsidRDefault="006B739D" w:rsidP="006B739D">
      <w:pPr>
        <w:pStyle w:val="Heading4"/>
      </w:pPr>
      <w:r>
        <w:t>2</w:t>
      </w:r>
      <w:r w:rsidRPr="0022488C">
        <w:t xml:space="preserve">.  Key to negative ground- states act as a limit on the topic-small affs with no real </w:t>
      </w:r>
      <w:r>
        <w:t>fed key</w:t>
      </w:r>
      <w:r w:rsidRPr="0022488C">
        <w:t xml:space="preserve"> warrant won’t be run by the aff- creates a functional limit on the topic and focuses the debate on the best affs- we can debate the core of </w:t>
      </w:r>
      <w:r>
        <w:t>education</w:t>
      </w:r>
      <w:r w:rsidRPr="0022488C">
        <w:t xml:space="preserve"> policy</w:t>
      </w:r>
    </w:p>
    <w:p w14:paraId="6EE9B6FC" w14:textId="77777777" w:rsidR="006B739D" w:rsidRPr="00C85A7C" w:rsidRDefault="006B739D" w:rsidP="006B739D">
      <w:pPr>
        <w:pStyle w:val="Heading4"/>
      </w:pPr>
      <w:r>
        <w:t>-Nega</w:t>
      </w:r>
      <w:r w:rsidRPr="0022488C">
        <w:t xml:space="preserve">tive ground o/w- it’s uniquely hard to be neg on this topic- thousands of </w:t>
      </w:r>
      <w:r>
        <w:t>funding and regulation schemes</w:t>
      </w:r>
      <w:r w:rsidRPr="0022488C">
        <w:t xml:space="preserve"> multiplied by hundreds of agenices makes the topic limitless- lack of terminal uniqueness, with aff infinite prep and first and last speech mean we need to even the playing field</w:t>
      </w:r>
    </w:p>
    <w:p w14:paraId="171DCC3F" w14:textId="77777777" w:rsidR="006B739D" w:rsidRDefault="006B739D" w:rsidP="006B739D">
      <w:pPr>
        <w:pStyle w:val="Heading4"/>
      </w:pPr>
      <w:r>
        <w:t>3. It is real world – school choice is at the core of the controversy over education policy</w:t>
      </w:r>
    </w:p>
    <w:p w14:paraId="6D315989" w14:textId="77777777" w:rsidR="006B739D" w:rsidRPr="004C1BE8" w:rsidRDefault="006B739D" w:rsidP="006B739D">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14:paraId="1944D602" w14:textId="77777777" w:rsidR="006B739D" w:rsidRPr="004C1BE8" w:rsidRDefault="006B739D" w:rsidP="006B739D">
      <w:pPr>
        <w:rPr>
          <w:sz w:val="16"/>
        </w:rPr>
      </w:pPr>
      <w:r w:rsidRPr="004C1BE8">
        <w:rPr>
          <w:sz w:val="16"/>
        </w:rPr>
        <w:t xml:space="preserve">A third major theory argument which can be made against the state counterplan is to indict it for being plan inclusive. (That is, it advocates part of the affirmative plan in this case the specific mandates without the federal agent.) Against counterplans which make only a minor change in the affirmative plan, the inclusiveness objection can be a powerful argument, and based on a kind of </w:t>
      </w:r>
      <w:r w:rsidRPr="004C1BE8">
        <w:rPr>
          <w:sz w:val="16"/>
        </w:rPr>
        <w:lastRenderedPageBreak/>
        <w:t xml:space="preserve">slippery slope analysis some judges therefore reject plan inclusive counterplans altogether. Nonetheless, </w:t>
      </w:r>
      <w:r w:rsidRPr="004C1BE8">
        <w:rPr>
          <w:rStyle w:val="StyleBoldUnderline"/>
        </w:rPr>
        <w:t>the state counterplan seems on balance to offer a counter-example of why some degree of plan inclusiveness is at least sometimes legitimate</w:t>
      </w:r>
      <w:r w:rsidRPr="004C1BE8">
        <w:rPr>
          <w:sz w:val="16"/>
        </w:rPr>
        <w:t xml:space="preserve">. First, </w:t>
      </w:r>
      <w:r w:rsidRPr="004C1BE8">
        <w:rPr>
          <w:rStyle w:val="Emphasis"/>
        </w:rPr>
        <w:t>the question of state versus federal action is a central issue in the education debate</w:t>
      </w:r>
      <w:r w:rsidRPr="004C1BE8">
        <w:rPr>
          <w:sz w:val="16"/>
        </w:rPr>
        <w:t xml:space="preserve">. Second, </w:t>
      </w:r>
      <w:r w:rsidRPr="004C1BE8">
        <w:rPr>
          <w:rStyle w:val="Emphasis"/>
        </w:rPr>
        <w:t>the states are arguably a more germane actor than is the federal government in secondary education policy</w:t>
      </w:r>
      <w:r w:rsidRPr="004C1BE8">
        <w:rPr>
          <w:sz w:val="16"/>
        </w:rPr>
        <w:t xml:space="preserve">. Third, deprived of any agent counterplan option, </w:t>
      </w:r>
      <w:r w:rsidRPr="004C1BE8">
        <w:rPr>
          <w:rStyle w:val="StyleBoldUnderline"/>
        </w:rPr>
        <w:t>the negative figures to be at a huge competitive disadvantage on this topic</w:t>
      </w:r>
      <w:r w:rsidRPr="004C1BE8">
        <w:rPr>
          <w:sz w:val="16"/>
        </w:rPr>
        <w:t xml:space="preserve">. Fourth, the state counterplan is pretty clearly non-topical. </w:t>
      </w:r>
      <w:r w:rsidRPr="004C1BE8">
        <w:rPr>
          <w:rStyle w:val="StyleBoldUnderline"/>
        </w:rPr>
        <w:t>In response to an affirmative claim that the federal government should increase academic achievement in secondary schools, it is a perfectly sensible response to say that the states should do so instead</w:t>
      </w:r>
      <w:r w:rsidRPr="004C1BE8">
        <w:rPr>
          <w:sz w:val="16"/>
        </w:rPr>
        <w:t xml:space="preserve">. Even if topical plan inclusive counterplans are illegitimate, non-topical ones are arguably fair game for the negative since they deny a central element of the resolution. Thus, while it is generally a good practice for the affirmative to indict plan inclusiveness whenever it appears, </w:t>
      </w:r>
      <w:r w:rsidRPr="004C1BE8">
        <w:rPr>
          <w:rStyle w:val="StyleBoldUnderline"/>
        </w:rPr>
        <w:t>this seems unlikely to be a winning argument for most judges against this particular counterplan</w:t>
      </w:r>
      <w:r w:rsidRPr="004C1BE8">
        <w:rPr>
          <w:sz w:val="16"/>
        </w:rPr>
        <w:t>. For a fuller discussion of these issues, see Paul Skiermont's article.</w:t>
      </w:r>
    </w:p>
    <w:p w14:paraId="00D2BA4F" w14:textId="77777777" w:rsidR="006B739D" w:rsidRPr="0022488C" w:rsidRDefault="006B739D" w:rsidP="006B739D">
      <w:pPr>
        <w:pStyle w:val="Heading4"/>
      </w:pPr>
      <w:r>
        <w:t>4</w:t>
      </w:r>
      <w:r w:rsidRPr="0022488C">
        <w:t xml:space="preserve">. </w:t>
      </w:r>
      <w:r>
        <w:t>It’s an actual opportunity cost in the literature</w:t>
      </w:r>
    </w:p>
    <w:p w14:paraId="2F42294A" w14:textId="77777777" w:rsidR="006B739D" w:rsidRPr="001D3434" w:rsidRDefault="006B739D" w:rsidP="006B739D">
      <w:pPr>
        <w:rPr>
          <w:color w:val="000000"/>
        </w:rPr>
      </w:pPr>
      <w:r>
        <w:rPr>
          <w:rStyle w:val="StyleStyleBold12pt"/>
        </w:rPr>
        <w:t>Harvard Law Review ‘</w:t>
      </w:r>
      <w:r w:rsidRPr="00D44EEB">
        <w:rPr>
          <w:rStyle w:val="StyleStyleBold12pt"/>
        </w:rPr>
        <w:t>6</w:t>
      </w:r>
      <w:r w:rsidRPr="001D3434">
        <w:rPr>
          <w:bCs/>
          <w:color w:val="000000"/>
        </w:rPr>
        <w:t xml:space="preserve"> – the author isn’t named but the qualifications are: </w:t>
      </w:r>
      <w:r w:rsidRPr="001D3434">
        <w:rPr>
          <w:color w:val="000000"/>
        </w:rPr>
        <w:t>John M. Olin Fellow in Law, Economics, and Business at Harvard Law School  (119 Harv. L. Rev. 1855, “STATE COLLECTIVE ACTION*”, April, lexis)</w:t>
      </w:r>
    </w:p>
    <w:p w14:paraId="1836C564" w14:textId="77777777" w:rsidR="006B739D" w:rsidRPr="0022488C" w:rsidRDefault="006B739D" w:rsidP="006B739D">
      <w:pPr>
        <w:rPr>
          <w:color w:val="000000"/>
          <w:sz w:val="16"/>
        </w:rPr>
      </w:pPr>
      <w:r w:rsidRPr="00D44EEB">
        <w:rPr>
          <w:color w:val="000000"/>
          <w:sz w:val="16"/>
        </w:rPr>
        <w:t xml:space="preserve">Consider now the reasons why states may act collectively. In the simplest terms, </w:t>
      </w:r>
      <w:r w:rsidRPr="00D44EEB">
        <w:rPr>
          <w:color w:val="000000"/>
          <w:u w:val="single"/>
        </w:rPr>
        <w:t xml:space="preserve">collective action may be more desirable than individual state action because it opens a panoply of otherwise unavailable policy choices and may be </w:t>
      </w:r>
      <w:r w:rsidRPr="00D44EEB">
        <w:rPr>
          <w:color w:val="000000"/>
          <w:u w:val="single"/>
          <w:bdr w:val="single" w:sz="4" w:space="0" w:color="auto"/>
        </w:rPr>
        <w:t>more desirable than federal action</w:t>
      </w:r>
      <w:r w:rsidRPr="00D44EEB">
        <w:rPr>
          <w:color w:val="000000"/>
          <w:u w:val="single"/>
        </w:rPr>
        <w:t xml:space="preserve"> because it allocates power to a better-positioned actor.</w:t>
      </w:r>
      <w:r w:rsidRPr="00D44EEB">
        <w:rPr>
          <w:color w:val="000000"/>
          <w:sz w:val="16"/>
        </w:rPr>
        <w:t xml:space="preserve"> </w:t>
      </w:r>
      <w:r w:rsidRPr="00D44EEB">
        <w:rPr>
          <w:color w:val="000000"/>
          <w:sz w:val="16"/>
          <w:szCs w:val="16"/>
          <w:vertAlign w:val="superscript"/>
        </w:rPr>
        <w:t>n12</w:t>
      </w:r>
      <w:r w:rsidRPr="00D44EEB">
        <w:rPr>
          <w:color w:val="000000"/>
          <w:sz w:val="16"/>
        </w:rPr>
        <w:t xml:space="preserve"> These advantages may exist  </w:t>
      </w:r>
      <w:r w:rsidRPr="00D44EEB">
        <w:rPr>
          <w:b/>
          <w:bCs/>
          <w:color w:val="000000"/>
          <w:sz w:val="16"/>
        </w:rPr>
        <w:t>[*1859]</w:t>
      </w:r>
      <w:r w:rsidRPr="00D44EEB">
        <w:rPr>
          <w:color w:val="000000"/>
          <w:sz w:val="16"/>
        </w:rPr>
        <w:t xml:space="preserve">  because regional organizations have better information, are better positioned to act on that information, or avoid duplicative costs or coordination problems. </w:t>
      </w:r>
      <w:r w:rsidRPr="00D44EEB">
        <w:rPr>
          <w:color w:val="000000"/>
          <w:sz w:val="16"/>
          <w:szCs w:val="16"/>
          <w:vertAlign w:val="superscript"/>
        </w:rPr>
        <w:t>n13</w:t>
      </w:r>
      <w:r w:rsidRPr="00D44EEB">
        <w:rPr>
          <w:color w:val="000000"/>
          <w:sz w:val="16"/>
        </w:rPr>
        <w:t xml:space="preserve"> Also, </w:t>
      </w:r>
      <w:r w:rsidRPr="00D44EEB">
        <w:rPr>
          <w:color w:val="000000"/>
          <w:u w:val="single"/>
        </w:rPr>
        <w:t>collective action may be desirable politically because</w:t>
      </w:r>
      <w:r w:rsidRPr="00D44EEB">
        <w:rPr>
          <w:color w:val="000000"/>
          <w:sz w:val="16"/>
        </w:rPr>
        <w:t xml:space="preserve"> it may make certain programs either more or less politically salient. </w:t>
      </w:r>
      <w:r w:rsidRPr="00D44EEB">
        <w:rPr>
          <w:color w:val="000000"/>
          <w:sz w:val="16"/>
          <w:szCs w:val="16"/>
          <w:vertAlign w:val="superscript"/>
        </w:rPr>
        <w:t>n14</w:t>
      </w:r>
      <w:r w:rsidRPr="00D44EEB">
        <w:rPr>
          <w:color w:val="000000"/>
          <w:sz w:val="16"/>
        </w:rPr>
        <w:t xml:space="preserve"> Similarly, political actors may want</w:t>
      </w:r>
      <w:r w:rsidRPr="00D44EEB">
        <w:rPr>
          <w:color w:val="000000"/>
          <w:u w:val="single"/>
        </w:rPr>
        <w:t xml:space="preserve"> to act collectively</w:t>
      </w:r>
      <w:r w:rsidRPr="00D44EEB">
        <w:rPr>
          <w:color w:val="000000"/>
          <w:sz w:val="16"/>
        </w:rPr>
        <w:t xml:space="preserve"> because doing so</w:t>
      </w:r>
      <w:r w:rsidRPr="00D44EEB">
        <w:rPr>
          <w:color w:val="000000"/>
          <w:u w:val="single"/>
        </w:rPr>
        <w:t xml:space="preserve"> spreads or diversifies political risk</w:t>
      </w:r>
      <w:r w:rsidRPr="00D44EEB">
        <w:rPr>
          <w:color w:val="000000"/>
          <w:sz w:val="16"/>
        </w:rPr>
        <w:t xml:space="preserve">. </w:t>
      </w:r>
      <w:r w:rsidRPr="00D44EEB">
        <w:rPr>
          <w:color w:val="000000"/>
          <w:sz w:val="16"/>
          <w:szCs w:val="12"/>
          <w:vertAlign w:val="superscript"/>
        </w:rPr>
        <w:t>n15</w:t>
      </w:r>
      <w:r w:rsidRPr="00D44EEB">
        <w:rPr>
          <w:color w:val="000000"/>
          <w:sz w:val="16"/>
          <w:szCs w:val="12"/>
        </w:rPr>
        <w:t xml:space="preserve"> Lastly, collective action may provide opportunities for economies of scale or rent-seeking behavior that states cannot achieve independently. </w:t>
      </w:r>
      <w:r w:rsidRPr="00D44EEB">
        <w:rPr>
          <w:color w:val="000000"/>
          <w:sz w:val="16"/>
          <w:szCs w:val="12"/>
          <w:vertAlign w:val="superscript"/>
        </w:rPr>
        <w:t>n16</w:t>
      </w:r>
      <w:r w:rsidRPr="00D44EEB">
        <w:rPr>
          <w:color w:val="000000"/>
          <w:sz w:val="16"/>
          <w:szCs w:val="12"/>
        </w:rPr>
        <w:t xml:space="preserve"> Some brief examples of how states may act collectively illustrate the importance of the topic. </w:t>
      </w:r>
      <w:r w:rsidRPr="00D44EEB">
        <w:rPr>
          <w:color w:val="000000"/>
          <w:sz w:val="16"/>
          <w:szCs w:val="12"/>
          <w:vertAlign w:val="superscript"/>
        </w:rPr>
        <w:t>n17</w:t>
      </w:r>
      <w:r w:rsidRPr="00D44EEB">
        <w:rPr>
          <w:color w:val="000000"/>
          <w:sz w:val="16"/>
          <w:szCs w:val="12"/>
        </w:rPr>
        <w:t xml:space="preserve"> As in the stylized examples, states may act collectively to reduce pollution. Groups of states also could develop plans to use common reserves of natural resources, including oil fields or aquifers that cross state lines, or plans to allocate the use of rivers, lakes, forests, or other natural resources. They may also regulate wildlife that lives in multiple states, either to protect that wildlife or to use it for commercial purposes. States may take similar action to regulate or allocate energy or to develop interstate transit infrastructure, such as highways, rail lines, or regional airports. States may regulate the production or distribution of goods or create economic development organizations organized either geographically or by some other trait, such as agricultural or oil and gas production. They also may wish to regulate certain industries or set labor standards in common ways or may wish to regulate products commonly by adopting similar production standards or tort rules. As a final example - although one can imagine many other motivations for state collective action -</w:t>
      </w:r>
      <w:r w:rsidRPr="00D44EEB">
        <w:rPr>
          <w:color w:val="000000"/>
          <w:sz w:val="16"/>
        </w:rPr>
        <w:t xml:space="preserve"> </w:t>
      </w:r>
      <w:r w:rsidRPr="00D44EEB">
        <w:rPr>
          <w:color w:val="000000"/>
          <w:u w:val="single"/>
        </w:rPr>
        <w:t>states may collectivize to provide better social welfare or governmental insurance programs</w:t>
      </w:r>
      <w:r w:rsidRPr="0022488C">
        <w:rPr>
          <w:color w:val="000000"/>
          <w:sz w:val="16"/>
        </w:rPr>
        <w:t>.</w:t>
      </w:r>
    </w:p>
    <w:p w14:paraId="083F5394" w14:textId="77777777" w:rsidR="006B739D" w:rsidRPr="0022488C" w:rsidRDefault="006B739D" w:rsidP="006B739D">
      <w:pPr>
        <w:pStyle w:val="Heading4"/>
      </w:pPr>
      <w:r>
        <w:lastRenderedPageBreak/>
        <w:t>5</w:t>
      </w:r>
      <w:r w:rsidRPr="0022488C">
        <w:t>. Increases aff ground- they can read multiple disads to state action</w:t>
      </w:r>
    </w:p>
    <w:p w14:paraId="0076001E" w14:textId="77777777" w:rsidR="006B739D" w:rsidRPr="0022488C" w:rsidRDefault="006B739D" w:rsidP="006B739D">
      <w:pPr>
        <w:pStyle w:val="Heading4"/>
      </w:pPr>
      <w:r>
        <w:t>6</w:t>
      </w:r>
      <w:r w:rsidRPr="0022488C">
        <w:t>. Federal key warrants check- easy to find on the context of this topic, gives the aff a preparedness advantage</w:t>
      </w:r>
    </w:p>
    <w:p w14:paraId="49EF223A" w14:textId="77777777" w:rsidR="006B739D" w:rsidRPr="0022488C" w:rsidRDefault="006B739D" w:rsidP="006B739D">
      <w:pPr>
        <w:pStyle w:val="Heading4"/>
      </w:pPr>
      <w:r w:rsidRPr="00D44EEB">
        <w:t>7</w:t>
      </w:r>
      <w:r w:rsidRPr="0022488C">
        <w:t>. No abuse- the CP fiats all 50 states as one unitary actor- comparison of one actor versus another as opposed to one actor versus multiple actors</w:t>
      </w:r>
    </w:p>
    <w:p w14:paraId="7600EA6A" w14:textId="77777777" w:rsidR="006B739D" w:rsidRPr="0022488C" w:rsidRDefault="006B739D" w:rsidP="006B739D">
      <w:pPr>
        <w:pStyle w:val="Heading4"/>
      </w:pPr>
      <w:r>
        <w:t>8</w:t>
      </w:r>
      <w:r w:rsidRPr="0022488C">
        <w:t>. Reciprocal</w:t>
      </w:r>
    </w:p>
    <w:p w14:paraId="1C2DE251" w14:textId="77777777" w:rsidR="006B739D" w:rsidRPr="0022488C" w:rsidRDefault="006B739D" w:rsidP="006B739D">
      <w:pPr>
        <w:pStyle w:val="Heading4"/>
      </w:pPr>
      <w:r w:rsidRPr="0022488C">
        <w:tab/>
        <w:t>-The aff uses the federal government, which has thousands of actors</w:t>
      </w:r>
    </w:p>
    <w:p w14:paraId="274FF001" w14:textId="77777777" w:rsidR="006B739D" w:rsidRPr="0022488C" w:rsidRDefault="006B739D" w:rsidP="006B739D">
      <w:pPr>
        <w:pStyle w:val="Heading4"/>
        <w:ind w:left="720"/>
      </w:pPr>
      <w:r w:rsidRPr="0022488C">
        <w:t>-They fiat state and local enforcement- if not, the plan would be rolled back</w:t>
      </w:r>
    </w:p>
    <w:p w14:paraId="40B72124" w14:textId="77777777" w:rsidR="006B739D" w:rsidRDefault="006B739D" w:rsidP="006B739D">
      <w:pPr>
        <w:pStyle w:val="Heading4"/>
      </w:pPr>
      <w:r>
        <w:t>9</w:t>
      </w:r>
      <w:r w:rsidRPr="0022488C">
        <w:t>. Reject the argument, not the team</w:t>
      </w:r>
    </w:p>
    <w:p w14:paraId="4C7F468E" w14:textId="77777777" w:rsidR="006B739D" w:rsidRDefault="006B739D" w:rsidP="006B739D"/>
    <w:p w14:paraId="49C2A5AE" w14:textId="77777777" w:rsidR="006B739D" w:rsidRDefault="006B739D" w:rsidP="006B739D">
      <w:pPr>
        <w:pStyle w:val="Heading3"/>
      </w:pPr>
      <w:r>
        <w:lastRenderedPageBreak/>
        <w:t>State Courts K2 Education</w:t>
      </w:r>
    </w:p>
    <w:p w14:paraId="4B5AD3DC" w14:textId="77777777" w:rsidR="006B739D" w:rsidRDefault="006B739D" w:rsidP="006B739D">
      <w:pPr>
        <w:pStyle w:val="Heading4"/>
      </w:pPr>
      <w:r>
        <w:t>State Courts CP core controversy – key to education</w:t>
      </w:r>
    </w:p>
    <w:p w14:paraId="767E7BFB" w14:textId="77777777" w:rsidR="006B739D" w:rsidRDefault="006B739D" w:rsidP="006B739D">
      <w:r>
        <w:rPr>
          <w:rStyle w:val="StyleStyleBold12pt"/>
        </w:rPr>
        <w:t xml:space="preserve">Lawson JD from University of Michigan Law ’13 </w:t>
      </w:r>
      <w:r>
        <w:rPr>
          <w:rStyle w:val="StyleStyleBold12pt"/>
          <w:b w:val="0"/>
        </w:rPr>
        <w:t>(Aaron, “</w:t>
      </w:r>
      <w:r w:rsidRPr="000E153B">
        <w:rPr>
          <w:rStyle w:val="StyleStyleBold12pt"/>
          <w:b w:val="0"/>
        </w:rPr>
        <w:t>EDUCATIONAL FEDERALISM: A NEW CASE FOR REDUCED FEDERAL INVOLVEMENT IN K-12 EDUCATION</w:t>
      </w:r>
      <w:r>
        <w:rPr>
          <w:rStyle w:val="StyleStyleBold12pt"/>
          <w:b w:val="0"/>
        </w:rPr>
        <w:t xml:space="preserve">,” </w:t>
      </w:r>
      <w:r w:rsidRPr="000E153B">
        <w:rPr>
          <w:rStyle w:val="StyleStyleBold12pt"/>
          <w:b w:val="0"/>
        </w:rPr>
        <w:t>Brigham Young University education and law journal</w:t>
      </w:r>
      <w:r>
        <w:rPr>
          <w:rStyle w:val="StyleStyleBold12pt"/>
          <w:b w:val="0"/>
        </w:rPr>
        <w:t>, p. 286, Stadt)</w:t>
      </w:r>
    </w:p>
    <w:p w14:paraId="375A074C" w14:textId="6D673CF3" w:rsidR="006B739D" w:rsidRPr="006B739D" w:rsidRDefault="006B739D" w:rsidP="006B739D">
      <w:r w:rsidRPr="00F178C4">
        <w:rPr>
          <w:rStyle w:val="StyleBoldUnderline"/>
        </w:rPr>
        <w:t>The key to</w:t>
      </w:r>
      <w:r w:rsidRPr="00F178C4">
        <w:rPr>
          <w:sz w:val="16"/>
        </w:rPr>
        <w:t xml:space="preserve"> the effectiveness of </w:t>
      </w:r>
      <w:r w:rsidRPr="00F178C4">
        <w:rPr>
          <w:rStyle w:val="StyleBoldUnderline"/>
        </w:rPr>
        <w:t>state-level educational policymaking is</w:t>
      </w:r>
      <w:r w:rsidRPr="00F178C4">
        <w:rPr>
          <w:sz w:val="16"/>
        </w:rPr>
        <w:t xml:space="preserve"> a political dynamic in which </w:t>
      </w:r>
      <w:r w:rsidRPr="00F178C4">
        <w:rPr>
          <w:rStyle w:val="StyleBoldUnderline"/>
        </w:rPr>
        <w:t>courts</w:t>
      </w:r>
      <w:r w:rsidRPr="00F178C4">
        <w:rPr>
          <w:sz w:val="16"/>
        </w:rPr>
        <w:t xml:space="preserve"> and legislatures work together, but in their own separate spheres </w:t>
      </w:r>
      <w:r w:rsidRPr="00F178C4">
        <w:rPr>
          <w:rStyle w:val="StyleBoldUnderline"/>
        </w:rPr>
        <w:t>to effectuate</w:t>
      </w:r>
      <w:r w:rsidRPr="00F178C4">
        <w:rPr>
          <w:sz w:val="16"/>
        </w:rPr>
        <w:t xml:space="preserve"> state-level constitutional guarantees of </w:t>
      </w:r>
      <w:r w:rsidRPr="00F178C4">
        <w:rPr>
          <w:rStyle w:val="StyleBoldUnderline"/>
        </w:rPr>
        <w:t>educational opportunity</w:t>
      </w:r>
      <w:r w:rsidRPr="00F178C4">
        <w:rPr>
          <w:sz w:val="16"/>
        </w:rPr>
        <w:t xml:space="preserve">. This dynamic has been borne out on the judicial side within state-level education litigation. </w:t>
      </w:r>
      <w:r w:rsidRPr="00F178C4">
        <w:rPr>
          <w:rStyle w:val="StyleBoldUnderline"/>
        </w:rPr>
        <w:t>Although</w:t>
      </w:r>
      <w:r w:rsidRPr="00F178C4">
        <w:rPr>
          <w:sz w:val="16"/>
        </w:rPr>
        <w:t xml:space="preserve"> the </w:t>
      </w:r>
      <w:r w:rsidRPr="00F178C4">
        <w:rPr>
          <w:rStyle w:val="StyleBoldUnderline"/>
        </w:rPr>
        <w:t>education</w:t>
      </w:r>
      <w:r w:rsidRPr="00F178C4">
        <w:rPr>
          <w:sz w:val="16"/>
        </w:rPr>
        <w:t xml:space="preserve"> litigation </w:t>
      </w:r>
      <w:r w:rsidRPr="00F178C4">
        <w:rPr>
          <w:rStyle w:val="StyleBoldUnderline"/>
        </w:rPr>
        <w:t>in the federal courts</w:t>
      </w:r>
      <w:r w:rsidRPr="00F178C4">
        <w:rPr>
          <w:sz w:val="16"/>
        </w:rPr>
        <w:t xml:space="preserve"> that famously deals with segregation and equal access to public schools </w:t>
      </w:r>
      <w:r w:rsidRPr="00F178C4">
        <w:rPr>
          <w:rStyle w:val="StyleBoldUnderline"/>
        </w:rPr>
        <w:t>is more well-known</w:t>
      </w:r>
      <w:r w:rsidRPr="00F178C4">
        <w:rPr>
          <w:sz w:val="16"/>
        </w:rPr>
        <w:t xml:space="preserve">, </w:t>
      </w:r>
      <w:r w:rsidRPr="00F178C4">
        <w:rPr>
          <w:rStyle w:val="StyleBoldUnderline"/>
        </w:rPr>
        <w:t>education</w:t>
      </w:r>
      <w:r w:rsidRPr="00F178C4">
        <w:rPr>
          <w:sz w:val="16"/>
        </w:rPr>
        <w:t xml:space="preserve"> litigation </w:t>
      </w:r>
      <w:r w:rsidRPr="00F178C4">
        <w:rPr>
          <w:rStyle w:val="StyleBoldUnderline"/>
        </w:rPr>
        <w:t>in state courts</w:t>
      </w:r>
      <w:r w:rsidRPr="00F178C4">
        <w:rPr>
          <w:sz w:val="16"/>
        </w:rPr>
        <w:t xml:space="preserve">, dealing pertinently with a certain level of opportunity, </w:t>
      </w:r>
      <w:r w:rsidRPr="00F178C4">
        <w:rPr>
          <w:rStyle w:val="StyleBoldUnderline"/>
        </w:rPr>
        <w:t>is more relevant to the current policy debate</w:t>
      </w:r>
      <w:r w:rsidRPr="00F178C4">
        <w:rPr>
          <w:sz w:val="16"/>
        </w:rPr>
        <w:t>.</w:t>
      </w:r>
    </w:p>
    <w:p w14:paraId="32F19F00" w14:textId="77777777" w:rsidR="001D311D" w:rsidRDefault="001D311D" w:rsidP="001D311D"/>
    <w:p w14:paraId="7A6D87DB" w14:textId="51B74295" w:rsidR="00DE62FB" w:rsidRDefault="00B61D5E" w:rsidP="00DE62FB">
      <w:pPr>
        <w:pStyle w:val="Heading2"/>
      </w:pPr>
      <w:r>
        <w:t>*</w:t>
      </w:r>
      <w:r w:rsidR="00DE62FB">
        <w:t>ESA Funding CP</w:t>
      </w:r>
    </w:p>
    <w:p w14:paraId="5701D9FD" w14:textId="77777777" w:rsidR="00DE62FB" w:rsidRPr="009F6596" w:rsidRDefault="00DE62FB" w:rsidP="00DE62FB">
      <w:pPr>
        <w:pStyle w:val="Heading3"/>
      </w:pPr>
      <w:r>
        <w:t>1NC</w:t>
      </w:r>
    </w:p>
    <w:p w14:paraId="7D149B71" w14:textId="77777777" w:rsidR="00DE62FB" w:rsidRDefault="00DE62FB" w:rsidP="00DE62FB">
      <w:pPr>
        <w:pStyle w:val="Heading4"/>
      </w:pPr>
      <w:r>
        <w:t>Text: The fifty states and the District of Columbia should establish education savings account programs with universal eligibility for all students enrolled in [primary and/or secondary] education.</w:t>
      </w:r>
    </w:p>
    <w:p w14:paraId="1A9C4AC5" w14:textId="77777777" w:rsidR="00DE62FB" w:rsidRDefault="00DE62FB" w:rsidP="00DE62FB">
      <w:pPr>
        <w:pStyle w:val="Heading4"/>
      </w:pPr>
      <w:r>
        <w:t>Universal ESAs create flexible spending that solve the pitfalls of education</w:t>
      </w:r>
    </w:p>
    <w:p w14:paraId="78ED1FD6" w14:textId="77777777" w:rsidR="00DE62FB" w:rsidRPr="00F20880" w:rsidRDefault="00DE62FB" w:rsidP="00DE62FB">
      <w:pPr>
        <w:rPr>
          <w:rStyle w:val="StyleStyleBold12pt"/>
          <w:b w:val="0"/>
        </w:rPr>
      </w:pPr>
      <w:r w:rsidRPr="00C74732">
        <w:rPr>
          <w:rStyle w:val="StyleStyleBold12pt"/>
        </w:rPr>
        <w:t>Butcher</w:t>
      </w:r>
      <w:r>
        <w:rPr>
          <w:rStyle w:val="StyleStyleBold12pt"/>
        </w:rPr>
        <w:t xml:space="preserve"> Education Director at the Goldwater Institute </w:t>
      </w:r>
      <w:r w:rsidRPr="00C74732">
        <w:rPr>
          <w:rStyle w:val="StyleStyleBold12pt"/>
        </w:rPr>
        <w:t>and Burke</w:t>
      </w:r>
      <w:r>
        <w:rPr>
          <w:rStyle w:val="StyleStyleBold12pt"/>
        </w:rPr>
        <w:t xml:space="preserve"> </w:t>
      </w:r>
      <w:r w:rsidRPr="006E3EDF">
        <w:rPr>
          <w:rStyle w:val="StyleStyleBold12pt"/>
        </w:rPr>
        <w:t>Director, Center for Education Policy and Will Skillman Fellow in Education</w:t>
      </w:r>
      <w:r>
        <w:rPr>
          <w:rStyle w:val="StyleStyleBold12pt"/>
        </w:rPr>
        <w:t xml:space="preserve"> ’17 </w:t>
      </w:r>
      <w:r>
        <w:rPr>
          <w:rStyle w:val="StyleStyleBold12pt"/>
          <w:b w:val="0"/>
        </w:rPr>
        <w:t>(Jonathan and Lindsey, “</w:t>
      </w:r>
      <w:r w:rsidRPr="00F20880">
        <w:rPr>
          <w:rStyle w:val="StyleStyleBold12pt"/>
          <w:b w:val="0"/>
        </w:rPr>
        <w:t>School Choice Moves Apace in States</w:t>
      </w:r>
      <w:r>
        <w:rPr>
          <w:rStyle w:val="StyleStyleBold12pt"/>
          <w:b w:val="0"/>
        </w:rPr>
        <w:t xml:space="preserve">,” March 19, </w:t>
      </w:r>
      <w:r w:rsidRPr="00F20880">
        <w:rPr>
          <w:rStyle w:val="StyleStyleBold12pt"/>
          <w:b w:val="0"/>
        </w:rPr>
        <w:t>http://www.heritage.org/education/commentary/school-choice-moves-apace-states</w:t>
      </w:r>
      <w:r>
        <w:rPr>
          <w:rStyle w:val="StyleStyleBold12pt"/>
          <w:b w:val="0"/>
        </w:rPr>
        <w:t>, Stadt)</w:t>
      </w:r>
    </w:p>
    <w:p w14:paraId="3BEB3E64" w14:textId="77777777" w:rsidR="00DE62FB" w:rsidRDefault="00DE62FB" w:rsidP="00DE62FB">
      <w:pPr>
        <w:rPr>
          <w:sz w:val="16"/>
        </w:rPr>
      </w:pPr>
      <w:r w:rsidRPr="00F20880">
        <w:rPr>
          <w:rStyle w:val="StyleBoldUnderline"/>
        </w:rPr>
        <w:t>While activists and lobbyists</w:t>
      </w:r>
      <w:r w:rsidRPr="00F20880">
        <w:rPr>
          <w:sz w:val="16"/>
        </w:rPr>
        <w:t xml:space="preserve"> in Washington, D.C., </w:t>
      </w:r>
      <w:r w:rsidRPr="00F20880">
        <w:rPr>
          <w:rStyle w:val="StyleBoldUnderline"/>
        </w:rPr>
        <w:t xml:space="preserve">wrangle over the federal education </w:t>
      </w:r>
      <w:r w:rsidRPr="00C74732">
        <w:rPr>
          <w:rStyle w:val="StyleBoldUnderline"/>
        </w:rPr>
        <w:t>bureaucracy,</w:t>
      </w:r>
      <w:r w:rsidRPr="00F20880">
        <w:rPr>
          <w:sz w:val="16"/>
        </w:rPr>
        <w:t xml:space="preserve"> much of the </w:t>
      </w:r>
      <w:r w:rsidRPr="00F20880">
        <w:rPr>
          <w:rStyle w:val="StyleBoldUnderline"/>
        </w:rPr>
        <w:t>important action on school choice has been taking place in state capitals</w:t>
      </w:r>
      <w:r w:rsidRPr="00F20880">
        <w:rPr>
          <w:sz w:val="16"/>
        </w:rPr>
        <w:t xml:space="preserve">. </w:t>
      </w:r>
      <w:r w:rsidRPr="00F20880">
        <w:rPr>
          <w:rStyle w:val="StyleBoldUnderline"/>
        </w:rPr>
        <w:t>Governors and legislatures in more than a dozen states are considering ways to give students and their families better access to quality learning opportunities that meet their individual needs</w:t>
      </w:r>
      <w:r w:rsidRPr="00F20880">
        <w:rPr>
          <w:sz w:val="16"/>
        </w:rPr>
        <w:t xml:space="preserve">. </w:t>
      </w:r>
      <w:r w:rsidRPr="00F20880">
        <w:rPr>
          <w:rStyle w:val="Emphasis"/>
        </w:rPr>
        <w:t>Education savings accounts</w:t>
      </w:r>
      <w:r w:rsidRPr="00F20880">
        <w:rPr>
          <w:sz w:val="16"/>
        </w:rPr>
        <w:t xml:space="preserve"> (ESAs) </w:t>
      </w:r>
      <w:r w:rsidRPr="00F20880">
        <w:rPr>
          <w:rStyle w:val="StyleBoldUnderline"/>
        </w:rPr>
        <w:t>for elementary, high-school</w:t>
      </w:r>
      <w:r w:rsidRPr="00F20880">
        <w:rPr>
          <w:sz w:val="16"/>
        </w:rPr>
        <w:t xml:space="preserve">, and college </w:t>
      </w:r>
      <w:r w:rsidRPr="00F20880">
        <w:rPr>
          <w:rStyle w:val="StyleBoldUnderline"/>
        </w:rPr>
        <w:t>expenses are on the</w:t>
      </w:r>
      <w:r w:rsidRPr="00F20880">
        <w:rPr>
          <w:sz w:val="16"/>
        </w:rPr>
        <w:t xml:space="preserve"> </w:t>
      </w:r>
      <w:r w:rsidRPr="00F20880">
        <w:rPr>
          <w:rStyle w:val="Emphasis"/>
        </w:rPr>
        <w:t>leading edge</w:t>
      </w:r>
      <w:r w:rsidRPr="00F20880">
        <w:rPr>
          <w:sz w:val="16"/>
        </w:rPr>
        <w:t xml:space="preserve"> </w:t>
      </w:r>
      <w:r w:rsidRPr="00F20880">
        <w:rPr>
          <w:rStyle w:val="StyleBoldUnderline"/>
        </w:rPr>
        <w:t>of these options</w:t>
      </w:r>
      <w:r w:rsidRPr="00F20880">
        <w:rPr>
          <w:sz w:val="16"/>
        </w:rPr>
        <w:t xml:space="preserve">. Arizona lawmakers first enacted the accounts in 2011, and since that time, legislators in This year, lawmakers in Arkansas, New Hampshire, Missouri, Georgia, Indiana, North Dakota, Texas, and West Virginia, to name a few, are considering similar laws. </w:t>
      </w:r>
      <w:r w:rsidRPr="00F20880">
        <w:rPr>
          <w:rStyle w:val="StyleBoldUnderline"/>
        </w:rPr>
        <w:t>Education savings accounts are like flexible spending accounts for health care, except that instead of depositing money into the account from your paycheck, the state government deposits your child’s share of school funding into the account</w:t>
      </w:r>
      <w:r w:rsidRPr="00F20880">
        <w:rPr>
          <w:sz w:val="16"/>
        </w:rPr>
        <w:t xml:space="preserve"> (if you opt out of sending your child to public school in your district). </w:t>
      </w:r>
      <w:r w:rsidRPr="00F20880">
        <w:rPr>
          <w:rStyle w:val="StyleBoldUnderline"/>
        </w:rPr>
        <w:t>ESAs allow parents to spend the funds on tutoring, online learning, textbooks, private-school tuition, educational therapies, and other education-related services and products</w:t>
      </w:r>
      <w:r w:rsidRPr="00F20880">
        <w:rPr>
          <w:sz w:val="16"/>
        </w:rPr>
        <w:t xml:space="preserve">. </w:t>
      </w:r>
      <w:r w:rsidRPr="00F20880">
        <w:rPr>
          <w:rStyle w:val="StyleBoldUnderline"/>
        </w:rPr>
        <w:t>Parents can use a combination of educational services based on what they think would best meet their child’s learning needs, with states determining the universe of eligible expenditures</w:t>
      </w:r>
      <w:r w:rsidRPr="00F20880">
        <w:rPr>
          <w:sz w:val="16"/>
        </w:rPr>
        <w:t xml:space="preserve">. </w:t>
      </w:r>
      <w:r w:rsidRPr="00F20880">
        <w:rPr>
          <w:rStyle w:val="StyleBoldUnderline"/>
        </w:rPr>
        <w:t>Unused funds can often be rolled over</w:t>
      </w:r>
      <w:r w:rsidRPr="00F20880">
        <w:rPr>
          <w:sz w:val="16"/>
        </w:rPr>
        <w:t xml:space="preserve"> from year to year and saved for college. From 2011 to 2013, in Arizona, only children with special needs could qualify for ESAs, but eligibility has since been expanded. Today half of the participants are children previously assigned to failing schools, children in active-duty military families, adopted children, and Native American children on tribal lands. </w:t>
      </w:r>
      <w:r w:rsidRPr="00F20880">
        <w:rPr>
          <w:rStyle w:val="StyleBoldUnderline"/>
        </w:rPr>
        <w:t>Arizona lawmakers are currently considering expanding the accounts to allow every student assigned to a public school the chance to participate</w:t>
      </w:r>
      <w:r w:rsidRPr="00F20880">
        <w:rPr>
          <w:sz w:val="16"/>
        </w:rPr>
        <w:t xml:space="preserve">. Parents can use a combination of educational services based on what they think would best meet their child’s learning needs, with states determining the universe of eligible expenditures. This expansion suits Arizona. Governor Doug Ducey has been at the forefront of pushing innovative ideas in the state, including support for easing regulations for ride-sharing services, and he’s already said he welcomes Uber’s self-driving cars. In his January 2017 state-of-the-state address, Ducey said he wants to eliminate 500 government rules and regulations this year alone to help businesses. </w:t>
      </w:r>
      <w:r w:rsidRPr="00F20880">
        <w:rPr>
          <w:rStyle w:val="StyleBoldUnderline"/>
        </w:rPr>
        <w:t xml:space="preserve">Universal access to ESAs is an equally bold move. That leadership has broader implications for </w:t>
      </w:r>
      <w:r w:rsidRPr="00F20880">
        <w:rPr>
          <w:rStyle w:val="Emphasis"/>
        </w:rPr>
        <w:t>national education policy</w:t>
      </w:r>
      <w:r w:rsidRPr="00F20880">
        <w:rPr>
          <w:sz w:val="16"/>
        </w:rPr>
        <w:t xml:space="preserve">. </w:t>
      </w:r>
      <w:r w:rsidRPr="00F20880">
        <w:rPr>
          <w:rStyle w:val="StyleBoldUnderline"/>
        </w:rPr>
        <w:t>In establishing such a broad ESA option</w:t>
      </w:r>
      <w:r w:rsidRPr="00F20880">
        <w:rPr>
          <w:sz w:val="16"/>
        </w:rPr>
        <w:t xml:space="preserve">, </w:t>
      </w:r>
      <w:r w:rsidRPr="00F20880">
        <w:rPr>
          <w:rStyle w:val="Emphasis"/>
        </w:rPr>
        <w:t>Arizona would show Washington policymakers</w:t>
      </w:r>
      <w:r w:rsidRPr="00F20880">
        <w:rPr>
          <w:sz w:val="16"/>
        </w:rPr>
        <w:t xml:space="preserve"> </w:t>
      </w:r>
      <w:r w:rsidRPr="00F20880">
        <w:rPr>
          <w:rStyle w:val="StyleBoldUnderline"/>
        </w:rPr>
        <w:t>that</w:t>
      </w:r>
      <w:r w:rsidRPr="00F20880">
        <w:rPr>
          <w:sz w:val="16"/>
        </w:rPr>
        <w:t xml:space="preserve">, given the chance and with the right leadership, </w:t>
      </w:r>
      <w:r w:rsidRPr="00F20880">
        <w:rPr>
          <w:rStyle w:val="Emphasis"/>
        </w:rPr>
        <w:t>states will lead on education choice</w:t>
      </w:r>
      <w:r w:rsidRPr="00F20880">
        <w:rPr>
          <w:sz w:val="16"/>
        </w:rPr>
        <w:t xml:space="preserve">. That’s an important reminder to a new administration whose heart is in the right place on school choice. </w:t>
      </w:r>
      <w:r w:rsidRPr="00F20880">
        <w:rPr>
          <w:rStyle w:val="StyleBoldUnderline"/>
        </w:rPr>
        <w:t>There are school-choice policies that</w:t>
      </w:r>
      <w:r w:rsidRPr="00F20880">
        <w:rPr>
          <w:sz w:val="16"/>
        </w:rPr>
        <w:t xml:space="preserve"> Education secretary Betsy </w:t>
      </w:r>
      <w:r w:rsidRPr="00F20880">
        <w:rPr>
          <w:rStyle w:val="StyleBoldUnderline"/>
        </w:rPr>
        <w:t>DeVos, along with Congress, can pursue</w:t>
      </w:r>
      <w:r w:rsidRPr="00F20880">
        <w:rPr>
          <w:sz w:val="16"/>
        </w:rPr>
        <w:t xml:space="preserve"> that are appropriate </w:t>
      </w:r>
      <w:r w:rsidRPr="00F20880">
        <w:rPr>
          <w:rStyle w:val="StyleBoldUnderline"/>
        </w:rPr>
        <w:t>at the federal level</w:t>
      </w:r>
      <w:r w:rsidRPr="00F20880">
        <w:rPr>
          <w:sz w:val="16"/>
        </w:rPr>
        <w:t xml:space="preserve">. </w:t>
      </w:r>
      <w:r w:rsidRPr="00F20880">
        <w:rPr>
          <w:rStyle w:val="StyleBoldUnderline"/>
        </w:rPr>
        <w:t>That includes</w:t>
      </w:r>
      <w:r w:rsidRPr="00F20880">
        <w:rPr>
          <w:sz w:val="16"/>
        </w:rPr>
        <w:t xml:space="preserve"> reauthorizing and expanding </w:t>
      </w:r>
      <w:r w:rsidRPr="00F20880">
        <w:rPr>
          <w:rStyle w:val="StyleBoldUnderline"/>
        </w:rPr>
        <w:t>the D.C. Opportunity Scholarship Program</w:t>
      </w:r>
      <w:r w:rsidRPr="00F20880">
        <w:rPr>
          <w:sz w:val="16"/>
        </w:rPr>
        <w:t xml:space="preserve">, expanding similar choices for </w:t>
      </w:r>
      <w:r w:rsidRPr="00F20880">
        <w:rPr>
          <w:rStyle w:val="StyleBoldUnderline"/>
        </w:rPr>
        <w:t>military families, and creating ESAs for</w:t>
      </w:r>
      <w:r w:rsidRPr="00F20880">
        <w:rPr>
          <w:sz w:val="16"/>
        </w:rPr>
        <w:t xml:space="preserve"> children attending Bureau of </w:t>
      </w:r>
      <w:r w:rsidRPr="00F20880">
        <w:rPr>
          <w:rStyle w:val="StyleBoldUnderline"/>
        </w:rPr>
        <w:t>Indian Affairs schools</w:t>
      </w:r>
      <w:r w:rsidRPr="00F20880">
        <w:rPr>
          <w:sz w:val="16"/>
        </w:rPr>
        <w:t xml:space="preserve">. With a few exceptions, though, </w:t>
      </w:r>
      <w:r w:rsidRPr="00F20880">
        <w:rPr>
          <w:rStyle w:val="Emphasis"/>
        </w:rPr>
        <w:t>that’s where the federal school-choice universe should end</w:t>
      </w:r>
      <w:r w:rsidRPr="00F20880">
        <w:rPr>
          <w:sz w:val="16"/>
        </w:rPr>
        <w:t xml:space="preserve">, </w:t>
      </w:r>
      <w:r w:rsidRPr="00F20880">
        <w:rPr>
          <w:rStyle w:val="StyleBoldUnderline"/>
        </w:rPr>
        <w:t>which is why efforts</w:t>
      </w:r>
      <w:r w:rsidRPr="00F20880">
        <w:rPr>
          <w:sz w:val="16"/>
        </w:rPr>
        <w:t xml:space="preserve"> such as those </w:t>
      </w:r>
      <w:r w:rsidRPr="00F20880">
        <w:rPr>
          <w:rStyle w:val="StyleBoldUnderline"/>
        </w:rPr>
        <w:t>in Arizona and elsewhere are so important</w:t>
      </w:r>
      <w:r w:rsidRPr="00F20880">
        <w:rPr>
          <w:sz w:val="16"/>
        </w:rPr>
        <w:t xml:space="preserve">. Education savings accounts and other </w:t>
      </w:r>
      <w:r w:rsidRPr="00F20880">
        <w:rPr>
          <w:rStyle w:val="Emphasis"/>
        </w:rPr>
        <w:t>state-based solutions</w:t>
      </w:r>
      <w:r w:rsidRPr="00F20880">
        <w:rPr>
          <w:sz w:val="16"/>
        </w:rPr>
        <w:t xml:space="preserve"> (such as moving toward policies that give teachers a choice as to whether they join a union, and limiting union power generally) </w:t>
      </w:r>
      <w:r w:rsidRPr="00F20880">
        <w:rPr>
          <w:rStyle w:val="StyleBoldUnderline"/>
        </w:rPr>
        <w:t>would do more to give parents and students high-quality educational options than any new federal program, which would run the risk of regulating private schools and complicating existing state-based learning options</w:t>
      </w:r>
      <w:r w:rsidRPr="00F20880">
        <w:rPr>
          <w:sz w:val="16"/>
        </w:rPr>
        <w:t xml:space="preserve">. </w:t>
      </w:r>
      <w:r w:rsidRPr="00F20880">
        <w:rPr>
          <w:rStyle w:val="Emphasis"/>
        </w:rPr>
        <w:t>The proper role for federal policymakers is to empower states to lead</w:t>
      </w:r>
      <w:r w:rsidRPr="00F20880">
        <w:rPr>
          <w:rStyle w:val="StyleBoldUnderline"/>
        </w:rPr>
        <w:t>. Allowing states to opt out of federal programs through policies</w:t>
      </w:r>
      <w:r w:rsidRPr="00F20880">
        <w:rPr>
          <w:sz w:val="16"/>
        </w:rPr>
        <w:t xml:space="preserve"> contained in the Academic Partnerships Lead Us to Success (APLUS) Act </w:t>
      </w:r>
      <w:r w:rsidRPr="00F20880">
        <w:rPr>
          <w:rStyle w:val="StyleBoldUnderline"/>
        </w:rPr>
        <w:t>would go a long way in making space for state-based educational-choice efforts</w:t>
      </w:r>
      <w:r w:rsidRPr="00F20880">
        <w:rPr>
          <w:sz w:val="16"/>
        </w:rPr>
        <w:t xml:space="preserve">. As </w:t>
      </w:r>
      <w:r w:rsidRPr="00F20880">
        <w:rPr>
          <w:rStyle w:val="StyleBoldUnderline"/>
        </w:rPr>
        <w:t>governors around the country</w:t>
      </w:r>
      <w:r w:rsidRPr="00F20880">
        <w:rPr>
          <w:sz w:val="16"/>
        </w:rPr>
        <w:t xml:space="preserve"> have demonstrated already this legislative session, </w:t>
      </w:r>
      <w:r w:rsidRPr="00F20880">
        <w:rPr>
          <w:rStyle w:val="StyleBoldUnderline"/>
        </w:rPr>
        <w:t>they’re</w:t>
      </w:r>
      <w:r w:rsidRPr="00F20880">
        <w:rPr>
          <w:sz w:val="16"/>
        </w:rPr>
        <w:t xml:space="preserve"> </w:t>
      </w:r>
      <w:r w:rsidRPr="00F20880">
        <w:rPr>
          <w:rStyle w:val="StyleBoldUnderline"/>
        </w:rPr>
        <w:t>eager to get to work</w:t>
      </w:r>
      <w:r w:rsidRPr="00F20880">
        <w:rPr>
          <w:sz w:val="16"/>
        </w:rPr>
        <w:t>.</w:t>
      </w:r>
    </w:p>
    <w:p w14:paraId="4AC560AA" w14:textId="77777777" w:rsidR="00DE62FB" w:rsidRDefault="00DE62FB" w:rsidP="00DE62FB">
      <w:pPr>
        <w:rPr>
          <w:sz w:val="16"/>
        </w:rPr>
      </w:pPr>
    </w:p>
    <w:p w14:paraId="336B7B14" w14:textId="77777777" w:rsidR="00DE62FB" w:rsidRDefault="00DE62FB" w:rsidP="00DE62FB"/>
    <w:p w14:paraId="3D5D6C9B" w14:textId="77777777" w:rsidR="00DE62FB" w:rsidRDefault="00DE62FB" w:rsidP="00DE62FB">
      <w:pPr>
        <w:pStyle w:val="Heading3"/>
      </w:pPr>
      <w:r>
        <w:t>Solvency – Innovation/Accountability</w:t>
      </w:r>
    </w:p>
    <w:p w14:paraId="441C54F1" w14:textId="77777777" w:rsidR="00DE62FB" w:rsidRDefault="00DE62FB" w:rsidP="00DE62FB">
      <w:pPr>
        <w:pStyle w:val="Heading4"/>
      </w:pPr>
      <w:r>
        <w:t>Universal access to ESAs are key to innovation and accountability – the aff’s funding/regulations fail</w:t>
      </w:r>
    </w:p>
    <w:p w14:paraId="0DF38B34" w14:textId="77777777" w:rsidR="00DE62FB" w:rsidRPr="00C7658A" w:rsidRDefault="00DE62FB" w:rsidP="00DE62FB">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14:paraId="533001B6" w14:textId="77777777" w:rsidR="00DE62FB" w:rsidRPr="00C7658A" w:rsidRDefault="00DE62FB" w:rsidP="00DE62FB">
      <w:pPr>
        <w:rPr>
          <w:rStyle w:val="StyleStyleBold12pt"/>
          <w:b w:val="0"/>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xml:space="preserve">, Stadt) </w:t>
      </w:r>
    </w:p>
    <w:p w14:paraId="73BE8951" w14:textId="77777777" w:rsidR="00DE62FB" w:rsidRDefault="00DE62FB" w:rsidP="00DE62FB">
      <w:r w:rsidRPr="00C7658A">
        <w:rPr>
          <w:rStyle w:val="StyleBoldUnderline"/>
        </w:rPr>
        <w:t>In order to foster a variety of innovative and high- quality education options for all students</w:t>
      </w:r>
      <w:r>
        <w:t xml:space="preserve">, </w:t>
      </w:r>
      <w:r w:rsidRPr="00C7658A">
        <w:rPr>
          <w:rStyle w:val="Emphasis"/>
        </w:rPr>
        <w:t>universal access to education savings accounts</w:t>
      </w:r>
      <w:r>
        <w:t xml:space="preserve"> ( eSAs) </w:t>
      </w:r>
      <w:r w:rsidRPr="00C7658A">
        <w:rPr>
          <w:rStyle w:val="Emphasis"/>
        </w:rPr>
        <w:t xml:space="preserve">should be the goal of policymakers in </w:t>
      </w:r>
      <w:r w:rsidRPr="00C7658A">
        <w:rPr>
          <w:rStyle w:val="Emphasis"/>
          <w:rFonts w:ascii="Arial Black" w:hAnsi="Arial Black"/>
        </w:rPr>
        <w:t>every state</w:t>
      </w:r>
      <w:r>
        <w:t xml:space="preserve">. eSAs are flexible spending accounts that parents can use to purchase a wide variety of educational goods and services, including private school tuition, tutors, textbooks, homeschool curricula, online courses, educational therapy, and more. Parents can also save unused funds for later educational expens - es, such as college tuition. This Special Report explores how </w:t>
      </w:r>
      <w:r w:rsidRPr="00C7658A">
        <w:rPr>
          <w:rStyle w:val="StyleBoldUnderline"/>
        </w:rPr>
        <w:t>ESAs expand educational opportunity and hold education provid - ers directly accountable to parents</w:t>
      </w:r>
      <w:r>
        <w:t xml:space="preserve">; it also explains </w:t>
      </w:r>
      <w:r w:rsidRPr="00C7658A">
        <w:rPr>
          <w:rStyle w:val="Emphasis"/>
        </w:rPr>
        <w:t>several common types of regulations</w:t>
      </w:r>
      <w:r>
        <w:t xml:space="preserve"> that </w:t>
      </w:r>
      <w:r w:rsidRPr="00C7658A">
        <w:rPr>
          <w:rStyle w:val="Emphasis"/>
        </w:rPr>
        <w:t>can under - mine the effectiveness of the program</w:t>
      </w:r>
      <w:r>
        <w:t xml:space="preserve"> </w:t>
      </w:r>
      <w:r w:rsidRPr="00C7658A">
        <w:rPr>
          <w:rStyle w:val="StyleBoldUnderline"/>
        </w:rPr>
        <w:t>and</w:t>
      </w:r>
      <w:r>
        <w:t xml:space="preserve"> how they </w:t>
      </w:r>
      <w:r w:rsidRPr="00C7658A">
        <w:rPr>
          <w:rStyle w:val="Emphasis"/>
        </w:rPr>
        <w:t>can be avoided</w:t>
      </w:r>
      <w:r>
        <w:t xml:space="preserve">. </w:t>
      </w:r>
      <w:r w:rsidRPr="00C7658A">
        <w:rPr>
          <w:rStyle w:val="StyleBoldUnderline"/>
        </w:rPr>
        <w:t xml:space="preserve">The potential of ESAs to foster innovation and improved quality depends on a robust market in education. Increasing demand will require a criti - cal mass of potential students, so </w:t>
      </w:r>
      <w:r>
        <w:rPr>
          <w:rStyle w:val="StyleBoldUnderline"/>
        </w:rPr>
        <w:t>E</w:t>
      </w:r>
      <w:r w:rsidRPr="00C7658A">
        <w:rPr>
          <w:rStyle w:val="StyleBoldUnderline"/>
        </w:rPr>
        <w:t>SAs should be made available to all families</w:t>
      </w:r>
      <w:r>
        <w:t xml:space="preserve">. </w:t>
      </w:r>
      <w:r w:rsidRPr="00C7658A">
        <w:rPr>
          <w:rStyle w:val="StyleBoldUnderline"/>
        </w:rPr>
        <w:t>A robust education market will also require education providers to have the freedom to innovate and parents to have the freedom to choose the providers that best meet their child’s needs</w:t>
      </w:r>
      <w:r>
        <w:t xml:space="preserve">. </w:t>
      </w:r>
      <w:r w:rsidRPr="00C7658A">
        <w:rPr>
          <w:rStyle w:val="StyleBoldUnderline"/>
        </w:rPr>
        <w:t>International research comparing dif - ferent types of education systems has found that the most market-like, least regulated systems consis - tently outperformed more centralized and regulat - ed ones</w:t>
      </w:r>
      <w:r>
        <w:t xml:space="preserve">. </w:t>
      </w:r>
      <w:r w:rsidRPr="00C7658A">
        <w:rPr>
          <w:rStyle w:val="StyleBoldUnderline"/>
        </w:rPr>
        <w:t>Policymakers</w:t>
      </w:r>
      <w:r>
        <w:t xml:space="preserve"> therefore </w:t>
      </w:r>
      <w:r w:rsidRPr="00C7658A">
        <w:rPr>
          <w:rStyle w:val="Emphasis"/>
        </w:rPr>
        <w:t>should avoid</w:t>
      </w:r>
      <w:r>
        <w:t xml:space="preserve"> well- intentioned but misguided </w:t>
      </w:r>
      <w:r w:rsidRPr="00C7658A">
        <w:rPr>
          <w:rStyle w:val="Emphasis"/>
        </w:rPr>
        <w:t>regulations</w:t>
      </w:r>
      <w:r>
        <w:t xml:space="preserve"> such as open admissions requirements, price controls, state test - ing mandates, and excessive reporting requirements. </w:t>
      </w:r>
      <w:r w:rsidRPr="00C7658A">
        <w:rPr>
          <w:rStyle w:val="StyleBoldUnderline"/>
        </w:rPr>
        <w:t>Although intended to guarantee access and account - ability, these regulations produce unintended con - sequences that can reduce the effectiveness of e SAs and even undermine their intended goals</w:t>
      </w:r>
      <w:r>
        <w:t xml:space="preserve">. </w:t>
      </w:r>
      <w:r w:rsidRPr="00C7658A">
        <w:rPr>
          <w:rStyle w:val="StyleBoldUnderline"/>
        </w:rPr>
        <w:t>The best way for policymakers</w:t>
      </w:r>
      <w:r>
        <w:t xml:space="preserve"> in Texas and else - where </w:t>
      </w:r>
      <w:r w:rsidRPr="00C7658A">
        <w:rPr>
          <w:rStyle w:val="StyleBoldUnderline"/>
        </w:rPr>
        <w:t xml:space="preserve">to expand access to a high-quality education for all children is to provide all families with </w:t>
      </w:r>
      <w:r>
        <w:rPr>
          <w:rStyle w:val="StyleBoldUnderline"/>
        </w:rPr>
        <w:t>E</w:t>
      </w:r>
      <w:r w:rsidRPr="00C7658A">
        <w:rPr>
          <w:rStyle w:val="StyleBoldUnderline"/>
        </w:rPr>
        <w:t>SAs that give them the maximum possible freedom to choose the education providers that work best for their children</w:t>
      </w:r>
      <w:r>
        <w:t>.</w:t>
      </w:r>
    </w:p>
    <w:p w14:paraId="6FA6DF56" w14:textId="77777777" w:rsidR="00DE62FB" w:rsidRDefault="00DE62FB" w:rsidP="00DE62FB">
      <w:pPr>
        <w:pStyle w:val="Heading4"/>
      </w:pPr>
      <w:r>
        <w:t>Expert consensus goes negative – universal ESAs solve all of the pitfalls of federal education policy</w:t>
      </w:r>
    </w:p>
    <w:p w14:paraId="6FD2CA45" w14:textId="77777777" w:rsidR="00DE62FB" w:rsidRPr="00C7658A" w:rsidRDefault="00DE62FB" w:rsidP="00DE62FB">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14:paraId="04A6A5CB" w14:textId="77777777" w:rsidR="00DE62FB" w:rsidRDefault="00DE62FB" w:rsidP="00DE62FB">
      <w:pPr>
        <w:rPr>
          <w:sz w:val="16"/>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Stadt)</w:t>
      </w:r>
    </w:p>
    <w:p w14:paraId="0832FF71" w14:textId="77777777" w:rsidR="00DE62FB" w:rsidRDefault="00DE62FB" w:rsidP="00DE62FB">
      <w:pPr>
        <w:rPr>
          <w:sz w:val="16"/>
        </w:rPr>
      </w:pPr>
      <w:r w:rsidRPr="00B21DBB">
        <w:rPr>
          <w:sz w:val="16"/>
        </w:rPr>
        <w:t xml:space="preserve">This new model of education will require rede - signing the way we fund education and rethinking the way we hold education providers accountable. Milton Friedman, Nobel Laureate in economics, developed a proposal for this redesign. He argued that, in order to cultivate the informed citizens that are necessary for self-government, society has a legitimate interest in ensuring that all children had access to a quality education. However, </w:t>
      </w:r>
      <w:r w:rsidRPr="00264CC2">
        <w:rPr>
          <w:rStyle w:val="StyleBoldUnderline"/>
        </w:rPr>
        <w:t>the govern - ment is not</w:t>
      </w:r>
      <w:r w:rsidRPr="00B21DBB">
        <w:rPr>
          <w:sz w:val="16"/>
        </w:rPr>
        <w:t xml:space="preserve"> necessarily </w:t>
      </w:r>
      <w:r w:rsidRPr="00264CC2">
        <w:rPr>
          <w:rStyle w:val="StyleBoldUnderline"/>
        </w:rPr>
        <w:t>the best equipped provider to deliver that education</w:t>
      </w:r>
      <w:r w:rsidRPr="00B21DBB">
        <w:rPr>
          <w:sz w:val="16"/>
        </w:rPr>
        <w:t xml:space="preserve">. </w:t>
      </w:r>
      <w:r w:rsidRPr="00264CC2">
        <w:rPr>
          <w:rStyle w:val="StyleBoldUnderline"/>
        </w:rPr>
        <w:t>Rather than the govern - ment running schools and assigning students to them based on where they lived</w:t>
      </w:r>
      <w:r w:rsidRPr="00B21DBB">
        <w:rPr>
          <w:sz w:val="16"/>
        </w:rPr>
        <w:t xml:space="preserve">, </w:t>
      </w:r>
      <w:r w:rsidRPr="00264CC2">
        <w:rPr>
          <w:rStyle w:val="Emphasis"/>
        </w:rPr>
        <w:t>the state should give the funds directly</w:t>
      </w:r>
      <w:r w:rsidRPr="00B21DBB">
        <w:rPr>
          <w:sz w:val="16"/>
        </w:rPr>
        <w:t xml:space="preserve"> </w:t>
      </w:r>
      <w:r w:rsidRPr="00264CC2">
        <w:rPr>
          <w:rStyle w:val="StyleBoldUnderline"/>
        </w:rPr>
        <w:t>to parents who could then choose the school that worked best for their own children</w:t>
      </w:r>
      <w:r w:rsidRPr="00B21DBB">
        <w:rPr>
          <w:sz w:val="16"/>
        </w:rPr>
        <w:t xml:space="preserve">. </w:t>
      </w:r>
      <w:r w:rsidRPr="00264CC2">
        <w:rPr>
          <w:rStyle w:val="Emphasis"/>
        </w:rPr>
        <w:t>Education choice should be universally available and free of any “conditions...that interfere with the freedom of private enterprises to experiment, to explore, and to innovate.”</w:t>
      </w:r>
      <w:r w:rsidRPr="00B21DBB">
        <w:rPr>
          <w:sz w:val="16"/>
        </w:rPr>
        <w:t xml:space="preserve"> 1 The </w:t>
      </w:r>
      <w:r w:rsidRPr="00264CC2">
        <w:rPr>
          <w:rStyle w:val="StyleBoldUnderline"/>
        </w:rPr>
        <w:t>increased choice and competition would</w:t>
      </w:r>
      <w:r w:rsidRPr="00B21DBB">
        <w:rPr>
          <w:sz w:val="16"/>
        </w:rPr>
        <w:t xml:space="preserve"> then </w:t>
      </w:r>
      <w:r w:rsidRPr="00264CC2">
        <w:rPr>
          <w:rStyle w:val="StyleBoldUnderline"/>
        </w:rPr>
        <w:t>spur both a wider variety of schooling options as well as improved school quality</w:t>
      </w:r>
      <w:r w:rsidRPr="00B21DBB">
        <w:rPr>
          <w:sz w:val="16"/>
        </w:rPr>
        <w:t xml:space="preserve">. </w:t>
      </w:r>
      <w:r w:rsidRPr="00264CC2">
        <w:rPr>
          <w:rStyle w:val="StyleBoldUnderline"/>
        </w:rPr>
        <w:t>As of 2016, 29 states have made significant strides</w:t>
      </w:r>
      <w:r w:rsidRPr="00B21DBB">
        <w:rPr>
          <w:sz w:val="16"/>
        </w:rPr>
        <w:t xml:space="preserve"> toward the kind of education choice policy that Friedman envisioned. </w:t>
      </w:r>
      <w:r w:rsidRPr="00264CC2">
        <w:rPr>
          <w:rStyle w:val="StyleBoldUnderline"/>
        </w:rPr>
        <w:t>However, most of these poli - cies have limited student eligibility and some include numerous regulations that reduce the program’s effectiveness</w:t>
      </w:r>
      <w:r w:rsidRPr="00B21DBB">
        <w:rPr>
          <w:sz w:val="16"/>
        </w:rPr>
        <w:t xml:space="preserve">. Nevertheless, </w:t>
      </w:r>
      <w:r w:rsidRPr="00264CC2">
        <w:rPr>
          <w:rStyle w:val="StyleBoldUnderline"/>
        </w:rPr>
        <w:t>the</w:t>
      </w:r>
      <w:r w:rsidRPr="00B21DBB">
        <w:rPr>
          <w:sz w:val="16"/>
        </w:rPr>
        <w:t xml:space="preserve"> near-</w:t>
      </w:r>
      <w:r w:rsidRPr="00264CC2">
        <w:rPr>
          <w:rStyle w:val="Emphasis"/>
        </w:rPr>
        <w:t>consensus of high-quality research</w:t>
      </w:r>
      <w:r w:rsidRPr="00B21DBB">
        <w:rPr>
          <w:sz w:val="16"/>
        </w:rPr>
        <w:t xml:space="preserve"> </w:t>
      </w:r>
      <w:r w:rsidRPr="00264CC2">
        <w:rPr>
          <w:rStyle w:val="StyleBoldUnderline"/>
        </w:rPr>
        <w:t>indicates</w:t>
      </w:r>
      <w:r w:rsidRPr="00B21DBB">
        <w:rPr>
          <w:sz w:val="16"/>
        </w:rPr>
        <w:t xml:space="preserve"> that these </w:t>
      </w:r>
      <w:r w:rsidRPr="00264CC2">
        <w:rPr>
          <w:rStyle w:val="StyleBoldUnderline"/>
        </w:rPr>
        <w:t>choice programs improve student outcomes for both participating students and—through increased choice and competition—for students who remain in their assigned district schools</w:t>
      </w:r>
      <w:r w:rsidRPr="00B21DBB">
        <w:rPr>
          <w:sz w:val="16"/>
        </w:rPr>
        <w:t xml:space="preserve">. 2 These education choice policies include school vouchers, tax-credit scholarships, and publicly funded education savings accounts ( eSAs). </w:t>
      </w:r>
      <w:r w:rsidRPr="00B21DBB">
        <w:rPr>
          <w:rStyle w:val="Emphasis"/>
        </w:rPr>
        <w:t>ESAs are a critical refinement</w:t>
      </w:r>
      <w:r w:rsidRPr="00B21DBB">
        <w:rPr>
          <w:sz w:val="16"/>
        </w:rPr>
        <w:t xml:space="preserve"> of Friedman’s original idea. </w:t>
      </w:r>
      <w:r w:rsidRPr="00B21DBB">
        <w:rPr>
          <w:rStyle w:val="StyleBoldUnderline"/>
        </w:rPr>
        <w:t>ESAs empower parents with a much greater ability to customize their child’s education. Where - as vouchers are coupons that parents can only redeem at private schools, e SAs are quite different</w:t>
      </w:r>
      <w:r w:rsidRPr="00B21DBB">
        <w:rPr>
          <w:sz w:val="16"/>
        </w:rPr>
        <w:t xml:space="preserve">. </w:t>
      </w:r>
      <w:r w:rsidRPr="00B21DBB">
        <w:rPr>
          <w:rStyle w:val="StyleBoldUnderline"/>
        </w:rPr>
        <w:t>They are flexible spending accounts</w:t>
      </w:r>
      <w:r w:rsidRPr="00B21DBB">
        <w:rPr>
          <w:sz w:val="16"/>
        </w:rPr>
        <w:t xml:space="preserve"> that parents can use to purchase a wide variety of educational goods and services, including private school tuition, public school services, tutors, textbooks, curricula, online courses, educational therapy, and more. </w:t>
      </w:r>
      <w:r w:rsidRPr="00B21DBB">
        <w:rPr>
          <w:rStyle w:val="StyleBoldUnderline"/>
        </w:rPr>
        <w:t>moreover, parents can save unused funds for later educational expenses</w:t>
      </w:r>
      <w:r w:rsidRPr="00B21DBB">
        <w:rPr>
          <w:sz w:val="16"/>
        </w:rPr>
        <w:t xml:space="preserve">, such as college tuition. The Ashtons are one such family. When Arizona first enacted e SAs in 2011, m arc and Lisa Ashton decided to enroll their son, m ax, who is legally blind, in a private school. With his e SA, m ax was able to access 90 percent of the state funding that would have been spent on him in Arizona public schools to pay for private school tuition at brophy college Pre - paratory Academy. In addition to paying for private school tuition with a fraction of what was spent on him in the public system, max was also able to pur - chase all of his braille materials and other assistive technology, such as a talking computer, that he need - ed to be academically successful. max is now using his leftover eSA money to pay part of his tuition at Loyola m arymount University. Through the e SA program, the Ashtons achieved a level of education customization that had previ - ously been unavailable to them for far less than the total of federal, state, and local dollars that had been spent on m ax in the district school system. The Ash - tons’ story is far from an isolated one in states that have e SA programs, and demonstrates what is pos - sible when parents are able to direct their children’s share of education funding. </w:t>
      </w:r>
      <w:r w:rsidRPr="00B21DBB">
        <w:rPr>
          <w:rStyle w:val="StyleBoldUnderline"/>
        </w:rPr>
        <w:t>eSAs not only expand educational opportuni - ties, but they also hold education providers directly accountable to parents</w:t>
      </w:r>
      <w:r w:rsidRPr="00B21DBB">
        <w:rPr>
          <w:sz w:val="16"/>
        </w:rPr>
        <w:t xml:space="preserve">. As one e SA parent said when pressed by a legislator on the issue of accountability: “The accountability is with me. I am responsible for my child. I am responsible for my child’s education. It lies with me, not some bureaucrat in some high tower somewhere.” 3 </w:t>
      </w:r>
      <w:r w:rsidRPr="00B21DBB">
        <w:rPr>
          <w:rStyle w:val="StyleBoldUnderline"/>
        </w:rPr>
        <w:t>In order to foster a variety of innovative and high- quality education options for all students, policy - makers in</w:t>
      </w:r>
      <w:r w:rsidRPr="00B21DBB">
        <w:rPr>
          <w:sz w:val="16"/>
        </w:rPr>
        <w:t xml:space="preserve"> </w:t>
      </w:r>
      <w:r w:rsidRPr="00B21DBB">
        <w:rPr>
          <w:rStyle w:val="Emphasis"/>
        </w:rPr>
        <w:t>every state</w:t>
      </w:r>
      <w:r w:rsidRPr="00B21DBB">
        <w:rPr>
          <w:sz w:val="16"/>
        </w:rPr>
        <w:t xml:space="preserve"> </w:t>
      </w:r>
      <w:r w:rsidRPr="00B21DBB">
        <w:rPr>
          <w:rStyle w:val="StyleBoldUnderline"/>
        </w:rPr>
        <w:t>should pursue</w:t>
      </w:r>
      <w:r w:rsidRPr="00B21DBB">
        <w:rPr>
          <w:sz w:val="16"/>
        </w:rPr>
        <w:t xml:space="preserve"> </w:t>
      </w:r>
      <w:r w:rsidRPr="00B21DBB">
        <w:rPr>
          <w:rStyle w:val="Emphasis"/>
        </w:rPr>
        <w:t>universal access to e SAs</w:t>
      </w:r>
      <w:r w:rsidRPr="00B21DBB">
        <w:rPr>
          <w:sz w:val="16"/>
        </w:rPr>
        <w:t xml:space="preserve">. The best way for policymakers in Texas and elsewhere to expand access to a high-quality educa - tion for all children is to give education providers the freedom to innovate and to give parents and stu - dents the freedom to choose the education providers that work best for them. This Special Report explores how </w:t>
      </w:r>
      <w:r w:rsidRPr="00B21DBB">
        <w:rPr>
          <w:rStyle w:val="StyleBoldUnderline"/>
        </w:rPr>
        <w:t>e SAs expand educational opportunity and hold education providers directly accountable to parents</w:t>
      </w:r>
      <w:r w:rsidRPr="00B21DBB">
        <w:rPr>
          <w:sz w:val="16"/>
        </w:rPr>
        <w:t xml:space="preserve">; it also explains several common types of well-inten - tioned but misguided </w:t>
      </w:r>
      <w:r w:rsidRPr="00B21DBB">
        <w:rPr>
          <w:rStyle w:val="StyleBoldUnderline"/>
        </w:rPr>
        <w:t>regulations</w:t>
      </w:r>
      <w:r w:rsidRPr="00B21DBB">
        <w:rPr>
          <w:sz w:val="16"/>
        </w:rPr>
        <w:t xml:space="preserve"> that </w:t>
      </w:r>
      <w:r w:rsidRPr="00B21DBB">
        <w:rPr>
          <w:rStyle w:val="StyleBoldUnderline"/>
        </w:rPr>
        <w:t>can under - mine the effectiveness of e SAs</w:t>
      </w:r>
      <w:r w:rsidRPr="00B21DBB">
        <w:rPr>
          <w:sz w:val="16"/>
        </w:rPr>
        <w:t xml:space="preserve"> and how they can be avoided.</w:t>
      </w:r>
    </w:p>
    <w:p w14:paraId="277E495A" w14:textId="77777777" w:rsidR="00DE62FB" w:rsidRDefault="00DE62FB" w:rsidP="00DE62FB">
      <w:pPr>
        <w:rPr>
          <w:sz w:val="16"/>
        </w:rPr>
      </w:pPr>
    </w:p>
    <w:p w14:paraId="32D0B71F" w14:textId="5DB279F6" w:rsidR="00DE62FB" w:rsidRDefault="00DB2589" w:rsidP="00DE62FB">
      <w:pPr>
        <w:pStyle w:val="Heading3"/>
      </w:pPr>
      <w:r>
        <w:t>Solvency – STEM Advan</w:t>
      </w:r>
      <w:r w:rsidR="00DE62FB">
        <w:t>t</w:t>
      </w:r>
      <w:r>
        <w:t>a</w:t>
      </w:r>
      <w:r w:rsidR="00DE62FB">
        <w:t>ges</w:t>
      </w:r>
    </w:p>
    <w:p w14:paraId="0C0DE74C" w14:textId="77777777" w:rsidR="00DE62FB" w:rsidRDefault="00DE62FB" w:rsidP="00DE62FB">
      <w:pPr>
        <w:pStyle w:val="Heading4"/>
      </w:pPr>
      <w:r>
        <w:t>Universal ESAs key to STEM education</w:t>
      </w:r>
    </w:p>
    <w:p w14:paraId="0C6F0995" w14:textId="77777777" w:rsidR="00DE62FB" w:rsidRDefault="00DE62FB" w:rsidP="00DE62FB">
      <w:pPr>
        <w:rPr>
          <w:sz w:val="16"/>
        </w:rPr>
      </w:pPr>
      <w:r>
        <w:rPr>
          <w:rStyle w:val="StyleStyleBold12pt"/>
        </w:rPr>
        <w:t xml:space="preserve">Malkus, Peshek, and Robinson ’17 </w:t>
      </w:r>
      <w:r>
        <w:rPr>
          <w:rStyle w:val="StyleStyleBold12pt"/>
          <w:b w:val="0"/>
        </w:rPr>
        <w:t xml:space="preserve">(Nat, Adam, and Gerard, </w:t>
      </w:r>
      <w:r w:rsidRPr="003F1835">
        <w:rPr>
          <w:rStyle w:val="StyleStyleBold12pt"/>
          <w:b w:val="0"/>
          <w:i/>
        </w:rPr>
        <w:t>Education Savings Accounts: The New Frontier in School Choice</w:t>
      </w:r>
      <w:r>
        <w:rPr>
          <w:rStyle w:val="StyleStyleBold12pt"/>
          <w:b w:val="0"/>
        </w:rPr>
        <w:t>,</w:t>
      </w:r>
      <w:r>
        <w:rPr>
          <w:sz w:val="16"/>
        </w:rPr>
        <w:t xml:space="preserve"> </w:t>
      </w:r>
      <w:r w:rsidRPr="003F1835">
        <w:rPr>
          <w:sz w:val="26"/>
          <w:szCs w:val="26"/>
        </w:rPr>
        <w:t>pp. 42-45</w:t>
      </w:r>
      <w:r>
        <w:rPr>
          <w:sz w:val="26"/>
          <w:szCs w:val="26"/>
        </w:rPr>
        <w:t>, Stadt)</w:t>
      </w:r>
    </w:p>
    <w:p w14:paraId="1ACF4ABC" w14:textId="77777777" w:rsidR="00DE62FB" w:rsidRDefault="00DE62FB" w:rsidP="00DE62FB">
      <w:pPr>
        <w:rPr>
          <w:sz w:val="16"/>
        </w:rPr>
      </w:pPr>
      <w:r w:rsidRPr="003F1835">
        <w:rPr>
          <w:sz w:val="16"/>
        </w:rPr>
        <w:t xml:space="preserve">They discovered that most </w:t>
      </w:r>
      <w:r w:rsidRPr="003F1835">
        <w:rPr>
          <w:rStyle w:val="StyleBoldUnderline"/>
        </w:rPr>
        <w:t>parents want their child to attend a school with “a strong core curriculum in</w:t>
      </w:r>
      <w:r w:rsidRPr="003F1835">
        <w:rPr>
          <w:sz w:val="16"/>
        </w:rPr>
        <w:t xml:space="preserve"> reading and math; an emphasis on science, technology, engineering, and math (</w:t>
      </w:r>
      <w:r w:rsidRPr="003F1835">
        <w:rPr>
          <w:rStyle w:val="StyleBoldUnderline"/>
        </w:rPr>
        <w:t>STEM</w:t>
      </w:r>
      <w:r w:rsidRPr="003F1835">
        <w:rPr>
          <w:sz w:val="16"/>
        </w:rPr>
        <w:t xml:space="preserve">); and the development of good study habits, strong critical thinking skills, and excellent verbal and written communication skills.” But beyond these foundational responsibilities, Zeehandelaar and Northern developed six archetypes of parents based on their deeper preferences: Pragmatists—desire for real-world training. Jeffersonians—emphasis on instruction in citizenship, democracy, and leadership. Test-Score Hawks—valuing high test scores. Multiculturalists—parents who value learning how to work with people from diverse backgrounds. Expressionists—emphasis on arts and music instruction. Strivers—parents who prioritize their children being accepted to a top-tier college. Implicit in both studies’ findings is the acknowledgment that </w:t>
      </w:r>
      <w:r w:rsidRPr="003F1835">
        <w:rPr>
          <w:rStyle w:val="StyleBoldUnderline"/>
        </w:rPr>
        <w:t>there is no perfect school.</w:t>
      </w:r>
      <w:r w:rsidRPr="003F1835">
        <w:rPr>
          <w:sz w:val="16"/>
        </w:rPr>
        <w:t xml:space="preserve"> Some students thrive in a school with uniforms and a demerit system, while others do better in a more relaxed environment. One child may excel in a technology-rich school that relies heavily on computers, while their sibling may do better in a school hat emphasizes history’s great books and a learning environment that mirrors the classroom for their grandparents. The goal of school is not just about filling students’ brains with the knowledge contained in the “eat your broccoli” STEM subjects. Or, as the band Radiohead once expressed with an ominous robotic voice, making sure that students are “fitter, happier, more productive . . . getting on better with associate employee contemporaries.” Education should also be about learning in the environment that is best suited to one’s personal needs, without forcing that type of learning on all other students. As John Katzman recently noted in a paper commissioned by the American Enterprise Institute (AEI), </w:t>
      </w:r>
      <w:r w:rsidRPr="003F1835">
        <w:rPr>
          <w:rStyle w:val="StyleBoldUnderline"/>
        </w:rPr>
        <w:t>the role of competition in marketplaces tends to be overemphasized while the benefit of matching, or “fit,” tends to be left out of the conversation</w:t>
      </w:r>
      <w:r w:rsidRPr="003F1835">
        <w:rPr>
          <w:sz w:val="16"/>
        </w:rPr>
        <w:t>. “There doesn’t need to be an objectively best school, teacher, curriculum, or ed tech company,” Katzman writes. “</w:t>
      </w:r>
      <w:r w:rsidRPr="003F1835">
        <w:rPr>
          <w:rStyle w:val="StyleBoldUnderline"/>
        </w:rPr>
        <w:t>There is the right school</w:t>
      </w:r>
      <w:r w:rsidRPr="003F1835">
        <w:rPr>
          <w:sz w:val="16"/>
        </w:rPr>
        <w:t xml:space="preserve"> for your son or daughter, </w:t>
      </w:r>
      <w:r w:rsidRPr="003F1835">
        <w:rPr>
          <w:rStyle w:val="StyleBoldUnderline"/>
        </w:rPr>
        <w:t>or the right technology or curriculum for your school</w:t>
      </w:r>
      <w:r w:rsidRPr="003F1835">
        <w:rPr>
          <w:sz w:val="16"/>
        </w:rPr>
        <w:t>.” Choice is not merely about entering the ring with four opponents and emerging as the last man standing. As Katzman notes, “</w:t>
      </w:r>
      <w:r w:rsidRPr="003F1835">
        <w:rPr>
          <w:rStyle w:val="StyleBoldUnderline"/>
        </w:rPr>
        <w:t>In a marketplace, players differentiate themselves and optimize for their target audience</w:t>
      </w:r>
      <w:r w:rsidRPr="003F1835">
        <w:rPr>
          <w:sz w:val="16"/>
        </w:rPr>
        <w:t xml:space="preserve">.”  Yet, instead of catering to parents’ unique demands for their child’s school, </w:t>
      </w:r>
      <w:r w:rsidRPr="003F1835">
        <w:rPr>
          <w:rStyle w:val="StyleBoldUnderline"/>
        </w:rPr>
        <w:t>our public system of education treats schools as interchangeable cogs in a system that sorts students based on their home address</w:t>
      </w:r>
      <w:r w:rsidRPr="003F1835">
        <w:rPr>
          <w:sz w:val="16"/>
        </w:rPr>
        <w:t xml:space="preserve">. While sorting based on zip code may be the ideal way to deliver mail, it is far from the ideal way to sort children for education. Thus, </w:t>
      </w:r>
      <w:r w:rsidRPr="003F1835">
        <w:rPr>
          <w:rStyle w:val="StyleBoldUnderline"/>
        </w:rPr>
        <w:t>the history of school choice in America has been an attempt to separate the government’s role as both the funder an</w:t>
      </w:r>
      <w:r>
        <w:rPr>
          <w:rStyle w:val="StyleBoldUnderline"/>
        </w:rPr>
        <w:t>d</w:t>
      </w:r>
      <w:r w:rsidRPr="003F1835">
        <w:rPr>
          <w:rStyle w:val="StyleBoldUnderline"/>
        </w:rPr>
        <w:t xml:space="preserve"> vendor of education</w:t>
      </w:r>
      <w:r w:rsidRPr="003F1835">
        <w:rPr>
          <w:sz w:val="16"/>
        </w:rPr>
        <w:t xml:space="preserve">. </w:t>
      </w:r>
      <w:r w:rsidRPr="003F1835">
        <w:rPr>
          <w:rStyle w:val="StyleBoldUnderline"/>
        </w:rPr>
        <w:t>This effort has taken two primary forms: private school choice and charter schools</w:t>
      </w:r>
      <w:r w:rsidRPr="003F1835">
        <w:rPr>
          <w:sz w:val="16"/>
        </w:rPr>
        <w:t xml:space="preserve">. These policies do something small, yet radical: instead of receiving students based on attendance zones, they must attract and retain students. These policies have grown consistently for the past twenty years, with an estimated 2.9 million students in charter schools and 400,000 students in a private school choice program in 2016. </w:t>
      </w:r>
      <w:r w:rsidRPr="003F1835">
        <w:rPr>
          <w:rStyle w:val="StyleBoldUnderline"/>
        </w:rPr>
        <w:t>These policies are huge advancements, but they still require parents to choose one school building where all services are expected to be bundled.</w:t>
      </w:r>
      <w:r w:rsidRPr="003F1835">
        <w:rPr>
          <w:sz w:val="16"/>
        </w:rPr>
        <w:t xml:space="preserve"> Yet, </w:t>
      </w:r>
      <w:r w:rsidRPr="003F1835">
        <w:rPr>
          <w:rStyle w:val="StyleBoldUnderline"/>
        </w:rPr>
        <w:t>this whole-school model does not reflect the world we live in today</w:t>
      </w:r>
      <w:r w:rsidRPr="003F1835">
        <w:rPr>
          <w:sz w:val="16"/>
        </w:rPr>
        <w:t xml:space="preserve">. As John Katzman observes: If we tossed our entire education system out and rebuilt from scratch with the present and future in mind, the result would likely bear no resemblance to what we have today. Our public K-12 system was founded with an Industrial Revolution-era mindset, and we should have never have expected it to prepare an increasingly diverse student population for college. </w:t>
      </w:r>
      <w:r w:rsidRPr="003F1835">
        <w:rPr>
          <w:rStyle w:val="Emphasis"/>
        </w:rPr>
        <w:t>The only surprise is that anyone would continue proposing top down, one-size-fits-all processes to improve on it</w:t>
      </w:r>
      <w:r w:rsidRPr="003F1835">
        <w:rPr>
          <w:sz w:val="16"/>
        </w:rPr>
        <w:t xml:space="preserve">. We need to test whether a civil approach to education reform—where students and educators are empowered to find the schools and tools that best fit their needs—might accomplish more. </w:t>
      </w:r>
      <w:r w:rsidRPr="003F1835">
        <w:rPr>
          <w:rStyle w:val="Emphasis"/>
        </w:rPr>
        <w:t>Enter ESAs</w:t>
      </w:r>
      <w:r w:rsidRPr="003F1835">
        <w:rPr>
          <w:sz w:val="16"/>
        </w:rPr>
        <w:t xml:space="preserve">. </w:t>
      </w:r>
      <w:r w:rsidRPr="003F1835">
        <w:rPr>
          <w:rStyle w:val="StyleBoldUnderline"/>
        </w:rPr>
        <w:t>Through an ESA program, the state deposits a participating child’s education funds into an account that is managed by parents under state supervision. With an ESA, parents are able to direct their child’s funding to the schools, courses, programs, and services of their choice. Funds can be spent on tuition, tutoring, therapies for students with special needs, advanced coursework or exams, online courses, savings for college, and many other state-approved expenses. The goal of ESA programs is to allow parents to plan for their child’s unique needs and in the process create a personal approach to education, where the ultimate goal is maximizing their child’s natural learning abilities. An ESA allows education to be nimble, adapt to changes, and constantly improve through micro experiments that need not apply to an entire school system</w:t>
      </w:r>
      <w:r w:rsidRPr="003F1835">
        <w:rPr>
          <w:sz w:val="16"/>
        </w:rPr>
        <w:t xml:space="preserve">—a system that changes course with the efficiency and speed of a sixteenth century Spanish galleon. With an ESA, one does not need to go to a raucous school board meeting to determine what books to teach or not teach. You do not need a lobbyist in the statehouse advocating for an increase in music funding at the expense of computer science. You do not need a three-year study committee to determine when it is most effective to teach a child a foreign language. All you need is a parent who values one of these subjects and an option to pursue it. The key is customization. Parents are no longer relegated to just school A or school B. A child can attend a private school and use funds to receive speech therapy or they can learn math and science online. English and history at home, get tutored twice a week, and save any leftover funds for college. </w:t>
      </w:r>
      <w:r w:rsidRPr="003F1835">
        <w:rPr>
          <w:rStyle w:val="Emphasis"/>
        </w:rPr>
        <w:t>Through an ESA, education is no longer “use it or lose it.”</w:t>
      </w:r>
      <w:r w:rsidRPr="003F1835">
        <w:rPr>
          <w:sz w:val="16"/>
        </w:rPr>
        <w:t xml:space="preserve"> Parents decide where the best values are and have the ability to direct their child’s funds in the most efficient way. Each state ESA law differs, but many of the common allowable expenses include: tuition, textbooks, and fees at participating nonpublic schools; tutoring; online learning programs and courses; curriculum and instructional materials; fees for specialized or advanced courses, testing, certifications, and college entrance exams; services for students with disabilities, such as therapy from licensed providers; dual enrollment; computer hardware, software, and assistive technology for students who require them for learning (such as a talking computer for blind students); contracted services provided by a public school or district, including individual classes and extracurricular programs; transportation (usually limited to $500-750 a year); fees for account management; and savings for future K-12 or higher education expenses. The ability to save unused funds for future L-12 and/or higher education expenses creates an incentive for parents to judge all K-12 expenses not only on quality but also on cost. This is an important distinction between ESAs and traditional private choice programs.</w:t>
      </w:r>
    </w:p>
    <w:p w14:paraId="22FDC695" w14:textId="77777777" w:rsidR="00DB2589" w:rsidRDefault="00DB2589" w:rsidP="00DE62FB">
      <w:pPr>
        <w:rPr>
          <w:sz w:val="16"/>
        </w:rPr>
      </w:pPr>
    </w:p>
    <w:p w14:paraId="7CB81166" w14:textId="25E17012" w:rsidR="00DB2589" w:rsidRDefault="00DB2589" w:rsidP="00DB2589">
      <w:pPr>
        <w:pStyle w:val="Heading3"/>
      </w:pPr>
      <w:r>
        <w:t>Solvency – Computer Science</w:t>
      </w:r>
    </w:p>
    <w:p w14:paraId="549524ED" w14:textId="77777777" w:rsidR="00DB2589" w:rsidRDefault="00DB2589" w:rsidP="00DB2589">
      <w:pPr>
        <w:pStyle w:val="Heading4"/>
      </w:pPr>
      <w:r>
        <w:t xml:space="preserve">Computer science necessary, states are making progress, more action key </w:t>
      </w:r>
    </w:p>
    <w:p w14:paraId="78B66F63" w14:textId="77777777" w:rsidR="00DB2589" w:rsidRPr="003429B2" w:rsidRDefault="00DB2589" w:rsidP="00DB2589">
      <w:r w:rsidRPr="00DB2589">
        <w:rPr>
          <w:rStyle w:val="StyleStyleBold12pt"/>
        </w:rPr>
        <w:t>Megan Smith</w:t>
      </w:r>
      <w:r>
        <w:t xml:space="preserve"> January 30, 1-30-</w:t>
      </w:r>
      <w:r w:rsidRPr="00DB2589">
        <w:rPr>
          <w:rStyle w:val="StyleStyleBold12pt"/>
        </w:rPr>
        <w:t>2016</w:t>
      </w:r>
      <w:r>
        <w:t>, "Computer Science For All," whitehouse.gov, https://obamawhitehouse.archives.gov/blog/2016/01/30/computer-science-all</w:t>
      </w:r>
    </w:p>
    <w:p w14:paraId="09DC1A43" w14:textId="77777777" w:rsidR="00DB2589" w:rsidRPr="003429B2" w:rsidRDefault="00DB2589" w:rsidP="00DB2589">
      <w:pPr>
        <w:rPr>
          <w:sz w:val="16"/>
        </w:rPr>
      </w:pPr>
      <w:r w:rsidRPr="00DB2589">
        <w:rPr>
          <w:rStyle w:val="Emphasis"/>
        </w:rPr>
        <w:t xml:space="preserve">Last year, there were more than 600,000 high-paying tech jobs across the United States that were unfilled, and by 2018, 51 percent of all STEM jobs are projected to be in computer science-related fields. Computer science and data science are not only important for the tech sector, but for so many industries, including transportation, healthcare, education, and financial services. </w:t>
      </w:r>
      <w:r w:rsidRPr="00DB2589">
        <w:rPr>
          <w:sz w:val="16"/>
        </w:rPr>
        <w:t xml:space="preserve">Parents increasingly recognize this need — more than nine of 10 parents surveyed say they want computer science taught at their child’s school. However, by some estimates, just one quarter of all the K-12 schools in the United States offer high-quality computer science with programming and coding and 22 states still do not allow it to count towards high school graduation, even as other advanced economies are making it available for all students. Wide disparities exist even for those who do have access to these courses. In addition to course access challenge, media portrayals, classroom curriculum materials, unconscious bias and widely-held stereotypes exacerbate the problem and discourage many of our students from taking these courses. For example, in 2015, only 22 percent of students taking the AP Computer Science exam were girls, and only 13 percent were African-American or Latino students. These statistics mirror the current makeup of some of America’s largest and more innovative tech firms in which women compose less than one-third of their technical employees, and African-Americans less than 3 percent. We can do better! Tech careers are exciting, fun, high-impact, and collaborative as well as being critical for our economy. We want all Americans to have the opportunity to be part of these teams. CS For All will help make that a reality and ensure every student has access to Computer Science in their classrooms at all levels. </w:t>
      </w:r>
      <w:r w:rsidRPr="00DB2589">
        <w:rPr>
          <w:rStyle w:val="Emphasis"/>
        </w:rPr>
        <w:t>States</w:t>
      </w:r>
      <w:r w:rsidRPr="00DB2589">
        <w:rPr>
          <w:sz w:val="16"/>
        </w:rPr>
        <w:t xml:space="preserve"> and </w:t>
      </w:r>
      <w:r w:rsidRPr="00DB2589">
        <w:rPr>
          <w:rStyle w:val="Emphasis"/>
        </w:rPr>
        <w:t>cities have been leaders in the movement to expand CS education.</w:t>
      </w:r>
      <w:r w:rsidRPr="00DB2589">
        <w:rPr>
          <w:sz w:val="16"/>
        </w:rPr>
        <w:t xml:space="preserve"> In 2014, responding to the President’s call to action, more than 60 school districts committed to give more of their students an opportunity to learn CS. </w:t>
      </w:r>
      <w:r w:rsidRPr="00DB2589">
        <w:rPr>
          <w:rStyle w:val="Emphasis"/>
        </w:rPr>
        <w:t>In just the past year, both Republican and Democratic state leaders have championed ambitious CS efforts</w:t>
      </w:r>
      <w:r w:rsidRPr="00DB2589">
        <w:rPr>
          <w:sz w:val="16"/>
        </w:rPr>
        <w:t xml:space="preserve">, and New York City announced an aggressive 10-year plan to expand CS opportunities to all one-million of its students. </w:t>
      </w:r>
      <w:r w:rsidRPr="00DB2589">
        <w:rPr>
          <w:rStyle w:val="Emphasis"/>
        </w:rPr>
        <w:t>Today, leaders at the state and local levels are announcing new and expanded commitments to expand CS</w:t>
      </w:r>
      <w:r w:rsidRPr="003429B2">
        <w:rPr>
          <w:sz w:val="16"/>
        </w:rPr>
        <w:t>,:</w:t>
      </w:r>
    </w:p>
    <w:p w14:paraId="0893B708" w14:textId="77777777" w:rsidR="00DB2589" w:rsidRDefault="00DB2589" w:rsidP="00DB2589"/>
    <w:p w14:paraId="109A8D07" w14:textId="574BB27A" w:rsidR="00DB2589" w:rsidRDefault="00DB2589" w:rsidP="00DB2589">
      <w:pPr>
        <w:pStyle w:val="Heading3"/>
      </w:pPr>
      <w:r>
        <w:t>Solvency – Title I Funding</w:t>
      </w:r>
    </w:p>
    <w:p w14:paraId="0E0ADF7F" w14:textId="77777777" w:rsidR="00DB2589" w:rsidRPr="00DB2589" w:rsidRDefault="00DB2589" w:rsidP="00DB2589">
      <w:pPr>
        <w:pStyle w:val="Heading4"/>
        <w:rPr>
          <w:rStyle w:val="StyleBoldUnderline"/>
          <w:b w:val="0"/>
          <w:u w:val="none"/>
        </w:rPr>
      </w:pPr>
      <w:r w:rsidRPr="00DB2589">
        <w:rPr>
          <w:rStyle w:val="StyleBoldUnderline"/>
          <w:u w:val="none"/>
        </w:rPr>
        <w:t>title I is under state authority</w:t>
      </w:r>
    </w:p>
    <w:p w14:paraId="522CB133" w14:textId="77777777" w:rsidR="00DB2589" w:rsidRPr="00D6358C" w:rsidRDefault="00DB2589" w:rsidP="00DB2589">
      <w:pPr>
        <w:rPr>
          <w:sz w:val="20"/>
        </w:rPr>
      </w:pPr>
      <w:r>
        <w:rPr>
          <w:rStyle w:val="StyleStyleBold12pt"/>
        </w:rPr>
        <w:t xml:space="preserve">US DOE 04, </w:t>
      </w:r>
      <w:r>
        <w:rPr>
          <w:sz w:val="20"/>
        </w:rPr>
        <w:t>US Department of Education, 9/15/2004, “Part I — General Provisions”, h</w:t>
      </w:r>
      <w:r w:rsidRPr="00772CC2">
        <w:rPr>
          <w:sz w:val="20"/>
        </w:rPr>
        <w:t>ttps://www2.ed.gov/policy/elsec/leg/esea02/pg18.html</w:t>
      </w:r>
    </w:p>
    <w:p w14:paraId="1796D5DC" w14:textId="77777777" w:rsidR="00DB2589" w:rsidRPr="00DB2589" w:rsidRDefault="00DB2589" w:rsidP="00DB2589">
      <w:pPr>
        <w:rPr>
          <w:sz w:val="16"/>
        </w:rPr>
      </w:pPr>
      <w:r w:rsidRPr="00D6358C">
        <w:rPr>
          <w:sz w:val="16"/>
        </w:rPr>
        <w:t xml:space="preserve">SEC. 1903. </w:t>
      </w:r>
      <w:r w:rsidRPr="00DB2589">
        <w:rPr>
          <w:sz w:val="16"/>
        </w:rPr>
        <w:t xml:space="preserve">STATE ADMINISTRATION. (a) RULEMAKING- (1) IN GENERAL- </w:t>
      </w:r>
      <w:r w:rsidRPr="00DB2589">
        <w:rPr>
          <w:u w:val="single"/>
        </w:rPr>
        <w:t>Each State that receives funds under this title shall</w:t>
      </w:r>
      <w:r w:rsidRPr="00DB2589">
        <w:rPr>
          <w:sz w:val="16"/>
        </w:rPr>
        <w:t xml:space="preserve"> — (A) </w:t>
      </w:r>
      <w:r w:rsidRPr="00DB2589">
        <w:rPr>
          <w:u w:val="single"/>
        </w:rPr>
        <w:t>ensure that any State rules, regulations, and policies relating to this title conform to the purposes of this title</w:t>
      </w:r>
      <w:r w:rsidRPr="00DB2589">
        <w:rPr>
          <w:sz w:val="16"/>
        </w:rPr>
        <w:t xml:space="preserve"> and provide any such proposed rules, regulations, and policies to the committee of practitioners created under subsection (b) for review and comment; (B) </w:t>
      </w:r>
      <w:r w:rsidRPr="00DB2589">
        <w:rPr>
          <w:u w:val="single"/>
        </w:rPr>
        <w:t>minimize such rules, regulations, and policies to which the State's local educational agencies and schools are subject;</w:t>
      </w:r>
      <w:r w:rsidRPr="00DB2589">
        <w:rPr>
          <w:sz w:val="16"/>
        </w:rPr>
        <w:t xml:space="preserve"> (C) </w:t>
      </w:r>
      <w:r w:rsidRPr="00DB2589">
        <w:rPr>
          <w:u w:val="single"/>
        </w:rPr>
        <w:t>eliminate or modify State and local fiscal accounting requirements</w:t>
      </w:r>
      <w:r w:rsidRPr="00DB2589">
        <w:rPr>
          <w:sz w:val="16"/>
        </w:rPr>
        <w:t xml:space="preserve"> in order </w:t>
      </w:r>
      <w:r w:rsidRPr="00DB2589">
        <w:rPr>
          <w:u w:val="single"/>
        </w:rPr>
        <w:t xml:space="preserve">to facilitate the ability of schools to consolidate funds under schoolwide programs; and </w:t>
      </w:r>
      <w:r w:rsidRPr="00DB2589">
        <w:rPr>
          <w:sz w:val="16"/>
        </w:rPr>
        <w:t xml:space="preserve">(D) identify any such rule, regulation, or policy as a State-imposed requirement. (2) SUPPORT AND FACILITATION- </w:t>
      </w:r>
      <w:r w:rsidRPr="00DB2589">
        <w:rPr>
          <w:u w:val="single"/>
        </w:rPr>
        <w:t>State rules, regulations, and policies under this title shall support and facilitate local educational agency and school-level systemic reform designed to enable all children to meet the challenging State student academic achievement standards.</w:t>
      </w:r>
      <w:r w:rsidRPr="00DB2589">
        <w:rPr>
          <w:sz w:val="16"/>
        </w:rPr>
        <w:t xml:space="preserve"> (b) COMMITTEE OF PRACTITIONERS- (1) IN GENERAL- Each State educational agency that receives funds under this title shall create a State committee of practitioners to advise the State in carrying out its responsibilities under this title. (2) MEMBERSHIP- Each such committee shall include — (A) as a majority of its members, representatives from local educational agencies; (B) administrators, including the administrators of programs described in other parts of this title; (C) teachers, including vocational educators; (D) parents; (E) members of local school boards; (F) representatives of private school children; and (G) pupil services personnel. (3) DUTIES- The duties of such committee shall include a review, before publication, of any proposed or final State rule or regulation pursuant to this title. In an emergency situation where such rule or regulation must be issued within a very limited time to assist local educational agencies with the operation of the program under this title, the State educational agency may issue a regulation without prior consultation, but shall immediately thereafter convene the State committee of practitioners to review the emergency regulation before issuance in final form. SEC. 1904. LOCAL EDUCATIONAL AGENCY SPENDING AUDITS. (a) AUDITS- The Comptroller General of the United States shall conduct audits of not less than 6 local educational agencies that receive funds under part A in each fiscal year to determine more clearly and specifically how local educational agencies are expending such funds. Such audits — (1) shall be conducted in 6 local educational agencies that represent the size, ethnic, economic, and geographic diversity of local educational agencies; and (2) shall examine the extent to which funds have been expended for academic instruction in the core curriculum and activities unrelated to academic instruction in the core curriculum, such as the payment of janitorial, utility, and other maintenance services, the purchase and lease of vehicles, and the payment for travel and attendance costs at conferences. (b) REPORT- Not later than 3 months after the completion of the audits under subsection (a) each year, the Comptroller General of the United States shall submit a report on each audit to the Committee on Education and the Workforce of the House of Representatives and the Committee on Health, Education, Labor and Pensions of the Senate. SEC. 1905. </w:t>
      </w:r>
      <w:r w:rsidRPr="00DB2589">
        <w:rPr>
          <w:u w:val="single"/>
        </w:rPr>
        <w:t>PROHIBITION AGAINST FEDERAL MANDATES, DIRECTION, OR CONTROL.</w:t>
      </w:r>
      <w:r w:rsidRPr="00DB2589">
        <w:rPr>
          <w:sz w:val="16"/>
        </w:rPr>
        <w:t xml:space="preserve"> </w:t>
      </w:r>
      <w:r w:rsidRPr="00DB2589">
        <w:rPr>
          <w:u w:val="single"/>
        </w:rPr>
        <w:t xml:space="preserve">Nothing in this title shall </w:t>
      </w:r>
      <w:r w:rsidRPr="00DB2589">
        <w:rPr>
          <w:sz w:val="16"/>
        </w:rPr>
        <w:t xml:space="preserve">be construed to </w:t>
      </w:r>
      <w:r w:rsidRPr="00DB2589">
        <w:rPr>
          <w:u w:val="single"/>
        </w:rPr>
        <w:t>authorize an officer or employee of the Federal Government to mandate, direct, or control a State, local educational agency, or school's specific instructional content, academic achievement standards and assessments, curriculum, or program of instruction</w:t>
      </w:r>
      <w:r w:rsidRPr="00DB2589">
        <w:rPr>
          <w:sz w:val="16"/>
        </w:rPr>
        <w:t>.</w:t>
      </w:r>
    </w:p>
    <w:p w14:paraId="109714B8" w14:textId="77777777" w:rsidR="00DB2589" w:rsidRPr="00DB2589" w:rsidRDefault="00DB2589" w:rsidP="00DB2589">
      <w:pPr>
        <w:pStyle w:val="Heading4"/>
      </w:pPr>
      <w:r w:rsidRPr="00DB2589">
        <w:t>Title I improves school-wide educational programs</w:t>
      </w:r>
    </w:p>
    <w:p w14:paraId="0F028860" w14:textId="77777777" w:rsidR="00DB2589" w:rsidRPr="00DB2589" w:rsidRDefault="00DB2589" w:rsidP="00DB2589">
      <w:r w:rsidRPr="00DB2589">
        <w:rPr>
          <w:rStyle w:val="StyleStyleBold12pt"/>
        </w:rPr>
        <w:t xml:space="preserve">OK.gov 16, </w:t>
      </w:r>
      <w:r w:rsidRPr="00DB2589">
        <w:t>Oklahoma State Department of Education, last updated September 14, 2016, “Title I, Part A: Improving the Academic Achievement of the Disadvantaged”, http://sde.ok.gov/sde/title-i-part</w:t>
      </w:r>
    </w:p>
    <w:p w14:paraId="6F3680D2" w14:textId="77777777" w:rsidR="00DB2589" w:rsidRPr="00DB2589" w:rsidRDefault="00DB2589" w:rsidP="00DB2589">
      <w:pPr>
        <w:rPr>
          <w:u w:val="single"/>
        </w:rPr>
      </w:pPr>
      <w:r w:rsidRPr="00DB2589">
        <w:rPr>
          <w:u w:val="single"/>
        </w:rPr>
        <w:t>A Schoolwide program is a comprehensive reform strategy to upgrade the entire educational program in a Title I school; in effect, reaching all students, including those who are low-achieving</w:t>
      </w:r>
      <w:r w:rsidRPr="00DB2589">
        <w:rPr>
          <w:sz w:val="16"/>
        </w:rPr>
        <w:t xml:space="preserve">. To be eligible for a Schoolwide program, schools must have a poverty level of at least 40%, unless a school has been identified by the State Education Agency as a Priority or Focus school. Title I Priority and Focus schools or Title I-eligible Priority and Focus schools that are not operating a Title I Schoolwide Program have the option to begin doing so immediately since the LEA or C³S will be implementing interventions consistent with the Turnaround Principles. </w:t>
      </w:r>
      <w:r w:rsidRPr="00DB2589">
        <w:rPr>
          <w:u w:val="single"/>
        </w:rPr>
        <w:t>Title I funds are used to supplement the amount of funds or services that would, in the absence of Title I funds, be made available to the school</w:t>
      </w:r>
      <w:r w:rsidRPr="00DB2589">
        <w:rPr>
          <w:sz w:val="16"/>
        </w:rPr>
        <w:t xml:space="preserve">. Funds may not be used to fund programs or activities mandated by state, local or Federal law; to fund programs that were paid for in previous years with state and/or local funds; or, to provide the same programs or activities offered at non-Title I schools or to students not identified for Title I in the district. A Schoolwide program at schools that have not been identified as Priority or Focus requires one year of planning and one comprehensive site plan for each Schoolwide site. </w:t>
      </w:r>
      <w:r w:rsidRPr="00DB2589">
        <w:rPr>
          <w:u w:val="single"/>
        </w:rPr>
        <w:t>The comprehensive Schoolwide plan must be reviewed and revised annually.</w:t>
      </w:r>
    </w:p>
    <w:p w14:paraId="18F8F01A" w14:textId="77777777" w:rsidR="00DB2589" w:rsidRPr="00DB2589" w:rsidRDefault="00DB2589" w:rsidP="00DB2589">
      <w:pPr>
        <w:pStyle w:val="Heading4"/>
      </w:pPr>
      <w:r w:rsidRPr="00DB2589">
        <w:t>Title I portability switches focus from “per school” to “per student”</w:t>
      </w:r>
    </w:p>
    <w:p w14:paraId="211FDA02" w14:textId="77777777" w:rsidR="00DB2589" w:rsidRPr="00DB2589" w:rsidRDefault="00DB2589" w:rsidP="00DB2589">
      <w:r w:rsidRPr="00DB2589">
        <w:rPr>
          <w:rStyle w:val="StyleStyleBold12pt"/>
        </w:rPr>
        <w:t>Gordon 17</w:t>
      </w:r>
      <w:r w:rsidRPr="00DB2589">
        <w:t>, Nora, Nonresident Senior Fellow - Economic Studies, Center on Children and Families, February 23, 2017, “What Title I portability would mean for the distribution of federal education aid”, https://www.brookings.edu/research/what-title-i-portability-would-mean-for-the-distribution-of-federal-education-aid/</w:t>
      </w:r>
    </w:p>
    <w:p w14:paraId="5DFB39EB" w14:textId="77777777" w:rsidR="00DB2589" w:rsidRPr="00DB2589" w:rsidRDefault="00DB2589" w:rsidP="00DB2589">
      <w:pPr>
        <w:rPr>
          <w:u w:val="single"/>
        </w:rPr>
      </w:pPr>
      <w:r w:rsidRPr="00DB2589">
        <w:rPr>
          <w:u w:val="single"/>
        </w:rPr>
        <w:t>Portability has been proposed as a state option under Title I. Total state-level Title I allocations</w:t>
      </w:r>
      <w:r w:rsidRPr="00DB2589">
        <w:rPr>
          <w:sz w:val="16"/>
        </w:rPr>
        <w:t xml:space="preserve"> from the federal government </w:t>
      </w:r>
      <w:r w:rsidRPr="00DB2589">
        <w:rPr>
          <w:u w:val="single"/>
        </w:rPr>
        <w:t>would not change regardless of whether a state chose the portability option.</w:t>
      </w:r>
      <w:r w:rsidRPr="00DB2589">
        <w:rPr>
          <w:sz w:val="16"/>
        </w:rPr>
        <w:t xml:space="preserve"> But any state </w:t>
      </w:r>
      <w:r w:rsidRPr="00DB2589">
        <w:rPr>
          <w:u w:val="single"/>
        </w:rPr>
        <w:t>choosing this option</w:t>
      </w:r>
      <w:r w:rsidRPr="00DB2589">
        <w:rPr>
          <w:sz w:val="16"/>
        </w:rPr>
        <w:t xml:space="preserve"> would experience </w:t>
      </w:r>
      <w:r w:rsidRPr="00DB2589">
        <w:rPr>
          <w:u w:val="single"/>
        </w:rPr>
        <w:t>changes</w:t>
      </w:r>
      <w:r w:rsidRPr="00DB2589">
        <w:rPr>
          <w:sz w:val="16"/>
        </w:rPr>
        <w:t xml:space="preserve"> in </w:t>
      </w:r>
      <w:r w:rsidRPr="00DB2589">
        <w:rPr>
          <w:u w:val="single"/>
        </w:rPr>
        <w:t>how Title I funds get divided among and within its school districts—even if all poor students were to attend public schools.</w:t>
      </w:r>
      <w:r w:rsidRPr="00DB2589">
        <w:rPr>
          <w:sz w:val="16"/>
        </w:rPr>
        <w:t xml:space="preserve"> Proponents of </w:t>
      </w:r>
      <w:r w:rsidRPr="00DB2589">
        <w:rPr>
          <w:u w:val="single"/>
        </w:rPr>
        <w:t>portability</w:t>
      </w:r>
      <w:r w:rsidRPr="00DB2589">
        <w:rPr>
          <w:sz w:val="16"/>
        </w:rPr>
        <w:t xml:space="preserve"> like this feature of it: it </w:t>
      </w:r>
      <w:r w:rsidRPr="00DB2589">
        <w:rPr>
          <w:u w:val="single"/>
        </w:rPr>
        <w:t xml:space="preserve">switches the focus of policy from what schools get to what individual children get.[11] </w:t>
      </w:r>
      <w:r w:rsidRPr="00DB2589">
        <w:rPr>
          <w:sz w:val="16"/>
        </w:rPr>
        <w:t xml:space="preserve">For example, a high-poverty district with lots of Title I-eligible (poor) students weighted heavily in the targeted grants formula would continue to generate disproportionate federal funds for its state’s total allocation. </w:t>
      </w:r>
      <w:r w:rsidRPr="00DB2589">
        <w:rPr>
          <w:u w:val="single"/>
        </w:rPr>
        <w:t>But under portability,</w:t>
      </w:r>
      <w:r w:rsidRPr="00DB2589">
        <w:rPr>
          <w:sz w:val="16"/>
        </w:rPr>
        <w:t xml:space="preserve"> those</w:t>
      </w:r>
      <w:r w:rsidRPr="00DB2589">
        <w:rPr>
          <w:u w:val="single"/>
        </w:rPr>
        <w:t xml:space="preserve"> funds would then be allocated down to school districts within the state uniformly, disregarding concentrations of poverty</w:t>
      </w:r>
      <w:r w:rsidRPr="00DB2589">
        <w:rPr>
          <w:sz w:val="16"/>
        </w:rPr>
        <w:t xml:space="preserve">. The state would divide its total Title I allocation by its number of eligible (poor) children, and that would be the voucher amount following each poor student to his or her school of choice—public or private. </w:t>
      </w:r>
      <w:r w:rsidRPr="00DB2589">
        <w:rPr>
          <w:u w:val="single"/>
        </w:rPr>
        <w:t>Under the portability option, the per-eligible grant amount would be the same in every school district within a state.</w:t>
      </w:r>
      <w:r w:rsidRPr="00DB2589">
        <w:rPr>
          <w:sz w:val="16"/>
        </w:rPr>
        <w:t xml:space="preserve"> Within school districts, </w:t>
      </w:r>
      <w:r w:rsidRPr="00DB2589">
        <w:rPr>
          <w:u w:val="single"/>
        </w:rPr>
        <w:t>Title I funds would follow each poor student to the school he or she attends, public or private</w:t>
      </w:r>
      <w:r w:rsidRPr="00DB2589">
        <w:rPr>
          <w:sz w:val="16"/>
        </w:rPr>
        <w:t xml:space="preserve">. The distinction between Title I and non-Title I schools would vanish, as </w:t>
      </w:r>
      <w:r w:rsidRPr="00DB2589">
        <w:rPr>
          <w:u w:val="single"/>
        </w:rPr>
        <w:t>any school enrolling even one poor student would receive Title I funds.</w:t>
      </w:r>
    </w:p>
    <w:p w14:paraId="09E9D93F" w14:textId="77777777" w:rsidR="00DB2589" w:rsidRPr="00DB2589" w:rsidRDefault="00DB2589" w:rsidP="00DB2589">
      <w:pPr>
        <w:rPr>
          <w:u w:val="single"/>
        </w:rPr>
      </w:pPr>
    </w:p>
    <w:p w14:paraId="6B3FF670" w14:textId="77777777" w:rsidR="00DB2589" w:rsidRPr="00DB2589" w:rsidRDefault="00DB2589" w:rsidP="00DB2589">
      <w:pPr>
        <w:pStyle w:val="Heading4"/>
      </w:pPr>
      <w:r w:rsidRPr="00DB2589">
        <w:t>States should be given control of Title I funding</w:t>
      </w:r>
    </w:p>
    <w:p w14:paraId="0FDE1B81" w14:textId="77777777" w:rsidR="00DB2589" w:rsidRPr="00DB2589" w:rsidRDefault="00DB2589" w:rsidP="00DB2589">
      <w:r w:rsidRPr="00DB2589">
        <w:rPr>
          <w:rStyle w:val="StyleStyleBold12pt"/>
        </w:rPr>
        <w:t xml:space="preserve">Bush 15, </w:t>
      </w:r>
      <w:r w:rsidRPr="00DB2589">
        <w:t>Jeb, Former Governor of Florida, Mar 6, 2015, “Let states take the lead in education,” https://www.washingtonpost.com/opinions/let-states-take-the-lead-in-transforming-schools/2015/03/06/0c5ecbb8-c132-11e4-9ec2-b418f57a4a99_story.html?utm_term=.57ee79e96224</w:t>
      </w:r>
    </w:p>
    <w:p w14:paraId="56D1DE3B" w14:textId="77777777" w:rsidR="00DB2589" w:rsidRPr="006A4B96" w:rsidRDefault="00DB2589" w:rsidP="00DB2589">
      <w:pPr>
        <w:rPr>
          <w:sz w:val="16"/>
        </w:rPr>
      </w:pPr>
      <w:r w:rsidRPr="00DB2589">
        <w:rPr>
          <w:sz w:val="16"/>
        </w:rPr>
        <w:t xml:space="preserve"> That’s why it is so important to finally tackle the reauthorization of the </w:t>
      </w:r>
      <w:r w:rsidRPr="00DB2589">
        <w:rPr>
          <w:u w:val="single"/>
        </w:rPr>
        <w:t>Elementary and Secondary Education Act (ESEA)</w:t>
      </w:r>
      <w:r w:rsidRPr="00DB2589">
        <w:rPr>
          <w:sz w:val="16"/>
        </w:rPr>
        <w:t xml:space="preserve">, the critical piece of legislation that </w:t>
      </w:r>
      <w:r w:rsidRPr="00DB2589">
        <w:rPr>
          <w:u w:val="single"/>
        </w:rPr>
        <w:t>sets out the role of the federal government in school funding and policy</w:t>
      </w:r>
      <w:r w:rsidRPr="00DB2589">
        <w:rPr>
          <w:sz w:val="16"/>
        </w:rPr>
        <w:t xml:space="preserve">. The act has not been improved and reauthorized since it expired in 2007. Instead, the Obama administration has issued a patchwork of waivers and side deals, given out by fiat and without consistency. No wonder </w:t>
      </w:r>
      <w:r w:rsidRPr="00DB2589">
        <w:rPr>
          <w:u w:val="single"/>
        </w:rPr>
        <w:t>parents and state and local leaders question Washington’s motives when it comes to our schools</w:t>
      </w:r>
      <w:r w:rsidRPr="00DB2589">
        <w:rPr>
          <w:sz w:val="16"/>
        </w:rPr>
        <w:t xml:space="preserve">. </w:t>
      </w:r>
      <w:r w:rsidRPr="00DB2589">
        <w:rPr>
          <w:u w:val="single"/>
        </w:rPr>
        <w:t>The federal government’s role in</w:t>
      </w:r>
      <w:r w:rsidRPr="00DB2589">
        <w:rPr>
          <w:sz w:val="16"/>
        </w:rPr>
        <w:t xml:space="preserve"> elementary and secondary </w:t>
      </w:r>
      <w:r w:rsidRPr="00DB2589">
        <w:rPr>
          <w:u w:val="single"/>
        </w:rPr>
        <w:t>education should be limited: It should work to create transparency</w:t>
      </w:r>
      <w:r w:rsidRPr="00DB2589">
        <w:rPr>
          <w:sz w:val="16"/>
        </w:rPr>
        <w:t xml:space="preserve"> so that parents can see how their local schools measure up; </w:t>
      </w:r>
      <w:r w:rsidRPr="00DB2589">
        <w:rPr>
          <w:u w:val="single"/>
        </w:rPr>
        <w:t>it should support policies that have a proven record; and it should make sure states can’t ignore students who need extra help. That’s it</w:t>
      </w:r>
      <w:r w:rsidRPr="00DB2589">
        <w:rPr>
          <w:sz w:val="16"/>
        </w:rPr>
        <w:t xml:space="preserve">. The reauthorization process can define and clarify this role. </w:t>
      </w:r>
      <w:r w:rsidRPr="00DB2589">
        <w:rPr>
          <w:u w:val="single"/>
        </w:rPr>
        <w:t>Where the federal government maintains the power of the purse — as it does with Title I programs</w:t>
      </w:r>
      <w:r w:rsidRPr="00DB2589">
        <w:rPr>
          <w:sz w:val="16"/>
        </w:rPr>
        <w:t xml:space="preserve"> aimed at supporting students from disadvantaged backgrounds — Congress should direct it to </w:t>
      </w:r>
      <w:r w:rsidRPr="00DB2589">
        <w:rPr>
          <w:b/>
          <w:u w:val="single"/>
        </w:rPr>
        <w:t>let states use that funding in a flexible manner</w:t>
      </w:r>
      <w:r w:rsidRPr="00DB2589">
        <w:rPr>
          <w:u w:val="single"/>
        </w:rPr>
        <w:t xml:space="preserve"> to meet the goal of the programs.</w:t>
      </w:r>
      <w:r w:rsidRPr="00DB2589">
        <w:rPr>
          <w:sz w:val="16"/>
        </w:rPr>
        <w:t xml:space="preserve"> For example,</w:t>
      </w:r>
      <w:r w:rsidRPr="00DB2589">
        <w:rPr>
          <w:b/>
          <w:sz w:val="16"/>
        </w:rPr>
        <w:t xml:space="preserve"> </w:t>
      </w:r>
      <w:r w:rsidRPr="00DB2589">
        <w:rPr>
          <w:b/>
          <w:u w:val="single"/>
        </w:rPr>
        <w:t>states</w:t>
      </w:r>
      <w:r w:rsidRPr="00DB2589">
        <w:rPr>
          <w:u w:val="single"/>
        </w:rPr>
        <w:t xml:space="preserve"> should have the right to decide whether Title I funding should be used to </w:t>
      </w:r>
      <w:r w:rsidRPr="00DB2589">
        <w:rPr>
          <w:sz w:val="16"/>
        </w:rPr>
        <w:t>create education savings accounts that parents can use to</w:t>
      </w:r>
      <w:r w:rsidRPr="00DB2589">
        <w:rPr>
          <w:u w:val="single"/>
        </w:rPr>
        <w:t xml:space="preserve"> send </w:t>
      </w:r>
      <w:r w:rsidRPr="00DB2589">
        <w:rPr>
          <w:sz w:val="16"/>
        </w:rPr>
        <w:t xml:space="preserve">their </w:t>
      </w:r>
      <w:r w:rsidRPr="00DB2589">
        <w:rPr>
          <w:u w:val="single"/>
        </w:rPr>
        <w:t>kids to the schools that best meet their needs</w:t>
      </w:r>
      <w:r w:rsidRPr="00DB2589">
        <w:rPr>
          <w:sz w:val="16"/>
        </w:rPr>
        <w:t xml:space="preserve">. In short, the federal role should be subservient to the role of states. We are long overdue in setting the lines of authority so clearly. State efforts to raise standards have been muddied by the Obama administration. Federal funding has become a whipping stick to be used on local district leaders who are unwilling to go along with every program dreamed up in Washington. Fundamentally, </w:t>
      </w:r>
      <w:r w:rsidRPr="00DB2589">
        <w:rPr>
          <w:u w:val="single"/>
        </w:rPr>
        <w:t>the needed transformation of our education system will never be achieved by Washington</w:t>
      </w:r>
      <w:r w:rsidRPr="00DB2589">
        <w:rPr>
          <w:sz w:val="16"/>
        </w:rPr>
        <w:t xml:space="preserve">. The </w:t>
      </w:r>
      <w:r w:rsidRPr="00DB2589">
        <w:rPr>
          <w:u w:val="single"/>
        </w:rPr>
        <w:t>best reform ideas begin at the state and local level.</w:t>
      </w:r>
      <w:r w:rsidRPr="00DB2589">
        <w:rPr>
          <w:sz w:val="16"/>
        </w:rPr>
        <w:t xml:space="preserve"> That’s where reform will succeed. 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w:t>
      </w:r>
      <w:r w:rsidRPr="00DB2589">
        <w:rPr>
          <w:u w:val="single"/>
        </w:rPr>
        <w:t xml:space="preserve">successes all have two things in common. The initiatives placed the needs of students first, and the federal government had nothing to do with them. </w:t>
      </w:r>
      <w:r w:rsidRPr="00DB2589">
        <w:rPr>
          <w:sz w:val="16"/>
        </w:rPr>
        <w:t xml:space="preserve">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all states participate in the National Assessment of Educational Progress, a series of high-quality tests known as the Nation’s Report Card. The results give us an apples-to-apples comparison among states. </w:t>
      </w:r>
      <w:r w:rsidRPr="00DB2589">
        <w:rPr>
          <w:u w:val="single"/>
        </w:rPr>
        <w:t>Annual testing and reporting also force states to confront their failures, especially the substandard education often offered to disadvantaged children</w:t>
      </w:r>
      <w:r w:rsidRPr="00DB2589">
        <w:rPr>
          <w:sz w:val="16"/>
        </w:rPr>
        <w:t xml:space="preserve">. NCLB is far from perfect. It doesn’t give states the flexibility they need, and the system can be gamed. But those flaws can be fixed in the reauthorization process. Most critically, we can use the reauthorization process to keep states and local districts in control of making vital decisions about standards, curriculum and academic content. States should also actively protect the privacy of student data; some states, such as Oklahoma, have already found the right solutions to that problem. Such control can work. We’ve seen more than 40 states voluntarily work together to create the Common Core standards for language arts and math. I support such rigorous, state-driven academic standards. Some states would rather set their own standards, and that’s appropriate, provided they are high standards. But </w:t>
      </w:r>
      <w:r w:rsidRPr="00DB2589">
        <w:rPr>
          <w:u w:val="single"/>
        </w:rPr>
        <w:t>no matter what, no state should be forced to adopt standards mandated by the federal government.</w:t>
      </w:r>
      <w:r w:rsidRPr="00DB2589">
        <w:rPr>
          <w:sz w:val="16"/>
        </w:rPr>
        <w:t xml:space="preserve">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w:t>
      </w:r>
      <w:r w:rsidRPr="00DB2589">
        <w:rPr>
          <w:u w:val="single"/>
        </w:rPr>
        <w:t>If we are to move forward on education reform, the states and local authorities must be allowed to lead.</w:t>
      </w:r>
      <w:r w:rsidRPr="00DB2589">
        <w:rPr>
          <w:sz w:val="16"/>
        </w:rPr>
        <w:t xml:space="preserve"> And for that to happen, it should be made clear in law that </w:t>
      </w:r>
      <w:r w:rsidRPr="00DB2589">
        <w:rPr>
          <w:u w:val="single"/>
        </w:rPr>
        <w:t>the federal government should always b</w:t>
      </w:r>
      <w:r w:rsidRPr="006A4B96">
        <w:rPr>
          <w:u w:val="single"/>
        </w:rPr>
        <w:t>e in the back seat</w:t>
      </w:r>
      <w:r w:rsidRPr="006A4B96">
        <w:rPr>
          <w:sz w:val="16"/>
        </w:rPr>
        <w:t>.</w:t>
      </w:r>
    </w:p>
    <w:p w14:paraId="6F6380A8" w14:textId="7C2B0563" w:rsidR="00DB2589" w:rsidRDefault="00F537DC" w:rsidP="00F537DC">
      <w:pPr>
        <w:pStyle w:val="Heading3"/>
      </w:pPr>
      <w:r>
        <w:t>Solvency – Sex Ed</w:t>
      </w:r>
    </w:p>
    <w:p w14:paraId="56E5EC7A" w14:textId="77777777" w:rsidR="00F537DC" w:rsidRPr="004A19C4" w:rsidRDefault="00F537DC" w:rsidP="00F537DC"/>
    <w:p w14:paraId="4DADF7A2" w14:textId="1868F5F3" w:rsidR="00F537DC" w:rsidRPr="004D0626" w:rsidRDefault="00F537DC" w:rsidP="00F537DC">
      <w:pPr>
        <w:pStyle w:val="Heading4"/>
      </w:pPr>
      <w:r>
        <w:t>Current state sex ed insufficient – CP is key</w:t>
      </w:r>
    </w:p>
    <w:p w14:paraId="2601F099" w14:textId="77777777" w:rsidR="00F537DC" w:rsidRDefault="00F537DC" w:rsidP="00F537DC">
      <w:r w:rsidRPr="004D0626">
        <w:rPr>
          <w:rStyle w:val="StyleStyleBold12pt"/>
        </w:rPr>
        <w:t>Guttmacher Institute</w:t>
      </w:r>
      <w:r>
        <w:t xml:space="preserve"> June 1, 20</w:t>
      </w:r>
      <w:r w:rsidRPr="004D0626">
        <w:rPr>
          <w:rStyle w:val="StyleStyleBold12pt"/>
        </w:rPr>
        <w:t>17</w:t>
      </w:r>
      <w:r>
        <w:t xml:space="preserve"> (</w:t>
      </w:r>
      <w:r w:rsidRPr="004D0626">
        <w:t>Sex and HIV Education</w:t>
      </w:r>
      <w:r>
        <w:t xml:space="preserve">, </w:t>
      </w:r>
      <w:hyperlink r:id="rId7" w:history="1">
        <w:r w:rsidRPr="002B19BC">
          <w:rPr>
            <w:rStyle w:val="Hyperlink"/>
          </w:rPr>
          <w:t>https://www.guttmacher.org/state-policy/explore/sex-and-hiv-education</w:t>
        </w:r>
      </w:hyperlink>
      <w:r>
        <w:t xml:space="preserve"> arvind)</w:t>
      </w:r>
    </w:p>
    <w:p w14:paraId="3377E2E4" w14:textId="77777777" w:rsidR="00F537DC" w:rsidRPr="0083141C" w:rsidRDefault="00F537DC" w:rsidP="00F537DC">
      <w:r w:rsidRPr="0083141C">
        <w:t>Background</w:t>
      </w:r>
      <w:r>
        <w:t xml:space="preserve"> </w:t>
      </w:r>
      <w:r w:rsidRPr="0083141C">
        <w:t>Beginning in the 1970s, concerns over teen pregnancy– and later HIV/AIDS–galvanized widespread public support for sex education in schools</w:t>
      </w:r>
      <w:r w:rsidRPr="004D0626">
        <w:rPr>
          <w:rStyle w:val="StyleBoldUnderline"/>
        </w:rPr>
        <w:t>. Most states today have a policy requiring HIV education</w:t>
      </w:r>
      <w:r w:rsidRPr="0083141C">
        <w:t xml:space="preserve">, usually </w:t>
      </w:r>
      <w:r w:rsidRPr="004D0626">
        <w:rPr>
          <w:rStyle w:val="StyleBoldUnderline"/>
        </w:rPr>
        <w:t>in conjunction with broader sex education</w:t>
      </w:r>
      <w:r w:rsidRPr="0083141C">
        <w:t xml:space="preserve">. Meanwhile, as debate over the relative merits of abstinence-only-until-marriage versus more comprehensive approaches has intensified, </w:t>
      </w:r>
      <w:r w:rsidRPr="004D0626">
        <w:rPr>
          <w:rStyle w:val="StyleBoldUnderline"/>
        </w:rPr>
        <w:t>states have enacted a number of specific content requirement</w:t>
      </w:r>
      <w:r w:rsidRPr="0083141C">
        <w:t>s. This brief summarizes state-level sex and HIV education policies, as well as specific content requirements, based on a review of state laws, regulations and other legally binding policies.</w:t>
      </w:r>
      <w:r>
        <w:t xml:space="preserve"> </w:t>
      </w:r>
      <w:r w:rsidRPr="0083141C">
        <w:t>Highlights</w:t>
      </w:r>
      <w:r>
        <w:t xml:space="preserve"> </w:t>
      </w:r>
      <w:r w:rsidRPr="0083141C">
        <w:t>GENERAL REQUIREMENTS: SEX EDUCATION AND HIV EDUCATION</w:t>
      </w:r>
      <w:r>
        <w:t xml:space="preserve"> </w:t>
      </w:r>
      <w:r w:rsidRPr="004D0626">
        <w:rPr>
          <w:rStyle w:val="StyleBoldUnderline"/>
        </w:rPr>
        <w:t>24 states and the District of Columbia mandate sex education. 22 states and the District of Columbia mandate both sex education and HIV education</w:t>
      </w:r>
      <w:r w:rsidRPr="0083141C">
        <w:t>.</w:t>
      </w:r>
      <w:r>
        <w:t xml:space="preserve"> </w:t>
      </w:r>
      <w:r w:rsidRPr="0083141C">
        <w:t>2 states only mandate sex education.</w:t>
      </w:r>
      <w:r>
        <w:t xml:space="preserve"> </w:t>
      </w:r>
      <w:r w:rsidRPr="004D0626">
        <w:rPr>
          <w:rStyle w:val="StyleBoldUnderline"/>
        </w:rPr>
        <w:t>34 states and the District of Columbia mandate HIV education</w:t>
      </w:r>
      <w:r w:rsidRPr="0083141C">
        <w:t>; of these states, 12 mandate only HIV education.</w:t>
      </w:r>
      <w:r>
        <w:t xml:space="preserve"> </w:t>
      </w:r>
      <w:r w:rsidRPr="0083141C">
        <w:t>27 states and the District of Columbia mandate that, when provided, sex and HIV education programs meet certain general requirements.</w:t>
      </w:r>
      <w:r>
        <w:t xml:space="preserve"> </w:t>
      </w:r>
      <w:r w:rsidRPr="0083141C">
        <w:t>13 states require that the instruction be medically accurate.</w:t>
      </w:r>
      <w:r>
        <w:t xml:space="preserve"> </w:t>
      </w:r>
      <w:r w:rsidRPr="0083141C">
        <w:t>26 states and the District of Columbia require that the information be appropriate for the students' age.</w:t>
      </w:r>
      <w:r>
        <w:t xml:space="preserve"> </w:t>
      </w:r>
      <w:r w:rsidRPr="0083141C">
        <w:t>8 states require that the program must provide instruction that is appropriate for a student’s cultural background and not be biased against any race, sex or ethnicity.</w:t>
      </w:r>
      <w:r>
        <w:t xml:space="preserve"> </w:t>
      </w:r>
      <w:r w:rsidRPr="0083141C">
        <w:t>2 states prohibit the program from promoting religion.</w:t>
      </w:r>
      <w:r>
        <w:t xml:space="preserve"> </w:t>
      </w:r>
      <w:r w:rsidRPr="004D0626">
        <w:rPr>
          <w:rStyle w:val="StyleBoldUnderline"/>
        </w:rPr>
        <w:t>38 states and the District of Columbia require school districts to involve parents in sex education</w:t>
      </w:r>
      <w:r w:rsidRPr="0083141C">
        <w:t>, HIV education or both.</w:t>
      </w:r>
      <w:r>
        <w:t xml:space="preserve"> </w:t>
      </w:r>
      <w:r w:rsidRPr="0083141C">
        <w:t>22 states and the District of Columbia require that parents be notified that sex education or HIV education will be provided.</w:t>
      </w:r>
      <w:r>
        <w:t xml:space="preserve"> </w:t>
      </w:r>
      <w:r w:rsidRPr="0083141C">
        <w:t>3 states require parental consent for students to participate in sex education or HIV education.</w:t>
      </w:r>
      <w:r>
        <w:t xml:space="preserve"> </w:t>
      </w:r>
      <w:r w:rsidRPr="0083141C">
        <w:t>36 states and the District of Columbia allow parents to remove their children from instruction.</w:t>
      </w:r>
      <w:r>
        <w:t xml:space="preserve"> </w:t>
      </w:r>
      <w:r w:rsidRPr="0083141C">
        <w:t>CONTENT REQUIREMENTS WHEN SEX EDUCATION IS TAUGHT</w:t>
      </w:r>
      <w:r>
        <w:t xml:space="preserve"> </w:t>
      </w:r>
      <w:r w:rsidRPr="0083141C">
        <w:t>18 states and the District of Columbia require that information on contraception be provided.</w:t>
      </w:r>
      <w:r>
        <w:t xml:space="preserve"> </w:t>
      </w:r>
      <w:r w:rsidRPr="004D0626">
        <w:rPr>
          <w:rStyle w:val="StyleBoldUnderline"/>
        </w:rPr>
        <w:t>37 states require that information on abstinence be provided. 26 states require that abstinence be stressed. 11 states require that abstinence be covered. 19 states require that instruction on the importance of engaging in sexual activity only within marriage be provided.</w:t>
      </w:r>
      <w:r>
        <w:t xml:space="preserve"> </w:t>
      </w:r>
      <w:r w:rsidRPr="0083141C">
        <w:t>12</w:t>
      </w:r>
      <w:r>
        <w:t xml:space="preserve"> </w:t>
      </w:r>
      <w:r w:rsidRPr="0083141C">
        <w:t>states require discussion of sexual orientation.</w:t>
      </w:r>
      <w:r>
        <w:t xml:space="preserve"> </w:t>
      </w:r>
      <w:r w:rsidRPr="0083141C">
        <w:t>9 states require that discussion of sexual orientation be inclusive.</w:t>
      </w:r>
      <w:r>
        <w:t xml:space="preserve"> </w:t>
      </w:r>
      <w:r w:rsidRPr="0083141C">
        <w:t>3 states require only negative information on sexual orientation.</w:t>
      </w:r>
      <w:r>
        <w:t xml:space="preserve"> </w:t>
      </w:r>
      <w:r w:rsidRPr="0083141C">
        <w:t>13 states require the inclusion of information on the negative outcomes of teen sex and pregnancy</w:t>
      </w:r>
      <w:r w:rsidRPr="004D0626">
        <w:rPr>
          <w:rStyle w:val="StyleBoldUnderline"/>
        </w:rPr>
        <w:t>. 28 states and the District of Columbia require the provision of information about skills for healthy sexuality</w:t>
      </w:r>
      <w:r w:rsidRPr="0083141C">
        <w:t xml:space="preserve"> (including avoiding coerced sex), </w:t>
      </w:r>
      <w:r w:rsidRPr="004D0626">
        <w:rPr>
          <w:rStyle w:val="StyleBoldUnderline"/>
        </w:rPr>
        <w:t>healthy decision making and family communication when sex education is taught. 21 states and the District of Columbia require that sex education include information about skills for avoiding coerced sex. 22 states require that sex education include information on making healthy decisions around sexuality. 11 states require that sex education include instruction on how to talk to family members, especially parents, about sex.</w:t>
      </w:r>
      <w:r>
        <w:t xml:space="preserve"> </w:t>
      </w:r>
    </w:p>
    <w:p w14:paraId="19481F58" w14:textId="77777777" w:rsidR="00F537DC" w:rsidRDefault="00F537DC" w:rsidP="00F537DC">
      <w:pPr>
        <w:rPr>
          <w:rFonts w:asciiTheme="minorHAnsi" w:hAnsiTheme="minorHAnsi"/>
        </w:rPr>
      </w:pPr>
    </w:p>
    <w:p w14:paraId="7EE736A0" w14:textId="3A5ECF5A" w:rsidR="00F537DC" w:rsidRDefault="00F537DC" w:rsidP="00F537DC">
      <w:pPr>
        <w:pStyle w:val="Heading4"/>
      </w:pPr>
      <w:r>
        <w:t>More ev</w:t>
      </w:r>
    </w:p>
    <w:p w14:paraId="07279928" w14:textId="77777777" w:rsidR="00F537DC" w:rsidRPr="00946345" w:rsidRDefault="00F537DC" w:rsidP="00F537DC">
      <w:r w:rsidRPr="00946345">
        <w:t xml:space="preserve">Rachel Benson </w:t>
      </w:r>
      <w:r w:rsidRPr="00946345">
        <w:rPr>
          <w:rStyle w:val="StyleStyleBold12pt"/>
        </w:rPr>
        <w:t>Gold and</w:t>
      </w:r>
      <w:r w:rsidRPr="00946345">
        <w:t xml:space="preserve"> Elizabeth </w:t>
      </w:r>
      <w:r w:rsidRPr="00946345">
        <w:rPr>
          <w:rStyle w:val="StyleStyleBold12pt"/>
        </w:rPr>
        <w:t>Nash</w:t>
      </w:r>
      <w:r w:rsidRPr="00946345">
        <w:t xml:space="preserve"> August 1, 20</w:t>
      </w:r>
      <w:r w:rsidRPr="00946345">
        <w:rPr>
          <w:rStyle w:val="StyleStyleBold12pt"/>
        </w:rPr>
        <w:t>01</w:t>
      </w:r>
      <w:r w:rsidRPr="00946345">
        <w:t xml:space="preserve"> </w:t>
      </w:r>
      <w:r>
        <w:t>(</w:t>
      </w:r>
      <w:r w:rsidRPr="00946345">
        <w:t>State-Level Policies on Sexuality, STD Education</w:t>
      </w:r>
      <w:r>
        <w:t xml:space="preserve">, </w:t>
      </w:r>
      <w:r w:rsidRPr="00946345">
        <w:t>https://www.guttmacher.org/gpr/2001/08/state-level-policies-sexuality-std-education</w:t>
      </w:r>
      <w:r>
        <w:t>)</w:t>
      </w:r>
    </w:p>
    <w:p w14:paraId="152B3EEB" w14:textId="77777777" w:rsidR="00F537DC" w:rsidRPr="00946345" w:rsidRDefault="00F537DC" w:rsidP="00F537DC">
      <w:pPr>
        <w:rPr>
          <w:sz w:val="16"/>
        </w:rPr>
      </w:pPr>
      <w:r w:rsidRPr="004A19C4">
        <w:rPr>
          <w:rStyle w:val="StyleBoldUnderline"/>
        </w:rPr>
        <w:t>A review of state laws and policies relating to sexuality education and sexually transmitted disease (STD) education indicates that while most states require schools to teach one or both, most also give local policymakers wide latitude in crafting their own policies</w:t>
      </w:r>
      <w:r w:rsidRPr="00946345">
        <w:rPr>
          <w:sz w:val="16"/>
        </w:rPr>
        <w:t xml:space="preserve">. </w:t>
      </w:r>
      <w:r w:rsidRPr="00946345">
        <w:rPr>
          <w:rStyle w:val="StyleBoldUnderline"/>
        </w:rPr>
        <w:t>What</w:t>
      </w:r>
      <w:r w:rsidRPr="00946345">
        <w:rPr>
          <w:sz w:val="16"/>
        </w:rPr>
        <w:t xml:space="preserve"> little substantive guidance </w:t>
      </w:r>
      <w:r w:rsidRPr="004A19C4">
        <w:rPr>
          <w:rStyle w:val="StyleBoldUnderline"/>
        </w:rPr>
        <w:t>states</w:t>
      </w:r>
      <w:r w:rsidRPr="00946345">
        <w:rPr>
          <w:sz w:val="16"/>
        </w:rPr>
        <w:t xml:space="preserve"> do </w:t>
      </w:r>
      <w:r w:rsidRPr="004A19C4">
        <w:rPr>
          <w:rStyle w:val="StyleBoldUnderline"/>
        </w:rPr>
        <w:t>provide</w:t>
      </w:r>
      <w:r w:rsidRPr="00946345">
        <w:rPr>
          <w:sz w:val="16"/>
        </w:rPr>
        <w:t xml:space="preserve"> </w:t>
      </w:r>
      <w:r w:rsidRPr="00946345">
        <w:rPr>
          <w:rStyle w:val="StyleBoldUnderline"/>
        </w:rPr>
        <w:t>is heavily weighted toward stressing abstinence</w:t>
      </w:r>
      <w:r w:rsidRPr="00946345">
        <w:rPr>
          <w:sz w:val="16"/>
        </w:rPr>
        <w:t xml:space="preserve">. While </w:t>
      </w:r>
      <w:r w:rsidRPr="00946345">
        <w:rPr>
          <w:rStyle w:val="StyleBoldUnderline"/>
        </w:rPr>
        <w:t>many states permit discussion of contraception</w:t>
      </w:r>
      <w:r w:rsidRPr="00946345">
        <w:rPr>
          <w:sz w:val="16"/>
        </w:rPr>
        <w:t>, or even mandate that the topic be covered, none requires that it be stressed. In a move that many observers believe may cost him his job, Surgeon General David Satcher in June issued his long-awaited report, Call to Action to Promote Sexual Health and Responsible Sexual Behavior. Satcher describes the report, the release of which had been stalled for months, as a "first step—a call to begin a mature, thoughtful, and respectful discussion nationwide about sexuality." Citing published scientific evidence, Satcher endorses an approach to sexuality education that balances the importance of abstinence with assuring "awareness of optimal protection from sexually transmitted diseases and unintended pregnancy, for those who are sexually active" (</w:t>
      </w:r>
      <w:bookmarkStart w:id="1" w:name="boxref"/>
      <w:r w:rsidRPr="00946345">
        <w:rPr>
          <w:sz w:val="16"/>
        </w:rPr>
        <w:fldChar w:fldCharType="begin"/>
      </w:r>
      <w:r w:rsidRPr="00946345">
        <w:rPr>
          <w:sz w:val="16"/>
        </w:rPr>
        <w:instrText xml:space="preserve"> HYPERLINK "https://www.guttmacher.org/gpr/2001/08/state-level-policies-sexuality-std-education" \l "box1" </w:instrText>
      </w:r>
      <w:r w:rsidRPr="00946345">
        <w:rPr>
          <w:sz w:val="16"/>
        </w:rPr>
        <w:fldChar w:fldCharType="separate"/>
      </w:r>
      <w:r w:rsidRPr="00946345">
        <w:rPr>
          <w:rStyle w:val="Hyperlink"/>
          <w:sz w:val="16"/>
        </w:rPr>
        <w:t>see box</w:t>
      </w:r>
      <w:r w:rsidRPr="00946345">
        <w:rPr>
          <w:sz w:val="16"/>
        </w:rPr>
        <w:fldChar w:fldCharType="end"/>
      </w:r>
      <w:bookmarkEnd w:id="1"/>
      <w:r w:rsidRPr="00946345">
        <w:rPr>
          <w:sz w:val="16"/>
        </w:rPr>
        <w:t>). This endorsement places Satcher at odds with the Bush administration and with nearly 20 years of U.S. education policy that has increasingly emphasized abstinence. Federal involvement in efforts to promote abstinence rather than contraceptive use began on a small scale in 1981 with the enactment of the Adolescent Family Life Act (AFLA). Since then, Congress has added two new programs into the mix: a major freestanding program of abstinence-only education grants to the states, enacted as part of welfare reform in 1996; and a separate abstinence-only set-aside for community organizations (including those that are faith-based) within the maternal and child health (MCH) block grant, adopted last year. THE SURGEON GENERAL'S CALL TO ACTION In his report, Call to Action to Promote Sexual Health and Responsible Sexual Behavior, U.S. Surgeon General David Satcher states that becau Regarding more comprehensive approaches to sexuality education, Satcher refers to a larger body of evaluation evidence, including a recent analysis of more than 100 teenage pregnancy prevention programs across the country (</w:t>
      </w:r>
      <w:hyperlink r:id="rId8" w:history="1">
        <w:r w:rsidRPr="00946345">
          <w:rPr>
            <w:rStyle w:val="Hyperlink"/>
            <w:sz w:val="16"/>
          </w:rPr>
          <w:t>"Report Says Sex Ed Can Reduce Teen Pregnancy, Jury Out on Ab-Only,"</w:t>
        </w:r>
      </w:hyperlink>
      <w:r w:rsidRPr="00946345">
        <w:rPr>
          <w:sz w:val="16"/>
        </w:rPr>
        <w:t xml:space="preserve"> TGR, June 2001), indicating such programs either have no effect on or may actually delay adolescents' initiation of sexual activity. Satcher says such evidence supports the conclusion that informing adolescents about contraception "does not increase adolescent sexual activity, either by hastening the onset of sexual intercourse, increasing the frequency of sexual intercourse, or increasing the number of sexual partners." Furthermore, he says "some of these evaluated programs increased condom use or contraceptive use more generally for adolescents who were sexually active." In light of this evidence, Satcher calls for education that balances the importance of abstinence with assuring "awareness of optimal protection from sexually transmitted diseases and unintended pregnancy, for those who are sexually active." In a chapter titled, "Vision for the Future," Satcher offers a "foundation for promoting sexual health and responsible sexual behavior in a manner that is consistent with the best available science." In addtion, Satcher outlines specific goals for improving public awareness of sexual health and responsible sexual behavior; implementing and strengthening health and social interventions; and expanding the research base in this area. To access the report on the Internet or to request a copy of the report, visit the Surgeon General's Web site at &lt;</w:t>
      </w:r>
      <w:hyperlink r:id="rId9" w:history="1">
        <w:r w:rsidRPr="00946345">
          <w:rPr>
            <w:rStyle w:val="Hyperlink"/>
            <w:sz w:val="16"/>
          </w:rPr>
          <w:t>http://www.surgeongeneral.gov/library/sexualhealth/default.htm&gt;</w:t>
        </w:r>
      </w:hyperlink>
      <w:r w:rsidRPr="00946345">
        <w:rPr>
          <w:sz w:val="16"/>
        </w:rPr>
        <w:t xml:space="preserve">. For the current fiscal year, federal spending specifically earmarked for promoting abstinence-only education reached $80 million—$9 million through AFLA, $50 million through the program created with welfare reform (which brings with it an additional $38 million in matching funds from the states) and $20 million through the MCH set-aside. However, because education policy in the United States is highly decentralized, the bulk of the detailed policymaking regarding sexuality and abstinence education takes place at the school district level. A 1998 nationally representative survey of local school superintendents by The Alan Guttmacher Institute (AGI) found that of the roughly two-thirds of districts that have a districtwide policy to teach sexuality education, only 14% require that abstinence be presented as one option "in a broader educational program to prepare adolescents to become sexually healthy adults." The remainder require that abstinence be promoted: Fifty-one percent require that abstinence be portrayed as the preferred option for adolescents (although information about contraception is permitted), but the remaining 35%—including half of school districts in the South—require that abstinence be taught as the only acceptable option outside of marriage. When asked about how their policy was developed, the superintendents most often pointed to state directives as the most influential factors in crafting their policies. An AGI review of state laws and policies indicates, however, that states actually provide little in the way of detailed guidance to local districts about the content of their sexuality education and STD education. At the same time, the guidance states do provide is heavily geared toward promoting abstinence. STATE POLICY According to AGI's review of states' laws and policies, </w:t>
      </w:r>
      <w:r w:rsidRPr="00946345">
        <w:rPr>
          <w:rStyle w:val="StyleBoldUnderline"/>
        </w:rPr>
        <w:t>most states have adopted laws governing sexuality education and STD education, with some states having separate laws for each area</w:t>
      </w:r>
      <w:r w:rsidRPr="00946345">
        <w:rPr>
          <w:sz w:val="16"/>
        </w:rPr>
        <w:t xml:space="preserve">. To create an overall picture of state policy, this analysis examines sexuality education and STD education policies, including whether and how abstinence and contraception are to be treated within the context of this instruction. </w:t>
      </w:r>
      <w:r w:rsidRPr="00946345">
        <w:rPr>
          <w:rStyle w:val="StyleBoldUnderline"/>
        </w:rPr>
        <w:t>Thirty-nine states require that some education related to sexuality be provided throughout the state</w:t>
      </w:r>
      <w:r w:rsidRPr="00946345">
        <w:rPr>
          <w:sz w:val="16"/>
        </w:rPr>
        <w:t xml:space="preserve"> (</w:t>
      </w:r>
      <w:bookmarkStart w:id="2" w:name="tref"/>
      <w:r w:rsidRPr="00946345">
        <w:rPr>
          <w:sz w:val="16"/>
        </w:rPr>
        <w:fldChar w:fldCharType="begin"/>
      </w:r>
      <w:r w:rsidRPr="00946345">
        <w:rPr>
          <w:sz w:val="16"/>
        </w:rPr>
        <w:instrText xml:space="preserve"> HYPERLINK "https://www.guttmacher.org/gpr/2001/08/state-level-policies-sexuality-std-education" \l "table" </w:instrText>
      </w:r>
      <w:r w:rsidRPr="00946345">
        <w:rPr>
          <w:sz w:val="16"/>
        </w:rPr>
        <w:fldChar w:fldCharType="separate"/>
      </w:r>
      <w:r w:rsidRPr="00946345">
        <w:rPr>
          <w:rStyle w:val="Hyperlink"/>
          <w:sz w:val="16"/>
        </w:rPr>
        <w:t>see table</w:t>
      </w:r>
      <w:r w:rsidRPr="00946345">
        <w:rPr>
          <w:sz w:val="16"/>
        </w:rPr>
        <w:fldChar w:fldCharType="end"/>
      </w:r>
      <w:bookmarkEnd w:id="2"/>
      <w:r w:rsidRPr="00946345">
        <w:rPr>
          <w:rStyle w:val="StyleBoldUnderline"/>
        </w:rPr>
        <w:t>). Twenty-one require that both sexuality and STD education be provided. Seventeen require the provision of instruction on STDs, but not sexuality education.</w:t>
      </w:r>
      <w:r w:rsidRPr="00946345">
        <w:rPr>
          <w:sz w:val="16"/>
        </w:rPr>
        <w:t xml:space="preserve"> Only one, Maine, requires sexuality education but not STD education. Eleven states leave the decision to teach these subjects entirely to local school districts.</w:t>
      </w:r>
    </w:p>
    <w:p w14:paraId="3719775E" w14:textId="77777777" w:rsidR="00F537DC" w:rsidRDefault="00F537DC" w:rsidP="00F537DC">
      <w:pPr>
        <w:rPr>
          <w:rFonts w:asciiTheme="minorHAnsi" w:hAnsiTheme="minorHAnsi"/>
        </w:rPr>
      </w:pPr>
    </w:p>
    <w:p w14:paraId="6D1C9272" w14:textId="77777777" w:rsidR="00F537DC" w:rsidRPr="00F537DC" w:rsidRDefault="00F537DC" w:rsidP="00F537DC"/>
    <w:p w14:paraId="1D72CB37" w14:textId="77777777" w:rsidR="00DE62FB" w:rsidRDefault="00DE62FB" w:rsidP="00DE62FB">
      <w:pPr>
        <w:rPr>
          <w:sz w:val="16"/>
        </w:rPr>
      </w:pPr>
    </w:p>
    <w:p w14:paraId="57EACA4E" w14:textId="77777777" w:rsidR="00DE62FB" w:rsidRDefault="00DE62FB" w:rsidP="00DE62FB">
      <w:pPr>
        <w:pStyle w:val="Heading3"/>
      </w:pPr>
      <w:r>
        <w:t>Solvency – A2 Constitutional Challenges/Blaine Amendment</w:t>
      </w:r>
    </w:p>
    <w:p w14:paraId="655FFD8E" w14:textId="77777777" w:rsidR="00DE62FB" w:rsidRDefault="00DE62FB" w:rsidP="00DE62FB"/>
    <w:p w14:paraId="2E8F2E04" w14:textId="77777777" w:rsidR="00DE62FB" w:rsidRDefault="00DE62FB" w:rsidP="00DE62FB">
      <w:pPr>
        <w:pStyle w:val="Heading4"/>
      </w:pPr>
      <w:r>
        <w:t>ESA’s are constitutionally sound and avoid legal problems – the model for states already exists to use tax credits</w:t>
      </w:r>
    </w:p>
    <w:p w14:paraId="45E52BD7" w14:textId="77777777" w:rsidR="00DE62FB" w:rsidRPr="008833EC" w:rsidRDefault="00DE62FB" w:rsidP="00DE62FB">
      <w:pPr>
        <w:rPr>
          <w:rStyle w:val="StyleStyleBold12pt"/>
          <w:b w:val="0"/>
        </w:rPr>
      </w:pPr>
      <w:r>
        <w:rPr>
          <w:rStyle w:val="StyleStyleBold12pt"/>
        </w:rPr>
        <w:t xml:space="preserve">Bedrick, Butcher, and Bolick ’16 </w:t>
      </w:r>
      <w:r>
        <w:rPr>
          <w:rStyle w:val="StyleStyleBold12pt"/>
          <w:b w:val="0"/>
        </w:rPr>
        <w:t>(Jason, Jonathan, and Clint, “</w:t>
      </w:r>
      <w:r w:rsidRPr="008833EC">
        <w:rPr>
          <w:rStyle w:val="StyleStyleBold12pt"/>
          <w:b w:val="0"/>
        </w:rPr>
        <w:t>Taking Credit for Education: How to Fund Education Savings Accounts through Tax Credits</w:t>
      </w:r>
      <w:r>
        <w:rPr>
          <w:rStyle w:val="StyleStyleBold12pt"/>
          <w:b w:val="0"/>
        </w:rPr>
        <w:t>,” January 20,</w:t>
      </w:r>
      <w:r w:rsidRPr="008833EC">
        <w:t xml:space="preserve"> </w:t>
      </w:r>
      <w:r w:rsidRPr="008833EC">
        <w:rPr>
          <w:rStyle w:val="StyleStyleBold12pt"/>
          <w:b w:val="0"/>
        </w:rPr>
        <w:t>https://www.cato.org/publications/policy-analysis/taking-credit-education-how-fund-education-savings-accounts-through-tax#full</w:t>
      </w:r>
      <w:r>
        <w:rPr>
          <w:rStyle w:val="StyleStyleBold12pt"/>
          <w:b w:val="0"/>
        </w:rPr>
        <w:t>, Stadt)</w:t>
      </w:r>
    </w:p>
    <w:p w14:paraId="03CFAF86" w14:textId="77777777" w:rsidR="00DE62FB" w:rsidRDefault="00DE62FB" w:rsidP="00DE62FB">
      <w:pPr>
        <w:rPr>
          <w:sz w:val="16"/>
        </w:rPr>
      </w:pPr>
      <w:r w:rsidRPr="00CD14EF">
        <w:rPr>
          <w:sz w:val="16"/>
        </w:rPr>
        <w:t xml:space="preserve">Fifty million students attend U.S. district schools. Although some states and localities allow families some measure of choice, the U.S. Department of Education reports that 73 percent of U.S. students attend the district school they were assigned based on the location of their home.1 Still, for most low- and middle-income families, there are no financially viable alternatives. These parents have nowhere to turn when their children’s assigned school fails to meet their needs. </w:t>
      </w:r>
      <w:r w:rsidRPr="008833EC">
        <w:rPr>
          <w:rStyle w:val="StyleBoldUnderline"/>
        </w:rPr>
        <w:t>In order to break the link between education and housing and to empower families to choose the education providers that best meet their children’s needs, policymakers in dozens of states have explored various educational choice policies</w:t>
      </w:r>
      <w:r w:rsidRPr="00CD14EF">
        <w:rPr>
          <w:sz w:val="16"/>
        </w:rPr>
        <w:t xml:space="preserve">. </w:t>
      </w:r>
      <w:r w:rsidRPr="008833EC">
        <w:rPr>
          <w:rStyle w:val="StyleBoldUnderline"/>
        </w:rPr>
        <w:t>The</w:t>
      </w:r>
      <w:r w:rsidRPr="00CD14EF">
        <w:rPr>
          <w:sz w:val="16"/>
        </w:rPr>
        <w:t xml:space="preserve"> three </w:t>
      </w:r>
      <w:r w:rsidRPr="008833EC">
        <w:rPr>
          <w:rStyle w:val="StyleBoldUnderline"/>
        </w:rPr>
        <w:t>most common forms of private educational choice policies are</w:t>
      </w:r>
      <w:r w:rsidRPr="00CD14EF">
        <w:rPr>
          <w:sz w:val="16"/>
        </w:rPr>
        <w:t xml:space="preserve"> school vouchers, tax-credit scholarships, and, most recently, </w:t>
      </w:r>
      <w:r w:rsidRPr="008833EC">
        <w:rPr>
          <w:rStyle w:val="StyleBoldUnderline"/>
        </w:rPr>
        <w:t>education savings accounts</w:t>
      </w:r>
      <w:r w:rsidRPr="00CD14EF">
        <w:rPr>
          <w:sz w:val="16"/>
        </w:rPr>
        <w:t xml:space="preserve"> (ESAs). Vouchers: Private school vouchers are coupons that the state provides to help families cover the cost of private school tuition. Since Wisconsin lawmakers granted school vouchers to Milwaukee students in 1990, lawmakers in 11 states plus Washington, D.C., and Douglas County, Colorado, have enacted similar laws.2 More than 140,000 students received school vouchers in the 2014-15 school year. Tax-credit scholarships: As with school voucher programs, tax-credit scholarships (TCS) help families pay for private school tuition. However, unlike vouchers, TCS programs are privately administered and funded through voluntary contributions. A TCS law grants a full or partial tax credit to individual and/or corporate taxpayers in return for contributions to nonprofit scholarship organizations. These organizations help families enroll their children in the schools of their choice. As of the 2014-15 school year, more than 200,000 U.S. students were receiving tax-credit scholarships in 14 states, and two new states enacted similar laws this year.3 Education savings accounts: </w:t>
      </w:r>
      <w:r w:rsidRPr="008833EC">
        <w:rPr>
          <w:rStyle w:val="StyleBoldUnderline"/>
        </w:rPr>
        <w:t>ESAs are restricted-use bank accounts that families can use to purchase a wide variety of educational products and services, including personal tutors, online classes, educational therapies, textbooks, and homeschool curricula, in addition to (or instead of) private school tuition</w:t>
      </w:r>
      <w:r w:rsidRPr="00CD14EF">
        <w:rPr>
          <w:sz w:val="16"/>
        </w:rPr>
        <w:t xml:space="preserve">. </w:t>
      </w:r>
      <w:r w:rsidRPr="008833EC">
        <w:rPr>
          <w:rStyle w:val="StyleBoldUnderline"/>
        </w:rPr>
        <w:t>Funds roll over from year to year so parents can save for future educational expenses, including college</w:t>
      </w:r>
      <w:r w:rsidRPr="00CD14EF">
        <w:rPr>
          <w:sz w:val="16"/>
        </w:rPr>
        <w:t xml:space="preserve">. </w:t>
      </w:r>
      <w:r w:rsidRPr="008833EC">
        <w:rPr>
          <w:rStyle w:val="StyleBoldUnderline"/>
        </w:rPr>
        <w:t>In the five ESA programs enacted thus far, the state deposits a portion of the funds that would have been spent on the child in the public school system into the ESAs several times each year</w:t>
      </w:r>
      <w:r w:rsidRPr="00CD14EF">
        <w:rPr>
          <w:sz w:val="16"/>
        </w:rPr>
        <w:t xml:space="preserve">. More than 5,000 students are using ESAs in the 2015-16 school year. This paper will explain how education savings accounts can be funded through tax-credit eligible donations instead of from a state’s general fund. The New York Times has called education savings accounts a “redefinition of public education” and the Wall Street Journal has praised them for “empowering parents to make decisions” about their children’s education.4 </w:t>
      </w:r>
      <w:r w:rsidRPr="008833EC">
        <w:rPr>
          <w:rStyle w:val="StyleBoldUnderline"/>
        </w:rPr>
        <w:t>In 2011, Arizona became the first state to enact an ESA law</w:t>
      </w:r>
      <w:r w:rsidRPr="00CD14EF">
        <w:rPr>
          <w:sz w:val="16"/>
        </w:rPr>
        <w:t xml:space="preserve">. Although eligibility was originally limited to students with special needs, </w:t>
      </w:r>
      <w:r w:rsidRPr="008833EC">
        <w:rPr>
          <w:rStyle w:val="StyleBoldUnderline"/>
        </w:rPr>
        <w:t>Arizona lawmakers</w:t>
      </w:r>
      <w:r w:rsidRPr="00CD14EF">
        <w:rPr>
          <w:sz w:val="16"/>
        </w:rPr>
        <w:t xml:space="preserve"> subsequently </w:t>
      </w:r>
      <w:r w:rsidRPr="008833EC">
        <w:rPr>
          <w:rStyle w:val="StyleBoldUnderline"/>
        </w:rPr>
        <w:t>expanded eligibility to include adopted children, children of active-duty military personnel, students living on Native American reservations, and students assigned to a district school with a D or F rating, as well as siblings of eligible students</w:t>
      </w:r>
      <w:r w:rsidRPr="00CD14EF">
        <w:rPr>
          <w:sz w:val="16"/>
        </w:rPr>
        <w:t xml:space="preserve">.5 Incoming kindergarten students that meet any of these criteria are also eligible to apply, along with preschool children that have special needs. </w:t>
      </w:r>
      <w:r w:rsidRPr="008833EC">
        <w:rPr>
          <w:rStyle w:val="StyleBoldUnderline"/>
        </w:rPr>
        <w:t>In 2014, Florida lawmakers enacted an education savings account law for students with special needs</w:t>
      </w:r>
      <w:r w:rsidRPr="00CD14EF">
        <w:rPr>
          <w:sz w:val="16"/>
        </w:rPr>
        <w:t xml:space="preserve">.6 As of the 2015-16 school year, 2,400 Arizona students and about the same number of Florida students used such accounts (called Personal Learning Scholarship Accounts, or PLSAs, in Florida).7 In the 2015 legislative session, Florida lawmakers tripled the state’s appropriation for PLSAs, and more than 5,000 students still could apply for an account in the 2015-16 school year. Also in 2015, </w:t>
      </w:r>
      <w:r w:rsidRPr="008833EC">
        <w:rPr>
          <w:rStyle w:val="StyleBoldUnderline"/>
        </w:rPr>
        <w:t>Mississippi and Tennessee enacted ESAs for students with special needs, and Nevada became the first state to enact a nearly universal ESA that allows all students attending a public school to apply for an account</w:t>
      </w:r>
      <w:r w:rsidRPr="00CD14EF">
        <w:rPr>
          <w:sz w:val="16"/>
        </w:rPr>
        <w:t xml:space="preserve">.8 </w:t>
      </w:r>
      <w:r w:rsidRPr="008833EC">
        <w:rPr>
          <w:rStyle w:val="StyleBoldUnderline"/>
        </w:rPr>
        <w:t>Education savings accounts afford parents</w:t>
      </w:r>
      <w:r w:rsidRPr="00CD14EF">
        <w:rPr>
          <w:sz w:val="16"/>
        </w:rPr>
        <w:t xml:space="preserve"> </w:t>
      </w:r>
      <w:r w:rsidRPr="008833EC">
        <w:rPr>
          <w:rStyle w:val="Emphasis"/>
        </w:rPr>
        <w:t>unprecedented flexibility</w:t>
      </w:r>
      <w:r w:rsidRPr="00CD14EF">
        <w:rPr>
          <w:sz w:val="16"/>
        </w:rPr>
        <w:t xml:space="preserve"> </w:t>
      </w:r>
      <w:r w:rsidRPr="008833EC">
        <w:rPr>
          <w:rStyle w:val="StyleBoldUnderline"/>
        </w:rPr>
        <w:t>to find high-quality schools and services for their children</w:t>
      </w:r>
      <w:r w:rsidRPr="00CD14EF">
        <w:rPr>
          <w:sz w:val="16"/>
        </w:rPr>
        <w:t xml:space="preserve">. </w:t>
      </w:r>
      <w:r w:rsidRPr="008833EC">
        <w:rPr>
          <w:rStyle w:val="StyleBoldUnderline"/>
        </w:rPr>
        <w:t>As policymakers seek to expand educational choice in their states, they should learn from the experience of other states</w:t>
      </w:r>
      <w:r w:rsidRPr="00CD14EF">
        <w:rPr>
          <w:sz w:val="16"/>
        </w:rPr>
        <w:t xml:space="preserve"> and be prepared for potential challenges. As discussed at greater length in the Constitutional Issues section below, teachers’ unions and other groups regularly attempt to use the courts to block parents’ ability to choose how and where their child learns. However, </w:t>
      </w:r>
      <w:r w:rsidRPr="008011A7">
        <w:rPr>
          <w:rStyle w:val="Emphasis"/>
        </w:rPr>
        <w:t>it is possible to design an ESA program that is privately funded with the aid of a tax credit that should pass constitutional muster in nearly every state</w:t>
      </w:r>
      <w:r w:rsidRPr="00CD14EF">
        <w:rPr>
          <w:sz w:val="16"/>
        </w:rPr>
        <w:t xml:space="preserve">. To better understand the different ways policymakers can design education savings account programs, we provide three case studies: Arizona’s publicly funded and managed ESA program, Florida’s publicly funded and privately managed ESA program, and New Hampshire’s privately funded and managed tax-credit scholarship program — the only one of its kind that covers homeschooling expenses. We then explain how to design an ESA program that is funded via tax-credit-eligible private contributions to scholarship organizations, instead of through a state’s general fund. Finally, we explore the constitutional challenges for parental choice programs in states with certain constitutional provisions and explain why </w:t>
      </w:r>
      <w:r w:rsidRPr="008011A7">
        <w:rPr>
          <w:rStyle w:val="StyleBoldUnderline"/>
        </w:rPr>
        <w:t xml:space="preserve">tax-credit-funded educational choice laws have a </w:t>
      </w:r>
      <w:r w:rsidRPr="008011A7">
        <w:rPr>
          <w:rStyle w:val="Emphasis"/>
        </w:rPr>
        <w:t>perfect record</w:t>
      </w:r>
      <w:r w:rsidRPr="00CD14EF">
        <w:rPr>
          <w:sz w:val="16"/>
        </w:rPr>
        <w:t xml:space="preserve"> </w:t>
      </w:r>
      <w:r w:rsidRPr="008011A7">
        <w:rPr>
          <w:rStyle w:val="StyleBoldUnderline"/>
        </w:rPr>
        <w:t>of constitutionality at the U.S. Supreme Court and at</w:t>
      </w:r>
      <w:r w:rsidRPr="00CD14EF">
        <w:rPr>
          <w:sz w:val="16"/>
        </w:rPr>
        <w:t xml:space="preserve"> </w:t>
      </w:r>
      <w:r w:rsidRPr="008011A7">
        <w:rPr>
          <w:rStyle w:val="Emphasis"/>
        </w:rPr>
        <w:t>every state supreme court</w:t>
      </w:r>
      <w:r w:rsidRPr="00CD14EF">
        <w:rPr>
          <w:sz w:val="16"/>
        </w:rPr>
        <w:t xml:space="preserve"> that has addressed the matter thus far. In addition, the paper includes a list of resources on ESAs, such as reports on how Arizona parents have used their ESAs, a satisfaction survey of Arizona ESA parents, and other reports and essays discussing the economic theory behind ESAs and how to design and implement ESA programs. Case Studies: Education Savings Accounts in Arizona and Florida </w:t>
      </w:r>
      <w:r w:rsidRPr="008011A7">
        <w:rPr>
          <w:rStyle w:val="StyleBoldUnderline"/>
        </w:rPr>
        <w:t>The existing Education Savings Account laws differ in their particulars, but the</w:t>
      </w:r>
      <w:r w:rsidRPr="00CD14EF">
        <w:rPr>
          <w:sz w:val="16"/>
        </w:rPr>
        <w:t xml:space="preserve"> </w:t>
      </w:r>
      <w:r w:rsidRPr="008011A7">
        <w:rPr>
          <w:rStyle w:val="Emphasis"/>
        </w:rPr>
        <w:t>central concept is the same</w:t>
      </w:r>
      <w:r w:rsidRPr="00CD14EF">
        <w:rPr>
          <w:sz w:val="16"/>
        </w:rPr>
        <w:t xml:space="preserve">: </w:t>
      </w:r>
      <w:r w:rsidRPr="008011A7">
        <w:rPr>
          <w:rStyle w:val="StyleBoldUnderline"/>
        </w:rPr>
        <w:t>families can use an ESA to purchase multiple educational products or services in addition to — or instead of — private school tuition</w:t>
      </w:r>
      <w:r w:rsidRPr="00CD14EF">
        <w:rPr>
          <w:sz w:val="16"/>
        </w:rPr>
        <w:t xml:space="preserve">. Parents of eligible children apply for an Education Savings Account instead of enrolling their children at their assigned district school or at a public charter school. Parents complete an application with a state agency or private nonprofit entity that administers the accounts. Once the agency approves an application, </w:t>
      </w:r>
      <w:r w:rsidRPr="008011A7">
        <w:rPr>
          <w:rStyle w:val="StyleBoldUnderline"/>
        </w:rPr>
        <w:t>the state awards the family a bank account that can be used for eligible educational expenses. The state deposits public funding in the account at predetermined intervals</w:t>
      </w:r>
      <w:r w:rsidRPr="00CD14EF">
        <w:rPr>
          <w:sz w:val="16"/>
        </w:rPr>
        <w:t xml:space="preserve"> (e.g., quarterly, as is the practice in Arizona). Key differences in program administration and accountability systems in Arizona and Florida are detailed below. Arizona’s Empowerment Scholarship Accounts Arizona’s Education Savings Account system is administered by the Arizona Department of Education and the state treasurer. Eligible Arizona families interested in an ESA must complete an application that the state department of education makes available on its website.9 As explained above, Arizona’s law limits eligibility to children with special needs, students in failing schools, children adopted from the state foster care system, children of active-duty military personnel, and children living on Native American reservations. To be eligible, children who meet any of these criteria must have been enrolled in a public school or be entering kindergarten. Preschool children with special needs are also eligible, along with the siblings of any students eligible for an account.10 If the department verifies eligibility and approves an application, the agency sends a contract to the applicants detailing their rights and responsibilities. Once parents sign the contract, the department opens a bank account for the student, and families have the responsibility for educating their child using the new account. The parents are issued restricted-use ESA cards, which function like debit cards linked to personal bank accounts. The department of education and state treasurer coordinate deposits to the cards quarterly, beginning in August, at the commencement of the academic year. Parents use the card at participating vendors, such as private schools, tutoring services, or educational therapists, or use PayPal to make purchases online for textbooks or for payment to virtual schools. Arizona law allows families to use the accounts for any of the following educational expenses: Tuition or fees at a qualified school Textbooks required by a qualified school Educational therapies or services from a licensed or accredited practitioner or provider Tutoring or teaching services provided by an individual or facility accredited by a state, regional, or national accrediting organization Curricula Tuition or fees for a nonpublic online learning program Fees for a nationally standardized norm-referenced achievement test, an advanced placement examination, or any exams related to college or university admission Contributions to a Coverdell education savings account Tuition or fees at an eligible postsecondary institution Textbooks required by an eligible postsecondary institution Fees for management of the empowerment scholarship account by firms selected by the state treasurer Services provided by a public school, including individual classes and extracurricular programs Insurance or surety bond payments as required by the department of education11 Families must keep the receipts from all of their purchases and return the receipts to the Arizona Department of Education at the end of the fiscal quarter. The department reviews the receipts to make sure all of the purchases were for eligible educational expenses before making the next quarter’s deposit.12 The department will withhold money if they find that a family has misused their child’s account. Florida’s Personal Learning Scholarship Accounts In Florida, lawmakers opted for a different design. Instead of having the Florida Department of Education run the program, lawmakers allowed the two private scholarship-granting organizations operating in the state to administer the accounts (the state agency has oversight responsibilities, including maintaining a list of approved education providers).13 The primary organization is Step Up for Students, the nation’s largest and oldest scholarship-granting organization to operate under a tax-credit scholarship law. Since 1998, Step Up has provided low-income students with hundreds of thousands of scholarships funded by corporations’ charitable contributions.14 Since 2014, AAA Scholarship Foundation, which operates in several other states, has also issued tax-credit scholarships and managed ESAs in Florida. Florida’s ESAs, called Personal Learning Scholarship Accounts, differ from Arizona’s ESA program in several key areas. First, </w:t>
      </w:r>
      <w:r w:rsidRPr="008011A7">
        <w:rPr>
          <w:rStyle w:val="StyleBoldUnderline"/>
        </w:rPr>
        <w:t>Arizona’s ESAs are funded through the state’s public school funding formula</w:t>
      </w:r>
      <w:r w:rsidRPr="00CD14EF">
        <w:rPr>
          <w:sz w:val="16"/>
        </w:rPr>
        <w:t xml:space="preserve">, but Florida’s program is funded using a separate appropriation. This year, Florida lawmakers appropriated $53.4 million for the accounts, which triples the number of PLSAs that can be awarded from 1,800 to nearly 5,400.15 Although </w:t>
      </w:r>
      <w:r w:rsidRPr="008011A7">
        <w:rPr>
          <w:rStyle w:val="StyleBoldUnderline"/>
        </w:rPr>
        <w:t>Arizona’s ESA program</w:t>
      </w:r>
      <w:r w:rsidRPr="00CD14EF">
        <w:rPr>
          <w:sz w:val="16"/>
        </w:rPr>
        <w:t xml:space="preserve"> does not have a cap on how much money can be appropriated to the program, </w:t>
      </w:r>
      <w:r w:rsidRPr="008011A7">
        <w:rPr>
          <w:rStyle w:val="StyleBoldUnderline"/>
        </w:rPr>
        <w:t>there is a cap on how many new students can participate</w:t>
      </w:r>
      <w:r w:rsidRPr="00CD14EF">
        <w:rPr>
          <w:sz w:val="16"/>
        </w:rPr>
        <w:t xml:space="preserve"> each year equal to 0.5 percent of total public school enrollment (approximately 5,500 students).16 </w:t>
      </w:r>
      <w:r w:rsidRPr="008011A7">
        <w:rPr>
          <w:rStyle w:val="Emphasis"/>
        </w:rPr>
        <w:t>The cap sunsets in 2019</w:t>
      </w:r>
      <w:r w:rsidRPr="00CD14EF">
        <w:rPr>
          <w:sz w:val="16"/>
        </w:rPr>
        <w:t xml:space="preserve">. Second, Florida’s accounts are available to a subset of children with special needs (the specific diagnoses are included in state law), while Arizona’s program is available to all children with special needs who would qualify for an Individualized Education Plan or a 504 plan, as well as the several additional categories detailed above.17 (A 504 plan is a plan developed to provide appropriate accommodations for K-12 students with special needs attending public schools, as detailed in Section 504 of the Rehabilitation Act of 1973.) Third, Florida families do not use debit cards or prepaid spending cards, as in Arizona.18 In Florida, parents log into their account via a website and describe the purchase they intend to make. Once the purchase is approved, parents can spend their own money, and then apply for a reimbursement, which Step Up or AAA pays back to them from their child’s PLSA. For larger purchases, such as private school tuition, parents can authorize a tuition payment online, and Step Up for Students or AAA will pay the school electronically from the child’s PLSA. Fourth, and most importantly for the purposes of this report, Florida’s program is operated by private, nonprofit scholarship organizations, while Arizona’s state department of education administers the program for that state. This fourth point is a critical difference. Step Up for Students designed an enrollment system for the accounts and promoted the accounts to interested parents at a rapid pace after Florida Governor Rick Scott signed the law. In the program’s first year, Step Up met the cap on participating families. In Arizona, the department has not launched a coordinated marketing campaign, and although the number of accounts in Arizona has doubled every year since inception, Arizona has not reached its participation cap.19 Since Step Up’s primary mission is to award private school scholarships to students, the organization already had a network of families and interested advocacy groups that could help attract new applicants to Florida’s ESA program. This gave the organization an advantage in attracting new students to the accounts that Arizona’s department of education did not have when Governor Jan Brewer signed Arizona’s ESA law five years ago. This advantage may be one reason why more than 3,700 families applied for Florida’s accounts in the program’s first year, while only 75 families applied for Arizona’s program when the department opened the application process in 2011.20 Case Study: Tax-Credit Scholarships for New Hampshire Homeschoolers </w:t>
      </w:r>
      <w:r w:rsidRPr="008011A7">
        <w:rPr>
          <w:rStyle w:val="StyleBoldUnderline"/>
        </w:rPr>
        <w:t>The education savings account programs in both Arizona and Florida are publicly funded</w:t>
      </w:r>
      <w:r w:rsidRPr="00CD14EF">
        <w:rPr>
          <w:sz w:val="16"/>
        </w:rPr>
        <w:t xml:space="preserve">, although Florida’s ESA is privately managed. New Hampshire offers an example of an educational choice program that is privately funded and managed. In 2012, New Hampshire enacted the Opportunity Scholarship Act (OSA), the first tax-credit scholarship program in the country to make homeschooled students eligible for scholarships in addition to students attending private school. Under the OSA, businesses receive tax credits worth 85 percent of their contributions to nonprofit scholarship organizations, which provide scholarships for low- and middle-income children to pay tuition at private schools or out-of-district public schools or to cover eligible homeschooling expenses. However, unlike ESAs in other states, Granite State scholarship students cannot spend part of the funds on tuition and part of the funds on homeschooling expenses. Families must either spend the scholarship funds entirely on tuition or spend them on a variety of educational expenses as homeschoolers. For example, a homeschooling scholarship student could spend part of the funds on tutoring, online courses, or even individual courses at a local district school, but a student attending private school could not spend scholarship funds on tutoring, online courses, or other educational goods and services. In the first year that the tax credit was offered, the maximum average scholarship value was $2,500 for school tuition or one-fourth that amount ($625) for homeschooling expenses. These caps on the maximum average scholarship sizes automatically increase annually with inflation. The law also limits the total amount of tax credits available. Businesses could claim up to $3.4 million in the first year and $5.1 million in the second year. In subsequent years, the total tax-credit cap will increase by 25 percent whenever businesses claim at least 80 percent of the total allowed credits. However, donors have not yet come close to hitting the cap because of a legislative effort to repeal the tax-credit law and a legal challenge that put the program’s future in doubt during the first two years.21 The only scholarship organization operating at the time, the Network for Educational Opportunity (NEO), raised just shy of $130,000 in the first year and less than half that in the second year. Fortunately, the legislature voted down the attempted repeal and the state supreme court eventually rejected the constitutional challenge. In the third year, NEO and a second scholarship organization, the Going and Giving Alliance, raised a combined $217,000.22 Unlike the ESA programs in Arizona and Florida, New Hampshire’s TCS law does not specify which categories of educational expenditures are eligible. Rather, it merely prohibits “fees or expenses related to participation in athletic programs, transportation expenses, or the cost of a parent’s time expended in the home schooling of his or her child.”23 That gives the scholarship organizations considerable latitude to decide which expenses qualify. Scholarship families primarily buy homeschool curricula, books, educational software, and related materials. However, scholarship organizations have approved some expenses that would not qualify in Arizona or Florida. For example, one low-income family that lacked a computer received permission from NEO to purchase a laptop for educational purposes.24 As with Florida’s ESA, homeschooling parents in New Hampshire whose TCS applications have been approved must first purchase their desired educational products and services, then submit receipts to the scholarship organization for reimbursement. According to Kate Baker, the president of NEO, the reimbursement model has been “a significant burden” for many families.25 Since NEO prioritizes based on need, 98 percent of homeschooling scholarship families in the first year of the program had a total household income that would have qualified them for the federal free or reduced-price lunch program (185 percent of the federal poverty line, or $43,568 for a family of four in 2012-13), including 77 percent who would have qualified for a “free lunch” (130 percent of the federal poverty line, or $30,615 for a family of four in 2012-13).26 In cases of particular hardship, NEO would make an exception and provide the scholarship funds up front, although Baker was concerned that this was “a high-risk prospect” because if the scholarship recipients failed to return receipts for eligible purchases, the scholarship organization would face consequences from the New Hampshire Department of Revenue. When making an exception, Baker would meet personally with the family and stress the negative impact that failing to submit receipts would have on other families in similarly difficult situations. Fortunately, NEO has had a 100 percent rate of receipt submissions. Baker says that her organization “would be better off with a debit card system,” but banks are only willing to set up restricted-use debit card systems when there is a critical mass of users. With only a few hundred scholarship recipients, the costs are prohibitive. New Hampshire provides an example of a privately funded and managed educational choice program. However, policymakers could go further by breaking down the distinction between private school and homeschool families, thereby giving parents more control over how to spend their scholarship funds. In the next section, we will show how </w:t>
      </w:r>
      <w:r w:rsidRPr="008011A7">
        <w:rPr>
          <w:rStyle w:val="StyleBoldUnderline"/>
        </w:rPr>
        <w:t>policymakers can combine the models from Arizona, Florida, and New Hampshire to create a tax-credit funded ESA</w:t>
      </w:r>
      <w:r w:rsidRPr="00CD14EF">
        <w:rPr>
          <w:sz w:val="16"/>
        </w:rPr>
        <w:t xml:space="preserve">. Tax-Credit Funded Education Savings Accounts Education savings accounts funded by charitable contributions that are eligible for tax credits would blend tax-credit scholarships and flexible spending accounts. </w:t>
      </w:r>
      <w:r w:rsidRPr="008011A7">
        <w:rPr>
          <w:rStyle w:val="StyleBoldUnderline"/>
        </w:rPr>
        <w:t>By combining these educational choice programs, lawmakers could take advantage of the legal and policy advantages of both ideas</w:t>
      </w:r>
      <w:r w:rsidRPr="00CD14EF">
        <w:rPr>
          <w:sz w:val="16"/>
        </w:rPr>
        <w:t xml:space="preserve">. Similar to tax-credit scholarship laws, individual and corporate donors would receive tax credits when they contribute to qualified nonprofit scholarship organizations. These scholarship organizations would then set up, fund, and oversee the education savings accounts for eligible families to use on approved categories of educational products and services. The scholarship organizations could serve several functions beyond merely collecting donations and issuing ESAs. For example, </w:t>
      </w:r>
      <w:r w:rsidRPr="008011A7">
        <w:rPr>
          <w:rStyle w:val="StyleBoldUnderline"/>
        </w:rPr>
        <w:t>they could act as information clearinghouses to help families make informed decisions about their children’s education. They could also provide an extra layer of accountability by rating education providers or providing ESA families with a platform to do so. This approach would also increase liberty</w:t>
      </w:r>
      <w:r w:rsidRPr="00CD14EF">
        <w:rPr>
          <w:sz w:val="16"/>
        </w:rPr>
        <w:t xml:space="preserve">. Scholarship organizations would have the prerogative to take different approaches to helping families provide a quality education for their children, such as setting standards for educational products or services beyond the letter of the law. Donors would have the freedom to support only those scholarship organizations that they believed were effective and aligned with their values, or to refrain from donating. Unlike government spending, no one would be forced to financially support anything against his or her will. When crafting tax-credit ESA legislation, policymakers will have to decide among various approaches to designing particular features. This section offers suggestions for policymakers in approaching issues of eligibility, tax credits and funding, spending flexibility, and protection against fraud. Eligibility </w:t>
      </w:r>
      <w:r w:rsidRPr="008011A7">
        <w:rPr>
          <w:rStyle w:val="Emphasis"/>
        </w:rPr>
        <w:t xml:space="preserve">All students of </w:t>
      </w:r>
      <w:r w:rsidRPr="008011A7">
        <w:rPr>
          <w:rStyle w:val="Emphasis"/>
          <w:rFonts w:ascii="Arial Black" w:hAnsi="Arial Black"/>
        </w:rPr>
        <w:t>primary and secondary school age</w:t>
      </w:r>
      <w:r w:rsidRPr="008011A7">
        <w:rPr>
          <w:rStyle w:val="Emphasis"/>
        </w:rPr>
        <w:t xml:space="preserve"> should be eligible for an education savings account</w:t>
      </w:r>
      <w:r w:rsidRPr="00CD14EF">
        <w:rPr>
          <w:sz w:val="16"/>
        </w:rPr>
        <w:t xml:space="preserve">. </w:t>
      </w:r>
      <w:r w:rsidRPr="008011A7">
        <w:rPr>
          <w:rStyle w:val="StyleBoldUnderline"/>
        </w:rPr>
        <w:t>Arizona and Florida’s laws demonstrate that students</w:t>
      </w:r>
      <w:r w:rsidRPr="00CD14EF">
        <w:rPr>
          <w:sz w:val="16"/>
        </w:rPr>
        <w:t xml:space="preserve"> from different walks of life want — and </w:t>
      </w:r>
      <w:r w:rsidRPr="008011A7">
        <w:rPr>
          <w:rStyle w:val="StyleBoldUnderline"/>
        </w:rPr>
        <w:t>can benefit from</w:t>
      </w:r>
      <w:r w:rsidRPr="00CD14EF">
        <w:rPr>
          <w:sz w:val="16"/>
        </w:rPr>
        <w:t xml:space="preserve"> — </w:t>
      </w:r>
      <w:r w:rsidRPr="008011A7">
        <w:rPr>
          <w:rStyle w:val="StyleBoldUnderline"/>
        </w:rPr>
        <w:t>the flexible learning opportunities that ESAs make available</w:t>
      </w:r>
      <w:r w:rsidRPr="00CD14EF">
        <w:rPr>
          <w:sz w:val="16"/>
        </w:rPr>
        <w:t xml:space="preserve"> to them. Most of the </w:t>
      </w:r>
      <w:r w:rsidRPr="008011A7">
        <w:rPr>
          <w:rStyle w:val="StyleBoldUnderline"/>
        </w:rPr>
        <w:t>existing ESA programs are limited to children with special needs</w:t>
      </w:r>
      <w:r w:rsidRPr="00CD14EF">
        <w:rPr>
          <w:sz w:val="16"/>
        </w:rPr>
        <w:t xml:space="preserve">. The accounts serve children with special needs well because often these students benefit from additional services, particularly educational therapies (such as speech therapy and occupational therapy). ESA families frequently combine routine educational environments for children with unique needs, such as a private school or homeschool, with additional therapy services. Students can also use an account to buy assistive services, such as Braille materials in the case of a student with a visual impairment, or audio equipment for a child with an auditory need.27 </w:t>
      </w:r>
      <w:r w:rsidRPr="008011A7">
        <w:rPr>
          <w:rStyle w:val="StyleBoldUnderline"/>
        </w:rPr>
        <w:t>Students with special needs are not the only students who stand to benefit greatly from expanded educational choice</w:t>
      </w:r>
      <w:r w:rsidRPr="00CD14EF">
        <w:rPr>
          <w:sz w:val="16"/>
        </w:rPr>
        <w:t xml:space="preserve">. One of the first additional categories of students that Arizona made eligible for ESAs were children assigned to failing district schools. Education savings accounts help these families afford quality private educational alternatives for their children and they can use the accounts to pay for educational tutors to help them catch up to their peers. However, </w:t>
      </w:r>
      <w:r w:rsidRPr="008011A7">
        <w:rPr>
          <w:rStyle w:val="StyleBoldUnderline"/>
        </w:rPr>
        <w:t>even the highest-performing schools might not be the best fit for every child who happens to be assigned there. Other students can use the accounts to take college classes prior to high-school graduation, find classes online in technical subjects not offered at local schools, and save money for college tuition. Every child is different, and education savings accounts are flexible enough to help students with diverse interests and needs</w:t>
      </w:r>
      <w:r w:rsidRPr="00CD14EF">
        <w:rPr>
          <w:sz w:val="16"/>
        </w:rPr>
        <w:t xml:space="preserve">. </w:t>
      </w:r>
      <w:r w:rsidRPr="008011A7">
        <w:rPr>
          <w:rStyle w:val="Emphasis"/>
        </w:rPr>
        <w:t>Policymakers should consider making all school-aged children eligible to receive an ESA</w:t>
      </w:r>
      <w:r w:rsidRPr="00CD14EF">
        <w:rPr>
          <w:sz w:val="16"/>
        </w:rPr>
        <w:t xml:space="preserve">. Tax Credits and Funding The law should include tax-credit awards for individual and corporate donations to ESA-granting organizations where possible. As in existing scholarship laws, </w:t>
      </w:r>
      <w:r w:rsidRPr="008011A7">
        <w:rPr>
          <w:rStyle w:val="StyleBoldUnderline"/>
        </w:rPr>
        <w:t>scholarship- or scholarship-and-education-savings-account granting hybrid organizations would accept charitable contributions, and</w:t>
      </w:r>
      <w:r w:rsidRPr="00CD14EF">
        <w:rPr>
          <w:sz w:val="16"/>
        </w:rPr>
        <w:t xml:space="preserve"> </w:t>
      </w:r>
      <w:r w:rsidRPr="008011A7">
        <w:rPr>
          <w:rStyle w:val="Emphasis"/>
        </w:rPr>
        <w:t>the state would award tax credits</w:t>
      </w:r>
      <w:r w:rsidRPr="00CD14EF">
        <w:rPr>
          <w:sz w:val="16"/>
        </w:rPr>
        <w:t xml:space="preserve"> to donors as part of their income tax filings. Individuals and businesses should receive a 100 percent credit for their contributions to maximize the number of students who will be able to benefit from an ESA. </w:t>
      </w:r>
      <w:r w:rsidRPr="008011A7">
        <w:rPr>
          <w:rStyle w:val="StyleBoldUnderline"/>
        </w:rPr>
        <w:t>Scholarship organizations in states with dollar-for-dollar tax credit awards, such as Arizona and Florida, have been successful in raising sufficient funds to award tens of thousands of scholarships to students for nearly 20 years</w:t>
      </w:r>
      <w:r w:rsidRPr="00CD14EF">
        <w:rPr>
          <w:sz w:val="16"/>
        </w:rPr>
        <w:t xml:space="preserve">. The scholarship organization should make quarterly deposits into the accounts so that the private entity or department’s periodic audits of the accounts can precede future deposits. In this way, </w:t>
      </w:r>
      <w:r w:rsidRPr="008011A7">
        <w:rPr>
          <w:rStyle w:val="StyleBoldUnderline"/>
        </w:rPr>
        <w:t>fraud or account misuse can be stopped before an account holder conducts repeated abuse</w:t>
      </w:r>
      <w:r w:rsidRPr="00CD14EF">
        <w:rPr>
          <w:sz w:val="16"/>
        </w:rPr>
        <w:t xml:space="preserve">. Prior to the quarterly deposits, the scholarship organization should review participants’ expenses over the last quarter. For traditional expenses, such as tuition or personal tutors, the auditors should be able to view the expenses online via a financial provider’s (such as a bank’s) online management system. As mentioned earlier, in Arizona, families can use education savings accounts at large merchants such as Walmart, and the department of education looks closely at the physical receipts from these retailers to ensure the purchases are in compliance with state law. Auditors should perform the same routine audits to protect taxpayers and make sure families are using the accounts for a child’s educational benefit. Spending Flexibility The tax-credit ESA law should allow scholarship organizations to award funds to qualifying students that could then be used for multiple products and services. As explained in the “Constitutional Issues” section below, with the exception of New Hampshire, existing tax-credit scholarship laws restrict the use of tax-credit scholarship funds to covering tuition and fees at private schools. However, </w:t>
      </w:r>
      <w:r w:rsidRPr="008011A7">
        <w:rPr>
          <w:rStyle w:val="StyleBoldUnderline"/>
        </w:rPr>
        <w:t>the most empowering feature of education savings accounts is that they can be used for multiple K-12 or postsecondary needs or saved for future expenses</w:t>
      </w:r>
      <w:r w:rsidRPr="00CD14EF">
        <w:rPr>
          <w:sz w:val="16"/>
        </w:rPr>
        <w:t xml:space="preserve">. A tax-credit ESA law should allow private organizations to contract with banks or other firms to award bank accounts with debit cards or specialized online accounts that participants can use for these various expenses. In Florida and New Hampshire, ESA/scholarship families must purchase educational goods and services with their own money, then file for a reimbursement. Although this method helps to guard against fraudulent purchases, low-income families often cannot afford to pay larger expenses up front. Fortunately, </w:t>
      </w:r>
      <w:r w:rsidRPr="008011A7">
        <w:rPr>
          <w:rStyle w:val="StyleBoldUnderline"/>
        </w:rPr>
        <w:t>Arizona and Nevada have found ways that provide flexibility for families while guarding against the potential for improper purchases</w:t>
      </w:r>
      <w:r w:rsidRPr="00CD14EF">
        <w:rPr>
          <w:sz w:val="16"/>
        </w:rPr>
        <w:t xml:space="preserve">. In Arizona, families purchase eligible expenditures with restricted-use debit cards. The state agency and participating financial institution share an interface that allows the department to view participants’ expenses, confirm audits of physical receipts, and withhold deposits to an account if fraud is uncovered. Nevada is contracting with BenefitWallet, a subsidiary of Xerox that specializes in health savings accounts and other flexible spending accounts, to manage its ESAs.28 With BenefitWallet, ESA holders can pay for eligible expenses through an app or website. </w:t>
      </w:r>
      <w:r w:rsidRPr="008011A7">
        <w:rPr>
          <w:rStyle w:val="StyleBoldUnderline"/>
        </w:rPr>
        <w:t>These methods seek to maximize flexibility for families while minimizing the risk of fraud</w:t>
      </w:r>
      <w:r w:rsidRPr="00CD14EF">
        <w:rPr>
          <w:sz w:val="16"/>
        </w:rPr>
        <w:t xml:space="preserve">. Eligible expenses Lawmakers should include a list of eligible categories of educational expenses in law. Such expenses could include: Tuition or fees at a qualified school or an eligible postsecondary institution Textbooks Educational therapies or services from a licensed or accredited practitioner or provider Tutoring or teaching services provided by an individual or facility accredited by a state, regional, or national accrediting organization Curricula and related materials Tuition or fees for an online learning program Fees for a nationally standardized norm-referenced achievement test, an advanced placement examination, or any exams related to college or university admission Contributions to a college savings account Services provided by a public school, including individual classes and extracurricular programs Consumable materials, such as pens and paper Computers and tablets Any fees for the management of the ESA State agencies, private scholarship organizations, and parents must have ready access to a list of allowable expenses in order to prevent confusion as parents and students seek to use the debit cards. The state and/or scholarship organizations should make a list of eligible vendors available to participating families and update the list as needed. Fraud Protection </w:t>
      </w:r>
      <w:r w:rsidRPr="008011A7">
        <w:rPr>
          <w:rStyle w:val="StyleBoldUnderline"/>
        </w:rPr>
        <w:t>Although it is impossible for any program, public or private, to completely eliminate fraud, policymakers can take reasonable measures to minimize fraud without unnecessarily burdening ESA families or education providers</w:t>
      </w:r>
      <w:r w:rsidRPr="00CD14EF">
        <w:rPr>
          <w:sz w:val="16"/>
        </w:rPr>
        <w:t xml:space="preserve">. Ideally, parents would conveniently access ESA funds through restricted-use debit cards. These cards can be restricted by vendor or by product or service. Restricting the cards by product provides more up-front accountability, but it could reduce spending flexibility for parents. It would also require the state to maintain and frequently update a whitelist of eligible products and services, which could become burdensome. Alternatively, the cards could be restricted to eligible vendors, which would provide parents with more spending flexibility and be easier to administer. However, in that case, parents should be required to submit receipts for their purchases to ensure the funds are being spent only on eligible products and services. Fortunately, most participants simply want the best possible education for their children and want to use the program in the correct way. </w:t>
      </w:r>
      <w:r w:rsidRPr="008011A7">
        <w:rPr>
          <w:rStyle w:val="StyleBoldUnderline"/>
        </w:rPr>
        <w:t>Policymakers must make sure the rules for participating in an education savings account program are clear</w:t>
      </w:r>
      <w:r w:rsidRPr="00CD14EF">
        <w:rPr>
          <w:sz w:val="16"/>
        </w:rPr>
        <w:t xml:space="preserve"> to all families and students. </w:t>
      </w:r>
      <w:r w:rsidRPr="008011A7">
        <w:rPr>
          <w:rStyle w:val="StyleBoldUnderline"/>
        </w:rPr>
        <w:t>Clear guidelines will reduce the likelihood that parents will make mistakes</w:t>
      </w:r>
      <w:r w:rsidRPr="00CD14EF">
        <w:rPr>
          <w:sz w:val="16"/>
        </w:rPr>
        <w:t xml:space="preserve">. A more detailed treatment of measures policymakers can take to increase transparency and reduce the risk of fraud can be found in Appendix A. Constitutional Issues </w:t>
      </w:r>
      <w:r w:rsidRPr="008011A7">
        <w:rPr>
          <w:rStyle w:val="StyleBoldUnderline"/>
        </w:rPr>
        <w:t>Even though the U.S. Supreme Court has affirmed the constitutionality of school choice under the First Amendment in Zelman v. Simmons-Harris (2002), legal dangers lurk for many school-choice programs</w:t>
      </w:r>
      <w:r w:rsidRPr="00CD14EF">
        <w:rPr>
          <w:sz w:val="16"/>
        </w:rPr>
        <w:t xml:space="preserve">. </w:t>
      </w:r>
      <w:r w:rsidRPr="008011A7">
        <w:rPr>
          <w:rStyle w:val="StyleBoldUnderline"/>
        </w:rPr>
        <w:t>The most common menaces are the Blaine amendments that exist in roughly three dozen state constitutions</w:t>
      </w:r>
      <w:r w:rsidRPr="00CD14EF">
        <w:rPr>
          <w:sz w:val="16"/>
        </w:rPr>
        <w:t xml:space="preserve">. </w:t>
      </w:r>
      <w:r w:rsidRPr="008011A7">
        <w:rPr>
          <w:rStyle w:val="StyleBoldUnderline"/>
        </w:rPr>
        <w:t>Blaine amendments vary in their verbiage, but generally they restrict the use of public funds for the support or benefit of sectarian or religious schools</w:t>
      </w:r>
      <w:r w:rsidRPr="00CD14EF">
        <w:rPr>
          <w:sz w:val="16"/>
        </w:rPr>
        <w:t xml:space="preserve">. The first such amendments were enacted in the late 19th century, when the public schools functioned as de facto nondenominational Protestant schools. The growing Catholic population created their own schools in part because the religious teachings at public schools differed from their own beliefs; eventually they sought public funding for these schools. Nativists such as U.S. Senator James Blaine of Maine objected and fought for an amendment to the U.S. Constitution that would prohibit publicly funding “sectarian” (i.e., Catholic) schools.29 Although the proposed federal amendment failed, </w:t>
      </w:r>
      <w:r w:rsidRPr="008011A7">
        <w:rPr>
          <w:rStyle w:val="StyleBoldUnderline"/>
        </w:rPr>
        <w:t>most states adopted some form of the so-called Blaine amendment in their state constitutions. State courts have interpreted their Blaine amendments in various ways. The state supreme courts in Indiana and Wisconsin held that school-voucher laws were constitutional despite the presence of Blaine amendments in their state constitutions, but state supreme courts in Arizona and Colorado have invalidated school vouchers under their Blaine amendments</w:t>
      </w:r>
      <w:r w:rsidRPr="00CD14EF">
        <w:rPr>
          <w:sz w:val="16"/>
        </w:rPr>
        <w:t xml:space="preserve">.30 By contrast, </w:t>
      </w:r>
      <w:r w:rsidRPr="008011A7">
        <w:rPr>
          <w:rStyle w:val="Emphasis"/>
        </w:rPr>
        <w:t>no state supreme court in any of the 16 states with scholarship tax credit laws has ever found them to violate a Blaine amendment</w:t>
      </w:r>
      <w:r w:rsidRPr="00CD14EF">
        <w:rPr>
          <w:sz w:val="16"/>
        </w:rPr>
        <w:t xml:space="preserve">. </w:t>
      </w:r>
      <w:r w:rsidRPr="008011A7">
        <w:rPr>
          <w:rStyle w:val="StyleBoldUnderline"/>
        </w:rPr>
        <w:t>Education savings accounts were upheld in Arizona against their only Blaine-amendment challenge to be decided so far. Legal challenges to ESAs are pending in Florida and Nevada</w:t>
      </w:r>
      <w:r w:rsidRPr="00CD14EF">
        <w:rPr>
          <w:sz w:val="16"/>
        </w:rPr>
        <w:t xml:space="preserve">. </w:t>
      </w:r>
      <w:r w:rsidRPr="008011A7">
        <w:rPr>
          <w:rStyle w:val="StyleBoldUnderline"/>
        </w:rPr>
        <w:t>Scholarship tax credit laws have a</w:t>
      </w:r>
      <w:r w:rsidRPr="00CD14EF">
        <w:rPr>
          <w:sz w:val="16"/>
        </w:rPr>
        <w:t xml:space="preserve"> </w:t>
      </w:r>
      <w:r w:rsidRPr="008011A7">
        <w:rPr>
          <w:rStyle w:val="Emphasis"/>
        </w:rPr>
        <w:t>perfect record in the courts</w:t>
      </w:r>
      <w:r w:rsidRPr="00CD14EF">
        <w:rPr>
          <w:sz w:val="16"/>
        </w:rPr>
        <w:t xml:space="preserve"> </w:t>
      </w:r>
      <w:r w:rsidRPr="008011A7">
        <w:rPr>
          <w:rStyle w:val="StyleBoldUnderline"/>
        </w:rPr>
        <w:t>because Blaine amendments generally apply only to “appropriations” of public funds, whereas tax-credit eligible donations are private funds</w:t>
      </w:r>
      <w:r w:rsidRPr="00CD14EF">
        <w:rPr>
          <w:sz w:val="16"/>
        </w:rPr>
        <w:t xml:space="preserve">. In Kotterman v. Killian (1999), the Arizona Supreme Court held that tax credits are not appropriations because “no money ever enters the state’s control as a result of [the] tax credit.” Rather, tax credits simply leave money in the hands of taxpayers who are free to choose which scholarship organizations to support with their own money.31 More than a decade later, the U.S. Supreme Court rejected the standing of petitioners challenging Arizona’s scholarship tax credit law on similar grounds, holding that private funds do not become public funds until they “come into the tax collector’s hands.” Rather, when “taxpayers choose to contribute to [scholarship organizations], they spend their own money, not money the State has collected.” 32 The New Hampshire Supreme Court likewise rejected the standing of petitioners challenging the state’s scholarship tax credit law, ruling that they could not demonstrate any harm.33 The following year, citing the decisions in Arizona and New Hampshire, the Alabama Supreme Court also held that a “tax credit to a parent or a corporation … cannot be construed as an ‘appropriation’ ” but rather such funds retain their status as private funds until they enter the public treasury.34 That view seems to be the prevailing one in courts, so with the possible exception of Michigan, where the state constitution explicitly prohibits tax benefits for religious education, tax credits should survive scrutiny under such provisions. By contrast, both vouchers and education savings accounts do involve appropriations. Courts often construe Blaine amendments to prohibit only direct aid to religious schools. Here the types of school-choice programs represent a sliding scale. In Zelman, the U.S. Supreme Court ruled under the First Amendment that vouchers are not direct aid because individual parents decide where the money will be spent. In Cain v. Horne, the Arizona Supreme Court struck down vouchers under the Blaine amendment because recipients could only use the vouchers at private schools, most of which were religiously affiliated. By contrast, </w:t>
      </w:r>
      <w:r w:rsidRPr="008011A7">
        <w:rPr>
          <w:rStyle w:val="StyleBoldUnderline"/>
        </w:rPr>
        <w:t>education savings accounts</w:t>
      </w:r>
      <w:r w:rsidRPr="00CD14EF">
        <w:rPr>
          <w:sz w:val="16"/>
        </w:rPr>
        <w:t xml:space="preserve"> subsequently </w:t>
      </w:r>
      <w:r w:rsidRPr="008011A7">
        <w:rPr>
          <w:rStyle w:val="StyleBoldUnderline"/>
        </w:rPr>
        <w:t>were upheld in Arizona</w:t>
      </w:r>
      <w:r w:rsidRPr="00CD14EF">
        <w:rPr>
          <w:sz w:val="16"/>
        </w:rPr>
        <w:t xml:space="preserve"> (Niehaus v. Huppenthal, 2013) </w:t>
      </w:r>
      <w:r w:rsidRPr="008011A7">
        <w:rPr>
          <w:rStyle w:val="StyleBoldUnderline"/>
        </w:rPr>
        <w:t>because they can be used for a wide variety of educational purposes</w:t>
      </w:r>
      <w:r w:rsidRPr="00CD14EF">
        <w:rPr>
          <w:sz w:val="16"/>
        </w:rPr>
        <w:t xml:space="preserve">. In this regard, tax-credit scholarships (outside New Hampshire) are more like vouchers to the extent they can only be used for private schools. It is impossible to predict with any certainty how a particular court will rule on a contentious issue, but </w:t>
      </w:r>
      <w:r w:rsidRPr="008011A7">
        <w:rPr>
          <w:rStyle w:val="StyleBoldUnderline"/>
        </w:rPr>
        <w:t>policymakers can design laws in ways that increase their likelihood of withstanding constitutional scrutiny</w:t>
      </w:r>
      <w:r w:rsidRPr="00CD14EF">
        <w:rPr>
          <w:sz w:val="16"/>
        </w:rPr>
        <w:t xml:space="preserve">. </w:t>
      </w:r>
      <w:r w:rsidRPr="008011A7">
        <w:rPr>
          <w:rStyle w:val="StyleBoldUnderline"/>
        </w:rPr>
        <w:t xml:space="preserve">If a Blaine amendment presents a potentially serious obstacle in a particular state, lawmakers could put education savings accounts on more solid constitutional grounds by </w:t>
      </w:r>
      <w:r w:rsidRPr="008011A7">
        <w:rPr>
          <w:rStyle w:val="Emphasis"/>
        </w:rPr>
        <w:t>funding them through tax credits rather than through legislative appropriations</w:t>
      </w:r>
      <w:r w:rsidRPr="00CD14EF">
        <w:rPr>
          <w:sz w:val="16"/>
        </w:rPr>
        <w:t xml:space="preserve">. In </w:t>
      </w:r>
      <w:r w:rsidRPr="008011A7">
        <w:rPr>
          <w:rStyle w:val="StyleBoldUnderline"/>
        </w:rPr>
        <w:t>that</w:t>
      </w:r>
      <w:r w:rsidRPr="00CD14EF">
        <w:rPr>
          <w:sz w:val="16"/>
        </w:rPr>
        <w:t xml:space="preserve"> way, their </w:t>
      </w:r>
      <w:r w:rsidRPr="008011A7">
        <w:rPr>
          <w:rStyle w:val="StyleBoldUnderline"/>
        </w:rPr>
        <w:t>proposal combines the two features that have proven most resistant to Blaine-amendment challenges: it is neither an appropriation of public funds nor a form of aid limited only to private or religious schools</w:t>
      </w:r>
      <w:r w:rsidRPr="00CD14EF">
        <w:rPr>
          <w:sz w:val="16"/>
        </w:rPr>
        <w:t xml:space="preserve">. Conclusion </w:t>
      </w:r>
      <w:r w:rsidRPr="008011A7">
        <w:rPr>
          <w:rStyle w:val="StyleBoldUnderline"/>
        </w:rPr>
        <w:t>Education savings accounts empower families to customize their children’s education. Since every child is different, these accounts allow families to find learning experiences for their children that are as unique as each child</w:t>
      </w:r>
      <w:r w:rsidRPr="00CD14EF">
        <w:rPr>
          <w:sz w:val="16"/>
        </w:rPr>
        <w:t xml:space="preserve">. </w:t>
      </w:r>
      <w:r w:rsidRPr="008011A7">
        <w:rPr>
          <w:rStyle w:val="StyleBoldUnderline"/>
        </w:rPr>
        <w:t>They are an improvement on traditional school-choice programs because they enhance the freedom of parents to purchase a wide variety of educational products and services</w:t>
      </w:r>
      <w:r w:rsidRPr="00CD14EF">
        <w:rPr>
          <w:sz w:val="16"/>
        </w:rPr>
        <w:t xml:space="preserve"> and save for educational expenses in future years, including college. </w:t>
      </w:r>
      <w:r w:rsidRPr="008011A7">
        <w:rPr>
          <w:rStyle w:val="StyleBoldUnderline"/>
        </w:rPr>
        <w:t>Previous ESA laws have been funded through state treasuries, but policymakers could increase freedom for taxpayers by funding ESAs through voluntary donations to nonprofit scholarship organizations for which donors would receive tax credits</w:t>
      </w:r>
      <w:r w:rsidRPr="00CD14EF">
        <w:rPr>
          <w:sz w:val="16"/>
        </w:rPr>
        <w:t xml:space="preserve">. </w:t>
      </w:r>
      <w:r w:rsidRPr="008011A7">
        <w:rPr>
          <w:rStyle w:val="Emphasis"/>
        </w:rPr>
        <w:t>Sixteen states</w:t>
      </w:r>
      <w:r w:rsidRPr="00CD14EF">
        <w:rPr>
          <w:sz w:val="16"/>
        </w:rPr>
        <w:t xml:space="preserve"> </w:t>
      </w:r>
      <w:r w:rsidRPr="008011A7">
        <w:rPr>
          <w:rStyle w:val="StyleBoldUnderline"/>
        </w:rPr>
        <w:t>already grant tax credits for scholarships for private schools,</w:t>
      </w:r>
      <w:r w:rsidRPr="00CD14EF">
        <w:rPr>
          <w:sz w:val="16"/>
        </w:rPr>
        <w:t xml:space="preserve"> and New Hampshire’s law allows families to use the scholarships in a manner similar to ESAs. Moreover, </w:t>
      </w:r>
      <w:r w:rsidRPr="008011A7">
        <w:rPr>
          <w:rStyle w:val="StyleBoldUnderline"/>
        </w:rPr>
        <w:t xml:space="preserve">Florida’s ESA program is run by the state’s largest tax-credit scholarship organization, </w:t>
      </w:r>
      <w:r w:rsidRPr="008011A7">
        <w:rPr>
          <w:rStyle w:val="Emphasis"/>
        </w:rPr>
        <w:t>providing a model</w:t>
      </w:r>
      <w:r w:rsidRPr="008011A7">
        <w:rPr>
          <w:rStyle w:val="StyleBoldUnderline"/>
        </w:rPr>
        <w:t xml:space="preserve"> for the private management of an ESA program</w:t>
      </w:r>
      <w:r w:rsidRPr="00CD14EF">
        <w:rPr>
          <w:sz w:val="16"/>
        </w:rPr>
        <w:t xml:space="preserve">. In states where courts have narrowly interpreted their state constitution’s Blaine amendment, </w:t>
      </w:r>
      <w:r w:rsidRPr="00CD14EF">
        <w:rPr>
          <w:rStyle w:val="StyleBoldUnderline"/>
        </w:rPr>
        <w:t>funding ESAs through tax credits is a constitutionally sound method of providing every child with the chance at an excellent education</w:t>
      </w:r>
      <w:r w:rsidRPr="00CD14EF">
        <w:rPr>
          <w:sz w:val="16"/>
        </w:rPr>
        <w:t>.</w:t>
      </w:r>
    </w:p>
    <w:p w14:paraId="518D680B" w14:textId="77777777" w:rsidR="00DE62FB" w:rsidRDefault="00DE62FB" w:rsidP="00DE62FB">
      <w:pPr>
        <w:rPr>
          <w:sz w:val="16"/>
        </w:rPr>
      </w:pPr>
    </w:p>
    <w:p w14:paraId="38DD48F6" w14:textId="77777777" w:rsidR="00DE62FB" w:rsidRDefault="00DE62FB" w:rsidP="00DE62FB">
      <w:pPr>
        <w:pStyle w:val="Heading3"/>
      </w:pPr>
      <w:r>
        <w:t>Solvency – States Act in Uniform</w:t>
      </w:r>
    </w:p>
    <w:p w14:paraId="1C44CC7A" w14:textId="77777777" w:rsidR="00DE62FB" w:rsidRDefault="00DE62FB" w:rsidP="00DE62FB">
      <w:pPr>
        <w:pStyle w:val="Heading4"/>
      </w:pPr>
      <w:r>
        <w:t>States can act uniformly on ESAs</w:t>
      </w:r>
    </w:p>
    <w:p w14:paraId="16652643" w14:textId="77777777" w:rsidR="00DE62FB" w:rsidRPr="002D77A8" w:rsidRDefault="00DE62FB" w:rsidP="00DE62FB">
      <w:pPr>
        <w:rPr>
          <w:rStyle w:val="StyleStyleBold12pt"/>
          <w:b w:val="0"/>
        </w:rPr>
      </w:pPr>
      <w:r>
        <w:rPr>
          <w:rStyle w:val="StyleStyleBold12pt"/>
        </w:rPr>
        <w:t xml:space="preserve">Bush Former Governor of Florida ’15 </w:t>
      </w:r>
      <w:r>
        <w:rPr>
          <w:rStyle w:val="StyleStyleBold12pt"/>
          <w:b w:val="0"/>
        </w:rPr>
        <w:t>(JEB! “</w:t>
      </w:r>
      <w:r w:rsidRPr="002D77A8">
        <w:rPr>
          <w:rStyle w:val="StyleStyleBold12pt"/>
          <w:b w:val="0"/>
        </w:rPr>
        <w:t>Let states take the lead in education</w:t>
      </w:r>
      <w:r>
        <w:rPr>
          <w:rStyle w:val="StyleStyleBold12pt"/>
          <w:b w:val="0"/>
        </w:rPr>
        <w:t xml:space="preserve">,” March 6, </w:t>
      </w:r>
      <w:r w:rsidRPr="002D77A8">
        <w:rPr>
          <w:rStyle w:val="StyleStyleBold12pt"/>
          <w:b w:val="0"/>
        </w:rPr>
        <w:t>https://www.washingtonpost.com/opinions/let-states-take-the-lead-in-transforming-schools/2015/03/06/0c5ecbb8-c132-11e4-9ec2-b418f57a4a99_story.html?utm_term=.57ee79e96224</w:t>
      </w:r>
      <w:r>
        <w:rPr>
          <w:rStyle w:val="StyleStyleBold12pt"/>
          <w:b w:val="0"/>
        </w:rPr>
        <w:t>, Stadt)</w:t>
      </w:r>
    </w:p>
    <w:p w14:paraId="417985D2" w14:textId="77777777" w:rsidR="00DE62FB" w:rsidRDefault="00DE62FB" w:rsidP="00DE62FB">
      <w:pPr>
        <w:rPr>
          <w:sz w:val="16"/>
        </w:rPr>
      </w:pPr>
      <w:r w:rsidRPr="002D77A8">
        <w:rPr>
          <w:rStyle w:val="StyleBoldUnderline"/>
        </w:rPr>
        <w:t>Given</w:t>
      </w:r>
      <w:r w:rsidRPr="002D77A8">
        <w:rPr>
          <w:sz w:val="16"/>
        </w:rPr>
        <w:t xml:space="preserve"> all </w:t>
      </w:r>
      <w:r w:rsidRPr="002D77A8">
        <w:rPr>
          <w:rStyle w:val="StyleBoldUnderline"/>
        </w:rPr>
        <w:t>the challenges facing education reform</w:t>
      </w:r>
      <w:r w:rsidRPr="002D77A8">
        <w:rPr>
          <w:sz w:val="16"/>
        </w:rPr>
        <w:t xml:space="preserve">, </w:t>
      </w:r>
      <w:r w:rsidRPr="002D77A8">
        <w:rPr>
          <w:rStyle w:val="StyleBoldUnderline"/>
        </w:rPr>
        <w:t>we need to remember who really should make the decisions about what happens in our schools</w:t>
      </w:r>
      <w:r w:rsidRPr="002D77A8">
        <w:rPr>
          <w:sz w:val="16"/>
        </w:rPr>
        <w:t xml:space="preserve">: </w:t>
      </w:r>
      <w:r w:rsidRPr="002D77A8">
        <w:rPr>
          <w:rStyle w:val="Emphasis"/>
        </w:rPr>
        <w:t>state and local authorities</w:t>
      </w:r>
      <w:r w:rsidRPr="002D77A8">
        <w:rPr>
          <w:sz w:val="16"/>
        </w:rPr>
        <w:t xml:space="preserve"> and, most important, parents. </w:t>
      </w:r>
      <w:r w:rsidRPr="002D77A8">
        <w:rPr>
          <w:rStyle w:val="StyleBoldUnderline"/>
        </w:rPr>
        <w:t>This tends to</w:t>
      </w:r>
      <w:r w:rsidRPr="002D77A8">
        <w:rPr>
          <w:sz w:val="16"/>
        </w:rPr>
        <w:t xml:space="preserve"> </w:t>
      </w:r>
      <w:r w:rsidRPr="002D77A8">
        <w:rPr>
          <w:rStyle w:val="Emphasis"/>
        </w:rPr>
        <w:t>get lost</w:t>
      </w:r>
      <w:r w:rsidRPr="002D77A8">
        <w:rPr>
          <w:sz w:val="16"/>
        </w:rPr>
        <w:t xml:space="preserve"> </w:t>
      </w:r>
      <w:r w:rsidRPr="002D77A8">
        <w:rPr>
          <w:rStyle w:val="StyleBoldUnderline"/>
        </w:rPr>
        <w:t>in</w:t>
      </w:r>
      <w:r w:rsidRPr="002D77A8">
        <w:rPr>
          <w:sz w:val="16"/>
        </w:rPr>
        <w:t xml:space="preserve"> a lot of </w:t>
      </w:r>
      <w:r w:rsidRPr="002D77A8">
        <w:rPr>
          <w:rStyle w:val="Emphasis"/>
        </w:rPr>
        <w:t>education policy debates</w:t>
      </w:r>
      <w:r w:rsidRPr="002D77A8">
        <w:rPr>
          <w:sz w:val="16"/>
        </w:rPr>
        <w:t xml:space="preserve">, whether </w:t>
      </w:r>
      <w:r w:rsidRPr="002D77A8">
        <w:rPr>
          <w:rStyle w:val="StyleBoldUnderline"/>
        </w:rPr>
        <w:t xml:space="preserve">on </w:t>
      </w:r>
      <w:r w:rsidRPr="002D77A8">
        <w:rPr>
          <w:rStyle w:val="Emphasis"/>
        </w:rPr>
        <w:t>school choice</w:t>
      </w:r>
      <w:r w:rsidRPr="002D77A8">
        <w:rPr>
          <w:sz w:val="16"/>
        </w:rPr>
        <w:t xml:space="preserve">, </w:t>
      </w:r>
      <w:r w:rsidRPr="002D77A8">
        <w:rPr>
          <w:rStyle w:val="Emphasis"/>
        </w:rPr>
        <w:t>accountability</w:t>
      </w:r>
      <w:r w:rsidRPr="002D77A8">
        <w:rPr>
          <w:sz w:val="16"/>
        </w:rPr>
        <w:t xml:space="preserve">, </w:t>
      </w:r>
      <w:r w:rsidRPr="002D77A8">
        <w:rPr>
          <w:rStyle w:val="Emphasis"/>
        </w:rPr>
        <w:t>teacher pay</w:t>
      </w:r>
      <w:r w:rsidRPr="002D77A8">
        <w:rPr>
          <w:sz w:val="16"/>
        </w:rPr>
        <w:t xml:space="preserve"> </w:t>
      </w:r>
      <w:r w:rsidRPr="002D77A8">
        <w:rPr>
          <w:rStyle w:val="StyleBoldUnderline"/>
        </w:rPr>
        <w:t>or</w:t>
      </w:r>
      <w:r w:rsidRPr="002D77A8">
        <w:rPr>
          <w:sz w:val="16"/>
        </w:rPr>
        <w:t xml:space="preserve"> </w:t>
      </w:r>
      <w:r w:rsidRPr="002D77A8">
        <w:rPr>
          <w:rStyle w:val="Emphasis"/>
        </w:rPr>
        <w:t>standards</w:t>
      </w:r>
      <w:r w:rsidRPr="002D77A8">
        <w:rPr>
          <w:sz w:val="16"/>
        </w:rPr>
        <w:t xml:space="preserve">. </w:t>
      </w:r>
      <w:r w:rsidRPr="002D77A8">
        <w:rPr>
          <w:rStyle w:val="StyleBoldUnderline"/>
        </w:rPr>
        <w:t>That’s why it is</w:t>
      </w:r>
      <w:r w:rsidRPr="002D77A8">
        <w:rPr>
          <w:sz w:val="16"/>
        </w:rPr>
        <w:t xml:space="preserve"> so </w:t>
      </w:r>
      <w:r w:rsidRPr="002D77A8">
        <w:rPr>
          <w:rStyle w:val="StyleBoldUnderline"/>
        </w:rPr>
        <w:t>important to</w:t>
      </w:r>
      <w:r w:rsidRPr="002D77A8">
        <w:rPr>
          <w:sz w:val="16"/>
        </w:rPr>
        <w:t xml:space="preserve"> finally </w:t>
      </w:r>
      <w:r w:rsidRPr="002D77A8">
        <w:rPr>
          <w:rStyle w:val="StyleBoldUnderline"/>
        </w:rPr>
        <w:t>tackle the</w:t>
      </w:r>
      <w:r w:rsidRPr="002D77A8">
        <w:rPr>
          <w:sz w:val="16"/>
        </w:rPr>
        <w:t xml:space="preserve"> </w:t>
      </w:r>
      <w:r w:rsidRPr="002D77A8">
        <w:rPr>
          <w:rStyle w:val="Emphasis"/>
        </w:rPr>
        <w:t>reauthorization of the Elementary and Secondary Education Act</w:t>
      </w:r>
      <w:r w:rsidRPr="002D77A8">
        <w:rPr>
          <w:sz w:val="16"/>
        </w:rPr>
        <w:t xml:space="preserve"> (ESEA), the critical piece of legislation </w:t>
      </w:r>
      <w:r w:rsidRPr="002D77A8">
        <w:rPr>
          <w:rStyle w:val="Emphasis"/>
        </w:rPr>
        <w:t>that sets out the role of the federal government in school funding and policy</w:t>
      </w:r>
      <w:r w:rsidRPr="002D77A8">
        <w:rPr>
          <w:sz w:val="16"/>
        </w:rPr>
        <w:t xml:space="preserve">. </w:t>
      </w:r>
      <w:r w:rsidRPr="002D77A8">
        <w:rPr>
          <w:rStyle w:val="StyleBoldUnderline"/>
        </w:rPr>
        <w:t>The act has not been improved and reauthorized since it expired in 2007</w:t>
      </w:r>
      <w:r w:rsidRPr="002D77A8">
        <w:rPr>
          <w:sz w:val="16"/>
        </w:rPr>
        <w:t xml:space="preserve">. Instead, the Obama administration has issued a patchwork of waivers and side deals, given out by fiat and without consistency. No wonder parents and state and local leaders question Washington’s motives when it comes to our schools. </w:t>
      </w:r>
      <w:r w:rsidRPr="002D77A8">
        <w:rPr>
          <w:rStyle w:val="Emphasis"/>
        </w:rPr>
        <w:t>The federal government’s role in elementary and secondary education should be limited</w:t>
      </w:r>
      <w:r w:rsidRPr="002D77A8">
        <w:rPr>
          <w:sz w:val="16"/>
        </w:rPr>
        <w:t xml:space="preserve">: It should work to create transparency so that parents can see how their local schools measure up; </w:t>
      </w:r>
      <w:r w:rsidRPr="002D77A8">
        <w:rPr>
          <w:rStyle w:val="StyleBoldUnderline"/>
        </w:rPr>
        <w:t>it should support policies that have a proven record; and it should make sure states can’t ignore students who need extra help. That’s it</w:t>
      </w:r>
      <w:r w:rsidRPr="002D77A8">
        <w:rPr>
          <w:sz w:val="16"/>
        </w:rPr>
        <w:t xml:space="preserve">. The reauthorization process can define and clarify this role. </w:t>
      </w:r>
      <w:r w:rsidRPr="002D77A8">
        <w:rPr>
          <w:rStyle w:val="StyleBoldUnderline"/>
        </w:rPr>
        <w:t>Where the federal government maintains the power of the purse</w:t>
      </w:r>
      <w:r w:rsidRPr="002D77A8">
        <w:rPr>
          <w:sz w:val="16"/>
        </w:rPr>
        <w:t xml:space="preserve"> — as it does with Title I programs aimed at supporting students from disadvantaged backgrounds — </w:t>
      </w:r>
      <w:r w:rsidRPr="002D77A8">
        <w:rPr>
          <w:rStyle w:val="Emphasis"/>
        </w:rPr>
        <w:t>Congress should direct it to let states use that funding in a flexible manner to meet the goal of the programs</w:t>
      </w:r>
      <w:r w:rsidRPr="002D77A8">
        <w:rPr>
          <w:sz w:val="16"/>
        </w:rPr>
        <w:t xml:space="preserve">. For example, </w:t>
      </w:r>
      <w:r w:rsidRPr="002D77A8">
        <w:rPr>
          <w:rStyle w:val="StyleBoldUnderline"/>
        </w:rPr>
        <w:t>states should have the right to decide whether</w:t>
      </w:r>
      <w:r w:rsidRPr="002D77A8">
        <w:rPr>
          <w:sz w:val="16"/>
        </w:rPr>
        <w:t xml:space="preserve"> Title I </w:t>
      </w:r>
      <w:r w:rsidRPr="008A1C10">
        <w:rPr>
          <w:rStyle w:val="StyleBoldUnderline"/>
          <w:rFonts w:ascii="Arial Black" w:hAnsi="Arial Black"/>
        </w:rPr>
        <w:t xml:space="preserve">funding should be used to create </w:t>
      </w:r>
      <w:r w:rsidRPr="008A1C10">
        <w:rPr>
          <w:rStyle w:val="Emphasis"/>
          <w:rFonts w:ascii="Arial Black" w:hAnsi="Arial Black"/>
        </w:rPr>
        <w:t>education savings accounts</w:t>
      </w:r>
      <w:r w:rsidRPr="002D77A8">
        <w:rPr>
          <w:sz w:val="16"/>
        </w:rPr>
        <w:t xml:space="preserve"> that parents can use to send their kids to the schools that best meet their needs. In short, </w:t>
      </w:r>
      <w:r w:rsidRPr="002D77A8">
        <w:rPr>
          <w:rStyle w:val="Emphasis"/>
        </w:rPr>
        <w:t>the federal role should be subservient to the role of states</w:t>
      </w:r>
      <w:r w:rsidRPr="002D77A8">
        <w:rPr>
          <w:sz w:val="16"/>
        </w:rPr>
        <w:t xml:space="preserve">. We are long overdue in setting the lines of authority so clearly. </w:t>
      </w:r>
      <w:r w:rsidRPr="002D77A8">
        <w:rPr>
          <w:rStyle w:val="StyleBoldUnderline"/>
        </w:rPr>
        <w:t>State efforts to raise standards have been muddied by the Obama administration</w:t>
      </w:r>
      <w:r w:rsidRPr="002D77A8">
        <w:rPr>
          <w:sz w:val="16"/>
        </w:rPr>
        <w:t xml:space="preserve">. </w:t>
      </w:r>
      <w:r w:rsidRPr="002D77A8">
        <w:rPr>
          <w:rStyle w:val="StyleBoldUnderline"/>
        </w:rPr>
        <w:t>Federal funding has become a</w:t>
      </w:r>
      <w:r w:rsidRPr="002D77A8">
        <w:rPr>
          <w:sz w:val="16"/>
        </w:rPr>
        <w:t xml:space="preserve"> </w:t>
      </w:r>
      <w:r w:rsidRPr="002D77A8">
        <w:rPr>
          <w:rStyle w:val="Emphasis"/>
        </w:rPr>
        <w:t>whipping stick</w:t>
      </w:r>
      <w:r w:rsidRPr="002D77A8">
        <w:rPr>
          <w:sz w:val="16"/>
        </w:rPr>
        <w:t xml:space="preserve"> </w:t>
      </w:r>
      <w:r w:rsidRPr="002D77A8">
        <w:rPr>
          <w:rStyle w:val="StyleBoldUnderline"/>
        </w:rPr>
        <w:t>to be used on local district leaders who are unwilling to go along with every program dreamed up in Washington</w:t>
      </w:r>
      <w:r w:rsidRPr="002D77A8">
        <w:rPr>
          <w:sz w:val="16"/>
        </w:rPr>
        <w:t xml:space="preserve">. </w:t>
      </w:r>
      <w:r w:rsidRPr="002D77A8">
        <w:rPr>
          <w:rStyle w:val="Emphasis"/>
        </w:rPr>
        <w:t>Fundamentally, the needed transformation of our education system will never be achieved by Washington</w:t>
      </w:r>
      <w:r w:rsidRPr="002D77A8">
        <w:rPr>
          <w:sz w:val="16"/>
        </w:rPr>
        <w:t xml:space="preserve">. </w:t>
      </w:r>
      <w:r w:rsidRPr="002D77A8">
        <w:rPr>
          <w:rStyle w:val="Emphasis"/>
        </w:rPr>
        <w:t>The best reform ideas begin at the state and local level</w:t>
      </w:r>
      <w:r w:rsidRPr="002D77A8">
        <w:rPr>
          <w:sz w:val="16"/>
        </w:rPr>
        <w:t xml:space="preserve">. That’s where reform will succeed. 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w:t>
      </w:r>
      <w:r w:rsidRPr="002D77A8">
        <w:rPr>
          <w:rStyle w:val="StyleBoldUnderline"/>
        </w:rPr>
        <w:t>The initiatives placed the needs of students first, and the federal government had nothing to do with them</w:t>
      </w:r>
      <w:r w:rsidRPr="002D77A8">
        <w:rPr>
          <w:sz w:val="16"/>
        </w:rPr>
        <w:t xml:space="preserve">.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w:t>
      </w:r>
      <w:r w:rsidRPr="002D77A8">
        <w:rPr>
          <w:rStyle w:val="StyleBoldUnderline"/>
        </w:rPr>
        <w:t>all states participate in the National Assessment of Educational Progress, a series of high-quality tests known as the Nation’s Report Card</w:t>
      </w:r>
      <w:r w:rsidRPr="002D77A8">
        <w:rPr>
          <w:sz w:val="16"/>
        </w:rPr>
        <w:t xml:space="preserve">. The results give us an apples-to-apples comparison among states. Annual testing and reporting also force states to confront their failures, especially the substandard education often offered to disadvantaged children. </w:t>
      </w:r>
      <w:r w:rsidRPr="002D77A8">
        <w:rPr>
          <w:rStyle w:val="Emphasis"/>
        </w:rPr>
        <w:t>NCLB is far from perfect</w:t>
      </w:r>
      <w:r w:rsidRPr="002D77A8">
        <w:rPr>
          <w:sz w:val="16"/>
        </w:rPr>
        <w:t xml:space="preserve">. </w:t>
      </w:r>
      <w:r w:rsidRPr="002D77A8">
        <w:rPr>
          <w:rStyle w:val="Emphasis"/>
        </w:rPr>
        <w:t>It doesn’t give states</w:t>
      </w:r>
      <w:r w:rsidRPr="002D77A8">
        <w:rPr>
          <w:sz w:val="16"/>
        </w:rPr>
        <w:t xml:space="preserve"> the </w:t>
      </w:r>
      <w:r w:rsidRPr="002D77A8">
        <w:rPr>
          <w:rStyle w:val="Emphasis"/>
        </w:rPr>
        <w:t>flexibility</w:t>
      </w:r>
      <w:r w:rsidRPr="002D77A8">
        <w:rPr>
          <w:sz w:val="16"/>
        </w:rPr>
        <w:t xml:space="preserve"> they need, </w:t>
      </w:r>
      <w:r w:rsidRPr="002D77A8">
        <w:rPr>
          <w:rStyle w:val="Emphasis"/>
        </w:rPr>
        <w:t>and the system can be gamed</w:t>
      </w:r>
      <w:r w:rsidRPr="002D77A8">
        <w:rPr>
          <w:sz w:val="16"/>
        </w:rPr>
        <w:t xml:space="preserve">. But those flaws can be fixed in the reauthorization process. Most critically, </w:t>
      </w:r>
      <w:r w:rsidRPr="002D77A8">
        <w:rPr>
          <w:rStyle w:val="StyleBoldUnderline"/>
        </w:rPr>
        <w:t>we can</w:t>
      </w:r>
      <w:r w:rsidRPr="002D77A8">
        <w:rPr>
          <w:sz w:val="16"/>
        </w:rPr>
        <w:t xml:space="preserve"> use the reauthorization process to </w:t>
      </w:r>
      <w:r w:rsidRPr="002D77A8">
        <w:rPr>
          <w:rStyle w:val="StyleBoldUnderline"/>
        </w:rPr>
        <w:t>keep states and local districts in control of making vital decisions about standards, curriculum and academic content</w:t>
      </w:r>
      <w:r w:rsidRPr="002D77A8">
        <w:rPr>
          <w:sz w:val="16"/>
        </w:rPr>
        <w:t xml:space="preserve">. States should also actively protect the privacy of student data; some states, such as Oklahoma, have already found the right solutions to that problem. Such control can work. </w:t>
      </w:r>
      <w:r w:rsidRPr="002D77A8">
        <w:rPr>
          <w:rStyle w:val="StyleBoldUnderline"/>
        </w:rPr>
        <w:t>We’ve seen</w:t>
      </w:r>
      <w:r w:rsidRPr="002D77A8">
        <w:rPr>
          <w:sz w:val="16"/>
        </w:rPr>
        <w:t xml:space="preserve"> </w:t>
      </w:r>
      <w:r w:rsidRPr="00102F03">
        <w:rPr>
          <w:rStyle w:val="Emphasis"/>
          <w:rFonts w:ascii="Arial Black" w:hAnsi="Arial Black"/>
        </w:rPr>
        <w:t>more than 40 states voluntarily work together</w:t>
      </w:r>
      <w:r w:rsidRPr="002D77A8">
        <w:rPr>
          <w:sz w:val="16"/>
        </w:rPr>
        <w:t xml:space="preserve"> to create the Common Core standards for language arts and math. I support such </w:t>
      </w:r>
      <w:r w:rsidRPr="002D77A8">
        <w:rPr>
          <w:rStyle w:val="StyleBoldUnderline"/>
        </w:rPr>
        <w:t>rigorous, state-driven academic standards</w:t>
      </w:r>
      <w:r w:rsidRPr="002D77A8">
        <w:rPr>
          <w:sz w:val="16"/>
        </w:rPr>
        <w:t xml:space="preserve">. Some states would rather set their own standards, and that’s appropriate, provided they are high standards. But no matter what, </w:t>
      </w:r>
      <w:r w:rsidRPr="002D77A8">
        <w:rPr>
          <w:rStyle w:val="Emphasis"/>
        </w:rPr>
        <w:t>no state should be forced to adopt standards mandated by the federal government</w:t>
      </w:r>
      <w:r w:rsidRPr="002D77A8">
        <w:rPr>
          <w:sz w:val="16"/>
        </w:rPr>
        <w:t xml:space="preserve">.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w:t>
      </w:r>
      <w:r w:rsidRPr="002D77A8">
        <w:rPr>
          <w:rStyle w:val="StyleBoldUnderline"/>
        </w:rPr>
        <w:t>If we are to move forward on education reform, the states and local authorities must be allowed to lead. And for that to happen</w:t>
      </w:r>
      <w:r w:rsidRPr="002D77A8">
        <w:rPr>
          <w:sz w:val="16"/>
        </w:rPr>
        <w:t xml:space="preserve">, it should be made clear in law that </w:t>
      </w:r>
      <w:r w:rsidRPr="002D77A8">
        <w:rPr>
          <w:rStyle w:val="StyleBoldUnderline"/>
        </w:rPr>
        <w:t>the federal government should always be in the back seat</w:t>
      </w:r>
      <w:r w:rsidRPr="002D77A8">
        <w:rPr>
          <w:sz w:val="16"/>
        </w:rPr>
        <w:t>.</w:t>
      </w:r>
    </w:p>
    <w:p w14:paraId="6E0FACF1" w14:textId="77777777" w:rsidR="00DE62FB" w:rsidRDefault="00DE62FB" w:rsidP="00DE62FB">
      <w:pPr>
        <w:rPr>
          <w:sz w:val="16"/>
        </w:rPr>
      </w:pPr>
    </w:p>
    <w:p w14:paraId="37257EE0" w14:textId="1FF8C51D" w:rsidR="00F178C4" w:rsidRPr="00F178C4" w:rsidRDefault="00F178C4" w:rsidP="00F178C4">
      <w:pPr>
        <w:rPr>
          <w:sz w:val="16"/>
        </w:rPr>
      </w:pPr>
    </w:p>
    <w:p w14:paraId="348120E1" w14:textId="77777777" w:rsidR="00F178C4" w:rsidRPr="00F178C4" w:rsidRDefault="00F178C4" w:rsidP="00F178C4"/>
    <w:p w14:paraId="5B9142D3" w14:textId="77777777" w:rsidR="00DE62FB" w:rsidRDefault="00DE62FB" w:rsidP="00DE62FB">
      <w:pPr>
        <w:pStyle w:val="Heading3"/>
      </w:pPr>
      <w:r>
        <w:t>**Federalism Net Benefit</w:t>
      </w:r>
    </w:p>
    <w:p w14:paraId="6EBD9122" w14:textId="77777777" w:rsidR="00DE62FB" w:rsidRDefault="00DE62FB" w:rsidP="00DE62FB">
      <w:pPr>
        <w:pStyle w:val="Heading3"/>
      </w:pPr>
      <w:r>
        <w:t>1NC – Federalism Link</w:t>
      </w:r>
    </w:p>
    <w:p w14:paraId="7975C88C" w14:textId="77777777" w:rsidR="00DE62FB" w:rsidRDefault="00DE62FB" w:rsidP="00DE62FB">
      <w:pPr>
        <w:pStyle w:val="Heading4"/>
      </w:pPr>
      <w:r>
        <w:t>State ESAs key to federalism</w:t>
      </w:r>
    </w:p>
    <w:p w14:paraId="369BA529" w14:textId="77777777" w:rsidR="00DE62FB" w:rsidRPr="002A2DD0" w:rsidRDefault="00DE62FB" w:rsidP="00DE62FB">
      <w:pPr>
        <w:rPr>
          <w:rStyle w:val="StyleStyleBold12pt"/>
          <w:b w:val="0"/>
        </w:rPr>
      </w:pPr>
      <w:r>
        <w:rPr>
          <w:rStyle w:val="StyleStyleBold12pt"/>
        </w:rPr>
        <w:t xml:space="preserve">Roberts </w:t>
      </w:r>
      <w:r w:rsidRPr="002A2DD0">
        <w:rPr>
          <w:rStyle w:val="StyleStyleBold12pt"/>
        </w:rPr>
        <w:t>Ph.D., is a longtime educator who is Executive Vice President of the Texas Public Policy Foundation in Austin</w:t>
      </w:r>
      <w:r>
        <w:rPr>
          <w:rStyle w:val="StyleStyleBold12pt"/>
        </w:rPr>
        <w:t xml:space="preserve"> ’17 </w:t>
      </w:r>
      <w:r>
        <w:rPr>
          <w:rStyle w:val="StyleStyleBold12pt"/>
          <w:b w:val="0"/>
        </w:rPr>
        <w:t>(Kevin, “</w:t>
      </w:r>
      <w:r w:rsidRPr="002A2DD0">
        <w:rPr>
          <w:rStyle w:val="StyleStyleBold12pt"/>
          <w:b w:val="0"/>
        </w:rPr>
        <w:t>States, Not the Feds, Should Lead Education Reform</w:t>
      </w:r>
      <w:r>
        <w:rPr>
          <w:rStyle w:val="StyleStyleBold12pt"/>
          <w:b w:val="0"/>
        </w:rPr>
        <w:t xml:space="preserve">,” February 7, </w:t>
      </w:r>
      <w:r w:rsidRPr="002A2DD0">
        <w:rPr>
          <w:rStyle w:val="StyleStyleBold12pt"/>
          <w:b w:val="0"/>
        </w:rPr>
        <w:t>http://www.realcleareducation.com/articles/2017/02/07/states_not_the_feds_should_lead_education_reform__110115.html</w:t>
      </w:r>
      <w:r>
        <w:rPr>
          <w:rStyle w:val="StyleStyleBold12pt"/>
          <w:b w:val="0"/>
        </w:rPr>
        <w:t>, Stadt)</w:t>
      </w:r>
    </w:p>
    <w:p w14:paraId="0C1BEAF1" w14:textId="77777777" w:rsidR="00DE62FB" w:rsidRDefault="00DE62FB" w:rsidP="00DE62FB">
      <w:pPr>
        <w:rPr>
          <w:sz w:val="16"/>
        </w:rPr>
      </w:pPr>
      <w:r w:rsidRPr="002A2DD0">
        <w:rPr>
          <w:rStyle w:val="StyleBoldUnderline"/>
        </w:rPr>
        <w:t>The era of</w:t>
      </w:r>
      <w:r w:rsidRPr="002A2DD0">
        <w:rPr>
          <w:sz w:val="16"/>
        </w:rPr>
        <w:t xml:space="preserve"> Donald </w:t>
      </w:r>
      <w:r w:rsidRPr="002A2DD0">
        <w:rPr>
          <w:rStyle w:val="StyleBoldUnderline"/>
        </w:rPr>
        <w:t>Trump</w:t>
      </w:r>
      <w:r w:rsidRPr="002A2DD0">
        <w:rPr>
          <w:sz w:val="16"/>
        </w:rPr>
        <w:t xml:space="preserve"> </w:t>
      </w:r>
      <w:r w:rsidRPr="002A2DD0">
        <w:rPr>
          <w:rStyle w:val="StyleBoldUnderline"/>
        </w:rPr>
        <w:t>offers</w:t>
      </w:r>
      <w:r w:rsidRPr="002A2DD0">
        <w:rPr>
          <w:sz w:val="16"/>
        </w:rPr>
        <w:t xml:space="preserve"> conservative reformers </w:t>
      </w:r>
      <w:r w:rsidRPr="002A2DD0">
        <w:rPr>
          <w:rStyle w:val="StyleBoldUnderline"/>
        </w:rPr>
        <w:t>opportunities</w:t>
      </w:r>
      <w:r w:rsidRPr="002A2DD0">
        <w:rPr>
          <w:sz w:val="16"/>
        </w:rPr>
        <w:t xml:space="preserve"> they have not seen since the 1980s. The </w:t>
      </w:r>
      <w:r w:rsidRPr="002A2DD0">
        <w:rPr>
          <w:rStyle w:val="StyleBoldUnderline"/>
        </w:rPr>
        <w:t>most</w:t>
      </w:r>
      <w:r w:rsidRPr="002A2DD0">
        <w:rPr>
          <w:sz w:val="16"/>
        </w:rPr>
        <w:t xml:space="preserve"> </w:t>
      </w:r>
      <w:r w:rsidRPr="002A2DD0">
        <w:rPr>
          <w:rStyle w:val="StyleBoldUnderline"/>
        </w:rPr>
        <w:t>significant</w:t>
      </w:r>
      <w:r w:rsidRPr="002A2DD0">
        <w:rPr>
          <w:sz w:val="16"/>
        </w:rPr>
        <w:t xml:space="preserve"> are </w:t>
      </w:r>
      <w:r w:rsidRPr="002A2DD0">
        <w:rPr>
          <w:rStyle w:val="StyleBoldUnderline"/>
        </w:rPr>
        <w:t>in education, where the federal government has aggrandized its power, rendering states impotent</w:t>
      </w:r>
      <w:r w:rsidRPr="002A2DD0">
        <w:rPr>
          <w:sz w:val="16"/>
        </w:rPr>
        <w:t xml:space="preserve">. </w:t>
      </w:r>
      <w:r w:rsidRPr="002A2DD0">
        <w:rPr>
          <w:rStyle w:val="StyleBoldUnderline"/>
        </w:rPr>
        <w:t>This overreach comes at the expense of</w:t>
      </w:r>
      <w:r w:rsidRPr="002A2DD0">
        <w:rPr>
          <w:sz w:val="16"/>
        </w:rPr>
        <w:t xml:space="preserve"> two things very dear to the nation—our </w:t>
      </w:r>
      <w:r w:rsidRPr="002A2DD0">
        <w:rPr>
          <w:rStyle w:val="StyleBoldUnderline"/>
        </w:rPr>
        <w:t>schoolchildren and</w:t>
      </w:r>
      <w:r w:rsidRPr="002A2DD0">
        <w:rPr>
          <w:sz w:val="16"/>
        </w:rPr>
        <w:t xml:space="preserve"> our understanding of </w:t>
      </w:r>
      <w:r w:rsidRPr="002A2DD0">
        <w:rPr>
          <w:rStyle w:val="StyleBoldUnderline"/>
        </w:rPr>
        <w:t>shared power</w:t>
      </w:r>
      <w:r w:rsidRPr="002A2DD0">
        <w:rPr>
          <w:sz w:val="16"/>
        </w:rPr>
        <w:t xml:space="preserve">. Though the Trump administration will no doubt address the former problem, its means of doing so may very well exacerbate the latter. </w:t>
      </w:r>
      <w:r w:rsidRPr="002A2DD0">
        <w:rPr>
          <w:rStyle w:val="StyleBoldUnderline"/>
        </w:rPr>
        <w:t>Too often, well-intentioned</w:t>
      </w:r>
      <w:r w:rsidRPr="002A2DD0">
        <w:rPr>
          <w:sz w:val="16"/>
        </w:rPr>
        <w:t xml:space="preserve">, conservative </w:t>
      </w:r>
      <w:r w:rsidRPr="002A2DD0">
        <w:rPr>
          <w:rStyle w:val="StyleBoldUnderline"/>
        </w:rPr>
        <w:t>executives end up using federal power to heal</w:t>
      </w:r>
      <w:r w:rsidRPr="002A2DD0">
        <w:rPr>
          <w:sz w:val="16"/>
        </w:rPr>
        <w:t xml:space="preserve"> the wounds caused by the very same bludgeon—</w:t>
      </w:r>
      <w:r w:rsidRPr="002A2DD0">
        <w:rPr>
          <w:rStyle w:val="StyleBoldUnderline"/>
        </w:rPr>
        <w:t>federal power</w:t>
      </w:r>
      <w:r w:rsidRPr="002A2DD0">
        <w:rPr>
          <w:sz w:val="16"/>
        </w:rPr>
        <w:t xml:space="preserve">. </w:t>
      </w:r>
      <w:r w:rsidRPr="002A2DD0">
        <w:rPr>
          <w:rStyle w:val="StyleBoldUnderline"/>
        </w:rPr>
        <w:t>If</w:t>
      </w:r>
      <w:r w:rsidRPr="002A2DD0">
        <w:rPr>
          <w:sz w:val="16"/>
        </w:rPr>
        <w:t xml:space="preserve"> President </w:t>
      </w:r>
      <w:r w:rsidRPr="002A2DD0">
        <w:rPr>
          <w:rStyle w:val="StyleBoldUnderline"/>
        </w:rPr>
        <w:t>Trump is correct</w:t>
      </w:r>
      <w:r w:rsidRPr="002A2DD0">
        <w:rPr>
          <w:sz w:val="16"/>
        </w:rPr>
        <w:t xml:space="preserve"> in his inaugural exhortation </w:t>
      </w:r>
      <w:r w:rsidRPr="002A2DD0">
        <w:rPr>
          <w:rStyle w:val="StyleBoldUnderline"/>
        </w:rPr>
        <w:t>that “now is the hour of action,” then</w:t>
      </w:r>
      <w:r w:rsidRPr="002A2DD0">
        <w:rPr>
          <w:sz w:val="16"/>
        </w:rPr>
        <w:t xml:space="preserve"> </w:t>
      </w:r>
      <w:r w:rsidRPr="002A2DD0">
        <w:rPr>
          <w:rStyle w:val="Emphasis"/>
        </w:rPr>
        <w:t>states</w:t>
      </w:r>
      <w:r w:rsidRPr="002A2DD0">
        <w:rPr>
          <w:sz w:val="16"/>
        </w:rPr>
        <w:t>—not federal bureaucrats—</w:t>
      </w:r>
      <w:r w:rsidRPr="002A2DD0">
        <w:rPr>
          <w:rStyle w:val="Emphasis"/>
        </w:rPr>
        <w:t>need to lead the charge on education policy</w:t>
      </w:r>
      <w:r w:rsidRPr="002A2DD0">
        <w:rPr>
          <w:sz w:val="16"/>
        </w:rPr>
        <w:t xml:space="preserve">. </w:t>
      </w:r>
      <w:r w:rsidRPr="002A2DD0">
        <w:rPr>
          <w:rStyle w:val="StyleBoldUnderline"/>
        </w:rPr>
        <w:t>Among the many problems</w:t>
      </w:r>
      <w:r w:rsidRPr="002A2DD0">
        <w:rPr>
          <w:sz w:val="16"/>
        </w:rPr>
        <w:t xml:space="preserve"> </w:t>
      </w:r>
      <w:r w:rsidRPr="002A2DD0">
        <w:rPr>
          <w:rStyle w:val="StyleBoldUnderline"/>
        </w:rPr>
        <w:t>facing American education, the most significant may be</w:t>
      </w:r>
      <w:r w:rsidRPr="002A2DD0">
        <w:rPr>
          <w:sz w:val="16"/>
        </w:rPr>
        <w:t xml:space="preserve"> our schools’ and colleges’ utter failure to teach civic education. Two generations of American students have been taught precious little about the American Founding or the Constitution, let alone the philosophical foundation of the American system of government—</w:t>
      </w:r>
      <w:r w:rsidRPr="002A2DD0">
        <w:rPr>
          <w:rStyle w:val="Emphasis"/>
        </w:rPr>
        <w:t>federalism</w:t>
      </w:r>
      <w:r w:rsidRPr="002A2DD0">
        <w:rPr>
          <w:sz w:val="16"/>
        </w:rPr>
        <w:t xml:space="preserve">. </w:t>
      </w:r>
      <w:r w:rsidRPr="002A2DD0">
        <w:rPr>
          <w:rStyle w:val="StyleBoldUnderline"/>
        </w:rPr>
        <w:t>That notion of shared power between the federal government and states has</w:t>
      </w:r>
      <w:r w:rsidRPr="002A2DD0">
        <w:rPr>
          <w:sz w:val="16"/>
        </w:rPr>
        <w:t xml:space="preserve">, as a result, </w:t>
      </w:r>
      <w:r w:rsidRPr="002A2DD0">
        <w:rPr>
          <w:rStyle w:val="StyleBoldUnderline"/>
        </w:rPr>
        <w:t>withered</w:t>
      </w:r>
      <w:r w:rsidRPr="002A2DD0">
        <w:rPr>
          <w:sz w:val="16"/>
        </w:rPr>
        <w:t xml:space="preserve">. How fitting, then, that Texas—where the American spirit of independence, work ethic, freedom and a vibrant notion of state power is palpable—take the lead in renewing federalism. And how fitting that it do so in </w:t>
      </w:r>
      <w:r w:rsidRPr="002A2DD0">
        <w:rPr>
          <w:rStyle w:val="Emphasis"/>
        </w:rPr>
        <w:t>the policy area where revitalized state power is most needed: education</w:t>
      </w:r>
      <w:r w:rsidRPr="002A2DD0">
        <w:rPr>
          <w:sz w:val="16"/>
        </w:rPr>
        <w:t xml:space="preserve">. 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check federal power. That defensive posture was necessary—and, for the Republic, crucial. But now Texas and other </w:t>
      </w:r>
      <w:r w:rsidRPr="002A2DD0">
        <w:rPr>
          <w:rStyle w:val="StyleBoldUnderline"/>
        </w:rPr>
        <w:t>states must seize the field of education policy, exercising their own power with bold policy initiatives</w:t>
      </w:r>
      <w:r w:rsidRPr="002A2DD0">
        <w:rPr>
          <w:sz w:val="16"/>
        </w:rP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w:t>
      </w:r>
      <w:r w:rsidRPr="002A2DD0">
        <w:rPr>
          <w:rStyle w:val="StyleBoldUnderline"/>
        </w:rPr>
        <w:t>Among the many school choice vehicles, the most far-reaching</w:t>
      </w:r>
      <w:r w:rsidRPr="002A2DD0">
        <w:rPr>
          <w:sz w:val="16"/>
        </w:rPr>
        <w:t>—for Texas and the United States—</w:t>
      </w:r>
      <w:r w:rsidRPr="002A2DD0">
        <w:rPr>
          <w:rStyle w:val="Emphasis"/>
        </w:rPr>
        <w:t>is an Education Savings Account</w:t>
      </w:r>
      <w:r w:rsidRPr="002A2DD0">
        <w:rPr>
          <w:sz w:val="16"/>
        </w:rPr>
        <w:t xml:space="preserve">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w:t>
      </w:r>
      <w:r w:rsidRPr="002A2DD0">
        <w:rPr>
          <w:rStyle w:val="StyleBoldUnderline"/>
        </w:rPr>
        <w:t>an ESA gives parents an unprecedented means for customizing their child’s education—the exact opposite of the conveyor-belt, cookie-cutter approach that has become modern American education</w:t>
      </w:r>
      <w:r w:rsidRPr="002A2DD0">
        <w:rPr>
          <w:sz w:val="16"/>
        </w:rPr>
        <w:t xml:space="preserve">. </w:t>
      </w:r>
      <w:r w:rsidRPr="002A2DD0">
        <w:rPr>
          <w:rStyle w:val="StyleBoldUnderline"/>
        </w:rPr>
        <w:t>Though some reformers have advocated for federal ESAs, the inefficiency inherent in the large federal bureaucracy begs for states to take the lead</w:t>
      </w:r>
      <w:r w:rsidRPr="002A2DD0">
        <w:rPr>
          <w:sz w:val="16"/>
        </w:rPr>
        <w:t xml:space="preserve">. Texas, the most populous state with a bent toward conservative, free-market reforms, has </w:t>
      </w:r>
      <w:r w:rsidRPr="002A2DD0">
        <w:rPr>
          <w:rStyle w:val="StyleBoldUnderline"/>
        </w:rPr>
        <w:t>a unique opportunity to show that states</w:t>
      </w:r>
      <w:r w:rsidRPr="002A2DD0">
        <w:rPr>
          <w:sz w:val="16"/>
        </w:rPr>
        <w:t xml:space="preserve">, as our Founders expected, </w:t>
      </w:r>
      <w:r w:rsidRPr="002A2DD0">
        <w:rPr>
          <w:rStyle w:val="StyleBoldUnderline"/>
        </w:rPr>
        <w:t>can be at the forefront of policy innovation. There could not be more at stake</w:t>
      </w:r>
      <w:r w:rsidRPr="002A2DD0">
        <w:rPr>
          <w:sz w:val="16"/>
        </w:rPr>
        <w:t xml:space="preserve">. Our children deserve an end to zip-code discrimination, which dramatically limits their access to decent educational options. Furthermore, </w:t>
      </w:r>
      <w:r w:rsidRPr="002A2DD0">
        <w:rPr>
          <w:rStyle w:val="StyleBoldUnderline"/>
        </w:rPr>
        <w:t>the civic health of our American Republic</w:t>
      </w:r>
      <w:r w:rsidRPr="002A2DD0">
        <w:rPr>
          <w:sz w:val="16"/>
        </w:rPr>
        <w:t xml:space="preserve">—in particular, the long-standing view </w:t>
      </w:r>
      <w:r w:rsidRPr="002A2DD0">
        <w:rPr>
          <w:rStyle w:val="StyleBoldUnderline"/>
        </w:rPr>
        <w:t>that states, not the feds, would lead—hangs in the balance</w:t>
      </w:r>
      <w:r w:rsidRPr="002A2DD0">
        <w:rPr>
          <w:sz w:val="16"/>
        </w:rPr>
        <w:t>. If there ever was a time for all Americans to summon the Spirit of 1836—the year of the Texas Revolution—now would be the time.</w:t>
      </w:r>
    </w:p>
    <w:p w14:paraId="2610D93F" w14:textId="77777777" w:rsidR="00DE62FB" w:rsidRDefault="00DE62FB" w:rsidP="00DE62FB">
      <w:pPr>
        <w:pStyle w:val="Heading3"/>
      </w:pPr>
      <w:r>
        <w:t>2NC – Federalism Link</w:t>
      </w:r>
    </w:p>
    <w:p w14:paraId="6F6B1A7A" w14:textId="77777777" w:rsidR="00DE62FB" w:rsidRDefault="00DE62FB" w:rsidP="00DE62FB">
      <w:pPr>
        <w:pStyle w:val="Heading4"/>
      </w:pPr>
      <w:r>
        <w:t>ESA key to federal-state balance</w:t>
      </w:r>
    </w:p>
    <w:p w14:paraId="7AE3BD4B" w14:textId="77777777" w:rsidR="00DE62FB" w:rsidRPr="00F429BA" w:rsidRDefault="00DE62FB" w:rsidP="00DE62FB">
      <w:pPr>
        <w:rPr>
          <w:rStyle w:val="StyleStyleBold12pt"/>
          <w:b w:val="0"/>
        </w:rPr>
      </w:pPr>
      <w:r>
        <w:rPr>
          <w:rStyle w:val="StyleStyleBold12pt"/>
        </w:rPr>
        <w:t xml:space="preserve">Barba </w:t>
      </w:r>
      <w:r w:rsidRPr="00F429BA">
        <w:rPr>
          <w:rStyle w:val="StyleStyleBold12pt"/>
        </w:rPr>
        <w:t>policy analyst with the Center for Education Freedom at the Texas Public Policy Foundation</w:t>
      </w:r>
      <w:r>
        <w:rPr>
          <w:rStyle w:val="StyleStyleBold12pt"/>
        </w:rPr>
        <w:t xml:space="preserve"> and Schrener i</w:t>
      </w:r>
      <w:r w:rsidRPr="00F429BA">
        <w:rPr>
          <w:rStyle w:val="StyleStyleBold12pt"/>
        </w:rPr>
        <w:t>ntern with the Center for Education Freedom at the Texas Public Policy Foundation</w:t>
      </w:r>
      <w:r>
        <w:rPr>
          <w:rStyle w:val="StyleStyleBold12pt"/>
        </w:rPr>
        <w:t xml:space="preserve"> ’15 </w:t>
      </w:r>
      <w:r>
        <w:rPr>
          <w:rStyle w:val="StyleStyleBold12pt"/>
          <w:b w:val="0"/>
        </w:rPr>
        <w:t>(Michael and Nathaniel, “</w:t>
      </w:r>
      <w:r w:rsidRPr="00F429BA">
        <w:rPr>
          <w:rStyle w:val="StyleStyleBold12pt"/>
          <w:b w:val="0"/>
        </w:rPr>
        <w:t>Federalism and school choice</w:t>
      </w:r>
      <w:r>
        <w:rPr>
          <w:rStyle w:val="StyleStyleBold12pt"/>
          <w:b w:val="0"/>
        </w:rPr>
        <w:t xml:space="preserve">,” November 18, </w:t>
      </w:r>
      <w:r w:rsidRPr="00F429BA">
        <w:rPr>
          <w:rStyle w:val="StyleStyleBold12pt"/>
          <w:b w:val="0"/>
        </w:rPr>
        <w:t>https://www.texaspolicy.com/press_release/detail/federalism-and-school-choice</w:t>
      </w:r>
      <w:r>
        <w:rPr>
          <w:rStyle w:val="StyleStyleBold12pt"/>
          <w:b w:val="0"/>
        </w:rPr>
        <w:t>, Stadt)</w:t>
      </w:r>
    </w:p>
    <w:p w14:paraId="0DE1D392" w14:textId="77777777" w:rsidR="00DE62FB" w:rsidRDefault="00DE62FB" w:rsidP="00DE62FB">
      <w:pPr>
        <w:rPr>
          <w:sz w:val="16"/>
        </w:rPr>
      </w:pPr>
      <w:r w:rsidRPr="00F429BA">
        <w:rPr>
          <w:sz w:val="16"/>
        </w:rPr>
        <w:t xml:space="preserve">When progressive U.S. Supreme Court Justice Louis Brandeis gave his now famous dissent in the landmark case New State Ice v Liebmann, he wrote, “It is one of the happy incidents of the federal system that a single courageous State may, if its citizens choose, serve as a laboratory; and try novel social and economic experiments without risk to the rest of the country.” Possessing skepticism towards what politics could realistically achieve, </w:t>
      </w:r>
      <w:r w:rsidRPr="00F429BA">
        <w:rPr>
          <w:rStyle w:val="StyleBoldUnderline"/>
        </w:rPr>
        <w:t>our founding fathers saw the benefit of the rule of law</w:t>
      </w:r>
      <w:r w:rsidRPr="00F429BA">
        <w:rPr>
          <w:sz w:val="16"/>
        </w:rPr>
        <w:t xml:space="preserve">. But such rule would be hard to accomplish. “In framing a government which is to be administered by men over men,” wrote Publius, “the great difficulty lies in this: you must first enable the government to control the governed; and in the next place oblige it to control itself.” One way America achieved this is through a system of checks and balances—between the national branches and between the national government and state governments. The latter check is exemplified in the Tenth Amendment. </w:t>
      </w:r>
      <w:r w:rsidRPr="00F429BA">
        <w:rPr>
          <w:rStyle w:val="StyleBoldUnderline"/>
        </w:rPr>
        <w:t>While federalism primarily serves as a means of restraining government</w:t>
      </w:r>
      <w:r w:rsidRPr="00F429BA">
        <w:rPr>
          <w:sz w:val="16"/>
        </w:rPr>
        <w:t xml:space="preserve">, Brandeis was right about federalism’s happy accident: </w:t>
      </w:r>
      <w:r w:rsidRPr="00F429BA">
        <w:rPr>
          <w:rStyle w:val="StyleBoldUnderline"/>
        </w:rPr>
        <w:t>good innovations could be tested by the American people. Every power not given to the national government by the Constitution would be a testing ground for state law</w:t>
      </w:r>
      <w:r w:rsidRPr="00F429BA">
        <w:rPr>
          <w:sz w:val="16"/>
        </w:rPr>
        <w:t xml:space="preserve">. In this sense, </w:t>
      </w:r>
      <w:r w:rsidRPr="00F429BA">
        <w:rPr>
          <w:rStyle w:val="StyleBoldUnderline"/>
        </w:rPr>
        <w:t>the American system of government would be bottom-up rather than top-down</w:t>
      </w:r>
      <w:r w:rsidRPr="00F429BA">
        <w:rPr>
          <w:sz w:val="16"/>
        </w:rPr>
        <w:t xml:space="preserve">. It would promote diversity and creativity, rather than cohesion and uniformity. </w:t>
      </w:r>
      <w:r w:rsidRPr="00F429BA">
        <w:rPr>
          <w:rStyle w:val="Emphasis"/>
        </w:rPr>
        <w:t>This is especially true of education</w:t>
      </w:r>
      <w:r w:rsidRPr="00F429BA">
        <w:rPr>
          <w:sz w:val="16"/>
        </w:rPr>
        <w:t xml:space="preserve">. The U.S. Supreme Court once declared, “Education, of course, is not among the rights afforded explicit protection under our Federal Constitution. Nor do we find any basis for saying it is implicitly so protected.” </w:t>
      </w:r>
      <w:r w:rsidRPr="00F429BA">
        <w:rPr>
          <w:rStyle w:val="StyleBoldUnderline"/>
        </w:rPr>
        <w:t>Americans have strong feelings about this issue. They want the freedom to choose where they send their children to school</w:t>
      </w:r>
      <w:r w:rsidRPr="00F429BA">
        <w:rPr>
          <w:sz w:val="16"/>
        </w:rPr>
        <w:t xml:space="preserve">, just as they have the freedom in many other parts of their life. These feelings are exemplified in a recent survey, which found that </w:t>
      </w:r>
      <w:r w:rsidRPr="00F429BA">
        <w:rPr>
          <w:rStyle w:val="StyleBoldUnderline"/>
        </w:rPr>
        <w:t>70 percent of Americans support school choice</w:t>
      </w:r>
      <w:r w:rsidRPr="00F429BA">
        <w:rPr>
          <w:sz w:val="16"/>
        </w:rPr>
        <w:t xml:space="preserve">. At present, 26 states, the District of Columbia, and Douglas County, CO, offer private school choice. And the number is growing fast. Just this year, </w:t>
      </w:r>
      <w:r w:rsidRPr="00F429BA">
        <w:rPr>
          <w:rStyle w:val="StyleBoldUnderline"/>
        </w:rPr>
        <w:t>Nevada established the nation’s first universal school choice program</w:t>
      </w:r>
      <w:r w:rsidRPr="00F429BA">
        <w:rPr>
          <w:sz w:val="16"/>
        </w:rPr>
        <w:t xml:space="preserve">. For many Americans, a person’s geographical location often determines the type of school they will attend. According to the National Center of Education Statistics, 73% of children attended their assigned public school, down from 80% in 1993. This should be encouraging to those who believe in equality of opportunity, and it’s especially encouraging to parents. As one Nevada mother wrote, “For me, </w:t>
      </w:r>
      <w:r w:rsidRPr="00F429BA">
        <w:rPr>
          <w:rStyle w:val="Emphasis"/>
        </w:rPr>
        <w:t>using an education savings account</w:t>
      </w:r>
      <w:r w:rsidRPr="00F429BA">
        <w:rPr>
          <w:sz w:val="16"/>
        </w:rPr>
        <w:t xml:space="preserve"> isn’t a form of protest or an act of defiance against the school system. It’s a chance to give Nathan a better future.” Still, parents are playing the hand they’re dealt. According to the U.S. Department of Education, 1 in 3 families moved to their neighborhood because of the school their children would be assigned to. But among the poor and near-poor, the DOE found that only 1 in 5 made such a move. </w:t>
      </w:r>
      <w:r w:rsidRPr="00F429BA">
        <w:rPr>
          <w:rStyle w:val="StyleBoldUnderline"/>
        </w:rPr>
        <w:t>If we want equality of opportunity, every child needs to have access to a great education. Parents deserve the right to choose—regardless of income—which school best suits their children’s needs. No one questions the states’ role in providing the funds to support the “general diffusion of knowledge” among the people</w:t>
      </w:r>
      <w:r w:rsidRPr="00F429BA">
        <w:rPr>
          <w:sz w:val="16"/>
        </w:rPr>
        <w:t xml:space="preserve">. However, allocating funds for education is entirely different than administering schools themselves. A federal system takes into account the many historical differences that exist between different parts of the country. It allows freedom of choice to parents and competition among schools. </w:t>
      </w:r>
      <w:r w:rsidRPr="00F429BA">
        <w:rPr>
          <w:rStyle w:val="StyleBoldUnderline"/>
        </w:rPr>
        <w:t>The success of school choice in states would be a sign that both public education and our federal system are healthy and improving</w:t>
      </w:r>
      <w:r w:rsidRPr="00F429BA">
        <w:rPr>
          <w:sz w:val="16"/>
        </w:rPr>
        <w:t>.</w:t>
      </w:r>
    </w:p>
    <w:p w14:paraId="2B7E3C1E" w14:textId="77777777" w:rsidR="00DE62FB" w:rsidRDefault="00DE62FB" w:rsidP="00DE62FB">
      <w:pPr>
        <w:rPr>
          <w:sz w:val="16"/>
        </w:rPr>
      </w:pPr>
    </w:p>
    <w:p w14:paraId="24D50798" w14:textId="77777777" w:rsidR="00DE62FB" w:rsidRDefault="00DE62FB" w:rsidP="00DE62FB">
      <w:pPr>
        <w:pStyle w:val="Heading3"/>
      </w:pPr>
      <w:r>
        <w:t>**Localization Net Benefit**</w:t>
      </w:r>
    </w:p>
    <w:p w14:paraId="1B910AA4" w14:textId="77777777" w:rsidR="00DE62FB" w:rsidRDefault="00DE62FB" w:rsidP="00DE62FB">
      <w:pPr>
        <w:pStyle w:val="Heading3"/>
      </w:pPr>
      <w:r>
        <w:t>1NC – Localization DA</w:t>
      </w:r>
    </w:p>
    <w:p w14:paraId="265206CD" w14:textId="77777777" w:rsidR="00DE62FB" w:rsidRPr="00D243A8" w:rsidRDefault="00DE62FB" w:rsidP="00DE62FB">
      <w:pPr>
        <w:pStyle w:val="Heading4"/>
      </w:pPr>
      <w:r w:rsidRPr="00D243A8">
        <w:t>Central government action discourages individual movements to solve the problem because they posit problems as “out of our control”</w:t>
      </w:r>
    </w:p>
    <w:p w14:paraId="33DBBC6B" w14:textId="77777777" w:rsidR="00DE62FB" w:rsidRPr="00D243A8" w:rsidRDefault="00DE62FB" w:rsidP="00DE62FB">
      <w:pPr>
        <w:rPr>
          <w:color w:val="000000"/>
        </w:rPr>
      </w:pPr>
      <w:r>
        <w:rPr>
          <w:rStyle w:val="StyleStyleBold12pt"/>
        </w:rPr>
        <w:t>Papworth ‘</w:t>
      </w:r>
      <w:r w:rsidRPr="00D243A8">
        <w:rPr>
          <w:rStyle w:val="StyleStyleBold12pt"/>
        </w:rPr>
        <w:t>2</w:t>
      </w:r>
      <w:r w:rsidRPr="00D243A8">
        <w:rPr>
          <w:color w:val="000000"/>
        </w:rPr>
        <w:t xml:space="preserve"> (John, Senior Editor @ Ecologist + Founder of Fourth World Review, “Cut the Cackle," Fourth World Review, </w:t>
      </w:r>
      <w:r w:rsidRPr="00D243A8">
        <w:t>http://www.williamfranklin.com/4thworld/adobe/fwr118.pdf</w:t>
      </w:r>
      <w:r w:rsidRPr="00D243A8">
        <w:rPr>
          <w:color w:val="000000"/>
        </w:rPr>
        <w:t xml:space="preserve">) </w:t>
      </w:r>
    </w:p>
    <w:p w14:paraId="0FD81576" w14:textId="77777777" w:rsidR="00DE62FB" w:rsidRDefault="00DE62FB" w:rsidP="00DE62FB">
      <w:r w:rsidRPr="00D243A8">
        <w:t xml:space="preserve">Over half a century ago an Austrian professor of economics asserted, </w:t>
      </w:r>
      <w:r w:rsidRPr="00D243A8">
        <w:rPr>
          <w:rStyle w:val="StyleBoldUnderline"/>
        </w:rPr>
        <w:t xml:space="preserve">‘If anything is wrong it is </w:t>
      </w:r>
      <w:r w:rsidRPr="00D44EEB">
        <w:rPr>
          <w:rStyle w:val="StyleBoldUnderline"/>
        </w:rPr>
        <w:t xml:space="preserve">because it is too big.’ </w:t>
      </w:r>
      <w:r w:rsidRPr="00D44EEB">
        <w:t xml:space="preserve">Perhaps an oversweeping statement, but </w:t>
      </w:r>
      <w:r w:rsidRPr="00D44EEB">
        <w:rPr>
          <w:rStyle w:val="StyleBoldUnderline"/>
        </w:rPr>
        <w:t>all experience</w:t>
      </w:r>
      <w:r w:rsidRPr="00D44EEB">
        <w:t xml:space="preserve"> since simply </w:t>
      </w:r>
      <w:r w:rsidRPr="00D44EEB">
        <w:rPr>
          <w:rStyle w:val="StyleBoldUnderline"/>
        </w:rPr>
        <w:t>confirms it</w:t>
      </w:r>
      <w:r w:rsidRPr="00D44EEB">
        <w:t xml:space="preserve">. Too big. Just that. </w:t>
      </w:r>
      <w:r w:rsidRPr="00D44EEB">
        <w:rPr>
          <w:rStyle w:val="StyleBoldUnderline"/>
        </w:rPr>
        <w:t>So government is too big,</w:t>
      </w:r>
      <w:r w:rsidRPr="00D44EEB">
        <w:t xml:space="preserve"> banks, shops, farms, industries and fisheries are too big, and even more imposingly unthinkable, nations are too big. Why? Because </w:t>
      </w:r>
      <w:r w:rsidRPr="00D44EEB">
        <w:rPr>
          <w:rStyle w:val="StyleBoldUnderline"/>
        </w:rPr>
        <w:t xml:space="preserve">giantism has made them unmanageable in keeping the peace or in ensuring economic justice and stability; </w:t>
      </w:r>
      <w:r w:rsidRPr="00D44EEB">
        <w:rPr>
          <w:rStyle w:val="Emphasis"/>
        </w:rPr>
        <w:t>the forces dominating them are out of control and producing effects we are powerless to prevent or to alleviate.</w:t>
      </w:r>
      <w:r w:rsidRPr="00D44EEB">
        <w:t xml:space="preserve"> This despite the ballot box and freedom of speech. </w:t>
      </w:r>
      <w:r w:rsidRPr="00D44EEB">
        <w:rPr>
          <w:rStyle w:val="StyleBoldUnderline"/>
        </w:rPr>
        <w:t>Too big is the problem of the modern world and the challenge confronting us all is to reduce the size and scale of things so as to enable us to control them</w:t>
      </w:r>
      <w:r w:rsidRPr="00D44EEB">
        <w:t xml:space="preserve">. Nobody would want a pair of shoes which was too large, so why do we tolerate far more important matters which suffer the same defect? </w:t>
      </w:r>
      <w:r w:rsidRPr="00D44EEB">
        <w:rPr>
          <w:rStyle w:val="StyleBoldUnderline"/>
        </w:rPr>
        <w:t>We need to challenge that deep-rooted assumption in our minds that making things bigger makes them better when we are living in a crisis which howls with evidence indicating the contrary; evidence indicating that the small is generally</w:t>
      </w:r>
      <w:r w:rsidRPr="00D44EEB">
        <w:rPr>
          <w:rStyle w:val="Emphasis"/>
        </w:rPr>
        <w:t xml:space="preserve"> better, far more stable, responsive, beneficial, controllable, peaceful and prosperous</w:t>
      </w:r>
      <w:r w:rsidRPr="00D44EEB">
        <w:t>.</w:t>
      </w:r>
    </w:p>
    <w:p w14:paraId="6FBC195F" w14:textId="77777777" w:rsidR="00DE62FB" w:rsidRPr="00D243A8" w:rsidRDefault="00DE62FB" w:rsidP="00DE62FB">
      <w:pPr>
        <w:pStyle w:val="Heading4"/>
      </w:pPr>
      <w:r w:rsidRPr="00D243A8">
        <w:t xml:space="preserve">Central action is too big and diminishes the value of each individual, rather interest groups wield enormous clout which prevents democratic politics </w:t>
      </w:r>
    </w:p>
    <w:p w14:paraId="1E26329F" w14:textId="77777777" w:rsidR="00DE62FB" w:rsidRPr="00D243A8" w:rsidRDefault="00DE62FB" w:rsidP="00DE62FB">
      <w:pPr>
        <w:spacing w:after="240"/>
        <w:rPr>
          <w:color w:val="000000"/>
        </w:rPr>
      </w:pPr>
      <w:r w:rsidRPr="00D243A8">
        <w:rPr>
          <w:rStyle w:val="StyleStyleBold12pt"/>
        </w:rPr>
        <w:t>Papworth</w:t>
      </w:r>
      <w:r w:rsidRPr="00D243A8">
        <w:rPr>
          <w:color w:val="000000"/>
        </w:rPr>
        <w:t xml:space="preserve"> </w:t>
      </w:r>
      <w:r>
        <w:rPr>
          <w:color w:val="000000"/>
        </w:rPr>
        <w:t>‘</w:t>
      </w:r>
      <w:r w:rsidRPr="00D243A8">
        <w:rPr>
          <w:rStyle w:val="StyleStyleBold12pt"/>
        </w:rPr>
        <w:t xml:space="preserve">1  –  </w:t>
      </w:r>
      <w:r w:rsidRPr="00D243A8">
        <w:rPr>
          <w:color w:val="000000"/>
        </w:rPr>
        <w:t xml:space="preserve">Senior Editor of the Ecologist and Founder of Fourth World Review (John, Peace Through Social Empowerment, “Introduction” </w:t>
      </w:r>
      <w:hyperlink r:id="rId10" w:history="1">
        <w:r w:rsidRPr="00D243A8">
          <w:rPr>
            <w:color w:val="0000FF"/>
            <w:u w:val="single"/>
          </w:rPr>
          <w:t>http://www.cesc.net/radicalweb/scholars/papworth/jp11.html</w:t>
        </w:r>
      </w:hyperlink>
      <w:r w:rsidRPr="00D243A8">
        <w:rPr>
          <w:color w:val="000000"/>
        </w:rPr>
        <w:t xml:space="preserve"> )</w:t>
      </w:r>
    </w:p>
    <w:p w14:paraId="3A70C0D3" w14:textId="77777777" w:rsidR="00DE62FB" w:rsidRPr="00D44EEB" w:rsidRDefault="00DE62FB" w:rsidP="00DE62FB">
      <w:pPr>
        <w:spacing w:after="240"/>
        <w:rPr>
          <w:color w:val="000000"/>
          <w:sz w:val="16"/>
        </w:rPr>
      </w:pPr>
      <w:r w:rsidRPr="00D44EEB">
        <w:rPr>
          <w:rStyle w:val="StyleBoldUnderline"/>
        </w:rPr>
        <w:t>As any political (or other) unit grows in size, the significance of the individual proportionately declines. If you are a member of a 500 strong community,</w:t>
      </w:r>
      <w:r w:rsidRPr="00D44EEB">
        <w:rPr>
          <w:color w:val="000000"/>
          <w:sz w:val="16"/>
        </w:rPr>
        <w:t xml:space="preserve"> </w:t>
      </w:r>
      <w:r w:rsidRPr="00D44EEB">
        <w:rPr>
          <w:rStyle w:val="StyleBoldUnderline"/>
        </w:rPr>
        <w:t>in the governance of its affairs your membership and your morality matter simply because your membership is both morally and statistically significant.</w:t>
      </w:r>
      <w:r w:rsidRPr="00D44EEB">
        <w:rPr>
          <w:color w:val="000000"/>
          <w:sz w:val="16"/>
        </w:rPr>
        <w:t xml:space="preserve"> They will matter even more if you are deeply concerned, since a large number of people in any community are generally, because of age or disposition, unable or unwilling to care. </w:t>
      </w:r>
      <w:r w:rsidRPr="00D44EEB">
        <w:rPr>
          <w:rStyle w:val="StyleBoldUnderline"/>
        </w:rPr>
        <w:t>But if your political unit numbers 500 million your significance is reduced from 1/500th to 1/500 millionth! Yet despite this shrinking of your significance to proportions so minute as to be infinitesimal, the power of the unit itself has increased to quite staggering proportions</w:t>
      </w:r>
      <w:r w:rsidRPr="00D44EEB">
        <w:rPr>
          <w:color w:val="000000"/>
          <w:sz w:val="16"/>
        </w:rPr>
        <w:t xml:space="preserve">: Where then is that power located? It is of course at the centre. </w:t>
      </w:r>
      <w:r w:rsidRPr="00D44EEB">
        <w:rPr>
          <w:rStyle w:val="Emphasis"/>
        </w:rPr>
        <w:t>The price of your diminished power is the tribute you pay to the swollen octopus of power at the centre</w:t>
      </w:r>
      <w:r w:rsidRPr="00D44EEB">
        <w:rPr>
          <w:rStyle w:val="StyleStyleBold12pt"/>
          <w:sz w:val="16"/>
        </w:rPr>
        <w:t xml:space="preserve">. </w:t>
      </w:r>
      <w:r w:rsidRPr="00D44EEB">
        <w:rPr>
          <w:color w:val="000000"/>
          <w:sz w:val="16"/>
        </w:rPr>
        <w:t xml:space="preserve">In terms of democracy, never forgetting for a moment that it is a moral attribute, </w:t>
      </w:r>
      <w:r w:rsidRPr="00D44EEB">
        <w:rPr>
          <w:rStyle w:val="StyleBoldUnderline"/>
        </w:rPr>
        <w:t>this development means that democracy is also proportionately diminished</w:t>
      </w:r>
      <w:r w:rsidRPr="00D44EEB">
        <w:rPr>
          <w:color w:val="000000"/>
          <w:sz w:val="16"/>
        </w:rPr>
        <w:t xml:space="preserve">. Why? Because since </w:t>
      </w:r>
      <w:r w:rsidRPr="00D44EEB">
        <w:rPr>
          <w:rStyle w:val="StyleBoldUnderline"/>
        </w:rPr>
        <w:t>morality is a function of human relationships the nature of those relationships has been transformed, so that instead of the citizen being in a moral relationship with others he is now in another type of relationship with the central controlling mechanism</w:t>
      </w:r>
      <w:r w:rsidRPr="00D44EEB">
        <w:rPr>
          <w:color w:val="000000"/>
          <w:sz w:val="16"/>
        </w:rPr>
        <w:t xml:space="preserve">, for in such giant societies the moral and statistical significance of </w:t>
      </w:r>
      <w:r w:rsidRPr="00D44EEB">
        <w:rPr>
          <w:rStyle w:val="StyleBoldUnderline"/>
        </w:rPr>
        <w:t>the individual inevitably plummets; what was a moral relationship with his fellows has become a power relationship</w:t>
      </w:r>
      <w:r w:rsidRPr="00D44EEB">
        <w:rPr>
          <w:color w:val="000000"/>
          <w:sz w:val="16"/>
        </w:rPr>
        <w:t xml:space="preserve"> with a political or administrative machine. It is obvious that any considerable increase in the size of a political unit results in the elected representatives becoming more remote from those who elect them. But this isolation from the electorate does not mean they thereby enjoy unfettered freedom to legislate as they may wish; it simply means that </w:t>
      </w:r>
      <w:r w:rsidRPr="00D44EEB">
        <w:rPr>
          <w:rStyle w:val="StyleBoldUnderline"/>
        </w:rPr>
        <w:t>the power of the electorate to influence proceedings is replaced by other forms of power, forms which operate in the same remote</w:t>
      </w:r>
      <w:r w:rsidRPr="00D44EEB">
        <w:rPr>
          <w:rStyle w:val="Emphasis"/>
        </w:rPr>
        <w:t>, highly centralised manner</w:t>
      </w:r>
      <w:r w:rsidRPr="00D44EEB">
        <w:rPr>
          <w:rStyle w:val="StyleStyleBold12pt"/>
          <w:sz w:val="16"/>
        </w:rPr>
        <w:t xml:space="preserve"> </w:t>
      </w:r>
      <w:r w:rsidRPr="00D44EEB">
        <w:rPr>
          <w:rStyle w:val="Emphasis"/>
        </w:rPr>
        <w:t>and which, since they invariably control industrial, commercial, financial and, not least, media operations, often on a global scale, are able to wield decisive degrees of clout</w:t>
      </w:r>
      <w:r w:rsidRPr="00D44EEB">
        <w:rPr>
          <w:color w:val="000000"/>
          <w:sz w:val="16"/>
        </w:rPr>
        <w:t xml:space="preserve"> in regard to the political process. </w:t>
      </w:r>
      <w:r w:rsidRPr="00D44EEB">
        <w:rPr>
          <w:rStyle w:val="Emphasis"/>
        </w:rPr>
        <w:t>Inevitably there arises here a clash of interest</w:t>
      </w:r>
      <w:r w:rsidRPr="00D44EEB">
        <w:rPr>
          <w:rStyle w:val="StyleBoldUnderline"/>
        </w:rPr>
        <w:t>s. Market forces are concerned with stock market values</w:t>
      </w:r>
      <w:r w:rsidRPr="00D44EEB">
        <w:rPr>
          <w:color w:val="000000"/>
          <w:sz w:val="16"/>
        </w:rPr>
        <w:t xml:space="preserve">, with current share prices and short-term budget projections and expectations, </w:t>
      </w:r>
      <w:r w:rsidRPr="00D44EEB">
        <w:rPr>
          <w:rStyle w:val="StyleBoldUnderline"/>
        </w:rPr>
        <w:t>whereas the citizen and the general polity is concerned with the long-term, generational effects of current decision-making</w:t>
      </w:r>
      <w:r w:rsidRPr="00D44EEB">
        <w:rPr>
          <w:color w:val="000000"/>
          <w:sz w:val="16"/>
        </w:rPr>
        <w:t xml:space="preserve">; on the effects on the health of the land, on the climate, on the broad drift of affairs as they may be affected by stripping the world of its forest cover, of over-fishing, of the excessive use of anti-biotics (the word itself means 'against life'!), of global warming, of genetic engineering and so on, to name but a few of the major problems now pressing on human destiny and calling for wisdom rather than just expertise, knowledge or information. This is not to say that morality, (involving of course such questions as war and peace), ceases to matter; it is rather that whereas </w:t>
      </w:r>
      <w:r w:rsidRPr="00D44EEB">
        <w:rPr>
          <w:rStyle w:val="StyleBoldUnderline"/>
        </w:rPr>
        <w:t>in a small community questions relating to the use of its power are subordinate to the moral values and judgements of the citizenry through the strength of their relationships</w:t>
      </w:r>
      <w:r w:rsidRPr="00D44EEB">
        <w:t xml:space="preserve">, </w:t>
      </w:r>
      <w:r w:rsidRPr="00D44EEB">
        <w:rPr>
          <w:rStyle w:val="Emphasis"/>
        </w:rPr>
        <w:t>in the mass form of society it is morality which becomes subordinated to the play of power politics</w:t>
      </w:r>
      <w:r w:rsidRPr="00D44EEB">
        <w:rPr>
          <w:rStyle w:val="StyleStyleBold12pt"/>
          <w:sz w:val="16"/>
        </w:rPr>
        <w:t>.</w:t>
      </w:r>
      <w:r w:rsidRPr="00D44EEB">
        <w:rPr>
          <w:color w:val="000000"/>
          <w:sz w:val="16"/>
        </w:rPr>
        <w:t xml:space="preserve"> </w:t>
      </w:r>
    </w:p>
    <w:p w14:paraId="12A227EF" w14:textId="77777777" w:rsidR="00DE62FB" w:rsidRPr="00D243A8" w:rsidRDefault="00DE62FB" w:rsidP="00DE62FB">
      <w:pPr>
        <w:pStyle w:val="Heading4"/>
      </w:pPr>
      <w:r w:rsidRPr="00D243A8">
        <w:t>Localized efforts are key to solve war and democracy</w:t>
      </w:r>
    </w:p>
    <w:p w14:paraId="71E2C806" w14:textId="77777777" w:rsidR="00DE62FB" w:rsidRPr="00D243A8" w:rsidRDefault="00DE62FB" w:rsidP="00DE62FB">
      <w:pPr>
        <w:rPr>
          <w:color w:val="000000"/>
        </w:rPr>
      </w:pPr>
      <w:r>
        <w:rPr>
          <w:rStyle w:val="StyleStyleBold12pt"/>
        </w:rPr>
        <w:t>Papworth ‘</w:t>
      </w:r>
      <w:r w:rsidRPr="00D243A8">
        <w:rPr>
          <w:rStyle w:val="StyleStyleBold12pt"/>
        </w:rPr>
        <w:t>2</w:t>
      </w:r>
      <w:r w:rsidRPr="00D243A8">
        <w:rPr>
          <w:color w:val="000000"/>
        </w:rPr>
        <w:t xml:space="preserve"> (John, Senior Editor @ Ecologist + Founder of Fourth World Review, “Cut the Cackle," Fourth World Review, </w:t>
      </w:r>
      <w:r w:rsidRPr="00D243A8">
        <w:t>http://www.williamfranklin.com/4thworld/adobe/fwr118.pdf</w:t>
      </w:r>
      <w:r w:rsidRPr="00D243A8">
        <w:rPr>
          <w:color w:val="000000"/>
        </w:rPr>
        <w:t xml:space="preserve">) </w:t>
      </w:r>
    </w:p>
    <w:p w14:paraId="242083F8" w14:textId="77777777" w:rsidR="00DE62FB" w:rsidRDefault="00DE62FB" w:rsidP="00DE62FB">
      <w:r w:rsidRPr="00D243A8">
        <w:rPr>
          <w:rFonts w:eastAsia="Batang"/>
          <w:sz w:val="12"/>
          <w:szCs w:val="12"/>
        </w:rPr>
        <w:t xml:space="preserve">To talk of the </w:t>
      </w:r>
      <w:r w:rsidRPr="00D44EEB">
        <w:rPr>
          <w:rFonts w:eastAsia="Batang"/>
          <w:sz w:val="12"/>
          <w:szCs w:val="12"/>
        </w:rPr>
        <w:t>need for a new party is the old fashioned giantist approach;</w:t>
      </w:r>
      <w:r w:rsidRPr="00D44EEB">
        <w:rPr>
          <w:rFonts w:eastAsia="Batang"/>
        </w:rPr>
        <w:t xml:space="preserve"> </w:t>
      </w:r>
      <w:r w:rsidRPr="00D44EEB">
        <w:rPr>
          <w:rStyle w:val="StyleBoldUnderline"/>
        </w:rPr>
        <w:t>what we need is thousands of new locally-based independent political parties up and down the country</w:t>
      </w:r>
      <w:r w:rsidRPr="00D44EEB">
        <w:rPr>
          <w:rFonts w:eastAsia="Batang"/>
        </w:rPr>
        <w:t xml:space="preserve">! And in the world at large millions of them. </w:t>
      </w:r>
      <w:r w:rsidRPr="00D44EEB">
        <w:rPr>
          <w:rStyle w:val="StyleBoldUnderline"/>
        </w:rPr>
        <w:t>The pressing need of the moment is for a political and economic programme they could adopt which affirms at every level the imperative need for the human scale as a prerequisite for the effective working of democracy</w:t>
      </w:r>
      <w:r w:rsidRPr="00D44EEB">
        <w:rPr>
          <w:rFonts w:eastAsia="Batang"/>
        </w:rPr>
        <w:t xml:space="preserve">. And the programmes? </w:t>
      </w:r>
      <w:r w:rsidRPr="00D44EEB">
        <w:rPr>
          <w:rStyle w:val="StyleBoldUnderline"/>
        </w:rPr>
        <w:t>Each local neighbourhood party will decide its own</w:t>
      </w:r>
      <w:r w:rsidRPr="00D44EEB">
        <w:rPr>
          <w:rFonts w:eastAsia="Batang"/>
        </w:rPr>
        <w:t xml:space="preserve"> as a matter of course, </w:t>
      </w:r>
      <w:r w:rsidRPr="00D44EEB">
        <w:rPr>
          <w:rStyle w:val="StyleBoldUnderline"/>
        </w:rPr>
        <w:t>which does not mean they would not promote a common series of principles which serve their common interests. Such principles would relate at the national level to fundamental provisions for liberty, freedom and independence</w:t>
      </w:r>
      <w:r w:rsidRPr="00D44EEB">
        <w:rPr>
          <w:rFonts w:eastAsia="Batang"/>
        </w:rPr>
        <w:t xml:space="preserve">, </w:t>
      </w:r>
      <w:r w:rsidRPr="00D44EEB">
        <w:rPr>
          <w:rFonts w:eastAsia="Batang"/>
          <w:sz w:val="12"/>
          <w:szCs w:val="12"/>
        </w:rPr>
        <w:t>involving of course a complete rejection of any association with the European Community. But cut the cackle all along the line; currently discussion is non-stop about what government policy should be on a host of matters which have been removed from local control. Our</w:t>
      </w:r>
      <w:r w:rsidRPr="00D44EEB">
        <w:rPr>
          <w:rFonts w:eastAsia="Batang"/>
        </w:rPr>
        <w:t xml:space="preserve"> </w:t>
      </w:r>
      <w:r w:rsidRPr="00D44EEB">
        <w:rPr>
          <w:rStyle w:val="StyleBoldUnderline"/>
        </w:rPr>
        <w:t>millions of new parties will assume as a matter of right the power to establish their own elected regional bodies to run services where such co-operation with other communities may be needed such as specialist hospitals, colleges, police, radio and TV, transport, utilities, banking and investment. This is a programme of liberation, a programme to get government off people’s backs and into their own hands. Such a political structure would at last enable people’s wishes to prevail on the issues of war, ecological sanity and economic justice</w:t>
      </w:r>
      <w:r w:rsidRPr="00D44EEB">
        <w:rPr>
          <w:rFonts w:eastAsia="Batang"/>
        </w:rPr>
        <w:t xml:space="preserve">. </w:t>
      </w:r>
      <w:r w:rsidRPr="00D44EEB">
        <w:rPr>
          <w:rFonts w:eastAsia="Batang"/>
          <w:sz w:val="12"/>
          <w:szCs w:val="12"/>
        </w:rPr>
        <w:t xml:space="preserve">Across the world people would insist on the most rigorous controls on armaments production, where it was permitted at all, and of associated scientific research. At last </w:t>
      </w:r>
      <w:r w:rsidRPr="00D44EEB">
        <w:rPr>
          <w:rStyle w:val="StyleBoldUnderline"/>
        </w:rPr>
        <w:t>the questions of war and peace would not be matters of power-brokering and diplomacy in the hands of giant states but moral questions of right and wrong in the hands of people</w:t>
      </w:r>
      <w:r w:rsidRPr="00D44EEB">
        <w:t xml:space="preserve">.  </w:t>
      </w:r>
    </w:p>
    <w:p w14:paraId="0E738941" w14:textId="77777777" w:rsidR="00DE62FB" w:rsidRDefault="00DE62FB" w:rsidP="00DE62FB">
      <w:pPr>
        <w:pStyle w:val="Heading3"/>
      </w:pPr>
      <w:r>
        <w:t>2NC – Localization DA</w:t>
      </w:r>
    </w:p>
    <w:p w14:paraId="01653305" w14:textId="77777777" w:rsidR="00DE62FB" w:rsidRPr="00D243A8" w:rsidRDefault="00DE62FB" w:rsidP="00DE62FB">
      <w:pPr>
        <w:pStyle w:val="Heading4"/>
      </w:pPr>
      <w:r w:rsidRPr="00D243A8">
        <w:t>Localization is a pre-requisite to solving democracy</w:t>
      </w:r>
    </w:p>
    <w:p w14:paraId="22630755" w14:textId="77777777" w:rsidR="00DE62FB" w:rsidRPr="00D44EEB" w:rsidRDefault="00DE62FB" w:rsidP="00DE62FB">
      <w:pPr>
        <w:rPr>
          <w:rStyle w:val="StyleBoldUnderline"/>
          <w:b/>
          <w:color w:val="000000"/>
          <w:u w:val="none"/>
        </w:rPr>
      </w:pPr>
      <w:r>
        <w:rPr>
          <w:rStyle w:val="StyleStyleBold12pt"/>
        </w:rPr>
        <w:t>Papworth ‘</w:t>
      </w:r>
      <w:r w:rsidRPr="00D243A8">
        <w:rPr>
          <w:rStyle w:val="StyleStyleBold12pt"/>
        </w:rPr>
        <w:t>1</w:t>
      </w:r>
      <w:r w:rsidRPr="00D243A8">
        <w:rPr>
          <w:color w:val="000000"/>
        </w:rPr>
        <w:t xml:space="preserve"> (John, Senior Editor @ Ecologist + Founder of Fourth World Review, Peace Through Social Empowerment, "Primary Causes," </w:t>
      </w:r>
      <w:r w:rsidRPr="00D243A8">
        <w:t>http://www.williamfranklin.com/4thworld/academicinn/jp14.html</w:t>
      </w:r>
      <w:r w:rsidRPr="00D243A8">
        <w:rPr>
          <w:color w:val="000000"/>
        </w:rPr>
        <w:t xml:space="preserve">) </w:t>
      </w:r>
      <w:r w:rsidRPr="00D243A8">
        <w:rPr>
          <w:rFonts w:eastAsia="Batang"/>
          <w:color w:val="000000"/>
        </w:rPr>
        <w:br/>
      </w:r>
      <w:r w:rsidRPr="00D44EEB">
        <w:rPr>
          <w:rStyle w:val="StyleBoldUnderline"/>
        </w:rPr>
        <w:t>Our prospects of countering the evil forces promoting the global crisis and of making any significant progress are bleak</w:t>
      </w:r>
      <w:r w:rsidRPr="00D44EEB">
        <w:rPr>
          <w:rFonts w:eastAsia="Batang"/>
          <w:color w:val="000000"/>
        </w:rPr>
        <w:t xml:space="preserve"> indeed</w:t>
      </w:r>
      <w:r w:rsidRPr="00D44EEB">
        <w:rPr>
          <w:rStyle w:val="StyleBoldUnderline"/>
        </w:rPr>
        <w:t xml:space="preserve"> if we do not grasp that if people have no real power to enable their moral judgements to be reflected in the general life processes of their own communities</w:t>
      </w:r>
      <w:r w:rsidRPr="00D44EEB">
        <w:rPr>
          <w:rFonts w:eastAsia="Batang"/>
          <w:color w:val="000000"/>
        </w:rPr>
        <w:t xml:space="preserve">, if they do not themselves control their social structures, </w:t>
      </w:r>
      <w:r w:rsidRPr="00D44EEB">
        <w:rPr>
          <w:rStyle w:val="StyleBoldUnderline"/>
        </w:rPr>
        <w:t>their schools, post office, bank, police, hospital, transport and their welfare services</w:t>
      </w:r>
      <w:r w:rsidRPr="00D44EEB">
        <w:rPr>
          <w:rFonts w:eastAsia="Batang"/>
          <w:color w:val="000000"/>
        </w:rPr>
        <w:t xml:space="preserve">; </w:t>
      </w:r>
      <w:r w:rsidRPr="00D44EEB">
        <w:rPr>
          <w:rFonts w:eastAsia="Batang"/>
          <w:color w:val="000000"/>
          <w:sz w:val="12"/>
          <w:szCs w:val="12"/>
        </w:rPr>
        <w:t>if they have no local power to determine these matters, if they do not have their own locally elected representatives to sit, with others similarly elected, on boards which govern matters of wider import, including public utilities such as water, gas, electricity and not least, governing the content of radio and television,</w:t>
      </w:r>
      <w:r w:rsidRPr="00D44EEB">
        <w:rPr>
          <w:rFonts w:eastAsia="Batang"/>
          <w:color w:val="000000"/>
        </w:rPr>
        <w:t xml:space="preserve"> </w:t>
      </w:r>
      <w:r w:rsidRPr="00D44EEB">
        <w:rPr>
          <w:rStyle w:val="Emphasis"/>
        </w:rPr>
        <w:t>they have no effective power at all. The very structures disempower them and it is a mere abuse of language to describe any such process as democratic.</w:t>
      </w:r>
      <w:r w:rsidRPr="00D44EEB">
        <w:rPr>
          <w:rStyle w:val="StyleBoldUnderline"/>
        </w:rPr>
        <w:t xml:space="preserve"> Democracy, we should never cease to hold, does not mean government of the people, nor government for the people, both are essentially totalitarian concepts, </w:t>
      </w:r>
      <w:r w:rsidRPr="00D44EEB">
        <w:rPr>
          <w:rStyle w:val="Emphasis"/>
        </w:rPr>
        <w:t>it means government by the people. All else is claptrap and delusion</w:t>
      </w:r>
      <w:r w:rsidRPr="00D44EEB">
        <w:t>.</w:t>
      </w:r>
      <w:r w:rsidRPr="00D243A8">
        <w:rPr>
          <w:rFonts w:eastAsia="Batang"/>
          <w:color w:val="000000"/>
        </w:rPr>
        <w:t xml:space="preserve"> </w:t>
      </w:r>
    </w:p>
    <w:p w14:paraId="4C1D0A6A" w14:textId="77777777" w:rsidR="00DE62FB" w:rsidRPr="00102F03" w:rsidRDefault="00DE62FB" w:rsidP="00DE62FB"/>
    <w:p w14:paraId="1125753E" w14:textId="77777777" w:rsidR="00DE62FB" w:rsidRDefault="00DE62FB" w:rsidP="00DE62FB">
      <w:pPr>
        <w:pStyle w:val="Heading3"/>
      </w:pPr>
      <w:r>
        <w:t>**A2 Perm – Do Both**</w:t>
      </w:r>
    </w:p>
    <w:p w14:paraId="650F7688" w14:textId="77777777" w:rsidR="00DE62FB" w:rsidRPr="00102F03" w:rsidRDefault="00DE62FB" w:rsidP="00DE62FB">
      <w:pPr>
        <w:pStyle w:val="Heading4"/>
        <w:rPr>
          <w:rStyle w:val="StyleBoldUnderline"/>
          <w:b w:val="0"/>
          <w:sz w:val="26"/>
          <w:u w:val="none"/>
        </w:rPr>
      </w:pPr>
      <w:r>
        <w:t xml:space="preserve">Links to the net benefits - </w:t>
      </w:r>
    </w:p>
    <w:p w14:paraId="1D43234A" w14:textId="77777777" w:rsidR="00DE62FB" w:rsidRDefault="00DE62FB" w:rsidP="00DE62FB">
      <w:pPr>
        <w:pStyle w:val="Heading4"/>
      </w:pPr>
      <w:r>
        <w:t xml:space="preserve">a. Localization DA - Federal action coopts state education policies </w:t>
      </w:r>
    </w:p>
    <w:p w14:paraId="33AD863B" w14:textId="77777777" w:rsidR="00DE62FB" w:rsidRDefault="00DE62FB" w:rsidP="00DE62FB">
      <w:pPr>
        <w:tabs>
          <w:tab w:val="left" w:pos="6840"/>
        </w:tabs>
        <w:rPr>
          <w:color w:val="000000"/>
        </w:rPr>
      </w:pPr>
      <w:r>
        <w:rPr>
          <w:rStyle w:val="StyleStyleBold12pt"/>
        </w:rPr>
        <w:t>Papworth ‘</w:t>
      </w:r>
      <w:r w:rsidRPr="00D243A8">
        <w:rPr>
          <w:rStyle w:val="StyleStyleBold12pt"/>
        </w:rPr>
        <w:t>1</w:t>
      </w:r>
      <w:r>
        <w:rPr>
          <w:color w:val="000000"/>
        </w:rPr>
        <w:t xml:space="preserve"> (John, Editor @ Ecologist + editor of Fourth World Review, Bringing Up the Local Issues, The Ecologist, June, </w:t>
      </w:r>
      <w:r>
        <w:t>http://www.williamfranklin.com/4thworld/academicinn/jp3.html</w:t>
      </w:r>
      <w:r>
        <w:rPr>
          <w:color w:val="000000"/>
        </w:rPr>
        <w:t xml:space="preserve">) </w:t>
      </w:r>
    </w:p>
    <w:p w14:paraId="23034FB1" w14:textId="77777777" w:rsidR="00DE62FB" w:rsidRPr="00D243A8" w:rsidRDefault="00DE62FB" w:rsidP="00DE62FB">
      <w:pPr>
        <w:tabs>
          <w:tab w:val="left" w:pos="6840"/>
        </w:tabs>
        <w:rPr>
          <w:rStyle w:val="StyleBoldUnderline"/>
        </w:rPr>
      </w:pPr>
      <w:r w:rsidRPr="00102F03">
        <w:rPr>
          <w:rStyle w:val="StyleBoldUnderline"/>
        </w:rPr>
        <w:t>We now have 'national' schemes and ministries for health, education, welfare and other essentially local matters. The evidence abounds and grows that these bodies are increasingly wasteful and inefficient,</w:t>
      </w:r>
      <w:r w:rsidRPr="00102F03">
        <w:rPr>
          <w:rFonts w:eastAsia="Batang"/>
          <w:color w:val="000000"/>
        </w:rPr>
        <w:t xml:space="preserve"> where they are not indeed riddled with the maggot of corruption, </w:t>
      </w:r>
      <w:r w:rsidRPr="00102F03">
        <w:rPr>
          <w:rStyle w:val="StyleBoldUnderline"/>
        </w:rPr>
        <w:t>and not least of course they operate on organisational parameters which make a mockery of democratic principle</w:t>
      </w:r>
      <w:r w:rsidRPr="00102F03">
        <w:rPr>
          <w:rFonts w:eastAsia="Batang"/>
          <w:color w:val="000000"/>
        </w:rPr>
        <w:t xml:space="preserve">. Somehow the illusion has been fostered, for example, that people who have devoted their lives to clambering to the top of the greasy pole are better qualified to ordain how children should be educated than are the parents and their local committees. So </w:t>
      </w:r>
      <w:r w:rsidRPr="00102F03">
        <w:rPr>
          <w:rStyle w:val="StyleBoldUnderline"/>
        </w:rPr>
        <w:t xml:space="preserve">our public prints are loaded with otiose speculation about 'national' examination standards and results, and about the content of </w:t>
      </w:r>
      <w:r w:rsidRPr="00102F03">
        <w:rPr>
          <w:rStyle w:val="Emphasis"/>
        </w:rPr>
        <w:t>'national' educational curricula</w:t>
      </w:r>
      <w:r w:rsidRPr="00102F03">
        <w:rPr>
          <w:rFonts w:eastAsia="Batang"/>
          <w:color w:val="000000"/>
        </w:rPr>
        <w:t>; meanwhile</w:t>
      </w:r>
      <w:r w:rsidRPr="00102F03">
        <w:rPr>
          <w:rStyle w:val="StyleBoldUnderline"/>
        </w:rPr>
        <w:t>, in rural areas, large numbers of children are bussed to giant 'comprehensive' schools where they learn about computers and nothing about how to grow food. Local government</w:t>
      </w:r>
      <w:r w:rsidRPr="00102F03">
        <w:rPr>
          <w:rFonts w:eastAsia="Batang"/>
          <w:color w:val="000000"/>
        </w:rPr>
        <w:t xml:space="preserve">, instead of being a power in its own right but working in tandem, </w:t>
      </w:r>
      <w:r w:rsidRPr="00102F03">
        <w:rPr>
          <w:rStyle w:val="StyleBoldUnderline"/>
        </w:rPr>
        <w:t>where necessary, with national government, is now the pawn of the latter, which is making a mess of the whole works</w:t>
      </w:r>
      <w:r w:rsidRPr="00102F03">
        <w:rPr>
          <w:rFonts w:eastAsia="Batang"/>
          <w:color w:val="000000"/>
        </w:rPr>
        <w:t xml:space="preserve">. </w:t>
      </w:r>
      <w:r w:rsidRPr="00102F03">
        <w:rPr>
          <w:rStyle w:val="StyleBoldUnderline"/>
        </w:rPr>
        <w:t>It is</w:t>
      </w:r>
      <w:r w:rsidRPr="00102F03">
        <w:rPr>
          <w:rFonts w:eastAsia="Batang"/>
          <w:color w:val="000000"/>
        </w:rPr>
        <w:t xml:space="preserve"> time to cry halt to the assault on freedom involved in all this centralisation; </w:t>
      </w:r>
      <w:r w:rsidRPr="00102F03">
        <w:rPr>
          <w:rStyle w:val="StyleBoldUnderline"/>
        </w:rPr>
        <w:t xml:space="preserve">time to restore the power and the spirit of local power, responsibility and commitment of genuine local government as </w:t>
      </w:r>
      <w:r w:rsidRPr="00102F03">
        <w:rPr>
          <w:rStyle w:val="Emphasis"/>
        </w:rPr>
        <w:t>a precondition of a healthy democratic way of life</w:t>
      </w:r>
      <w:r w:rsidRPr="00102F03">
        <w:t>.</w:t>
      </w:r>
      <w:r w:rsidRPr="00D243A8">
        <w:rPr>
          <w:rStyle w:val="StyleBoldUnderline"/>
        </w:rPr>
        <w:t xml:space="preserve"> </w:t>
      </w:r>
    </w:p>
    <w:p w14:paraId="5114ED00" w14:textId="77777777" w:rsidR="00DE62FB" w:rsidRDefault="00DE62FB" w:rsidP="00DE62FB">
      <w:pPr>
        <w:pStyle w:val="Heading4"/>
      </w:pPr>
      <w:r>
        <w:t>b. Gets watered down by federal bureaucracy – uniform state action solves patchwork issues – that’s 1NC Butcher and Burke</w:t>
      </w:r>
    </w:p>
    <w:p w14:paraId="2AD4FF94" w14:textId="77777777" w:rsidR="00DE62FB" w:rsidRDefault="00DE62FB" w:rsidP="00DE62FB">
      <w:pPr>
        <w:pStyle w:val="Heading4"/>
      </w:pPr>
      <w:r>
        <w:t>c. The CP alone avoids the politics link – any permutation supercharges the link</w:t>
      </w:r>
    </w:p>
    <w:p w14:paraId="485D9DCB" w14:textId="77777777" w:rsidR="00DE62FB" w:rsidRPr="00C7658A" w:rsidRDefault="00DE62FB" w:rsidP="00DE62FB">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14:paraId="4A7B4418" w14:textId="77777777" w:rsidR="00DE62FB" w:rsidRDefault="00DE62FB" w:rsidP="00DE62FB">
      <w:pPr>
        <w:rPr>
          <w:sz w:val="16"/>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Stadt)</w:t>
      </w:r>
    </w:p>
    <w:p w14:paraId="75F03444" w14:textId="77777777" w:rsidR="00DE62FB" w:rsidRDefault="00DE62FB" w:rsidP="00DE62FB">
      <w:pPr>
        <w:rPr>
          <w:sz w:val="16"/>
        </w:rPr>
      </w:pPr>
      <w:r w:rsidRPr="00AC6484">
        <w:rPr>
          <w:rStyle w:val="StyleBoldUnderline"/>
        </w:rPr>
        <w:t>District schools are primarily accountable to elected school boards and unelected state educa - tion bureaucrats, not parents</w:t>
      </w:r>
      <w:r w:rsidRPr="00F45109">
        <w:rPr>
          <w:sz w:val="16"/>
        </w:rPr>
        <w:t xml:space="preserve">. Parents who want to effect change in the district school system often need the support of a majority of school board mem - bers, which means that </w:t>
      </w:r>
      <w:r w:rsidRPr="00AC6484">
        <w:rPr>
          <w:rStyle w:val="StyleBoldUnderline"/>
        </w:rPr>
        <w:t>parents who disagree must vie against each other in a political process to have their preferences expressed</w:t>
      </w:r>
      <w:r w:rsidRPr="00F45109">
        <w:rPr>
          <w:sz w:val="16"/>
        </w:rPr>
        <w:t xml:space="preserve">. 11 </w:t>
      </w:r>
      <w:r w:rsidRPr="00AC6484">
        <w:rPr>
          <w:rStyle w:val="StyleBoldUnderline"/>
        </w:rPr>
        <w:t>Since</w:t>
      </w:r>
      <w:r w:rsidRPr="00F45109">
        <w:rPr>
          <w:sz w:val="16"/>
        </w:rPr>
        <w:t xml:space="preserve"> </w:t>
      </w:r>
      <w:r w:rsidRPr="00AC6484">
        <w:rPr>
          <w:rStyle w:val="Emphasis"/>
        </w:rPr>
        <w:t>politics is a zero- sum game</w:t>
      </w:r>
      <w:r w:rsidRPr="00F45109">
        <w:rPr>
          <w:sz w:val="16"/>
        </w:rPr>
        <w:t xml:space="preserve">, </w:t>
      </w:r>
      <w:r w:rsidRPr="00AC6484">
        <w:rPr>
          <w:rStyle w:val="StyleBoldUnderline"/>
        </w:rPr>
        <w:t>a district-based school system</w:t>
      </w:r>
      <w:r w:rsidRPr="00F45109">
        <w:rPr>
          <w:sz w:val="16"/>
        </w:rPr>
        <w:t xml:space="preserve"> </w:t>
      </w:r>
      <w:r w:rsidRPr="00AC6484">
        <w:rPr>
          <w:rStyle w:val="Emphasis"/>
        </w:rPr>
        <w:t>creates winners and losers</w:t>
      </w:r>
      <w:r w:rsidRPr="00F45109">
        <w:rPr>
          <w:sz w:val="16"/>
        </w:rPr>
        <w:t xml:space="preserve"> </w:t>
      </w:r>
      <w:r w:rsidRPr="00AC6484">
        <w:rPr>
          <w:rStyle w:val="StyleBoldUnderline"/>
        </w:rPr>
        <w:t>and</w:t>
      </w:r>
      <w:r w:rsidRPr="00F45109">
        <w:rPr>
          <w:sz w:val="16"/>
        </w:rPr>
        <w:t xml:space="preserve"> </w:t>
      </w:r>
      <w:r w:rsidRPr="00AC6484">
        <w:rPr>
          <w:rStyle w:val="Emphasis"/>
        </w:rPr>
        <w:t>can shut out minority voices</w:t>
      </w:r>
      <w:r w:rsidRPr="00F45109">
        <w:rPr>
          <w:sz w:val="16"/>
        </w:rPr>
        <w:t xml:space="preserve">. Moreover, if a policy is set at the state level, even a majority of parents may be powerless to change it at the local level. By contrast, </w:t>
      </w:r>
      <w:r w:rsidRPr="00AC6484">
        <w:rPr>
          <w:rStyle w:val="StyleBoldUnderline"/>
        </w:rPr>
        <w:t>in a market-based system, schools are directly accountable to parents</w:t>
      </w:r>
      <w:r w:rsidRPr="00F45109">
        <w:rPr>
          <w:sz w:val="16"/>
        </w:rPr>
        <w:t xml:space="preserve">. </w:t>
      </w:r>
      <w:r w:rsidRPr="00AC6484">
        <w:rPr>
          <w:rStyle w:val="StyleBoldUnderline"/>
        </w:rPr>
        <w:t>Using</w:t>
      </w:r>
      <w:r w:rsidRPr="00F45109">
        <w:rPr>
          <w:sz w:val="16"/>
        </w:rPr>
        <w:t xml:space="preserve"> a voucher or </w:t>
      </w:r>
      <w:r w:rsidRPr="00AC6484">
        <w:rPr>
          <w:rStyle w:val="StyleBoldUnderline"/>
        </w:rPr>
        <w:t>e SA</w:t>
      </w:r>
      <w:r w:rsidRPr="00F45109">
        <w:rPr>
          <w:sz w:val="16"/>
        </w:rPr>
        <w:t xml:space="preserve">, </w:t>
      </w:r>
      <w:r w:rsidRPr="00AC6484">
        <w:rPr>
          <w:rStyle w:val="StyleBoldUnderline"/>
        </w:rPr>
        <w:t>parents can choose the school that reflects their preferences and values and meets their child’s learning needs</w:t>
      </w:r>
      <w:r w:rsidRPr="00F45109">
        <w:rPr>
          <w:sz w:val="16"/>
        </w:rPr>
        <w:t xml:space="preserve">. b ecause dissatisfied parents can leave and take their money with them, </w:t>
      </w:r>
      <w:r w:rsidRPr="00AC6484">
        <w:rPr>
          <w:rStyle w:val="StyleBoldUnderline"/>
        </w:rPr>
        <w:t>schools of choice have a powerful incentive to meet their needs</w:t>
      </w:r>
      <w:r w:rsidRPr="00F45109">
        <w:rPr>
          <w:sz w:val="16"/>
        </w:rPr>
        <w:t xml:space="preserve">. </w:t>
      </w:r>
      <w:r w:rsidRPr="00AC6484">
        <w:rPr>
          <w:rStyle w:val="StyleBoldUnderline"/>
        </w:rPr>
        <w:t>If different groups of parents have differing views about education, rather than fight to have their pref - erences reflected in a single school system, they can enroll their children in different schools</w:t>
      </w:r>
      <w:r w:rsidRPr="00F45109">
        <w:rPr>
          <w:sz w:val="16"/>
        </w:rPr>
        <w:t xml:space="preserve"> that each reflect their preferences. In this way, </w:t>
      </w:r>
      <w:r w:rsidRPr="00AC6484">
        <w:rPr>
          <w:rStyle w:val="StyleBoldUnderline"/>
        </w:rPr>
        <w:t>a market-based system fosters a greater variety of options and culti - vates social harmony</w:t>
      </w:r>
      <w:r w:rsidRPr="00F45109">
        <w:rPr>
          <w:sz w:val="16"/>
        </w:rPr>
        <w:t xml:space="preserve">. 12 </w:t>
      </w:r>
      <w:r w:rsidRPr="00AC6484">
        <w:rPr>
          <w:rStyle w:val="StyleBoldUnderline"/>
        </w:rPr>
        <w:t xml:space="preserve">eSAs expand access to a wide variety of educa - tional options far </w:t>
      </w:r>
      <w:r w:rsidRPr="00AC6484">
        <w:rPr>
          <w:rStyle w:val="Emphasis"/>
        </w:rPr>
        <w:t>beyond school vouchers</w:t>
      </w:r>
      <w:r w:rsidRPr="00F45109">
        <w:rPr>
          <w:sz w:val="16"/>
        </w:rPr>
        <w:t xml:space="preserve">. A vouch - er system might foster a variety of options among schools, but an e SA fosters a greater variety of edu - cational options beyond the traditional classroom. In addition to, or even instead of, enrolling at a pri - vate school, e SA students might learn from tutors, take a course online or at a local college, procure services from a public school, study from a special - ized curriculum, or use some combination of these. eSAs both empower parents to completely custom - ize their child’s education and provide a platform for innovation. A distinctive feature of monopolies is lack of accountability. </w:t>
      </w:r>
      <w:r w:rsidRPr="00AC6484">
        <w:rPr>
          <w:rStyle w:val="StyleBoldUnderline"/>
        </w:rPr>
        <w:t xml:space="preserve">Because district schools are not held directly accountable to parents, some policymakers have attempted to impose accountability through </w:t>
      </w:r>
      <w:r w:rsidRPr="00AC6484">
        <w:rPr>
          <w:rStyle w:val="Emphasis"/>
        </w:rPr>
        <w:t>top-down government regulations</w:t>
      </w:r>
      <w:r w:rsidRPr="00F45109">
        <w:rPr>
          <w:sz w:val="16"/>
        </w:rPr>
        <w:t xml:space="preserve">. Yet </w:t>
      </w:r>
      <w:r w:rsidRPr="00AC6484">
        <w:rPr>
          <w:rStyle w:val="StyleBoldUnderline"/>
        </w:rPr>
        <w:t>decades of attempts to regulate district schools into quality have had little effect</w:t>
      </w:r>
      <w:r w:rsidRPr="00F45109">
        <w:rPr>
          <w:sz w:val="16"/>
        </w:rPr>
        <w:t xml:space="preserve">. Unfortunately, too many </w:t>
      </w:r>
      <w:r w:rsidRPr="00AC6484">
        <w:rPr>
          <w:rStyle w:val="StyleBoldUnderline"/>
        </w:rPr>
        <w:t>poli - cymakers have still come to see centralized govern - ment regulations as synonymous with “account - ability” rather than an inferior alternative to direct accountability to parents, and have therefore sought to impose similar regulations on choice programs</w:t>
      </w:r>
      <w:r w:rsidRPr="00F45109">
        <w:rPr>
          <w:sz w:val="16"/>
        </w:rPr>
        <w:t xml:space="preserve">. However, regulations designed for a monopoly sys - tem are inappropriate for a market-based system. In a market-based system, producers are held directly accountable to consumers for results. </w:t>
      </w:r>
      <w:r w:rsidRPr="00AC6484">
        <w:rPr>
          <w:rStyle w:val="StyleBoldUnderline"/>
        </w:rPr>
        <w:t>The government sets certain rules against fraud or health and safety standards, but the consumers ulti - mately decide whether a product or service meets their needs</w:t>
      </w:r>
      <w:r w:rsidRPr="00F45109">
        <w:rPr>
          <w:sz w:val="16"/>
        </w:rPr>
        <w:t xml:space="preserve">. Likewise, </w:t>
      </w:r>
      <w:r w:rsidRPr="00AC6484">
        <w:rPr>
          <w:rStyle w:val="StyleBoldUnderline"/>
        </w:rPr>
        <w:t>the government could ensure that e SA funds are spent on qualifying education - al products and services, but the accountability for results should lie with parents, who are in the best position to evaluate those results</w:t>
      </w:r>
      <w:r w:rsidRPr="00F45109">
        <w:rPr>
          <w:sz w:val="16"/>
        </w:rPr>
        <w:t xml:space="preserve">. </w:t>
      </w:r>
      <w:r w:rsidRPr="00AC6484">
        <w:rPr>
          <w:rStyle w:val="StyleBoldUnderline"/>
        </w:rPr>
        <w:t>Holding education providers directly accountable to parents creates a</w:t>
      </w:r>
      <w:r w:rsidRPr="00F45109">
        <w:rPr>
          <w:sz w:val="16"/>
        </w:rPr>
        <w:t xml:space="preserve"> </w:t>
      </w:r>
      <w:r w:rsidRPr="00AC6484">
        <w:rPr>
          <w:rStyle w:val="Emphasis"/>
        </w:rPr>
        <w:t>feedback loop</w:t>
      </w:r>
      <w:r w:rsidRPr="00F45109">
        <w:rPr>
          <w:sz w:val="16"/>
        </w:rPr>
        <w:t xml:space="preserve"> </w:t>
      </w:r>
      <w:r w:rsidRPr="00AC6484">
        <w:rPr>
          <w:rStyle w:val="StyleBoldUnderline"/>
        </w:rPr>
        <w:t>that does</w:t>
      </w:r>
      <w:r w:rsidRPr="00F45109">
        <w:rPr>
          <w:sz w:val="16"/>
        </w:rPr>
        <w:t xml:space="preserve"> </w:t>
      </w:r>
      <w:r w:rsidRPr="00AC6484">
        <w:rPr>
          <w:rStyle w:val="Emphasis"/>
        </w:rPr>
        <w:t>not exist in more central - ized, top-down systems like the district schools</w:t>
      </w:r>
      <w:r w:rsidRPr="00F45109">
        <w:rPr>
          <w:sz w:val="16"/>
        </w:rPr>
        <w:t xml:space="preserve">. As social scientist Yuval Levin has argued, </w:t>
      </w:r>
      <w:r w:rsidRPr="00AC6484">
        <w:rPr>
          <w:rStyle w:val="StyleBoldUnderline"/>
        </w:rPr>
        <w:t>this enables the system to “channel social knowledge from the bottom up rather than...impose technical knowl - edge from the top down.” This channeling is accom - plished “through a process of experimentation, eval - uation, and evolution.”</w:t>
      </w:r>
      <w:r w:rsidRPr="00F45109">
        <w:rPr>
          <w:sz w:val="16"/>
        </w:rPr>
        <w:t xml:space="preserve"> Markets are ideally suited to following these steps. They offer entrepreneurs and businesses a huge incentive to try new ways of doing things (experimentation); the people directly affected decide which ways they like best (evaluation); and those consumer responses inform which ways are kept and which are left behind (evolution). This three-step process is at work well beyond the bounds of explicitly economic activity. It is how our culture learns and evolves, how norms and habits form, and how society as a general mat - ter “decides” what to keep and what to change. </w:t>
      </w:r>
      <w:r w:rsidRPr="00AC6484">
        <w:rPr>
          <w:rStyle w:val="StyleBoldUnderline"/>
        </w:rPr>
        <w:t>It is an exceedingly effective way to balance stabil - ity with improvement, continuity with alteration, tradition with dynamism. It involves conserva - tion of the core with experimentation at the mar - gins in an effort to attain the best of both</w:t>
      </w:r>
      <w:r w:rsidRPr="00F45109">
        <w:rPr>
          <w:sz w:val="16"/>
        </w:rPr>
        <w:t xml:space="preserve">. 13 </w:t>
      </w:r>
      <w:r w:rsidRPr="00AC6484">
        <w:rPr>
          <w:rStyle w:val="Emphasis"/>
        </w:rPr>
        <w:t>This process builds on strengths and corrects errors more effectively than regulatory fiat</w:t>
      </w:r>
      <w:r w:rsidRPr="00F45109">
        <w:rPr>
          <w:sz w:val="16"/>
        </w:rPr>
        <w:t xml:space="preserve">. In a market-based system, high-quality education pro - viders that attract families have a strong incentive to expand while less effective providers must either go out of business or imitate their more successful competitors. </w:t>
      </w:r>
      <w:r w:rsidRPr="00AC6484">
        <w:rPr>
          <w:rStyle w:val="StyleBoldUnderline"/>
        </w:rPr>
        <w:t>For this process to work, education providers should have the freedom to innovate and parents the freedom to choose the providers that work best for their children. Policymakers should keep this in mind when designing educational choice policies</w:t>
      </w:r>
      <w:r w:rsidRPr="00F45109">
        <w:rPr>
          <w:sz w:val="16"/>
        </w:rPr>
        <w:t xml:space="preserve">. Educational Choice: Equity and Access Eligibility Criteria: Universal vs. Targeted. When crafting an education choice policy, policy - makers need to determine who should be eligible. As noted in the introduction, Milton Friedman advocated for making private school choice avail - able for all children. </w:t>
      </w:r>
      <w:r w:rsidRPr="00AC6484">
        <w:rPr>
          <w:rStyle w:val="StyleBoldUnderline"/>
        </w:rPr>
        <w:t>Choice could revolutionize our education system</w:t>
      </w:r>
      <w:r w:rsidRPr="00F45109">
        <w:rPr>
          <w:sz w:val="16"/>
        </w:rPr>
        <w:t xml:space="preserve">, he explained, “only if they create a large demand for private schools to constitute a real incentive for entrepreneurs to enter the indus - t r y.” m or e over, [t]hat requires first that the voucher be univer - sal, available to all who are now entitled to send their children to government schools, and sec - ond that the voucher, though less than the gov - ernment now spends per pupil on education, be large enough to cover the costs of a private prof - it-making school offering a high-quality educa - tion. If that is achieved there will in addition be a substantial number of families that will be will - ing and able to supplement the voucher in order to get an even higher quality of education. As in all cases, the innovations in the “luxury” product will soon spread to the basic product. 14 </w:t>
      </w:r>
      <w:r w:rsidRPr="00AC6484">
        <w:rPr>
          <w:rStyle w:val="StyleBoldUnderline"/>
        </w:rPr>
        <w:t>Innovation and growth in the education sector require a critical mass of potential students. If poli - cymakers limit e SA eligibility to a small number of students scattered around the state, they will help those students, but they will do little to encourage existing education providers to expand or new and innovative providers to enter the sector</w:t>
      </w:r>
      <w:r w:rsidRPr="00F45109">
        <w:rPr>
          <w:sz w:val="16"/>
        </w:rPr>
        <w:t xml:space="preserve">. m uch of the argument for parental choice in edu - cation has focused on the urgent needs of disadvan - taged students, who are often trapped in unsafe and failing schools because of the system of zip-code assignment. Providing these students with a lifeline to better options has been a top priority for many education reformers. While political realities may necessitate initially limiting eligibility to disadvan - taged students, such as those with special needs or from low-income families, or those who were assigned to a low-performing district school, these </w:t>
      </w:r>
      <w:r w:rsidRPr="00AC6484">
        <w:rPr>
          <w:rStyle w:val="StyleBoldUnderline"/>
        </w:rPr>
        <w:t>students’ interests will be best served in the long term by a universal system of choice</w:t>
      </w:r>
      <w:r w:rsidRPr="00F45109">
        <w:rPr>
          <w:sz w:val="16"/>
        </w:rPr>
        <w:t xml:space="preserve">. </w:t>
      </w:r>
      <w:r w:rsidRPr="00AC6484">
        <w:rPr>
          <w:rStyle w:val="StyleBoldUnderline"/>
        </w:rPr>
        <w:t>Universal education choice</w:t>
      </w:r>
      <w:r w:rsidRPr="00F45109">
        <w:rPr>
          <w:sz w:val="16"/>
        </w:rPr>
        <w:t xml:space="preserve"> </w:t>
      </w:r>
      <w:r w:rsidRPr="00AC6484">
        <w:rPr>
          <w:rStyle w:val="Emphasis"/>
        </w:rPr>
        <w:t>maximizes the num - ber of families of all backgrounds who can afford to pay for private education options,</w:t>
      </w:r>
      <w:r w:rsidRPr="00F45109">
        <w:rPr>
          <w:sz w:val="16"/>
        </w:rPr>
        <w:t xml:space="preserve"> </w:t>
      </w:r>
      <w:r w:rsidRPr="00AC6484">
        <w:rPr>
          <w:rStyle w:val="StyleBoldUnderline"/>
        </w:rPr>
        <w:t>and</w:t>
      </w:r>
      <w:r w:rsidRPr="00F45109">
        <w:rPr>
          <w:sz w:val="16"/>
        </w:rPr>
        <w:t xml:space="preserve"> as such, </w:t>
      </w:r>
      <w:r w:rsidRPr="00AC6484">
        <w:rPr>
          <w:rStyle w:val="Emphasis"/>
        </w:rPr>
        <w:t>fos - ters the introduction of new private schools and other education providers that meet the needs of all families</w:t>
      </w:r>
      <w:r w:rsidRPr="00F45109">
        <w:rPr>
          <w:sz w:val="16"/>
        </w:rPr>
        <w:t xml:space="preserve">, at a variety of price points. </w:t>
      </w:r>
      <w:r w:rsidRPr="00AC6484">
        <w:rPr>
          <w:rStyle w:val="StyleBoldUnderline"/>
        </w:rPr>
        <w:t>By contrast, more limited school choice models tend not to result in the emergence of new options, but instead sim - ply increase student enrollment in the schools that already exist</w:t>
      </w:r>
      <w:r w:rsidRPr="00F45109">
        <w:rPr>
          <w:sz w:val="16"/>
        </w:rPr>
        <w:t xml:space="preserve">. 15 </w:t>
      </w:r>
      <w:r w:rsidRPr="00AC6484">
        <w:rPr>
          <w:rStyle w:val="Emphasis"/>
        </w:rPr>
        <w:t>A universal option could pave the way for innovation in the supply of education providers</w:t>
      </w:r>
      <w:r w:rsidRPr="00F45109">
        <w:rPr>
          <w:sz w:val="16"/>
        </w:rPr>
        <w:t xml:space="preserve">. </w:t>
      </w:r>
      <w:r w:rsidRPr="00AC6484">
        <w:rPr>
          <w:rStyle w:val="StyleBoldUnderline"/>
        </w:rPr>
        <w:t>This would</w:t>
      </w:r>
      <w:r w:rsidRPr="00F45109">
        <w:rPr>
          <w:sz w:val="16"/>
        </w:rPr>
        <w:t xml:space="preserve"> potentially </w:t>
      </w:r>
      <w:r w:rsidRPr="00AC6484">
        <w:rPr>
          <w:rStyle w:val="StyleBoldUnderline"/>
        </w:rPr>
        <w:t>open more and higher quality options to disadvantaged students than they would have had merely from gaining more access to exist - ing options</w:t>
      </w:r>
      <w:r w:rsidRPr="00F45109">
        <w:rPr>
          <w:sz w:val="16"/>
        </w:rPr>
        <w:t xml:space="preserve">. </w:t>
      </w:r>
      <w:r w:rsidRPr="00AC6484">
        <w:rPr>
          <w:rStyle w:val="StyleBoldUnderline"/>
        </w:rPr>
        <w:t>Moreover, universality would break the link between where children live and what school they attend, creating competition among all schools to catalyze improvements for all children</w:t>
      </w:r>
      <w:r w:rsidRPr="00F45109">
        <w:rPr>
          <w:sz w:val="16"/>
        </w:rPr>
        <w:t xml:space="preserve">. </w:t>
      </w:r>
      <w:r w:rsidRPr="00AC6484">
        <w:rPr>
          <w:rStyle w:val="StyleBoldUnderline"/>
        </w:rPr>
        <w:t>Universality can create</w:t>
      </w:r>
      <w:r w:rsidRPr="00F45109">
        <w:rPr>
          <w:sz w:val="16"/>
        </w:rPr>
        <w:t xml:space="preserve"> </w:t>
      </w:r>
      <w:r w:rsidRPr="00AC6484">
        <w:rPr>
          <w:rStyle w:val="Emphasis"/>
        </w:rPr>
        <w:t>broad public support</w:t>
      </w:r>
      <w:r w:rsidRPr="00F45109">
        <w:rPr>
          <w:sz w:val="16"/>
        </w:rPr>
        <w:t xml:space="preserve"> </w:t>
      </w:r>
      <w:r w:rsidRPr="00AC6484">
        <w:rPr>
          <w:rStyle w:val="StyleBoldUnderline"/>
        </w:rPr>
        <w:t xml:space="preserve">for an education choice initiative to increase its likeli - hood of </w:t>
      </w:r>
      <w:r w:rsidRPr="00AC6484">
        <w:rPr>
          <w:rStyle w:val="Emphasis"/>
        </w:rPr>
        <w:t>long-term viability</w:t>
      </w:r>
      <w:r w:rsidRPr="00F45109">
        <w:rPr>
          <w:sz w:val="16"/>
        </w:rPr>
        <w:t xml:space="preserve">. </w:t>
      </w:r>
      <w:r w:rsidRPr="00AC6484">
        <w:rPr>
          <w:rStyle w:val="StyleBoldUnderline"/>
        </w:rPr>
        <w:t>In order to remain polit - ically viable</w:t>
      </w:r>
      <w:r w:rsidRPr="00F45109">
        <w:rPr>
          <w:sz w:val="16"/>
        </w:rPr>
        <w:t xml:space="preserve"> in the long run, </w:t>
      </w:r>
      <w:r w:rsidRPr="00AC6484">
        <w:rPr>
          <w:rStyle w:val="Emphasis"/>
        </w:rPr>
        <w:t>government policies require the broad support of the public</w:t>
      </w:r>
      <w:r w:rsidRPr="00F45109">
        <w:rPr>
          <w:sz w:val="16"/>
        </w:rPr>
        <w:t xml:space="preserve">, and </w:t>
      </w:r>
      <w:r w:rsidRPr="00AC6484">
        <w:rPr>
          <w:rStyle w:val="StyleBoldUnderline"/>
        </w:rPr>
        <w:t>surveys consistently show that Americans favor universal choice programs over targeted ones</w:t>
      </w:r>
      <w:r w:rsidRPr="00F45109">
        <w:rPr>
          <w:sz w:val="16"/>
        </w:rPr>
        <w:t xml:space="preserve">. 16 As Jay P. Greene of the University of Arkansas has argued, even more than broad public support, choice policies need the support of concentrated constituencies along with that of the general public to counter-balance the opposition of concentrated constituencies that want to curb or eliminate educa - tional choice programs: “As much as reformers may be motivated to promote equity, a basic lesson about political reality is that more advantaged people tend to have more political power.” 17 </w:t>
      </w:r>
      <w:r w:rsidRPr="00F45109">
        <w:rPr>
          <w:rStyle w:val="StyleBoldUnderline"/>
        </w:rPr>
        <w:t>In aligning the inter - ests of the poor and upper income alike, universal choice programs are likely to become less political - ly vulnerable in the long run</w:t>
      </w:r>
      <w:r w:rsidRPr="00F45109">
        <w:rPr>
          <w:sz w:val="16"/>
        </w:rPr>
        <w:t xml:space="preserve">. </w:t>
      </w:r>
      <w:r w:rsidRPr="00F45109">
        <w:rPr>
          <w:rStyle w:val="StyleBoldUnderline"/>
        </w:rPr>
        <w:t>broad public support has tangible value when it brings the interests of the public at large against the concentrated opposition of unions</w:t>
      </w:r>
      <w:r w:rsidRPr="00F45109">
        <w:rPr>
          <w:sz w:val="16"/>
        </w:rPr>
        <w:t xml:space="preserve">. This section has explained why </w:t>
      </w:r>
      <w:r w:rsidRPr="00F45109">
        <w:rPr>
          <w:rStyle w:val="StyleBoldUnderline"/>
        </w:rPr>
        <w:t>an ideal educa - tional choice policy would offer universal eligibil - ity</w:t>
      </w:r>
      <w:r w:rsidRPr="00F45109">
        <w:rPr>
          <w:sz w:val="16"/>
        </w:rPr>
        <w:t xml:space="preserve">. However, the political realities of the legislative process in some states have required the adoption of more limited choice policies or pilot programs. In such cases, priority should be given to those who have the greatest need, particularly low-income families and students with special needs. Four of the five states that have so far enacted eSAs originally limited eligibility to students with special needs, although Arizona has since expanded eligibility to include several other categories of disad - vantaged students. e SAs are particularly beneficial for these students because they require educational therapies and services that are generally not pres - ent in a typical classroom and that many schools are ill-equipped to provide. In a survey of parents of stu - dents with special needs participating in Arizona’s eSA program, 100 percent of respondents reported being satisfied with the education they purchased with their e SA while only 43 percent were satis - fied with the district school their child previously attended. 18 m oreover, the lowest-income families were both the most likely to have been dissatisfied or very dissatisfied with their previous district school (67 percent) and the most likely to say that they were very satisfied with the e SA (89 percent). 19 </w:t>
      </w:r>
      <w:r w:rsidRPr="00F45109">
        <w:rPr>
          <w:rStyle w:val="StyleBoldUnderline"/>
        </w:rPr>
        <w:t>States contemplating a pilot program or other - wise limited choice policy should avoid limiting eligibility to students assigned to so-called “fail - ing” district schools</w:t>
      </w:r>
      <w:r w:rsidRPr="00F45109">
        <w:rPr>
          <w:sz w:val="16"/>
        </w:rPr>
        <w:t xml:space="preserve">. Some states have tied student eligibility for educational choice programs to the state’s district school accountability system, offer - ing vouchers or e SAs to students assigned to district schools receiving “D” or “F” grades, for example. Despite its good intentions, the “failing schools” model of choice is flawed. It is institution-centric rather than student-centric. </w:t>
      </w:r>
      <w:r w:rsidRPr="00F45109">
        <w:rPr>
          <w:rStyle w:val="StyleBoldUnderline"/>
        </w:rPr>
        <w:t>The purpose of expand - ing educational choice is to provide every student with the opportunity to get the education that works best</w:t>
      </w:r>
      <w:r w:rsidRPr="00F45109">
        <w:rPr>
          <w:sz w:val="16"/>
        </w:rPr>
        <w:t xml:space="preserve"> for him or her. However, </w:t>
      </w:r>
      <w:r w:rsidRPr="00F45109">
        <w:rPr>
          <w:rStyle w:val="StyleBoldUnderline"/>
        </w:rPr>
        <w:t>even the highest-per - forming schools are not necessarily the right fit for all the students who happen to live nearby</w:t>
      </w:r>
      <w:r w:rsidRPr="00F45109">
        <w:rPr>
          <w:sz w:val="16"/>
        </w:rPr>
        <w:t>. A student assigned to a school that earns an “A” on average might be better served elsewhere. Moreover, school grades are subject to change, which creates uncer - tainty regarding the eligibility of students from year to yea r. One reason policymakers often consider a pilot program rather than full-scale adoption is to give the existing system time to adjust. Limiting eligibil - ity to students who are switching out of the district or charter school system, or who are entering kin - dergarten or first grade for the first time, is one way to phase in e SAs in a manner that also maximizes the potential for savings.</w:t>
      </w:r>
    </w:p>
    <w:p w14:paraId="084D7BEA" w14:textId="0EFFBBB0" w:rsidR="00EE7F6B" w:rsidRDefault="00EE7F6B" w:rsidP="00EE7F6B">
      <w:pPr>
        <w:pStyle w:val="Heading2"/>
      </w:pPr>
      <w:r>
        <w:t>*P-20 CP</w:t>
      </w:r>
    </w:p>
    <w:p w14:paraId="03D0190C" w14:textId="24785EF8" w:rsidR="00EE7F6B" w:rsidRDefault="007017D9" w:rsidP="007017D9">
      <w:pPr>
        <w:pStyle w:val="Heading4"/>
      </w:pPr>
      <w:r>
        <w:t>P-20s allow states to uniformly act on education</w:t>
      </w:r>
    </w:p>
    <w:p w14:paraId="0C4C24B1" w14:textId="41BB31C3" w:rsidR="00EE7F6B" w:rsidRPr="00EE7F6B" w:rsidRDefault="00EE7F6B" w:rsidP="00EE7F6B">
      <w:pPr>
        <w:rPr>
          <w:rStyle w:val="StyleStyleBold12pt"/>
          <w:b w:val="0"/>
        </w:rPr>
      </w:pPr>
      <w:r>
        <w:rPr>
          <w:rStyle w:val="StyleStyleBold12pt"/>
        </w:rPr>
        <w:t xml:space="preserve">Rippner Executive Director of Education Policy in the UGA System and Professor of Education at UGA ’14 </w:t>
      </w:r>
      <w:r>
        <w:rPr>
          <w:rStyle w:val="StyleStyleBold12pt"/>
          <w:b w:val="0"/>
        </w:rPr>
        <w:t>(Jennifer, “</w:t>
      </w:r>
      <w:r w:rsidRPr="00EE7F6B">
        <w:rPr>
          <w:rStyle w:val="StyleStyleBold12pt"/>
          <w:b w:val="0"/>
        </w:rPr>
        <w:t>State P-20 Councils and Collaboration Between K-12 and Higher Education</w:t>
      </w:r>
      <w:r>
        <w:rPr>
          <w:rStyle w:val="StyleStyleBold12pt"/>
          <w:b w:val="0"/>
        </w:rPr>
        <w:t xml:space="preserve">,” </w:t>
      </w:r>
      <w:r>
        <w:rPr>
          <w:rStyle w:val="StyleStyleBold12pt"/>
          <w:b w:val="0"/>
          <w:i/>
        </w:rPr>
        <w:t>Educational Policy</w:t>
      </w:r>
      <w:r>
        <w:rPr>
          <w:rStyle w:val="StyleStyleBold12pt"/>
          <w:b w:val="0"/>
        </w:rPr>
        <w:t xml:space="preserve">, </w:t>
      </w:r>
      <w:r>
        <w:rPr>
          <w:rStyle w:val="StyleStyleBold12pt"/>
          <w:b w:val="0"/>
          <w:i/>
        </w:rPr>
        <w:t>31</w:t>
      </w:r>
      <w:r>
        <w:rPr>
          <w:rStyle w:val="StyleStyleBold12pt"/>
          <w:b w:val="0"/>
        </w:rPr>
        <w:t>(1), November 26, Stadt)</w:t>
      </w:r>
    </w:p>
    <w:p w14:paraId="100E8096" w14:textId="42387E25" w:rsidR="00EE7F6B" w:rsidRPr="007017D9" w:rsidRDefault="00EE7F6B" w:rsidP="00EE7F6B">
      <w:pPr>
        <w:rPr>
          <w:sz w:val="16"/>
        </w:rPr>
      </w:pPr>
      <w:r w:rsidRPr="00EE7F6B">
        <w:rPr>
          <w:rStyle w:val="StyleBoldUnderline"/>
        </w:rPr>
        <w:t>Dissatisfaction with the levels of educational achievement and attainment permeates the</w:t>
      </w:r>
      <w:r w:rsidRPr="007017D9">
        <w:rPr>
          <w:sz w:val="16"/>
        </w:rPr>
        <w:t xml:space="preserve"> history of education in the </w:t>
      </w:r>
      <w:r w:rsidRPr="00EE7F6B">
        <w:rPr>
          <w:rStyle w:val="StyleBoldUnderline"/>
        </w:rPr>
        <w:t>U</w:t>
      </w:r>
      <w:r w:rsidRPr="007017D9">
        <w:rPr>
          <w:sz w:val="16"/>
        </w:rPr>
        <w:t xml:space="preserve">nited </w:t>
      </w:r>
      <w:r w:rsidRPr="00EE7F6B">
        <w:rPr>
          <w:rStyle w:val="StyleBoldUnderline"/>
        </w:rPr>
        <w:t>S</w:t>
      </w:r>
      <w:r w:rsidRPr="007017D9">
        <w:rPr>
          <w:sz w:val="16"/>
        </w:rPr>
        <w:t>tates. Today, the focus is on postsecondary educational attainment as the United States has seen its preeminence in the percentage of adults with a higher education credential decline in relation to other countries. Some researchers blame historical and current educational attainment issues on the organizational disjuncture between K-12 and higher education sectors, which prevents seamless and successful transitions from high school to college (Chamberlin &amp; Plucker, 2008; Conklin, 2005; Hodgkinson, 1999; Kirst, 2005; Kirst &amp; Venezia, 2004; Timpane, 1999). S</w:t>
      </w:r>
      <w:r w:rsidRPr="007017D9">
        <w:rPr>
          <w:rStyle w:val="StyleBoldUnderline"/>
        </w:rPr>
        <w:t>everal states have attempted to remedy this</w:t>
      </w:r>
      <w:r w:rsidRPr="007017D9">
        <w:rPr>
          <w:sz w:val="16"/>
        </w:rPr>
        <w:t xml:space="preserve"> disjuncture through curricular alignment, accreditation of secondary schools by colleges, and experimentation </w:t>
      </w:r>
      <w:r w:rsidRPr="007017D9">
        <w:rPr>
          <w:rStyle w:val="StyleBoldUnderline"/>
        </w:rPr>
        <w:t>with streamlined state governance structures</w:t>
      </w:r>
      <w:r w:rsidRPr="007017D9">
        <w:rPr>
          <w:sz w:val="16"/>
        </w:rPr>
        <w:t xml:space="preserve">. </w:t>
      </w:r>
      <w:r w:rsidRPr="007017D9">
        <w:rPr>
          <w:rStyle w:val="StyleBoldUnderline"/>
        </w:rPr>
        <w:t>While these solutions held some success, none carried the magic formula</w:t>
      </w:r>
      <w:r w:rsidRPr="007017D9">
        <w:rPr>
          <w:sz w:val="16"/>
        </w:rPr>
        <w:t xml:space="preserve"> to ensure all (or at least the majority of) students matriculated successfully (Kirst, 2005). </w:t>
      </w:r>
      <w:r w:rsidRPr="007017D9">
        <w:rPr>
          <w:rStyle w:val="StyleBoldUnderline"/>
        </w:rPr>
        <w:t>A more recent state tactic to achieve seamlessness is</w:t>
      </w:r>
      <w:r w:rsidRPr="007017D9">
        <w:rPr>
          <w:sz w:val="16"/>
        </w:rPr>
        <w:t xml:space="preserve"> the implementation and use of </w:t>
      </w:r>
      <w:r w:rsidRPr="007017D9">
        <w:rPr>
          <w:rStyle w:val="StyleBoldUnderline"/>
        </w:rPr>
        <w:t>a state P-20</w:t>
      </w:r>
      <w:r w:rsidRPr="007017D9">
        <w:rPr>
          <w:sz w:val="16"/>
        </w:rPr>
        <w:t xml:space="preserve">1 </w:t>
      </w:r>
      <w:r w:rsidRPr="007017D9">
        <w:rPr>
          <w:rStyle w:val="StyleBoldUnderline"/>
        </w:rPr>
        <w:t>council</w:t>
      </w:r>
      <w:r w:rsidRPr="007017D9">
        <w:rPr>
          <w:sz w:val="16"/>
        </w:rPr>
        <w:t xml:space="preserve"> </w:t>
      </w:r>
      <w:r w:rsidRPr="007017D9">
        <w:rPr>
          <w:rStyle w:val="Emphasis"/>
        </w:rPr>
        <w:t>to align efforts of all state educational sectors</w:t>
      </w:r>
      <w:r w:rsidRPr="007017D9">
        <w:rPr>
          <w:sz w:val="16"/>
        </w:rPr>
        <w:t xml:space="preserve">. Over the past two decades, </w:t>
      </w:r>
      <w:r w:rsidRPr="007017D9">
        <w:rPr>
          <w:rStyle w:val="Emphasis"/>
        </w:rPr>
        <w:t>many states</w:t>
      </w:r>
      <w:r w:rsidRPr="007017D9">
        <w:rPr>
          <w:sz w:val="16"/>
        </w:rPr>
        <w:t xml:space="preserve"> </w:t>
      </w:r>
      <w:r w:rsidRPr="007017D9">
        <w:rPr>
          <w:rStyle w:val="StyleBoldUnderline"/>
        </w:rPr>
        <w:t>have used these councils</w:t>
      </w:r>
      <w:r w:rsidRPr="007017D9">
        <w:rPr>
          <w:sz w:val="16"/>
        </w:rPr>
        <w:t xml:space="preserve"> </w:t>
      </w:r>
      <w:r w:rsidRPr="007017D9">
        <w:rPr>
          <w:rStyle w:val="StyleBoldUnderline"/>
        </w:rPr>
        <w:t>to</w:t>
      </w:r>
      <w:r w:rsidRPr="007017D9">
        <w:rPr>
          <w:sz w:val="16"/>
        </w:rPr>
        <w:t xml:space="preserve"> help </w:t>
      </w:r>
      <w:r w:rsidRPr="007017D9">
        <w:rPr>
          <w:rStyle w:val="Emphasis"/>
        </w:rPr>
        <w:t>bridge communications and policies between state education entities</w:t>
      </w:r>
      <w:r w:rsidRPr="007017D9">
        <w:rPr>
          <w:sz w:val="16"/>
        </w:rPr>
        <w:t xml:space="preserve"> </w:t>
      </w:r>
      <w:r w:rsidRPr="007017D9">
        <w:rPr>
          <w:rStyle w:val="StyleBoldUnderline"/>
        </w:rPr>
        <w:t>by bringing a variety of education stakeholders together to discuss statewide educational issues</w:t>
      </w:r>
      <w:r w:rsidRPr="007017D9">
        <w:rPr>
          <w:sz w:val="16"/>
        </w:rPr>
        <w:t xml:space="preserve">. The Education Commission of the States (ECS), a national commission of </w:t>
      </w:r>
      <w:r w:rsidRPr="007017D9">
        <w:rPr>
          <w:rStyle w:val="StyleBoldUnderline"/>
        </w:rPr>
        <w:t>state education and</w:t>
      </w:r>
      <w:r w:rsidRPr="007017D9">
        <w:rPr>
          <w:sz w:val="16"/>
        </w:rPr>
        <w:t xml:space="preserve"> </w:t>
      </w:r>
      <w:r w:rsidRPr="007017D9">
        <w:rPr>
          <w:rStyle w:val="StyleBoldUnderline"/>
        </w:rPr>
        <w:t>political leaders</w:t>
      </w:r>
      <w:r w:rsidRPr="007017D9">
        <w:rPr>
          <w:sz w:val="16"/>
        </w:rPr>
        <w:t xml:space="preserve">, has perhaps been the most vocal in touting the promise of P-20 councils. They </w:t>
      </w:r>
      <w:r w:rsidRPr="007017D9">
        <w:rPr>
          <w:rStyle w:val="StyleBoldUnderline"/>
        </w:rPr>
        <w:t>cite</w:t>
      </w:r>
      <w:r w:rsidRPr="007017D9">
        <w:rPr>
          <w:sz w:val="16"/>
        </w:rPr>
        <w:t xml:space="preserve"> several </w:t>
      </w:r>
      <w:r w:rsidRPr="007017D9">
        <w:rPr>
          <w:rStyle w:val="StyleBoldUnderline"/>
        </w:rPr>
        <w:t>specific advantages including</w:t>
      </w:r>
      <w:r w:rsidRPr="007017D9">
        <w:rPr>
          <w:sz w:val="16"/>
        </w:rPr>
        <w:t xml:space="preserve"> (a) </w:t>
      </w:r>
      <w:r w:rsidRPr="007017D9">
        <w:rPr>
          <w:rStyle w:val="Emphasis"/>
        </w:rPr>
        <w:t>ability to build consensus among different actors</w:t>
      </w:r>
      <w:r w:rsidRPr="007017D9">
        <w:rPr>
          <w:sz w:val="16"/>
        </w:rPr>
        <w:t xml:space="preserve">, (b) provision of </w:t>
      </w:r>
      <w:r w:rsidRPr="007017D9">
        <w:rPr>
          <w:rStyle w:val="StyleBoldUnderline"/>
        </w:rPr>
        <w:t>a venue for discussion of crosscutting issues</w:t>
      </w:r>
      <w:r w:rsidRPr="007017D9">
        <w:rPr>
          <w:sz w:val="16"/>
        </w:rPr>
        <w:t xml:space="preserve">, (c) </w:t>
      </w:r>
      <w:r w:rsidRPr="007017D9">
        <w:rPr>
          <w:rStyle w:val="StyleBoldUnderline"/>
        </w:rPr>
        <w:t>ability to make decisions in the best interests of the student rather than a particular organization</w:t>
      </w:r>
      <w:r w:rsidRPr="007017D9">
        <w:rPr>
          <w:sz w:val="16"/>
        </w:rPr>
        <w:t xml:space="preserve">, (d) </w:t>
      </w:r>
      <w:r w:rsidRPr="007017D9">
        <w:rPr>
          <w:rStyle w:val="StyleBoldUnderline"/>
        </w:rPr>
        <w:t>potential to save money through elimination of redundancies in services</w:t>
      </w:r>
      <w:r w:rsidRPr="007017D9">
        <w:rPr>
          <w:sz w:val="16"/>
        </w:rPr>
        <w:t xml:space="preserve">, and (e) a bigger tax base from a more educated population (Dounay, 2009). Some call P-20 councils </w:t>
      </w:r>
      <w:r w:rsidRPr="007017D9">
        <w:rPr>
          <w:rStyle w:val="StyleBoldUnderline"/>
        </w:rPr>
        <w:t>one of the most promising innovations</w:t>
      </w:r>
      <w:r w:rsidRPr="007017D9">
        <w:rPr>
          <w:sz w:val="16"/>
        </w:rPr>
        <w:t xml:space="preserve"> in the past several years (Chamberlin &amp; Plucker, 2008), while others caution not to put too much stock on a mechanism that merely links already dysfunctional structures (Hess, 2008). </w:t>
      </w:r>
      <w:r w:rsidRPr="007017D9">
        <w:rPr>
          <w:rStyle w:val="StyleBoldUnderline"/>
        </w:rPr>
        <w:t>Given the number of states that are investing resources in these councils and the important goals with which the councils are charged, it is imperative to understand their role in creating more seamless state education governance systems</w:t>
      </w:r>
      <w:r w:rsidRPr="007017D9">
        <w:rPr>
          <w:sz w:val="16"/>
        </w:rPr>
        <w:t xml:space="preserve">. While </w:t>
      </w:r>
      <w:r w:rsidRPr="007017D9">
        <w:rPr>
          <w:rStyle w:val="StyleBoldUnderline"/>
        </w:rPr>
        <w:t>it makes common sense to utilize P-20 councils for collaborative efforts</w:t>
      </w:r>
      <w:r w:rsidRPr="007017D9">
        <w:rPr>
          <w:sz w:val="16"/>
        </w:rPr>
        <w:t xml:space="preserve">, there is little empirical data to know whether they are, in fact, effective and in what forms. This article aims to further the literature by describing how </w:t>
      </w:r>
      <w:r w:rsidRPr="007017D9">
        <w:rPr>
          <w:rStyle w:val="Emphasis"/>
        </w:rPr>
        <w:t>the organizational structures of state P-20 councils influence the collaboration of K-12</w:t>
      </w:r>
      <w:r w:rsidRPr="007017D9">
        <w:rPr>
          <w:sz w:val="16"/>
        </w:rPr>
        <w:t xml:space="preserve"> and higher education and to what end. First, this study will provide an updated national picture of P-20 councils as the last national scan of state P-20 council activity occurred in 2008. Second, this research aims to bring together relevant bodies of literature and theory not previously combined—P-20 collaboration and interorganizational relations—in the attempt to add a new theoretical view to empirical research in this area of study. Finally, the majority of this article will describe and compare case studies of three state P-20 councils. Specific research questions include the following: Research Question 1: What is the current landscape of state P-20 councils and how has it changed since 2008? Research Question 2: What, if any, structural aspects of P-20 councils facilitate meaningful collaboration? Literature Review Creation of P-20 Councils States began experimenting with P-20 councils in the 1990s. Since then, many of these councils transformed as a change of gubernatorial leadership often initiates, changes, or disbands a council. Around the same time period, many </w:t>
      </w:r>
      <w:r w:rsidRPr="007017D9">
        <w:rPr>
          <w:rStyle w:val="StyleBoldUnderline"/>
        </w:rPr>
        <w:t>education organizations</w:t>
      </w:r>
      <w:r w:rsidRPr="007017D9">
        <w:rPr>
          <w:sz w:val="16"/>
        </w:rPr>
        <w:t xml:space="preserve"> also </w:t>
      </w:r>
      <w:r w:rsidRPr="007017D9">
        <w:rPr>
          <w:rStyle w:val="StyleBoldUnderline"/>
        </w:rPr>
        <w:t>recognize</w:t>
      </w:r>
      <w:r w:rsidRPr="007017D9">
        <w:rPr>
          <w:sz w:val="16"/>
        </w:rPr>
        <w:t xml:space="preserve">d </w:t>
      </w:r>
      <w:r w:rsidRPr="007017D9">
        <w:rPr>
          <w:rStyle w:val="StyleBoldUnderline"/>
        </w:rPr>
        <w:t>the need for</w:t>
      </w:r>
      <w:r w:rsidRPr="007017D9">
        <w:rPr>
          <w:sz w:val="16"/>
        </w:rPr>
        <w:t xml:space="preserve"> </w:t>
      </w:r>
      <w:r w:rsidRPr="007017D9">
        <w:rPr>
          <w:rStyle w:val="Emphasis"/>
        </w:rPr>
        <w:t>greater collaboration</w:t>
      </w:r>
      <w:r w:rsidRPr="007017D9">
        <w:rPr>
          <w:sz w:val="16"/>
        </w:rPr>
        <w:t xml:space="preserve"> </w:t>
      </w:r>
      <w:r w:rsidRPr="007017D9">
        <w:rPr>
          <w:rStyle w:val="StyleBoldUnderline"/>
        </w:rPr>
        <w:t>between sectors to advance overarching state goals</w:t>
      </w:r>
      <w:r w:rsidRPr="007017D9">
        <w:rPr>
          <w:sz w:val="16"/>
        </w:rPr>
        <w:t xml:space="preserve">. </w:t>
      </w:r>
      <w:r w:rsidRPr="007017D9">
        <w:rPr>
          <w:rStyle w:val="StyleBoldUnderline"/>
        </w:rPr>
        <w:t>The Education Trust, National Governors Association, National Association of System Heads, and Achieve, Inc. all</w:t>
      </w:r>
      <w:r w:rsidRPr="007017D9">
        <w:rPr>
          <w:sz w:val="16"/>
        </w:rPr>
        <w:t xml:space="preserve"> sponsored conferences, </w:t>
      </w:r>
      <w:r w:rsidRPr="007017D9">
        <w:rPr>
          <w:rStyle w:val="StyleBoldUnderline"/>
        </w:rPr>
        <w:t>work</w:t>
      </w:r>
      <w:r w:rsidRPr="007017D9">
        <w:rPr>
          <w:sz w:val="16"/>
        </w:rPr>
        <w:t xml:space="preserve">shops, and institutes </w:t>
      </w:r>
      <w:r w:rsidRPr="007017D9">
        <w:rPr>
          <w:rStyle w:val="Emphasis"/>
        </w:rPr>
        <w:t>to bring together state K-12</w:t>
      </w:r>
      <w:r w:rsidRPr="007017D9">
        <w:rPr>
          <w:sz w:val="16"/>
        </w:rPr>
        <w:t xml:space="preserve"> and higher </w:t>
      </w:r>
      <w:r w:rsidRPr="007017D9">
        <w:rPr>
          <w:rStyle w:val="Emphasis"/>
        </w:rPr>
        <w:t>education leaders to address specific substantive issues</w:t>
      </w:r>
      <w:r w:rsidRPr="007017D9">
        <w:rPr>
          <w:sz w:val="16"/>
        </w:rPr>
        <w:t xml:space="preserve"> related to the transition between high school and college. </w:t>
      </w:r>
      <w:r w:rsidRPr="007017D9">
        <w:rPr>
          <w:rStyle w:val="StyleBoldUnderline"/>
        </w:rPr>
        <w:t>These networks have produced</w:t>
      </w:r>
      <w:r w:rsidRPr="007017D9">
        <w:rPr>
          <w:sz w:val="16"/>
        </w:rPr>
        <w:t xml:space="preserve"> some </w:t>
      </w:r>
      <w:r w:rsidRPr="007017D9">
        <w:rPr>
          <w:rStyle w:val="StyleBoldUnderline"/>
        </w:rPr>
        <w:t>success</w:t>
      </w:r>
      <w:r w:rsidRPr="007017D9">
        <w:rPr>
          <w:sz w:val="16"/>
        </w:rPr>
        <w:t xml:space="preserve"> </w:t>
      </w:r>
      <w:r w:rsidRPr="007017D9">
        <w:rPr>
          <w:rStyle w:val="Emphasis"/>
        </w:rPr>
        <w:t>in fostering collaboration</w:t>
      </w:r>
      <w:r w:rsidRPr="007017D9">
        <w:rPr>
          <w:sz w:val="16"/>
        </w:rPr>
        <w:t xml:space="preserve"> as many states have or are in the process of aligning high school exit requirements with college entrance/placement exams (Achieve, 2012). However, these state collaborations usually only last for the length of the convening. Achievement of current goals, including those related to postsecondary attainment, necessitate continuing conversations between the sectors. Current Environment of P-20 Councils Twenty-two states have some form of P-20 council. This represents a decrease from 38 councils in 2008 (Education Commission of the States, 2013). Figure 1 shows those states with an active P-20 council as of March 2014.2 P-20 councils can vary in so many ways that almost no state council mirrors another. Variations include number and type of members, role of chairperson, agenda items, staff support, and monetary resources. Council membership ranges from 7 to 43 members. In all but six states </w:t>
      </w:r>
      <w:r w:rsidRPr="007017D9">
        <w:rPr>
          <w:rStyle w:val="StyleBoldUnderline"/>
        </w:rPr>
        <w:t>with a council, the Governor appoints all or some members</w:t>
      </w:r>
      <w:r w:rsidRPr="007017D9">
        <w:rPr>
          <w:sz w:val="16"/>
        </w:rPr>
        <w:t xml:space="preserve">. Governors and/or their designee are also often members, if not chairs, of these councils. There has been substantial transition in state P-20 councils over the past several years. Three states (Oregon [OR], Rhode Island [RI], and Washington [WA]) moved from utilizing a P-20 council to instituting a more holistic P-20 governance structure. Sixteen states (Alaska [AK], California [CA], Iowa [IA], Kansas [KS], Kentucky [KY], Maine [ME], Missouri [MO], Montana [MT], New Hampshire [NH], North Dakota [ND], Ohio [OH], Oklahoma [OK], South Carolina [SC], South Dakota [SD], Tennessee [TN], Virginia [VA]) started, but then disbanded any formal P-20 efforts. And 13 states (Arizona [AZ], Colorado [CO], Connecticut [CT], Georgia [GA], Illinois [IL], Maryland [MD], Minnesota [MN], Mississippi [MS], Nebraska [NE], Nevada [NV], North Carolina [NC], West Virginia [WV], Wyoming [WY]) have transformed the structure of their council in some way. The decrease in state use of P-20 councils over the past 6 years and the large number of states altering their P-20 council structure may signal the difficulty in structuring the council for meaningful collaboration. P-20 Council Research P-20 councils are tools that require expenditure of scarce resources (viz., time and money) and are charged with important goals. Unfortunately, too little research regarding collaboration has occurred to date and many researchers and policy analysts have cited the need for more empirical research (Dounay, 2008; Kirst, 2005; McLendon, Heller, &amp; Lee, 2009; Mokher, 2010). The bulk of empirical literature on state P-20 councils is in the form of qualitative case studies. Some of these are published in scholarly journals and books (e.g., Domina &amp; Ruzek, 2012; Kirst &amp; Venezia, 2004; Nunez &amp; Oliva, 2009) while policy groups and associations produce others (e.g., Dounay, 2009; Shulock, 2009; Venezia, Callan, Finney, Kirst, &amp; Usdan, 2005; Walsh, 2009). Overall, the existing research points to mixed results. Although there is no common definition of council effectiveness, which makes assessment of these structures difficult, most research papers and policy briefs find at least some benefit to these councils and often provide recommendations for implementation based on oft noted “barriers to success.” For example, Nunez and Oliva’s (2009) review of existing research found that “successful” </w:t>
      </w:r>
      <w:r w:rsidRPr="007017D9">
        <w:rPr>
          <w:rStyle w:val="StyleBoldUnderline"/>
        </w:rPr>
        <w:t>P-20 councils “build trust” and “maintain communications” between stakeholders, have adequate support for the council through staffing and funding, and have connected data systems</w:t>
      </w:r>
      <w:r w:rsidRPr="007017D9">
        <w:rPr>
          <w:sz w:val="16"/>
        </w:rPr>
        <w:t xml:space="preserve"> (p. 331). ECS has also published several briefs aimed at providing specific and detailed direction to P-20 councils including “landmines to avoid” (see Dounay, 2008, 2009). Shulock (2009) found, in her three-state case study of P-20 councils, a strong disconnect between P-20 council planning and action—P-20 councils spent too much time discussing and planning initiatives while action toward implementation was often absent. Most recently, Finney, Perna, and Callan (2014) found that although cross-sector collaborations “raise awareness and encourage dialogue across state education sectors, they have had little success enacting policies to improve performance” (p. 8).</w:t>
      </w:r>
    </w:p>
    <w:p w14:paraId="4484B4E8" w14:textId="748256A6" w:rsidR="00EE7F6B" w:rsidRDefault="00C71BF0" w:rsidP="00C71BF0">
      <w:pPr>
        <w:pStyle w:val="Heading4"/>
      </w:pPr>
      <w:r>
        <w:t>P-20 solves for disadvantaged students – prepares them for the workforce</w:t>
      </w:r>
    </w:p>
    <w:p w14:paraId="21876A8C" w14:textId="0F9FBDE9" w:rsidR="00C71BF0" w:rsidRPr="00C71BF0" w:rsidRDefault="00C71BF0" w:rsidP="00EE7F6B">
      <w:pPr>
        <w:rPr>
          <w:rStyle w:val="StyleStyleBold12pt"/>
          <w:b w:val="0"/>
        </w:rPr>
      </w:pPr>
      <w:r>
        <w:rPr>
          <w:rStyle w:val="StyleStyleBold12pt"/>
        </w:rPr>
        <w:t xml:space="preserve">Lynch Author of </w:t>
      </w:r>
      <w:r>
        <w:rPr>
          <w:rStyle w:val="StyleStyleBold12pt"/>
          <w:i/>
        </w:rPr>
        <w:t xml:space="preserve">The Call to Teach </w:t>
      </w:r>
      <w:r>
        <w:rPr>
          <w:rStyle w:val="StyleStyleBold12pt"/>
        </w:rPr>
        <w:t xml:space="preserve">and Ed.D. ’14 </w:t>
      </w:r>
      <w:r>
        <w:rPr>
          <w:rStyle w:val="StyleStyleBold12pt"/>
          <w:b w:val="0"/>
        </w:rPr>
        <w:t>(Matthew, “</w:t>
      </w:r>
      <w:r w:rsidRPr="00C71BF0">
        <w:rPr>
          <w:rStyle w:val="StyleStyleBold12pt"/>
          <w:b w:val="0"/>
        </w:rPr>
        <w:t>P-16 and P-20 Initiatives: Critical for Education Reform</w:t>
      </w:r>
      <w:r>
        <w:rPr>
          <w:rStyle w:val="StyleStyleBold12pt"/>
          <w:b w:val="0"/>
        </w:rPr>
        <w:t xml:space="preserve">,” May 3, </w:t>
      </w:r>
      <w:r w:rsidRPr="00C71BF0">
        <w:rPr>
          <w:rStyle w:val="StyleStyleBold12pt"/>
          <w:b w:val="0"/>
        </w:rPr>
        <w:t>http://www.huffingtonpost.com/matthew-lynch-edd/p-16-and-p-20-initiatives_b_4894357.html</w:t>
      </w:r>
      <w:r>
        <w:rPr>
          <w:rStyle w:val="StyleStyleBold12pt"/>
          <w:b w:val="0"/>
        </w:rPr>
        <w:t>, Stadt)</w:t>
      </w:r>
    </w:p>
    <w:p w14:paraId="6C0C9213" w14:textId="189EDCC0" w:rsidR="00C71BF0" w:rsidRPr="00C71BF0" w:rsidRDefault="00C71BF0" w:rsidP="00C71BF0">
      <w:pPr>
        <w:rPr>
          <w:sz w:val="16"/>
        </w:rPr>
      </w:pPr>
      <w:r w:rsidRPr="00C71BF0">
        <w:rPr>
          <w:sz w:val="16"/>
        </w:rPr>
        <w:t>Taking that concept a step further, P</w:t>
      </w:r>
      <w:r w:rsidRPr="00C71BF0">
        <w:rPr>
          <w:rStyle w:val="StyleBoldUnderline"/>
        </w:rPr>
        <w:t>-20 initiatives support collaboration between academics and workforce training</w:t>
      </w:r>
      <w:r w:rsidRPr="00C71BF0">
        <w:rPr>
          <w:sz w:val="16"/>
        </w:rPr>
        <w:t xml:space="preserve">. Instead of handing over a college degree with a “good luck,” colleges and universities with P-20 programs strive to guide students in their early careers. Organizations like the P-20 Council of Connecticut offer readiness workshops and help college graduates find and keep jobs. </w:t>
      </w:r>
      <w:r w:rsidRPr="00C71BF0">
        <w:rPr>
          <w:rStyle w:val="StyleBoldUnderline"/>
        </w:rPr>
        <w:t>States</w:t>
      </w:r>
      <w:r w:rsidRPr="00C71BF0">
        <w:rPr>
          <w:sz w:val="16"/>
        </w:rPr>
        <w:t xml:space="preserve"> and individual colleges </w:t>
      </w:r>
      <w:r w:rsidRPr="00C71BF0">
        <w:rPr>
          <w:rStyle w:val="StyleBoldUnderline"/>
        </w:rPr>
        <w:t>that have put</w:t>
      </w:r>
      <w:r w:rsidRPr="00C71BF0">
        <w:rPr>
          <w:sz w:val="16"/>
        </w:rPr>
        <w:t xml:space="preserve"> P-16 and P</w:t>
      </w:r>
      <w:r w:rsidRPr="00C71BF0">
        <w:rPr>
          <w:rStyle w:val="StyleBoldUnderline"/>
        </w:rPr>
        <w:t>-20 programs into place have seen success</w:t>
      </w:r>
      <w:r w:rsidRPr="00C71BF0">
        <w:rPr>
          <w:sz w:val="16"/>
        </w:rPr>
        <w:t xml:space="preserve">. </w:t>
      </w:r>
      <w:r w:rsidRPr="00C71BF0">
        <w:rPr>
          <w:rStyle w:val="StyleBoldUnderline"/>
        </w:rPr>
        <w:t>Things like</w:t>
      </w:r>
      <w:r w:rsidRPr="00C71BF0">
        <w:rPr>
          <w:sz w:val="16"/>
        </w:rPr>
        <w:t xml:space="preserve"> </w:t>
      </w:r>
      <w:r w:rsidRPr="00C71BF0">
        <w:rPr>
          <w:rStyle w:val="Emphasis"/>
        </w:rPr>
        <w:t>achievement gaps narrow</w:t>
      </w:r>
      <w:r w:rsidRPr="00C71BF0">
        <w:rPr>
          <w:sz w:val="16"/>
        </w:rPr>
        <w:t xml:space="preserve"> </w:t>
      </w:r>
      <w:r w:rsidRPr="00C71BF0">
        <w:rPr>
          <w:rStyle w:val="StyleBoldUnderline"/>
        </w:rPr>
        <w:t xml:space="preserve">when students are given a more streamlined approach to their entire education </w:t>
      </w:r>
      <w:r w:rsidRPr="00C71BF0">
        <w:rPr>
          <w:sz w:val="16"/>
        </w:rPr>
        <w:t xml:space="preserve">and how it all amounts to workforce readiness. </w:t>
      </w:r>
      <w:r w:rsidRPr="00C71BF0">
        <w:rPr>
          <w:rStyle w:val="StyleBoldUnderline"/>
        </w:rPr>
        <w:t>Education reform through these specific initiatives is</w:t>
      </w:r>
      <w:r w:rsidRPr="00C71BF0">
        <w:rPr>
          <w:sz w:val="16"/>
        </w:rPr>
        <w:t xml:space="preserve"> the </w:t>
      </w:r>
      <w:r w:rsidRPr="00C71BF0">
        <w:rPr>
          <w:rStyle w:val="Emphasis"/>
        </w:rPr>
        <w:t>key to cultivating the life success of all students, regardless of their race and socioeconomic status</w:t>
      </w:r>
      <w:r w:rsidRPr="00C71BF0">
        <w:rPr>
          <w:sz w:val="16"/>
        </w:rPr>
        <w:t xml:space="preserve">. It seems like there is a lot of talk about supporting P-12 students from disadvantaged backgrounds, but it quiets after high school. Shouldn’t that be the time when students blazing a new family trail should have the MOST support? Additionally, if these students have always had support on their P-12 journey - how are they supposed to feel when they are suddenly on their own? </w:t>
      </w:r>
      <w:r w:rsidRPr="00C71BF0">
        <w:rPr>
          <w:rStyle w:val="StyleBoldUnderline"/>
        </w:rPr>
        <w:t>Students from disadvantaged backgrounds</w:t>
      </w:r>
      <w:r w:rsidRPr="00C71BF0">
        <w:rPr>
          <w:sz w:val="16"/>
        </w:rPr>
        <w:t xml:space="preserve"> can </w:t>
      </w:r>
      <w:r w:rsidRPr="00C71BF0">
        <w:rPr>
          <w:rStyle w:val="StyleBoldUnderline"/>
        </w:rPr>
        <w:t>certainly benefit from</w:t>
      </w:r>
      <w:r w:rsidRPr="00C71BF0">
        <w:rPr>
          <w:sz w:val="16"/>
        </w:rPr>
        <w:t xml:space="preserve"> P-16 and P</w:t>
      </w:r>
      <w:r w:rsidRPr="00C71BF0">
        <w:rPr>
          <w:rStyle w:val="StyleBoldUnderline"/>
        </w:rPr>
        <w:t>-20 programs</w:t>
      </w:r>
      <w:r w:rsidRPr="00C71BF0">
        <w:rPr>
          <w:sz w:val="16"/>
        </w:rPr>
        <w:t xml:space="preserve">, but I believe </w:t>
      </w:r>
      <w:r w:rsidRPr="00C71BF0">
        <w:rPr>
          <w:rStyle w:val="StyleBoldUnderline"/>
        </w:rPr>
        <w:t>the value of these initiatives is even more far-reaching</w:t>
      </w:r>
      <w:r w:rsidRPr="00C71BF0">
        <w:rPr>
          <w:sz w:val="16"/>
        </w:rPr>
        <w:t xml:space="preserve">. </w:t>
      </w:r>
      <w:r w:rsidRPr="00C71BF0">
        <w:rPr>
          <w:rStyle w:val="StyleBoldUnderline"/>
        </w:rPr>
        <w:t>Even young adults with a strong family support system regarding their educations, and successful role models, are</w:t>
      </w:r>
      <w:r w:rsidRPr="00C71BF0">
        <w:rPr>
          <w:sz w:val="16"/>
        </w:rPr>
        <w:t xml:space="preserve"> coming of age </w:t>
      </w:r>
      <w:r w:rsidRPr="00C71BF0">
        <w:rPr>
          <w:rStyle w:val="StyleBoldUnderline"/>
        </w:rPr>
        <w:t>in a time much different than previous generations</w:t>
      </w:r>
      <w:r w:rsidRPr="00C71BF0">
        <w:rPr>
          <w:sz w:val="16"/>
        </w:rPr>
        <w:t xml:space="preserve">. </w:t>
      </w:r>
      <w:r w:rsidRPr="00C71BF0">
        <w:rPr>
          <w:rStyle w:val="StyleBoldUnderline"/>
        </w:rPr>
        <w:t xml:space="preserve">Workforce readiness is a whole different ball of wax </w:t>
      </w:r>
      <w:r w:rsidRPr="00C71BF0">
        <w:rPr>
          <w:sz w:val="16"/>
        </w:rPr>
        <w:t xml:space="preserve">than even a decade ago. Young adults cannot be expected to know or understand the full ramifications of their roles in the economy without close guidance, particularly in the early years of their careers. College and the years that follow it should certainly be a time of self-discovery, and not everything should be taught or mandated by the country’s education system. </w:t>
      </w:r>
      <w:r w:rsidRPr="00C71BF0">
        <w:rPr>
          <w:rStyle w:val="StyleBoldUnderline"/>
        </w:rPr>
        <w:t>Educators</w:t>
      </w:r>
      <w:r w:rsidRPr="00C71BF0">
        <w:rPr>
          <w:sz w:val="16"/>
        </w:rPr>
        <w:t xml:space="preserve">, from preschool through college, </w:t>
      </w:r>
      <w:r w:rsidRPr="00C71BF0">
        <w:rPr>
          <w:rStyle w:val="StyleBoldUnderline"/>
        </w:rPr>
        <w:t>should do a better job of preparing students</w:t>
      </w:r>
      <w:r w:rsidRPr="00C71BF0">
        <w:rPr>
          <w:sz w:val="16"/>
        </w:rPr>
        <w:t xml:space="preserve"> for what life will bring them, though. </w:t>
      </w:r>
      <w:r w:rsidRPr="00C71BF0">
        <w:rPr>
          <w:rStyle w:val="StyleBoldUnderline"/>
        </w:rPr>
        <w:t>More focus on</w:t>
      </w:r>
      <w:r w:rsidRPr="00C71BF0">
        <w:rPr>
          <w:sz w:val="16"/>
        </w:rPr>
        <w:t xml:space="preserve"> the immediate years following P-12 will result in </w:t>
      </w:r>
      <w:r w:rsidRPr="00C71BF0">
        <w:rPr>
          <w:rStyle w:val="StyleBoldUnderline"/>
        </w:rPr>
        <w:t>better academic outcomes that translate into a better quality of life</w:t>
      </w:r>
      <w:r w:rsidRPr="00C71BF0">
        <w:rPr>
          <w:sz w:val="16"/>
        </w:rPr>
        <w:t xml:space="preserve"> for students.</w:t>
      </w:r>
    </w:p>
    <w:p w14:paraId="38EB23C3" w14:textId="77777777" w:rsidR="001B4C7E" w:rsidRDefault="001B4C7E" w:rsidP="00EE7F6B"/>
    <w:p w14:paraId="4C476A61" w14:textId="14EFCDF4" w:rsidR="00DB2589" w:rsidRDefault="00DB2589" w:rsidP="00DB2589">
      <w:pPr>
        <w:pStyle w:val="Heading3"/>
      </w:pPr>
      <w:r>
        <w:t>Solvency – Disciplinary Reform</w:t>
      </w:r>
    </w:p>
    <w:p w14:paraId="35F83076" w14:textId="77777777" w:rsidR="00DB2589" w:rsidRPr="00962366" w:rsidRDefault="00DB2589" w:rsidP="00DB2589">
      <w:pPr>
        <w:rPr>
          <w:rStyle w:val="StyleStyleBold12pt"/>
        </w:rPr>
      </w:pPr>
      <w:r w:rsidRPr="00962366">
        <w:rPr>
          <w:rStyle w:val="StyleStyleBold12pt"/>
        </w:rPr>
        <w:t>Federal action on school discipline causes increase in violence; states key to solve disciplinary issues</w:t>
      </w:r>
    </w:p>
    <w:p w14:paraId="0D67F50A" w14:textId="77777777" w:rsidR="00DB2589" w:rsidRPr="00962366" w:rsidRDefault="00DB2589" w:rsidP="00DB2589">
      <w:bookmarkStart w:id="3" w:name="_Hlk486532122"/>
      <w:r w:rsidRPr="005C4B5F">
        <w:t>Max</w:t>
      </w:r>
      <w:r w:rsidRPr="00962366">
        <w:rPr>
          <w:rStyle w:val="StyleStyleBold12pt"/>
        </w:rPr>
        <w:t xml:space="preserve"> Eden 17</w:t>
      </w:r>
      <w:r w:rsidRPr="00962366">
        <w:t xml:space="preserve"> (Max Eden is a senior fellow at the Manhattan Institute. </w:t>
      </w:r>
      <w:bookmarkEnd w:id="3"/>
      <w:r w:rsidRPr="00962366">
        <w:t>“Obama admin made schools more dangerous: Column”. https://www.usatoday.com/story/opinion/2017/03/27/obama-education-trump-students-color-discipline-schools-column/99501366/)</w:t>
      </w:r>
    </w:p>
    <w:p w14:paraId="68302FC3" w14:textId="77777777" w:rsidR="00DB2589" w:rsidRPr="00B55AD5" w:rsidRDefault="00DB2589" w:rsidP="00DB2589">
      <w:r>
        <w:t xml:space="preserve">There’s been a sea of change in school discipline over the past five years. Secretary of Education Arne Duncan was convinced that the striking racial disparity in school suspensions was “not caused by differences in children.” According to Duncan and others, students of color were being discriminated against by their teachers, fostering a “school-to-prison pipeline [that] must be challenged every day.” </w:t>
      </w:r>
      <w:r w:rsidRPr="00962366">
        <w:rPr>
          <w:rStyle w:val="StyleBoldUnderline"/>
        </w:rPr>
        <w:t>So, the Obama administration issued federal guidance putting school districts on notice that even if their discipline policy was “neutral on its face” and “administered in an evenhanded manner,” they could be subject to a federal civil rights investigation if minorities were suspended at a higher rate.</w:t>
      </w:r>
      <w:r>
        <w:t xml:space="preserve"> </w:t>
      </w:r>
      <w:r w:rsidRPr="00962366">
        <w:rPr>
          <w:rStyle w:val="StyleBoldUnderline"/>
        </w:rPr>
        <w:t>Partly in response to federal pressure, over 50 school districts, serving 6.35 million students, implemented reforms and 27 states revised their laws regarding school discipline</w:t>
      </w:r>
      <w:r>
        <w:t xml:space="preserve">. No one bothered to ask students or teachers whether this was a good idea. If new evidence from New York City is any indication, discipline reform is hurting the people it’s trying to help and hitting students of color the hardest. </w:t>
      </w:r>
      <w:r w:rsidRPr="00962366">
        <w:rPr>
          <w:rStyle w:val="StyleBoldUnderline"/>
        </w:rPr>
        <w:t>An examination of the NYC School Survey shows that, in the eyes of students, school climate has deteriorated significantly from the 2013-14 to the 2015-16 school years. The deterioration was most dramatic in schools that serve 90+% students of color, and especially striking compared to those same schools in the last two years of the Bloomberg administration</w:t>
      </w:r>
      <w:r>
        <w:t xml:space="preserve">. Under Bloomberg, physical fighting became less frequent at 30% of schools and more frequent at 28%; under de Blasio, it became less frequent at 14% of schools and more frequent at 50%. Under Bloomberg, peer respect improved at 36% of schools and deteriorated at 30%; under de Blasio, it improved at 19% of schools and deteriorated at 58%. Betsy DeVos v the bitter status quo: Column To cut crime, turn jailbirds into bookworms: Loretta Lynch &amp; Arne Duncan These results should be alarming, and not only to families in New York City. Fewer than half of the major school districts that have adopted these reforms have thesurvey tools in place to even monitor what’s going on in their schools, and many have seen reforms much more aggressive than New York City’s. </w:t>
      </w:r>
      <w:r w:rsidRPr="00962366">
        <w:rPr>
          <w:rStyle w:val="StyleBoldUnderline"/>
        </w:rPr>
        <w:t>To make the case that reforms in St. Paul, Minn. had gone awry, Ramey County attorney John Choi noted that the number of assaults against school staff tripled from 2014 to 2015, terming it a “public health crisis.” That’s a tragic result for a policy intended to make school discipline more fair for students of color.</w:t>
      </w:r>
      <w:r>
        <w:t xml:space="preserve"> Concerned teachers’ union leaders have commissioned teacher surveys that suggest that discipline reform hurting the students it’s trying to help in many other cities</w:t>
      </w:r>
      <w:r w:rsidRPr="00962366">
        <w:rPr>
          <w:rStyle w:val="StyleBoldUnderline"/>
        </w:rPr>
        <w:t xml:space="preserve">. In Tampa Bay, Fla., 66% of teachers said that the new policy did not make schools more orderly. In Santa Ana, Calif., as well, 66% of teachers said the new system was not working. In Denver, Colo., 75% of teachers said that the new system did not improve student behavior. In Madison, Wis., only 13% of teachers thought that discipline reform was having a positive effect. But in Baton Rouge, La., 60% of teachers said there was an increase in violence or violent threats from students, and in Syracuse, N.Y., two-thirds of teachers said they were worried about their safety at work. </w:t>
      </w:r>
      <w:r>
        <w:t xml:space="preserve">POLICING THE USA: A look at race, justice, media Betsy DeVos: President Trump delivers on education promises The press coverage has been alarming as well. After the federal government pressured Oklahoma City to revise its discipline policies, one teacher, quoted in a Daily Oklahoman editorial, said teachers “were told that referrals would not require suspension unless there was blood.” In Buffalo, Marc Bruno, a teacher who got kicked in the head by a student said: “We have fights here almost every day.... The kids walk around and say, ‘We can’t get suspended — we don’t care what you say.’” Judy Kidd, president of the Charlotte Classroom Teachers Association, said, “[T]here are some administrators who would rather ignore the behavior to get their suspension numbers down. ... In some schools there’s no structure and no expectation of behavior.” These press accounts and one-off surveys have been largely ignored by education reformers as merely anecdotal. But if New York City is any indication of what’s happening across the rest of the country, schools have become less respectful, more disorderly places for millions of students. The bitter irony is that the effort to limit the “school-to-prison pipeline” has likely only increased its flow. But the Trump administration can take a big step to reverse course. The Obama administration issued “guidance” coercing school districts to second-guess their teachers’ judgment on how to maintain discipline and order. </w:t>
      </w:r>
      <w:r w:rsidRPr="00962366">
        <w:rPr>
          <w:rStyle w:val="StyleBoldUnderline"/>
        </w:rPr>
        <w:t>The Trump administration should rescind that mis-guidance, enabling teachers and school leaders to work hand-in-hand once again to make schools safer, more orderly, more nurturing places for students to learn.</w:t>
      </w:r>
    </w:p>
    <w:p w14:paraId="50A63FF1" w14:textId="77777777" w:rsidR="00DB2589" w:rsidRDefault="00DB2589" w:rsidP="00DB2589"/>
    <w:p w14:paraId="731DC51A" w14:textId="77777777" w:rsidR="00DB2589" w:rsidRDefault="00DB2589" w:rsidP="00DB2589"/>
    <w:p w14:paraId="581F5A40" w14:textId="77777777" w:rsidR="00DB2589" w:rsidRDefault="00DB2589" w:rsidP="00DB2589">
      <w:pPr>
        <w:rPr>
          <w:rStyle w:val="StyleStyleBold12pt"/>
        </w:rPr>
      </w:pPr>
      <w:r>
        <w:rPr>
          <w:rStyle w:val="StyleStyleBold12pt"/>
        </w:rPr>
        <w:t>Federal guidance on disciplinary punishment bad</w:t>
      </w:r>
    </w:p>
    <w:p w14:paraId="45D620FE" w14:textId="77777777" w:rsidR="00DB2589" w:rsidRPr="005D7BE2" w:rsidRDefault="00DB2589" w:rsidP="00DB2589">
      <w:pPr>
        <w:rPr>
          <w:rStyle w:val="StyleStyleBold12pt"/>
        </w:rPr>
      </w:pPr>
      <w:r w:rsidRPr="005C4B5F">
        <w:t>Max</w:t>
      </w:r>
      <w:r w:rsidRPr="00962366">
        <w:rPr>
          <w:rStyle w:val="StyleStyleBold12pt"/>
        </w:rPr>
        <w:t xml:space="preserve"> Eden 17</w:t>
      </w:r>
      <w:r w:rsidRPr="00962366">
        <w:t xml:space="preserve"> (Max Eden is a senior fellow at the Manhattan Institute.</w:t>
      </w:r>
      <w:r>
        <w:t xml:space="preserve"> “Why DeVos Should Rescind Obama’s Ban On Disciplining Minority Kids In School”. </w:t>
      </w:r>
      <w:r w:rsidRPr="005D7BE2">
        <w:t>http://thefederalist.com/2017/05/09/devos-rescind-obamas-ban-disciplining-minority-kids-school/</w:t>
      </w:r>
      <w:r>
        <w:t>)</w:t>
      </w:r>
    </w:p>
    <w:p w14:paraId="42BC7EA6" w14:textId="77777777" w:rsidR="00DB2589" w:rsidRPr="00B55AD5" w:rsidRDefault="00DB2589" w:rsidP="00DB2589">
      <w:r>
        <w:t xml:space="preserve">Last week, after nearly 100 days in office, President Trump issued an executive order declaring that “it shall be the policy of the executive branch to protect and preserve State and local control in education.” The order gives Education Secretary Betsy DeVos 300 days to itemize regulations and guidance where the federal government overstepped its bounds. </w:t>
      </w:r>
      <w:r w:rsidRPr="00841ADC">
        <w:rPr>
          <w:rStyle w:val="StyleBoldUnderline"/>
        </w:rPr>
        <w:t xml:space="preserve">But DeVos would need little more than a minute to rescind perhaps the single most destructive action taken by the Obama Department of Education’s Office for Civil Rights: </w:t>
      </w:r>
      <w:r w:rsidRPr="00841ADC">
        <w:rPr>
          <w:rStyle w:val="Emphasis"/>
        </w:rPr>
        <w:t>federal “guidance” on school discipline</w:t>
      </w:r>
      <w:r w:rsidRPr="00841ADC">
        <w:rPr>
          <w:rStyle w:val="StyleBoldUnderline"/>
        </w:rPr>
        <w:t>.</w:t>
      </w:r>
      <w:r>
        <w:t xml:space="preserve"> Activists, advocates, and academics had been ringing the alarm over the racial disparity in suspension rates. And it is certainly troubling that African-American students are suspended at three times the rate of white students. A sober mind might assume that might largely reflect tragic realities in our society. As Michael Petrilli, president of the Thomas B. Fordham Institute, has argued, “it cannot surprise us if minority students today misbehave at ‘disproportionate’ rates. African American and Latino children in America are much more likely to face challenges,” such a living in poverty, growing up in a single-parent family, or living in a dangerous neighborhood, that puts “them ‘at risk’ for antisocial behavior.” But Obama Education Secretary Arne Duncan declared flatly that this is “not caused by differences in children,” but rather “it is adult behavior that needs to change.” Now, implicit bias likely accounts for some share of the disparity. But if you assume that it accounts for all of it, then the solution isn’t to support teachers with better training or professional development. The only solution is to prevent teachers from doing what they’ve been doing. And that’s exactly what the Obama Department of Education did. How the Obama Administration Mangled School Discipline Duncan issued “Dear Colleague” guidance in January 2014 telling districts they could be subject to federal investigation for unlawful discrimination if their discipline policy “is neutral on its face—meaning that the policy itself does not mention race—and is administered in an evenhanded manner but has a disparate impact, i.e., a disproportionate and unjustified effect on students of a particular race.” In other words: “We may decide to come after you, even if your policy is entirely fair, if we see differences on a spreadsheet.” </w:t>
      </w:r>
      <w:r w:rsidRPr="00841ADC">
        <w:rPr>
          <w:rStyle w:val="StyleBoldUnderline"/>
        </w:rPr>
        <w:t xml:space="preserve">Over the past five years, 27 states have revised their school discipline laws and 53 districts serving 6.35 million students implemented discipline reforms. From 2011-12 to 2013-14, suspensions dropped by nearly 20 percent nationwide. </w:t>
      </w:r>
      <w:r>
        <w:t xml:space="preserve">The Obama letter didn’t start this fire, but it certainly fanned the flames. As the Fordham Institute’s Checker Finn noted, the intent of the letter was “to scare the bejesus out of U.S. educators when it comes to disciplining minority students.” What have the results been? Largely because these reforms are so recent, rigorous academic research is nonexistent. </w:t>
      </w:r>
      <w:r w:rsidRPr="00841ADC">
        <w:rPr>
          <w:rStyle w:val="StyleBoldUnderline"/>
        </w:rPr>
        <w:t>But increasing evidence supports the common sense intuition that when you tie teachers’ hands on maintaining order, bad things will happen. What Happens When Schools Can’t Discipline Kids Judging by press accounts, the results are rather horrific. After the federal government forced Oklahoma City to change its discipline policies, one teacher reported she was “told that referrals would not require suspension unless there was blood.”</w:t>
      </w:r>
      <w:r>
        <w:t xml:space="preserve"> In Buffalo, a teacher who got kicked in the head by a student said: “We have fights here almost every day…. The kids walk around and say, ‘We can’t get suspended—we don’t care what you say.’” In St. Paul, the county attorney declared that the threefold increase in assaults on teachers constituted a “public health crisis.” Teacher surveys also indicate these policies are backfiring. </w:t>
      </w:r>
      <w:r w:rsidRPr="000203A9">
        <w:rPr>
          <w:rStyle w:val="StyleBoldUnderline"/>
        </w:rPr>
        <w:t>Significant majorities of teachers in Oklahoma City, Denver, Tampa, Santa Ana, Jackson, and Baton Rouge report that the discipline reforms either weren’t working or were escalating school violence</w:t>
      </w:r>
      <w:r>
        <w:t xml:space="preserve">. Judging by student surveys, schools have become less safe as these policies went into effect. In Los Angeles, the percent of students who said they felt safe in their schools plummeted from 72 percent to 60 percent after the district banned suspension for non-violent offenses. In Chicago, researchers found a significant deterioration in school order, according to students and teachers. I dug into school climate surveys in New York City, and found that as Mayor Bill de Blasio’s school discipline reductions were implemented school climate plummeted, especially in schools comprised of 90 percent or higher minority students: 58 percent reported a deterioration in student respect (compared to 19 percent that saw an improvement); 50 percent reported an increase in physical fighting (compared to 14 percent that saw an improvement); and drug use and gang activity increased in about four times as many schools as decreased. </w:t>
      </w:r>
      <w:r w:rsidRPr="00841ADC">
        <w:rPr>
          <w:rStyle w:val="StyleBoldUnderline"/>
        </w:rPr>
        <w:t>Rescinding This Directive Is Common Sense Yet after 100 days in office, the guidance still stands. In fact, just two weeks ago the Department of Education opened a new investigation into Richmond, Virginia for disparate suspension rates</w:t>
      </w:r>
      <w:r>
        <w:t>. After 100 days, why hasn’t DeVos rescinded this misguided guidance? Perhaps in part because of the simple fact that she’s still operating with a skeleton crew and bureaucratic inertia is an almost irresistible force even with a full cohort of political appointees. Or perhaps in part because education journalists and activists will surely make her pay for it. They’ll write story after story about how she’s rescinding “protections” for minority students, all but endorsing “institutional racism,” and opening the sluices in the “school-to-prison pipeline.” Whatever the case, the guidance could be rescinded with no more than a stroke of a pen. Unlike with the rushed retraction of the transgender bathroom guidance, DeVos could send a loud and clear message about her principles and educational philosophy. She could declare that her administration will not put ideological activism over student safety. It will not blame teachers for society’s inequities. It will not coerce school administrators into second-guessing teachers’ judgement and tying teachers’ hands. Rather, it recognizes that meaningful progress comes from teachers and administrators working hand-in-hand, with the flexibility and freedom to do what they believe is right for their students. It recognizes that there is a meaningful and robust role for civil rights protections, but that the Department of Education ought to be a backstop against discrimination, not an engine to impose nationwide policy change. Rescinding the guidance is the easy part. The real challenge for DeVos will be articulating and implementing a principled role for civil rights enforcement that could withstand the whims of future progressive administrations. Here’s hoping she’s up for that task, because civil rights “protections” ought never be weaponized in a way that could hurt children.</w:t>
      </w:r>
    </w:p>
    <w:p w14:paraId="1BA52F59" w14:textId="77777777" w:rsidR="00DB2589" w:rsidRPr="00DB2589" w:rsidRDefault="00DB2589" w:rsidP="00DB2589"/>
    <w:p w14:paraId="58B3F249" w14:textId="0874562D" w:rsidR="008E13C8" w:rsidRDefault="008E13C8" w:rsidP="008E13C8">
      <w:pPr>
        <w:pStyle w:val="Heading2"/>
      </w:pPr>
      <w:r>
        <w:t>*NGA CP</w:t>
      </w:r>
    </w:p>
    <w:p w14:paraId="0A62B988" w14:textId="02683F64" w:rsidR="008E13C8" w:rsidRDefault="008E13C8" w:rsidP="008E13C8">
      <w:pPr>
        <w:pStyle w:val="Heading3"/>
      </w:pPr>
      <w:r>
        <w:t>STEM Advantages</w:t>
      </w:r>
    </w:p>
    <w:p w14:paraId="74549E57" w14:textId="77777777" w:rsidR="008E13C8" w:rsidRPr="008E13C8" w:rsidRDefault="008E13C8" w:rsidP="008E13C8">
      <w:pPr>
        <w:pStyle w:val="Heading4"/>
      </w:pPr>
      <w:r>
        <w:t>NGA Core Standards solve STEM education</w:t>
      </w:r>
    </w:p>
    <w:p w14:paraId="6D4B6697" w14:textId="77777777" w:rsidR="008E13C8" w:rsidRPr="008E13C8" w:rsidRDefault="008E13C8" w:rsidP="008E13C8">
      <w:pPr>
        <w:rPr>
          <w:rStyle w:val="StyleStyleBold12pt"/>
        </w:rPr>
      </w:pPr>
      <w:r w:rsidRPr="008E13C8">
        <w:rPr>
          <w:rStyle w:val="StyleStyleBold12pt"/>
        </w:rPr>
        <w:t xml:space="preserve">Carr et al ‘12 </w:t>
      </w:r>
      <w:r w:rsidRPr="008E13C8">
        <w:rPr>
          <w:rStyle w:val="StyleStyleBold12pt"/>
          <w:b w:val="0"/>
        </w:rPr>
        <w:t>– Ronald L Carr, PhD @ Purdue University, is the Senior E-Learning Instructional Designer at Florida State College at Jacksonville  (“Engineering in the K-12 STEM Standards of the 50 U.S. States: An Analysis of Presence and Extent,” Journal of Engineering Education 101:3, p. 21-23) bhb</w:t>
      </w:r>
    </w:p>
    <w:p w14:paraId="721A9F90" w14:textId="00ABB0DC" w:rsidR="008E13C8" w:rsidRDefault="008E13C8" w:rsidP="008E13C8">
      <w:pPr>
        <w:rPr>
          <w:rFonts w:ascii="Times" w:hAnsi="Times" w:cs="Times New Roman"/>
          <w:sz w:val="20"/>
          <w:szCs w:val="20"/>
        </w:rPr>
      </w:pPr>
      <w:r w:rsidRPr="008E13C8">
        <w:rPr>
          <w:rStyle w:val="StyleBoldUnderline"/>
        </w:rPr>
        <w:t>The engineering community needs to build on the momentum made possible by the¶ increased interest in and funding for STEM education</w:t>
      </w:r>
      <w:r w:rsidRPr="008E13C8">
        <w:rPr>
          <w:rFonts w:ascii="Times" w:hAnsi="Times" w:cs="Times New Roman"/>
          <w:sz w:val="20"/>
          <w:szCs w:val="20"/>
        </w:rPr>
        <w:t xml:space="preserve"> </w:t>
      </w:r>
      <w:r w:rsidRPr="008E13C8">
        <w:rPr>
          <w:rFonts w:ascii="Times" w:hAnsi="Times" w:cs="Times New Roman"/>
          <w:sz w:val="16"/>
          <w:szCs w:val="16"/>
        </w:rPr>
        <w:t xml:space="preserve">and build </w:t>
      </w:r>
      <w:r w:rsidRPr="008E13C8">
        <w:rPr>
          <w:rStyle w:val="StyleBoldUnderline"/>
        </w:rPr>
        <w:t>on what is already being¶ done in pre-college engineering. Standards have been evolving over the past few decades</w:t>
      </w:r>
      <w:r w:rsidRPr="008E13C8">
        <w:rPr>
          <w:rFonts w:ascii="Times" w:hAnsi="Times" w:cs="Times New Roman"/>
          <w:sz w:val="12"/>
          <w:szCs w:val="12"/>
        </w:rPr>
        <w:t>¶</w:t>
      </w:r>
      <w:r w:rsidRPr="008E13C8">
        <w:rPr>
          <w:rFonts w:ascii="Times" w:hAnsi="Times" w:cs="Times New Roman"/>
          <w:sz w:val="16"/>
          <w:szCs w:val="16"/>
        </w:rPr>
        <w:t xml:space="preserve"> and engineering has found its way into classrooms across the nation. </w:t>
      </w:r>
      <w:r w:rsidRPr="008E13C8">
        <w:rPr>
          <w:rStyle w:val="StyleBoldUnderline"/>
        </w:rPr>
        <w:t>The National Governor’s¶ Association and the Council of Chief State School Officers have driven the move towards¶ national core standards in order to eliminate the variability of what is being taught¶ in our schools</w:t>
      </w:r>
      <w:r w:rsidRPr="008E13C8">
        <w:rPr>
          <w:rFonts w:ascii="Times" w:hAnsi="Times" w:cs="Times New Roman"/>
          <w:sz w:val="16"/>
          <w:szCs w:val="16"/>
        </w:rPr>
        <w:t xml:space="preserve"> (National Governor’s Association, 2010). The engineering community still</w:t>
      </w:r>
      <w:r w:rsidRPr="008E13C8">
        <w:rPr>
          <w:rFonts w:ascii="Times" w:hAnsi="Times" w:cs="Times New Roman"/>
          <w:sz w:val="12"/>
          <w:szCs w:val="12"/>
        </w:rPr>
        <w:t>¶</w:t>
      </w:r>
      <w:r w:rsidRPr="008E13C8">
        <w:rPr>
          <w:rFonts w:ascii="Times" w:hAnsi="Times" w:cs="Times New Roman"/>
          <w:sz w:val="16"/>
          <w:szCs w:val="16"/>
        </w:rPr>
        <w:t xml:space="preserve"> has time to take a role in the development of the core science standards so that they include</w:t>
      </w:r>
      <w:r w:rsidRPr="008E13C8">
        <w:rPr>
          <w:rFonts w:ascii="Times" w:hAnsi="Times" w:cs="Times New Roman"/>
          <w:sz w:val="12"/>
          <w:szCs w:val="12"/>
        </w:rPr>
        <w:t>¶</w:t>
      </w:r>
      <w:r w:rsidRPr="008E13C8">
        <w:rPr>
          <w:rFonts w:ascii="Times" w:hAnsi="Times" w:cs="Times New Roman"/>
          <w:sz w:val="16"/>
          <w:szCs w:val="16"/>
        </w:rPr>
        <w:t xml:space="preserve"> well-integrated big ideas from engineering (National Governor’s Association, 2010; Committee</w:t>
      </w:r>
      <w:r w:rsidRPr="008E13C8">
        <w:rPr>
          <w:rFonts w:ascii="Times" w:hAnsi="Times" w:cs="Times New Roman"/>
          <w:sz w:val="12"/>
          <w:szCs w:val="12"/>
        </w:rPr>
        <w:t>¶</w:t>
      </w:r>
      <w:r w:rsidRPr="008E13C8">
        <w:rPr>
          <w:rFonts w:ascii="Times" w:hAnsi="Times" w:cs="Times New Roman"/>
          <w:sz w:val="16"/>
          <w:szCs w:val="16"/>
        </w:rPr>
        <w:t xml:space="preserve"> on Conceptual Framework, 2010; National Assessment Governing Board, 2010).</w:t>
      </w:r>
      <w:r>
        <w:rPr>
          <w:rFonts w:ascii="Times" w:hAnsi="Times" w:cs="Times New Roman"/>
          <w:sz w:val="20"/>
          <w:szCs w:val="20"/>
        </w:rPr>
        <w:t xml:space="preserve"> </w:t>
      </w:r>
      <w:r w:rsidRPr="008E13C8">
        <w:rPr>
          <w:rFonts w:ascii="Times" w:hAnsi="Times" w:cs="Times New Roman"/>
          <w:sz w:val="16"/>
          <w:szCs w:val="16"/>
        </w:rPr>
        <w:t>While the NAE Standards Committee has called for more research on the cognitive</w:t>
      </w:r>
      <w:r w:rsidRPr="008E13C8">
        <w:rPr>
          <w:rFonts w:ascii="Times" w:hAnsi="Times" w:cs="Times New Roman"/>
          <w:sz w:val="12"/>
          <w:szCs w:val="12"/>
        </w:rPr>
        <w:t>¶</w:t>
      </w:r>
      <w:r w:rsidRPr="008E13C8">
        <w:rPr>
          <w:rFonts w:ascii="Times" w:hAnsi="Times" w:cs="Times New Roman"/>
          <w:sz w:val="16"/>
          <w:szCs w:val="16"/>
        </w:rPr>
        <w:t xml:space="preserve"> aspects of engineering education, mounting evidence already shows the positive impact of</w:t>
      </w:r>
      <w:r w:rsidRPr="008E13C8">
        <w:rPr>
          <w:rFonts w:ascii="Times" w:hAnsi="Times" w:cs="Times New Roman"/>
          <w:sz w:val="12"/>
          <w:szCs w:val="12"/>
        </w:rPr>
        <w:t>¶</w:t>
      </w:r>
      <w:r w:rsidRPr="008E13C8">
        <w:rPr>
          <w:rFonts w:ascii="Times" w:hAnsi="Times" w:cs="Times New Roman"/>
          <w:sz w:val="16"/>
          <w:szCs w:val="16"/>
        </w:rPr>
        <w:t xml:space="preserve"> applying math and science concepts in engineering contexts. </w:t>
      </w:r>
      <w:r w:rsidRPr="008E13C8">
        <w:rPr>
          <w:rStyle w:val="StyleBoldUnderline"/>
        </w:rPr>
        <w:t>Engineering has a place in</w:t>
      </w:r>
      <w:r w:rsidRPr="008E13C8">
        <w:rPr>
          <w:rFonts w:ascii="Times" w:hAnsi="Times" w:cs="Times New Roman"/>
          <w:sz w:val="12"/>
          <w:szCs w:val="12"/>
        </w:rPr>
        <w:t>¶</w:t>
      </w:r>
      <w:r w:rsidRPr="008E13C8">
        <w:rPr>
          <w:rFonts w:ascii="Times" w:hAnsi="Times" w:cs="Times New Roman"/>
          <w:sz w:val="20"/>
          <w:szCs w:val="20"/>
        </w:rPr>
        <w:t xml:space="preserve"> </w:t>
      </w:r>
      <w:r w:rsidRPr="008E13C8">
        <w:rPr>
          <w:rStyle w:val="StyleBoldUnderline"/>
        </w:rPr>
        <w:t>the core standards movement</w:t>
      </w:r>
      <w:r w:rsidRPr="008E13C8">
        <w:rPr>
          <w:rFonts w:ascii="Times" w:hAnsi="Times" w:cs="Times New Roman"/>
          <w:sz w:val="16"/>
          <w:szCs w:val="16"/>
        </w:rPr>
        <w:t xml:space="preserve"> (Committee on Conceptual Framework, 2010) and the engineering</w:t>
      </w:r>
      <w:r w:rsidRPr="008E13C8">
        <w:rPr>
          <w:rFonts w:ascii="Times" w:hAnsi="Times" w:cs="Times New Roman"/>
          <w:sz w:val="12"/>
          <w:szCs w:val="12"/>
        </w:rPr>
        <w:t>¶</w:t>
      </w:r>
      <w:r w:rsidRPr="008E13C8">
        <w:rPr>
          <w:rFonts w:ascii="Times" w:hAnsi="Times" w:cs="Times New Roman"/>
          <w:sz w:val="16"/>
          <w:szCs w:val="16"/>
        </w:rPr>
        <w:t xml:space="preserve"> community can ensure that not only that foundational skills and math and science</w:t>
      </w:r>
      <w:r w:rsidRPr="008E13C8">
        <w:rPr>
          <w:rFonts w:ascii="Times" w:hAnsi="Times" w:cs="Times New Roman"/>
          <w:sz w:val="12"/>
          <w:szCs w:val="12"/>
        </w:rPr>
        <w:t>¶</w:t>
      </w:r>
      <w:r w:rsidRPr="008E13C8">
        <w:rPr>
          <w:rFonts w:ascii="Times" w:hAnsi="Times" w:cs="Times New Roman"/>
          <w:sz w:val="16"/>
          <w:szCs w:val="16"/>
        </w:rPr>
        <w:t xml:space="preserve"> applications are included but also that the creative aspects of engineering (Center for</w:t>
      </w:r>
      <w:r w:rsidRPr="008E13C8">
        <w:rPr>
          <w:rFonts w:ascii="Times" w:hAnsi="Times" w:cs="Times New Roman"/>
          <w:sz w:val="12"/>
          <w:szCs w:val="12"/>
        </w:rPr>
        <w:t>¶</w:t>
      </w:r>
      <w:r w:rsidRPr="008E13C8">
        <w:rPr>
          <w:rFonts w:ascii="Times" w:hAnsi="Times" w:cs="Times New Roman"/>
          <w:sz w:val="16"/>
          <w:szCs w:val="16"/>
        </w:rPr>
        <w:t xml:space="preserve"> Science, Mathematics, and Engineering Education, 1995), “the inspirational, optimistic</w:t>
      </w:r>
      <w:r w:rsidRPr="008E13C8">
        <w:rPr>
          <w:rFonts w:ascii="Times" w:hAnsi="Times" w:cs="Times New Roman"/>
          <w:sz w:val="12"/>
          <w:szCs w:val="12"/>
        </w:rPr>
        <w:t>¶</w:t>
      </w:r>
      <w:r w:rsidRPr="008E13C8">
        <w:rPr>
          <w:rFonts w:ascii="Times" w:hAnsi="Times" w:cs="Times New Roman"/>
          <w:sz w:val="16"/>
          <w:szCs w:val="16"/>
        </w:rPr>
        <w:t xml:space="preserve"> aspects” (Tate et al., 2010, p.381) can be emphasized.</w:t>
      </w:r>
      <w:r>
        <w:rPr>
          <w:rFonts w:ascii="Times" w:hAnsi="Times" w:cs="Times New Roman"/>
          <w:sz w:val="20"/>
          <w:szCs w:val="20"/>
        </w:rPr>
        <w:t xml:space="preserve"> </w:t>
      </w:r>
      <w:r w:rsidRPr="008E13C8">
        <w:rPr>
          <w:rFonts w:ascii="Times" w:hAnsi="Times" w:cs="Times New Roman"/>
          <w:sz w:val="16"/>
          <w:szCs w:val="16"/>
        </w:rPr>
        <w:t>Students see engineers as performing manual labor and tasks that require only lowerlevel¶ thinking (Fralick, Kearn, Thompson, &amp; Lyons, 2008) rather than seeing engineering¶ as creative, rewarding and lucrative. Even teachers have misconceptions about engineers¶ and think of them as builders and construction workers (Duncan, Oware, Cox, &amp;¶ Diefes-Dux, 2007). “Students want their careers to be lucrative, rewarding, limitless, creative,¶ multi-disciplinary, and include travel and group work” (Taylor Research Group,¶ 2000). However, they do not realize that four of the top ten “Best Jobs in America” are in¶ engineering because they offer all of those things (Software Architect #1, Environmental¶ Engineer #5, Civil Engineer #6, and Biomedical Engineer #10) (CNN Money, 2010). The¶ engineering community can help erase these misconceptions and show students how to¶ use engineering in their own lives and to better society (Chae, Purzer, &amp; Cardella, 2010).</w:t>
      </w:r>
      <w:r>
        <w:rPr>
          <w:rFonts w:ascii="Times" w:hAnsi="Times" w:cs="Times New Roman"/>
          <w:sz w:val="20"/>
          <w:szCs w:val="20"/>
        </w:rPr>
        <w:t xml:space="preserve"> </w:t>
      </w:r>
      <w:r w:rsidRPr="008E13C8">
        <w:rPr>
          <w:rFonts w:ascii="Times" w:hAnsi="Times" w:cs="Times New Roman"/>
          <w:sz w:val="16"/>
          <w:szCs w:val="16"/>
        </w:rPr>
        <w:t>In 1993, the nation needed “world-class academic standards” to help students “compete</w:t>
      </w:r>
      <w:r w:rsidRPr="008E13C8">
        <w:rPr>
          <w:rFonts w:ascii="Times" w:hAnsi="Times" w:cs="Times New Roman"/>
          <w:sz w:val="12"/>
          <w:szCs w:val="12"/>
        </w:rPr>
        <w:t>¶</w:t>
      </w:r>
      <w:r w:rsidRPr="008E13C8">
        <w:rPr>
          <w:rFonts w:ascii="Times" w:hAnsi="Times" w:cs="Times New Roman"/>
          <w:sz w:val="16"/>
          <w:szCs w:val="16"/>
        </w:rPr>
        <w:t xml:space="preserve"> successfully with students of any country in the world (National Education Goals</w:t>
      </w:r>
      <w:r w:rsidRPr="008E13C8">
        <w:rPr>
          <w:rFonts w:ascii="Times" w:hAnsi="Times" w:cs="Times New Roman"/>
          <w:sz w:val="12"/>
          <w:szCs w:val="12"/>
        </w:rPr>
        <w:t>¶</w:t>
      </w:r>
      <w:r w:rsidRPr="008E13C8">
        <w:rPr>
          <w:rFonts w:ascii="Times" w:hAnsi="Times" w:cs="Times New Roman"/>
          <w:sz w:val="16"/>
          <w:szCs w:val="16"/>
        </w:rPr>
        <w:t xml:space="preserve"> Panel, 1993, p. 1)”. The engineering community has seen other educational fields go</w:t>
      </w:r>
      <w:r w:rsidRPr="008E13C8">
        <w:rPr>
          <w:rFonts w:ascii="Times" w:hAnsi="Times" w:cs="Times New Roman"/>
          <w:sz w:val="12"/>
          <w:szCs w:val="12"/>
        </w:rPr>
        <w:t>¶</w:t>
      </w:r>
      <w:r w:rsidRPr="008E13C8">
        <w:rPr>
          <w:rFonts w:ascii="Times" w:hAnsi="Times" w:cs="Times New Roman"/>
          <w:sz w:val="16"/>
          <w:szCs w:val="16"/>
        </w:rPr>
        <w:t xml:space="preserve"> through design and iteration cycles to create state and national standards. </w:t>
      </w:r>
      <w:r w:rsidRPr="008E13C8">
        <w:rPr>
          <w:rStyle w:val="StyleBoldUnderline"/>
        </w:rPr>
        <w:t>Since the National¶ Academy of Engineering and National Research Council called for the United¶ States to resume its position atop the engineering world in 2009</w:t>
      </w:r>
      <w:r w:rsidRPr="008E13C8">
        <w:rPr>
          <w:rFonts w:ascii="Times" w:hAnsi="Times" w:cs="Times New Roman"/>
          <w:sz w:val="16"/>
          <w:szCs w:val="16"/>
        </w:rPr>
        <w:t xml:space="preserve"> (National Academy of</w:t>
      </w:r>
      <w:r w:rsidRPr="008E13C8">
        <w:rPr>
          <w:rFonts w:ascii="Times" w:hAnsi="Times" w:cs="Times New Roman"/>
          <w:sz w:val="12"/>
          <w:szCs w:val="12"/>
        </w:rPr>
        <w:t>¶</w:t>
      </w:r>
      <w:r w:rsidRPr="008E13C8">
        <w:rPr>
          <w:rFonts w:ascii="Times" w:hAnsi="Times" w:cs="Times New Roman"/>
          <w:sz w:val="16"/>
          <w:szCs w:val="16"/>
        </w:rPr>
        <w:t xml:space="preserve"> Engineering, 2009), </w:t>
      </w:r>
      <w:r w:rsidRPr="008E13C8">
        <w:rPr>
          <w:rStyle w:val="StyleBoldUnderline"/>
        </w:rPr>
        <w:t>engineering education has a renewed impetus just as the national¶ core standards movement approaches. There are barriers to overcome in implementation of standards</w:t>
      </w:r>
      <w:r w:rsidRPr="008E13C8">
        <w:rPr>
          <w:rFonts w:ascii="Times" w:hAnsi="Times" w:cs="Times New Roman"/>
          <w:sz w:val="20"/>
          <w:szCs w:val="20"/>
        </w:rPr>
        <w:t>.</w:t>
      </w:r>
      <w:r w:rsidRPr="008E13C8">
        <w:rPr>
          <w:rFonts w:ascii="Times" w:hAnsi="Times" w:cs="Times New Roman"/>
          <w:sz w:val="16"/>
          <w:szCs w:val="16"/>
        </w:rPr>
        <w:t xml:space="preserve"> In this respect, </w:t>
      </w:r>
      <w:r w:rsidRPr="008E13C8">
        <w:rPr>
          <w:rStyle w:val="StyleBoldUnderline"/>
        </w:rPr>
        <w:t>many¶ refer to Massachusetts as the standard-bearer for pre-college engineering standards</w:t>
      </w:r>
      <w:r w:rsidRPr="008E13C8">
        <w:rPr>
          <w:rFonts w:ascii="Times" w:hAnsi="Times" w:cs="Times New Roman"/>
          <w:sz w:val="12"/>
          <w:szCs w:val="12"/>
        </w:rPr>
        <w:t>¶</w:t>
      </w:r>
      <w:r w:rsidRPr="008E13C8">
        <w:rPr>
          <w:rFonts w:ascii="Times" w:hAnsi="Times" w:cs="Times New Roman"/>
          <w:sz w:val="16"/>
          <w:szCs w:val="16"/>
        </w:rPr>
        <w:t xml:space="preserve"> (Foster, 2010; J. B. Hansen, personal communication, 2010; Pearson et al., 2010),</w:t>
      </w:r>
      <w:r w:rsidRPr="008E13C8">
        <w:rPr>
          <w:rFonts w:ascii="Times" w:hAnsi="Times" w:cs="Times New Roman"/>
          <w:sz w:val="12"/>
          <w:szCs w:val="12"/>
        </w:rPr>
        <w:t>¶</w:t>
      </w:r>
      <w:r w:rsidRPr="008E13C8">
        <w:rPr>
          <w:rFonts w:ascii="Times" w:hAnsi="Times" w:cs="Times New Roman"/>
          <w:sz w:val="16"/>
          <w:szCs w:val="16"/>
        </w:rPr>
        <w:t xml:space="preserve"> </w:t>
      </w:r>
      <w:r w:rsidRPr="008E13C8">
        <w:rPr>
          <w:rStyle w:val="StyleBoldUnderline"/>
        </w:rPr>
        <w:t>Massachusetts has shown that engineering standards can drive curriculum development,¶ assessment design, and teacher preparation and that engineering can fit into academic¶ curriculum while supporting science, mathematics, and technology programs</w:t>
      </w:r>
      <w:r w:rsidRPr="008E13C8">
        <w:rPr>
          <w:rFonts w:ascii="Times" w:hAnsi="Times" w:cs="Times New Roman"/>
          <w:sz w:val="16"/>
          <w:szCs w:val="16"/>
        </w:rPr>
        <w:t xml:space="preserve"> (Foster,</w:t>
      </w:r>
      <w:r w:rsidRPr="008E13C8">
        <w:rPr>
          <w:rFonts w:ascii="Times" w:hAnsi="Times" w:cs="Times New Roman"/>
          <w:sz w:val="12"/>
          <w:szCs w:val="12"/>
        </w:rPr>
        <w:t>¶</w:t>
      </w:r>
      <w:r w:rsidRPr="008E13C8">
        <w:rPr>
          <w:rFonts w:ascii="Times" w:hAnsi="Times" w:cs="Times New Roman"/>
          <w:sz w:val="16"/>
          <w:szCs w:val="16"/>
        </w:rPr>
        <w:t xml:space="preserve"> 2010). Similarly</w:t>
      </w:r>
      <w:r w:rsidRPr="008E13C8">
        <w:rPr>
          <w:rStyle w:val="StyleBoldUnderline"/>
        </w:rPr>
        <w:t>, Massachusetts stands as an example</w:t>
      </w:r>
      <w:r w:rsidRPr="008E13C8">
        <w:rPr>
          <w:rFonts w:ascii="Times" w:hAnsi="Times" w:cs="Times New Roman"/>
          <w:sz w:val="16"/>
          <w:szCs w:val="16"/>
        </w:rPr>
        <w:t xml:space="preserve"> that engineering standards design is</w:t>
      </w:r>
      <w:r w:rsidRPr="008E13C8">
        <w:rPr>
          <w:rFonts w:ascii="Times" w:hAnsi="Times" w:cs="Times New Roman"/>
          <w:sz w:val="12"/>
          <w:szCs w:val="12"/>
        </w:rPr>
        <w:t>¶</w:t>
      </w:r>
      <w:r w:rsidRPr="008E13C8">
        <w:rPr>
          <w:rFonts w:ascii="Times" w:hAnsi="Times" w:cs="Times New Roman"/>
          <w:sz w:val="16"/>
          <w:szCs w:val="16"/>
        </w:rPr>
        <w:t xml:space="preserve"> an iterative process that can be guided by examining what others are doing.</w:t>
      </w:r>
      <w:r>
        <w:rPr>
          <w:rFonts w:ascii="Times" w:hAnsi="Times" w:cs="Times New Roman"/>
          <w:sz w:val="20"/>
          <w:szCs w:val="20"/>
        </w:rPr>
        <w:t xml:space="preserve"> </w:t>
      </w:r>
      <w:r w:rsidRPr="008E13C8">
        <w:rPr>
          <w:rStyle w:val="StyleBoldUnderline"/>
        </w:rPr>
        <w:t>While explaining the urgent need to develop a consensus on engineering standards,¶ this study has shown the extent of engineering content already present in U.S. standards:¶ there are</w:t>
      </w:r>
      <w:r w:rsidRPr="008E13C8">
        <w:rPr>
          <w:rFonts w:ascii="Times" w:hAnsi="Times" w:cs="Times New Roman"/>
          <w:sz w:val="20"/>
          <w:szCs w:val="20"/>
        </w:rPr>
        <w:t xml:space="preserve"> </w:t>
      </w:r>
      <w:r w:rsidRPr="008E13C8">
        <w:rPr>
          <w:rStyle w:val="Emphasis"/>
        </w:rPr>
        <w:t>engineering and technology design-related standards in 41 states</w:t>
      </w:r>
      <w:r w:rsidRPr="008E13C8">
        <w:rPr>
          <w:rFonts w:ascii="Times" w:hAnsi="Times" w:cs="Times New Roman"/>
          <w:i/>
          <w:iCs/>
          <w:sz w:val="20"/>
          <w:szCs w:val="20"/>
        </w:rPr>
        <w:t>.</w:t>
      </w:r>
      <w:r w:rsidRPr="008E13C8">
        <w:rPr>
          <w:rFonts w:ascii="Times" w:hAnsi="Times" w:cs="Times New Roman"/>
          <w:sz w:val="20"/>
          <w:szCs w:val="20"/>
        </w:rPr>
        <w:t xml:space="preserve"> </w:t>
      </w:r>
      <w:r w:rsidRPr="008E13C8">
        <w:rPr>
          <w:rStyle w:val="StyleBoldUnderline"/>
        </w:rPr>
        <w:t>Thirty-six</w:t>
      </w:r>
      <w:r w:rsidRPr="008E13C8">
        <w:rPr>
          <w:rFonts w:ascii="Times" w:hAnsi="Times" w:cs="Times New Roman"/>
          <w:sz w:val="12"/>
          <w:szCs w:val="12"/>
        </w:rPr>
        <w:t>¶</w:t>
      </w:r>
      <w:r w:rsidRPr="008E13C8">
        <w:rPr>
          <w:rFonts w:ascii="Times" w:hAnsi="Times" w:cs="Times New Roman"/>
          <w:sz w:val="20"/>
          <w:szCs w:val="20"/>
        </w:rPr>
        <w:t xml:space="preserve"> </w:t>
      </w:r>
      <w:r w:rsidRPr="008E13C8">
        <w:rPr>
          <w:rStyle w:val="StyleBoldUnderline"/>
        </w:rPr>
        <w:t xml:space="preserve">states have strong explicit </w:t>
      </w:r>
      <w:r w:rsidRPr="008E13C8">
        <w:rPr>
          <w:rFonts w:ascii="Times" w:hAnsi="Times" w:cs="Times New Roman"/>
          <w:sz w:val="16"/>
          <w:szCs w:val="16"/>
        </w:rPr>
        <w:t xml:space="preserve">engineering </w:t>
      </w:r>
      <w:r w:rsidRPr="008E13C8">
        <w:rPr>
          <w:rStyle w:val="StyleBoldUnderline"/>
        </w:rPr>
        <w:t>standards</w:t>
      </w:r>
      <w:r w:rsidRPr="008E13C8">
        <w:rPr>
          <w:rFonts w:ascii="Times" w:hAnsi="Times" w:cs="Times New Roman"/>
          <w:sz w:val="16"/>
          <w:szCs w:val="16"/>
        </w:rPr>
        <w:t xml:space="preserve"> and six states have strong standards</w:t>
      </w:r>
      <w:r w:rsidRPr="008E13C8">
        <w:rPr>
          <w:rFonts w:ascii="Times" w:hAnsi="Times" w:cs="Times New Roman"/>
          <w:sz w:val="12"/>
          <w:szCs w:val="12"/>
        </w:rPr>
        <w:t>¶</w:t>
      </w:r>
      <w:r w:rsidRPr="008E13C8">
        <w:rPr>
          <w:rFonts w:ascii="Times" w:hAnsi="Times" w:cs="Times New Roman"/>
          <w:sz w:val="16"/>
          <w:szCs w:val="16"/>
        </w:rPr>
        <w:t xml:space="preserve"> where engineering is presented in the context of technology design. Of these, 17 were developed</w:t>
      </w:r>
      <w:r w:rsidRPr="008E13C8">
        <w:rPr>
          <w:rFonts w:ascii="Times" w:hAnsi="Times" w:cs="Times New Roman"/>
          <w:sz w:val="12"/>
          <w:szCs w:val="12"/>
        </w:rPr>
        <w:t>¶</w:t>
      </w:r>
      <w:r w:rsidRPr="008E13C8">
        <w:rPr>
          <w:rFonts w:ascii="Times" w:hAnsi="Times" w:cs="Times New Roman"/>
          <w:sz w:val="16"/>
          <w:szCs w:val="16"/>
        </w:rPr>
        <w:t xml:space="preserve"> independently from ITEEA and PLTW standards or curriculum. Engineering is</w:t>
      </w:r>
      <w:r w:rsidRPr="008E13C8">
        <w:rPr>
          <w:rFonts w:ascii="Times" w:hAnsi="Times" w:cs="Times New Roman"/>
          <w:sz w:val="12"/>
          <w:szCs w:val="12"/>
        </w:rPr>
        <w:t>¶</w:t>
      </w:r>
      <w:r w:rsidRPr="008E13C8">
        <w:rPr>
          <w:rFonts w:ascii="Times" w:hAnsi="Times" w:cs="Times New Roman"/>
          <w:sz w:val="16"/>
          <w:szCs w:val="16"/>
        </w:rPr>
        <w:t xml:space="preserve"> most often found in science standards (12), but also in areas variously labeled as technology,</w:t>
      </w:r>
      <w:r w:rsidRPr="008E13C8">
        <w:rPr>
          <w:rFonts w:ascii="Times" w:hAnsi="Times" w:cs="Times New Roman"/>
          <w:sz w:val="12"/>
          <w:szCs w:val="12"/>
        </w:rPr>
        <w:t>¶</w:t>
      </w:r>
      <w:r w:rsidRPr="008E13C8">
        <w:rPr>
          <w:rFonts w:ascii="Times" w:hAnsi="Times" w:cs="Times New Roman"/>
          <w:sz w:val="16"/>
          <w:szCs w:val="16"/>
        </w:rPr>
        <w:t xml:space="preserve"> engineering and technology, STEM, and career and vocational standards, even in one</w:t>
      </w:r>
      <w:r w:rsidRPr="008E13C8">
        <w:rPr>
          <w:rFonts w:ascii="Times" w:hAnsi="Times" w:cs="Times New Roman"/>
          <w:sz w:val="12"/>
          <w:szCs w:val="12"/>
        </w:rPr>
        <w:t>¶</w:t>
      </w:r>
      <w:r w:rsidRPr="008E13C8">
        <w:rPr>
          <w:rFonts w:ascii="Times" w:hAnsi="Times" w:cs="Times New Roman"/>
          <w:sz w:val="16"/>
          <w:szCs w:val="16"/>
        </w:rPr>
        <w:t xml:space="preserve"> case in math standards. The majority of standards found relate to design process knowledge</w:t>
      </w:r>
      <w:r w:rsidRPr="008E13C8">
        <w:rPr>
          <w:rFonts w:ascii="Times" w:hAnsi="Times" w:cs="Times New Roman"/>
          <w:sz w:val="12"/>
          <w:szCs w:val="12"/>
        </w:rPr>
        <w:t>¶</w:t>
      </w:r>
      <w:r w:rsidRPr="008E13C8">
        <w:rPr>
          <w:rFonts w:ascii="Times" w:hAnsi="Times" w:cs="Times New Roman"/>
          <w:sz w:val="16"/>
          <w:szCs w:val="16"/>
        </w:rPr>
        <w:t xml:space="preserve"> or applications, specific parts of the design process and assessing technology impact</w:t>
      </w:r>
      <w:r w:rsidRPr="008E13C8">
        <w:rPr>
          <w:rFonts w:ascii="Times" w:hAnsi="Times" w:cs="Times New Roman"/>
          <w:sz w:val="12"/>
          <w:szCs w:val="12"/>
        </w:rPr>
        <w:t>¶</w:t>
      </w:r>
      <w:r w:rsidRPr="008E13C8">
        <w:rPr>
          <w:rFonts w:ascii="Times" w:hAnsi="Times" w:cs="Times New Roman"/>
          <w:sz w:val="16"/>
          <w:szCs w:val="16"/>
        </w:rPr>
        <w:t xml:space="preserve"> and innovations. While engineering-related standards are inconsistent in scope, emphasis,</w:t>
      </w:r>
      <w:r w:rsidRPr="008E13C8">
        <w:rPr>
          <w:rFonts w:ascii="Times" w:hAnsi="Times" w:cs="Times New Roman"/>
          <w:sz w:val="12"/>
          <w:szCs w:val="12"/>
        </w:rPr>
        <w:t>¶</w:t>
      </w:r>
      <w:r w:rsidRPr="008E13C8">
        <w:rPr>
          <w:rFonts w:ascii="Times" w:hAnsi="Times" w:cs="Times New Roman"/>
          <w:sz w:val="16"/>
          <w:szCs w:val="16"/>
        </w:rPr>
        <w:t xml:space="preserve"> location, subject area, and context, </w:t>
      </w:r>
      <w:r w:rsidRPr="008E13C8">
        <w:rPr>
          <w:rStyle w:val="StyleBoldUnderline"/>
        </w:rPr>
        <w:t>the coherence of core big ideas that emerge from the¶ various standards indicates that</w:t>
      </w:r>
      <w:r w:rsidRPr="008E13C8">
        <w:rPr>
          <w:rFonts w:ascii="Times" w:hAnsi="Times" w:cs="Times New Roman"/>
          <w:sz w:val="20"/>
          <w:szCs w:val="20"/>
        </w:rPr>
        <w:t xml:space="preserve"> </w:t>
      </w:r>
      <w:r w:rsidRPr="008E13C8">
        <w:rPr>
          <w:rStyle w:val="Emphasis"/>
        </w:rPr>
        <w:t>a consensus on pre-college engineering curriculum is possible</w:t>
      </w:r>
      <w:r w:rsidRPr="008E13C8">
        <w:rPr>
          <w:rFonts w:ascii="Times" w:hAnsi="Times" w:cs="Times New Roman"/>
          <w:i/>
          <w:iCs/>
          <w:sz w:val="20"/>
          <w:szCs w:val="20"/>
        </w:rPr>
        <w:t>.</w:t>
      </w:r>
      <w:r w:rsidRPr="008E13C8">
        <w:rPr>
          <w:rFonts w:ascii="Times" w:hAnsi="Times" w:cs="Times New Roman"/>
          <w:sz w:val="16"/>
          <w:szCs w:val="16"/>
        </w:rPr>
        <w:t xml:space="preserve"> Truly, engineering </w:t>
      </w:r>
      <w:r w:rsidRPr="008E13C8">
        <w:rPr>
          <w:rStyle w:val="StyleBoldUnderline"/>
        </w:rPr>
        <w:t>state standards provide</w:t>
      </w:r>
      <w:r w:rsidRPr="008E13C8">
        <w:rPr>
          <w:rFonts w:ascii="Times" w:hAnsi="Times" w:cs="Times New Roman"/>
          <w:sz w:val="20"/>
          <w:szCs w:val="20"/>
        </w:rPr>
        <w:t xml:space="preserve"> </w:t>
      </w:r>
      <w:r w:rsidRPr="008E13C8">
        <w:rPr>
          <w:rStyle w:val="Emphasis"/>
        </w:rPr>
        <w:t>rich information</w:t>
      </w:r>
      <w:r w:rsidRPr="008E13C8">
        <w:rPr>
          <w:rFonts w:ascii="Times" w:hAnsi="Times" w:cs="Times New Roman"/>
          <w:sz w:val="20"/>
          <w:szCs w:val="20"/>
        </w:rPr>
        <w:t xml:space="preserve"> </w:t>
      </w:r>
      <w:r w:rsidRPr="008E13C8">
        <w:rPr>
          <w:rStyle w:val="StyleBoldUnderline"/>
        </w:rPr>
        <w:t>and</w:t>
      </w:r>
      <w:r w:rsidRPr="008E13C8">
        <w:rPr>
          <w:rFonts w:ascii="Times" w:hAnsi="Times" w:cs="Times New Roman"/>
          <w:sz w:val="20"/>
          <w:szCs w:val="20"/>
        </w:rPr>
        <w:t xml:space="preserve"> </w:t>
      </w:r>
      <w:r w:rsidRPr="008E13C8">
        <w:rPr>
          <w:rStyle w:val="Emphasis"/>
        </w:rPr>
        <w:t>concrete examples</w:t>
      </w:r>
      <w:r w:rsidRPr="008E13C8">
        <w:rPr>
          <w:rFonts w:ascii="Times" w:hAnsi="Times" w:cs="Times New Roman"/>
          <w:sz w:val="12"/>
          <w:szCs w:val="12"/>
        </w:rPr>
        <w:t>¶</w:t>
      </w:r>
      <w:r w:rsidRPr="008E13C8">
        <w:rPr>
          <w:rFonts w:ascii="Times" w:hAnsi="Times" w:cs="Times New Roman"/>
          <w:sz w:val="20"/>
          <w:szCs w:val="20"/>
        </w:rPr>
        <w:t xml:space="preserve"> </w:t>
      </w:r>
      <w:r w:rsidRPr="008E13C8">
        <w:rPr>
          <w:rStyle w:val="StyleBoldUnderline"/>
        </w:rPr>
        <w:t>of ways that engineering is</w:t>
      </w:r>
      <w:r w:rsidRPr="008E13C8">
        <w:rPr>
          <w:rFonts w:ascii="Times" w:hAnsi="Times" w:cs="Times New Roman"/>
          <w:sz w:val="20"/>
          <w:szCs w:val="20"/>
        </w:rPr>
        <w:t xml:space="preserve"> </w:t>
      </w:r>
      <w:r w:rsidRPr="008E13C8">
        <w:rPr>
          <w:rStyle w:val="Emphasis"/>
        </w:rPr>
        <w:t>already integrated into curricula</w:t>
      </w:r>
      <w:r>
        <w:rPr>
          <w:rFonts w:ascii="Times" w:hAnsi="Times" w:cs="Times New Roman"/>
          <w:sz w:val="20"/>
          <w:szCs w:val="20"/>
        </w:rPr>
        <w:t xml:space="preserve"> </w:t>
      </w:r>
      <w:r w:rsidRPr="008E13C8">
        <w:rPr>
          <w:rStyle w:val="StyleBoldUnderline"/>
        </w:rPr>
        <w:t xml:space="preserve">across the nation. Given the strong momentum of increased interest in STEM education in the United¶ States, along with the </w:t>
      </w:r>
      <w:r w:rsidRPr="008E13C8">
        <w:rPr>
          <w:rFonts w:ascii="Times" w:hAnsi="Times" w:cs="Times New Roman"/>
          <w:sz w:val="16"/>
          <w:szCs w:val="16"/>
        </w:rPr>
        <w:t xml:space="preserve">already </w:t>
      </w:r>
      <w:r w:rsidRPr="008E13C8">
        <w:rPr>
          <w:rStyle w:val="StyleBoldUnderline"/>
        </w:rPr>
        <w:t>strong presence of</w:t>
      </w:r>
      <w:r w:rsidRPr="008E13C8">
        <w:rPr>
          <w:rFonts w:ascii="Times" w:hAnsi="Times" w:cs="Times New Roman"/>
          <w:sz w:val="16"/>
          <w:szCs w:val="16"/>
        </w:rPr>
        <w:t xml:space="preserve"> engineering </w:t>
      </w:r>
      <w:r w:rsidRPr="008E13C8">
        <w:rPr>
          <w:rFonts w:ascii="Times" w:hAnsi="Times" w:cs="Times New Roman"/>
          <w:sz w:val="20"/>
          <w:szCs w:val="20"/>
        </w:rPr>
        <w:t>st</w:t>
      </w:r>
      <w:r w:rsidRPr="008E13C8">
        <w:rPr>
          <w:rStyle w:val="StyleBoldUnderline"/>
        </w:rPr>
        <w:t>andards in curricula at the¶ state level, now is the time to move forward in the formation of a national pre-college</w:t>
      </w:r>
      <w:r w:rsidRPr="008E13C8">
        <w:rPr>
          <w:rFonts w:ascii="Times" w:hAnsi="Times" w:cs="Times New Roman"/>
          <w:sz w:val="20"/>
          <w:szCs w:val="20"/>
        </w:rPr>
        <w:t xml:space="preserve"> </w:t>
      </w:r>
      <w:r w:rsidRPr="008E13C8">
        <w:rPr>
          <w:rFonts w:ascii="Times" w:hAnsi="Times" w:cs="Times New Roman"/>
          <w:sz w:val="16"/>
          <w:szCs w:val="16"/>
        </w:rPr>
        <w:t>engineering</w:t>
      </w:r>
      <w:r w:rsidRPr="008E13C8">
        <w:rPr>
          <w:rFonts w:ascii="Times" w:hAnsi="Times" w:cs="Times New Roman"/>
          <w:sz w:val="12"/>
          <w:szCs w:val="12"/>
        </w:rPr>
        <w:t>¶</w:t>
      </w:r>
      <w:r w:rsidRPr="008E13C8">
        <w:rPr>
          <w:rFonts w:ascii="Times" w:hAnsi="Times" w:cs="Times New Roman"/>
          <w:sz w:val="16"/>
          <w:szCs w:val="16"/>
        </w:rPr>
        <w:t xml:space="preserve"> </w:t>
      </w:r>
      <w:r w:rsidRPr="008E13C8">
        <w:rPr>
          <w:rStyle w:val="StyleBoldUnderline"/>
        </w:rPr>
        <w:t>education agenda and a standards debate</w:t>
      </w:r>
      <w:r w:rsidRPr="008E13C8">
        <w:rPr>
          <w:rFonts w:ascii="Times" w:hAnsi="Times" w:cs="Times New Roman"/>
          <w:sz w:val="20"/>
          <w:szCs w:val="20"/>
        </w:rPr>
        <w:t>.</w:t>
      </w:r>
    </w:p>
    <w:p w14:paraId="2289E5FF" w14:textId="125E7D05" w:rsidR="0065145A" w:rsidRDefault="00FE5A50" w:rsidP="00FE5A50">
      <w:pPr>
        <w:pStyle w:val="Heading4"/>
      </w:pPr>
      <w:r>
        <w:t>States key to strong STEM agenda – solves the aff without new investments</w:t>
      </w:r>
    </w:p>
    <w:p w14:paraId="53EF6A34" w14:textId="2E1558DB" w:rsidR="0065145A" w:rsidRPr="0065145A" w:rsidRDefault="0065145A" w:rsidP="0065145A">
      <w:pPr>
        <w:rPr>
          <w:rStyle w:val="StyleStyleBold12pt"/>
        </w:rPr>
      </w:pPr>
      <w:r w:rsidRPr="0065145A">
        <w:rPr>
          <w:rStyle w:val="StyleStyleBold12pt"/>
        </w:rPr>
        <w:t xml:space="preserve">Thomasian ‘11 </w:t>
      </w:r>
      <w:r w:rsidRPr="0065145A">
        <w:rPr>
          <w:rStyle w:val="StyleStyleBold12pt"/>
          <w:b w:val="0"/>
        </w:rPr>
        <w:t>– John Thomasian, Black Point Policy Solutions, L (“Building a Science, Technology, Engineering, and Math Education Agenda: An Update of State Actions,” National Governor’s Association Center for Best Practices, http://files.eric.ed.gov/fulltext/ED532528.pdf) bhb</w:t>
      </w:r>
    </w:p>
    <w:p w14:paraId="3BD2B9C4" w14:textId="35C0D13A" w:rsidR="0065145A" w:rsidRDefault="0065145A" w:rsidP="0065145A">
      <w:pPr>
        <w:rPr>
          <w:sz w:val="16"/>
        </w:rPr>
      </w:pPr>
      <w:r w:rsidRPr="0065145A">
        <w:rPr>
          <w:rStyle w:val="StyleBoldUnderline"/>
        </w:rPr>
        <w:t>This is an opportune time for governors to take</w:t>
      </w:r>
      <w:r w:rsidR="00FE5A50" w:rsidRPr="00FE5A50">
        <w:rPr>
          <w:rStyle w:val="StyleBoldUnderline"/>
          <w:sz w:val="12"/>
          <w:u w:val="none"/>
        </w:rPr>
        <w:t>¶</w:t>
      </w:r>
      <w:r w:rsidRPr="0065145A">
        <w:rPr>
          <w:rStyle w:val="StyleBoldUnderline"/>
        </w:rPr>
        <w:t xml:space="preserve"> stock of</w:t>
      </w:r>
      <w:r w:rsidRPr="00FE5A50">
        <w:rPr>
          <w:sz w:val="16"/>
        </w:rPr>
        <w:t xml:space="preserve"> their </w:t>
      </w:r>
      <w:r w:rsidRPr="0065145A">
        <w:rPr>
          <w:rStyle w:val="StyleBoldUnderline"/>
        </w:rPr>
        <w:t>STEM</w:t>
      </w:r>
      <w:r w:rsidRPr="00FE5A50">
        <w:rPr>
          <w:sz w:val="16"/>
        </w:rPr>
        <w:t xml:space="preserve"> initiatives. As state economies</w:t>
      </w:r>
      <w:r w:rsidR="00FE5A50" w:rsidRPr="00FE5A50">
        <w:rPr>
          <w:sz w:val="12"/>
        </w:rPr>
        <w:t>¶</w:t>
      </w:r>
      <w:r w:rsidRPr="00FE5A50">
        <w:rPr>
          <w:sz w:val="16"/>
        </w:rPr>
        <w:t xml:space="preserve"> begin to recover from the recent recession, </w:t>
      </w:r>
      <w:r w:rsidRPr="00FE5A50">
        <w:rPr>
          <w:rStyle w:val="StyleBoldUnderline"/>
        </w:rPr>
        <w:t>it is important</w:t>
      </w:r>
      <w:r w:rsidR="00FE5A50" w:rsidRPr="00FE5A50">
        <w:rPr>
          <w:rStyle w:val="StyleBoldUnderline"/>
          <w:sz w:val="12"/>
          <w:u w:val="none"/>
        </w:rPr>
        <w:t>¶</w:t>
      </w:r>
      <w:r w:rsidRPr="00FE5A50">
        <w:rPr>
          <w:rStyle w:val="StyleBoldUnderline"/>
        </w:rPr>
        <w:t xml:space="preserve"> to harmonize the STEM education agenda</w:t>
      </w:r>
      <w:r w:rsidR="00FE5A50" w:rsidRPr="00FE5A50">
        <w:rPr>
          <w:rStyle w:val="StyleBoldUnderline"/>
          <w:sz w:val="12"/>
          <w:u w:val="none"/>
        </w:rPr>
        <w:t>¶</w:t>
      </w:r>
      <w:r w:rsidRPr="00FE5A50">
        <w:rPr>
          <w:rStyle w:val="StyleBoldUnderline"/>
        </w:rPr>
        <w:t xml:space="preserve"> with the state’s economic agenda</w:t>
      </w:r>
      <w:r w:rsidRPr="00FE5A50">
        <w:rPr>
          <w:sz w:val="16"/>
        </w:rPr>
        <w:t xml:space="preserve">. </w:t>
      </w:r>
      <w:r w:rsidRPr="00FE5A50">
        <w:rPr>
          <w:rStyle w:val="StyleBoldUnderline"/>
        </w:rPr>
        <w:t>Governors should</w:t>
      </w:r>
      <w:r w:rsidR="00FE5A50" w:rsidRPr="00FE5A50">
        <w:rPr>
          <w:sz w:val="12"/>
        </w:rPr>
        <w:t>¶</w:t>
      </w:r>
      <w:r w:rsidRPr="00FE5A50">
        <w:rPr>
          <w:sz w:val="16"/>
        </w:rPr>
        <w:t xml:space="preserve"> ask the following questions: • Are we producing the correct number of degrees</w:t>
      </w:r>
      <w:r w:rsidR="00FE5A50" w:rsidRPr="00FE5A50">
        <w:rPr>
          <w:sz w:val="12"/>
        </w:rPr>
        <w:t>¶</w:t>
      </w:r>
      <w:r w:rsidRPr="00FE5A50">
        <w:rPr>
          <w:sz w:val="16"/>
        </w:rPr>
        <w:t xml:space="preserve"> and certificates to </w:t>
      </w:r>
      <w:r w:rsidRPr="00FE5A50">
        <w:rPr>
          <w:rStyle w:val="StyleBoldUnderline"/>
        </w:rPr>
        <w:t>meet the job demands of specific</w:t>
      </w:r>
      <w:r w:rsidR="00FE5A50" w:rsidRPr="00FE5A50">
        <w:rPr>
          <w:rStyle w:val="StyleBoldUnderline"/>
          <w:sz w:val="12"/>
          <w:u w:val="none"/>
        </w:rPr>
        <w:t>¶</w:t>
      </w:r>
      <w:r w:rsidRPr="00FE5A50">
        <w:rPr>
          <w:rStyle w:val="StyleBoldUnderline"/>
        </w:rPr>
        <w:t xml:space="preserve"> industries</w:t>
      </w:r>
      <w:r w:rsidRPr="00FE5A50">
        <w:rPr>
          <w:sz w:val="16"/>
        </w:rPr>
        <w:t xml:space="preserve"> in the region? • Is our educational system providing </w:t>
      </w:r>
      <w:r w:rsidRPr="00FE5A50">
        <w:rPr>
          <w:rStyle w:val="StyleBoldUnderline"/>
        </w:rPr>
        <w:t>a seamless</w:t>
      </w:r>
      <w:r w:rsidR="00FE5A50" w:rsidRPr="00FE5A50">
        <w:rPr>
          <w:rStyle w:val="StyleBoldUnderline"/>
          <w:sz w:val="12"/>
          <w:u w:val="none"/>
        </w:rPr>
        <w:t>¶</w:t>
      </w:r>
      <w:r w:rsidRPr="00FE5A50">
        <w:rPr>
          <w:rStyle w:val="StyleBoldUnderline"/>
        </w:rPr>
        <w:t xml:space="preserve"> trajectory from K–12</w:t>
      </w:r>
      <w:r w:rsidRPr="00FE5A50">
        <w:rPr>
          <w:sz w:val="16"/>
        </w:rPr>
        <w:t xml:space="preserve"> through all postsecondary</w:t>
      </w:r>
      <w:r w:rsidR="00FE5A50" w:rsidRPr="00FE5A50">
        <w:rPr>
          <w:sz w:val="12"/>
        </w:rPr>
        <w:t>¶</w:t>
      </w:r>
      <w:r w:rsidRPr="00FE5A50">
        <w:rPr>
          <w:sz w:val="16"/>
        </w:rPr>
        <w:t xml:space="preserve"> institutions </w:t>
      </w:r>
      <w:r w:rsidRPr="00FE5A50">
        <w:rPr>
          <w:rStyle w:val="StyleBoldUnderline"/>
        </w:rPr>
        <w:t>to allow students to efficiently and</w:t>
      </w:r>
      <w:r w:rsidR="00FE5A50" w:rsidRPr="00FE5A50">
        <w:rPr>
          <w:rStyle w:val="StyleBoldUnderline"/>
          <w:sz w:val="12"/>
          <w:u w:val="none"/>
        </w:rPr>
        <w:t>¶</w:t>
      </w:r>
      <w:r w:rsidRPr="00FE5A50">
        <w:rPr>
          <w:rStyle w:val="StyleBoldUnderline"/>
        </w:rPr>
        <w:t xml:space="preserve"> cost-effectively build the skills they need for</w:t>
      </w:r>
      <w:r w:rsidR="00FE5A50" w:rsidRPr="00FE5A50">
        <w:rPr>
          <w:rStyle w:val="StyleBoldUnderline"/>
          <w:sz w:val="12"/>
          <w:u w:val="none"/>
        </w:rPr>
        <w:t>¶</w:t>
      </w:r>
      <w:r w:rsidRPr="00FE5A50">
        <w:rPr>
          <w:rStyle w:val="StyleBoldUnderline"/>
        </w:rPr>
        <w:t xml:space="preserve"> STEM careers</w:t>
      </w:r>
      <w:r w:rsidRPr="00FE5A50">
        <w:rPr>
          <w:sz w:val="16"/>
        </w:rPr>
        <w:t xml:space="preserve">? • Are we </w:t>
      </w:r>
      <w:r w:rsidRPr="00FE5A50">
        <w:rPr>
          <w:rStyle w:val="StyleBoldUnderline"/>
        </w:rPr>
        <w:t>taking advantage of all the opportunities</w:t>
      </w:r>
      <w:r w:rsidR="00FE5A50" w:rsidRPr="00FE5A50">
        <w:rPr>
          <w:rStyle w:val="StyleBoldUnderline"/>
          <w:sz w:val="12"/>
          <w:u w:val="none"/>
        </w:rPr>
        <w:t>¶</w:t>
      </w:r>
      <w:r w:rsidRPr="00FE5A50">
        <w:rPr>
          <w:rStyle w:val="StyleBoldUnderline"/>
        </w:rPr>
        <w:t xml:space="preserve"> and resources available from the various public,</w:t>
      </w:r>
      <w:r w:rsidR="00FE5A50" w:rsidRPr="00FE5A50">
        <w:rPr>
          <w:rStyle w:val="StyleBoldUnderline"/>
          <w:sz w:val="12"/>
          <w:u w:val="none"/>
        </w:rPr>
        <w:t>¶</w:t>
      </w:r>
      <w:r w:rsidRPr="00FE5A50">
        <w:rPr>
          <w:rStyle w:val="StyleBoldUnderline"/>
        </w:rPr>
        <w:t xml:space="preserve"> private, and philanthropic institutions providing</w:t>
      </w:r>
      <w:r w:rsidR="00FE5A50" w:rsidRPr="00FE5A50">
        <w:rPr>
          <w:rStyle w:val="StyleBoldUnderline"/>
          <w:sz w:val="12"/>
          <w:u w:val="none"/>
        </w:rPr>
        <w:t>¶</w:t>
      </w:r>
      <w:r w:rsidRPr="00FE5A50">
        <w:rPr>
          <w:rStyle w:val="StyleBoldUnderline"/>
        </w:rPr>
        <w:t xml:space="preserve"> support to the STEM agenda</w:t>
      </w:r>
      <w:r w:rsidRPr="00FE5A50">
        <w:rPr>
          <w:sz w:val="16"/>
        </w:rPr>
        <w:t xml:space="preserve">? Answering these questions </w:t>
      </w:r>
      <w:r w:rsidRPr="00FE5A50">
        <w:rPr>
          <w:rStyle w:val="StyleBoldUnderline"/>
        </w:rPr>
        <w:t>requires working closely</w:t>
      </w:r>
      <w:r w:rsidR="00FE5A50" w:rsidRPr="00FE5A50">
        <w:rPr>
          <w:sz w:val="12"/>
        </w:rPr>
        <w:t>¶</w:t>
      </w:r>
      <w:r w:rsidRPr="00FE5A50">
        <w:rPr>
          <w:sz w:val="16"/>
        </w:rPr>
        <w:t xml:space="preserve"> </w:t>
      </w:r>
      <w:r w:rsidRPr="00FE5A50">
        <w:rPr>
          <w:rStyle w:val="StyleBoldUnderline"/>
        </w:rPr>
        <w:t>with</w:t>
      </w:r>
      <w:r w:rsidRPr="00FE5A50">
        <w:rPr>
          <w:sz w:val="16"/>
        </w:rPr>
        <w:t xml:space="preserve"> the private sector, </w:t>
      </w:r>
      <w:r w:rsidRPr="00FE5A50">
        <w:rPr>
          <w:rStyle w:val="StyleBoldUnderline"/>
        </w:rPr>
        <w:t>P–20 councils</w:t>
      </w:r>
      <w:r w:rsidRPr="00FE5A50">
        <w:rPr>
          <w:sz w:val="16"/>
        </w:rPr>
        <w:t>, the philanthropic</w:t>
      </w:r>
      <w:r w:rsidR="00FE5A50" w:rsidRPr="00FE5A50">
        <w:rPr>
          <w:sz w:val="12"/>
        </w:rPr>
        <w:t>¶</w:t>
      </w:r>
      <w:r w:rsidRPr="00FE5A50">
        <w:rPr>
          <w:sz w:val="16"/>
        </w:rPr>
        <w:t xml:space="preserve"> community, </w:t>
      </w:r>
      <w:r w:rsidRPr="00FE5A50">
        <w:rPr>
          <w:rStyle w:val="StyleBoldUnderline"/>
        </w:rPr>
        <w:t>and</w:t>
      </w:r>
      <w:r w:rsidRPr="00FE5A50">
        <w:rPr>
          <w:sz w:val="16"/>
        </w:rPr>
        <w:t xml:space="preserve"> all components of </w:t>
      </w:r>
      <w:r w:rsidRPr="00FE5A50">
        <w:rPr>
          <w:rStyle w:val="StyleBoldUnderline"/>
        </w:rPr>
        <w:t>the</w:t>
      </w:r>
      <w:r w:rsidR="00FE5A50" w:rsidRPr="00FE5A50">
        <w:rPr>
          <w:rStyle w:val="StyleBoldUnderline"/>
          <w:sz w:val="12"/>
          <w:u w:val="none"/>
        </w:rPr>
        <w:t>¶</w:t>
      </w:r>
      <w:r w:rsidRPr="00FE5A50">
        <w:rPr>
          <w:rStyle w:val="StyleBoldUnderline"/>
        </w:rPr>
        <w:t xml:space="preserve"> state’s educational system</w:t>
      </w:r>
      <w:r w:rsidRPr="00FE5A50">
        <w:rPr>
          <w:sz w:val="16"/>
        </w:rPr>
        <w:t>. By coordinating resources,</w:t>
      </w:r>
      <w:r w:rsidR="00FE5A50" w:rsidRPr="00FE5A50">
        <w:rPr>
          <w:sz w:val="12"/>
        </w:rPr>
        <w:t>¶</w:t>
      </w:r>
      <w:r w:rsidRPr="00FE5A50">
        <w:rPr>
          <w:sz w:val="16"/>
        </w:rPr>
        <w:t xml:space="preserve"> leveraging public and private dollars, achieving</w:t>
      </w:r>
      <w:r w:rsidR="00FE5A50" w:rsidRPr="00FE5A50">
        <w:rPr>
          <w:sz w:val="12"/>
        </w:rPr>
        <w:t>¶</w:t>
      </w:r>
      <w:r w:rsidRPr="00FE5A50">
        <w:rPr>
          <w:sz w:val="16"/>
        </w:rPr>
        <w:t xml:space="preserve"> greater system efficiencies, and creating partnerships,</w:t>
      </w:r>
      <w:r w:rsidR="00FE5A50" w:rsidRPr="00FE5A50">
        <w:rPr>
          <w:sz w:val="12"/>
        </w:rPr>
        <w:t>¶</w:t>
      </w:r>
      <w:r w:rsidRPr="00FE5A50">
        <w:rPr>
          <w:sz w:val="16"/>
        </w:rPr>
        <w:t xml:space="preserve"> </w:t>
      </w:r>
      <w:r w:rsidRPr="00FE5A50">
        <w:rPr>
          <w:rStyle w:val="Emphasis"/>
        </w:rPr>
        <w:t>states can drive a strong STEM agenda</w:t>
      </w:r>
      <w:r w:rsidRPr="00FE5A50">
        <w:rPr>
          <w:sz w:val="16"/>
        </w:rPr>
        <w:t xml:space="preserve">, </w:t>
      </w:r>
      <w:r w:rsidRPr="00FE5A50">
        <w:rPr>
          <w:rStyle w:val="StyleBoldUnderline"/>
        </w:rPr>
        <w:t>often</w:t>
      </w:r>
      <w:r w:rsidR="00FE5A50" w:rsidRPr="00FE5A50">
        <w:rPr>
          <w:rStyle w:val="StyleBoldUnderline"/>
          <w:sz w:val="12"/>
          <w:u w:val="none"/>
        </w:rPr>
        <w:t>¶</w:t>
      </w:r>
      <w:r w:rsidRPr="00FE5A50">
        <w:rPr>
          <w:rStyle w:val="StyleBoldUnderline"/>
        </w:rPr>
        <w:t xml:space="preserve"> without new investments</w:t>
      </w:r>
      <w:r w:rsidRPr="00FE5A50">
        <w:rPr>
          <w:sz w:val="16"/>
        </w:rPr>
        <w:t>. With a strategic plan to</w:t>
      </w:r>
      <w:r w:rsidR="00FE5A50" w:rsidRPr="00FE5A50">
        <w:rPr>
          <w:sz w:val="12"/>
        </w:rPr>
        <w:t>¶</w:t>
      </w:r>
      <w:r w:rsidRPr="00FE5A50">
        <w:rPr>
          <w:sz w:val="16"/>
        </w:rPr>
        <w:t xml:space="preserve"> create a more STEM-capable workforce, the path to</w:t>
      </w:r>
      <w:r w:rsidR="00FE5A50" w:rsidRPr="00FE5A50">
        <w:rPr>
          <w:sz w:val="12"/>
        </w:rPr>
        <w:t>¶</w:t>
      </w:r>
      <w:r w:rsidRPr="00FE5A50">
        <w:rPr>
          <w:sz w:val="16"/>
        </w:rPr>
        <w:t xml:space="preserve"> economic growth grows clearer.</w:t>
      </w:r>
    </w:p>
    <w:p w14:paraId="557BB925" w14:textId="77777777" w:rsidR="00295864" w:rsidRDefault="00295864" w:rsidP="0065145A">
      <w:pPr>
        <w:rPr>
          <w:sz w:val="16"/>
        </w:rPr>
      </w:pPr>
    </w:p>
    <w:p w14:paraId="067A93C4" w14:textId="705BCCAB" w:rsidR="00295864" w:rsidRDefault="00295864" w:rsidP="00295864">
      <w:pPr>
        <w:pStyle w:val="Heading3"/>
      </w:pPr>
      <w:r>
        <w:t>Solvency – School Lunches</w:t>
      </w:r>
    </w:p>
    <w:p w14:paraId="0CC7B5BC" w14:textId="1A952EBA" w:rsidR="00295864" w:rsidRDefault="00295864" w:rsidP="00295864">
      <w:pPr>
        <w:pStyle w:val="Heading4"/>
      </w:pPr>
      <w:r>
        <w:t>States solve better and the CP’s key to avoid the federalism disad</w:t>
      </w:r>
    </w:p>
    <w:p w14:paraId="64939947" w14:textId="0198674C" w:rsidR="00295864" w:rsidRPr="00295864" w:rsidRDefault="00295864" w:rsidP="00295864">
      <w:pPr>
        <w:rPr>
          <w:rStyle w:val="StyleStyleBold12pt"/>
        </w:rPr>
      </w:pPr>
      <w:r w:rsidRPr="00295864">
        <w:rPr>
          <w:rStyle w:val="StyleStyleBold12pt"/>
        </w:rPr>
        <w:t>Roberts Ph.D., longtime educator who is Executive Vice President of the Texas Public Policy Foundation in Austin ‘17</w:t>
      </w:r>
      <w:r>
        <w:rPr>
          <w:rStyle w:val="StyleStyleBold12pt"/>
        </w:rPr>
        <w:t xml:space="preserve"> </w:t>
      </w:r>
      <w:r w:rsidRPr="00295864">
        <w:rPr>
          <w:rStyle w:val="StyleStyleBold12pt"/>
          <w:b w:val="0"/>
        </w:rPr>
        <w:t>(Kevin, 2/7, “States, Not the Feds, Should Lead Education Reform,” February 7, http://www.realcleareducation.com/articles/2017/02/07/states_not_the_feds_should_lead_education_reform__110115.html, Stadt)</w:t>
      </w:r>
    </w:p>
    <w:p w14:paraId="2AD60A74" w14:textId="05A59782" w:rsidR="00295864" w:rsidRPr="00295864" w:rsidRDefault="00295864" w:rsidP="00295864">
      <w:pPr>
        <w:rPr>
          <w:sz w:val="16"/>
        </w:rPr>
      </w:pPr>
      <w:r w:rsidRPr="00295864">
        <w:rPr>
          <w:sz w:val="16"/>
        </w:rPr>
        <w:t xml:space="preserve">The era of Donald </w:t>
      </w:r>
      <w:r w:rsidRPr="00EE55EA">
        <w:rPr>
          <w:rStyle w:val="StyleBoldUnderline"/>
        </w:rPr>
        <w:t>Trump offers</w:t>
      </w:r>
      <w:r w:rsidRPr="00295864">
        <w:rPr>
          <w:sz w:val="16"/>
        </w:rPr>
        <w:t xml:space="preserve"> conservative </w:t>
      </w:r>
      <w:r w:rsidRPr="00EE55EA">
        <w:rPr>
          <w:rStyle w:val="StyleBoldUnderline"/>
        </w:rPr>
        <w:t>reformers opportunities</w:t>
      </w:r>
      <w:r w:rsidRPr="00295864">
        <w:rPr>
          <w:sz w:val="16"/>
        </w:rPr>
        <w:t xml:space="preserve"> they have not seen since the 1980s. </w:t>
      </w:r>
      <w:r w:rsidRPr="00EE55EA">
        <w:rPr>
          <w:rStyle w:val="Emphasis"/>
        </w:rPr>
        <w:t xml:space="preserve">The most significant are in education, where the federal government has aggrandized its power, rendering states impotent. This overreach comes at the expense of </w:t>
      </w:r>
      <w:r w:rsidRPr="00295864">
        <w:rPr>
          <w:sz w:val="16"/>
        </w:rPr>
        <w:t>two things very dear to the nation—</w:t>
      </w:r>
      <w:r w:rsidRPr="00EE55EA">
        <w:rPr>
          <w:rStyle w:val="Emphasis"/>
        </w:rPr>
        <w:t>our schoolchildren and our understanding of shared power</w:t>
      </w:r>
      <w:r w:rsidRPr="00295864">
        <w:rPr>
          <w:sz w:val="16"/>
        </w:rPr>
        <w:t xml:space="preserve">. </w:t>
      </w:r>
      <w:r w:rsidRPr="00EE55EA">
        <w:rPr>
          <w:rStyle w:val="StyleBoldUnderline"/>
        </w:rPr>
        <w:t>Though the Trump administration will</w:t>
      </w:r>
      <w:r w:rsidRPr="00295864">
        <w:rPr>
          <w:sz w:val="16"/>
        </w:rPr>
        <w:t xml:space="preserve"> no doubt </w:t>
      </w:r>
      <w:r w:rsidRPr="00EE55EA">
        <w:rPr>
          <w:rStyle w:val="StyleBoldUnderline"/>
        </w:rPr>
        <w:t>address the former</w:t>
      </w:r>
      <w:r w:rsidRPr="00295864">
        <w:rPr>
          <w:sz w:val="16"/>
        </w:rPr>
        <w:t xml:space="preserve"> problem, </w:t>
      </w:r>
      <w:r w:rsidRPr="00EE55EA">
        <w:rPr>
          <w:rStyle w:val="Emphasis"/>
        </w:rPr>
        <w:t>its means of doing so may very well exacerbate the latter</w:t>
      </w:r>
      <w:r w:rsidRPr="00295864">
        <w:rPr>
          <w:sz w:val="16"/>
        </w:rPr>
        <w:t xml:space="preserve">. </w:t>
      </w:r>
      <w:r w:rsidRPr="00EE55EA">
        <w:rPr>
          <w:rStyle w:val="StyleBoldUnderline"/>
        </w:rPr>
        <w:t>Too often, well-intentioned</w:t>
      </w:r>
      <w:r w:rsidRPr="00295864">
        <w:rPr>
          <w:sz w:val="16"/>
        </w:rPr>
        <w:t xml:space="preserve">, conservative </w:t>
      </w:r>
      <w:r w:rsidRPr="00EE55EA">
        <w:rPr>
          <w:rStyle w:val="StyleBoldUnderline"/>
        </w:rPr>
        <w:t>executives end up using federal power to heal the wounds caused by the very same bludgeon</w:t>
      </w:r>
      <w:r w:rsidRPr="00295864">
        <w:rPr>
          <w:sz w:val="16"/>
        </w:rPr>
        <w:t xml:space="preserve">—federal power. If President Trump is correct in his inaugural exhortation that “now is the hour of action,” then </w:t>
      </w:r>
      <w:r w:rsidRPr="00EE55EA">
        <w:rPr>
          <w:rStyle w:val="Emphasis"/>
        </w:rPr>
        <w:t>states—not federal bureaucrats—need to lead the charge on education policy</w:t>
      </w:r>
      <w:r w:rsidRPr="00295864">
        <w:rPr>
          <w:sz w:val="16"/>
        </w:rP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How fitting, then, that </w:t>
      </w:r>
      <w:r w:rsidRPr="00EE55EA">
        <w:rPr>
          <w:rStyle w:val="StyleBoldUnderline"/>
        </w:rPr>
        <w:t>Texas</w:t>
      </w:r>
      <w:r w:rsidRPr="00295864">
        <w:rPr>
          <w:sz w:val="16"/>
        </w:rPr>
        <w:t xml:space="preserve">—where the American spirit of independence, work ethic, freedom and a vibrant notion of state power is palpable—take the lead in renewing federalism. And how fitting that it do so in the policy area where revitalized state power is most needed: education. During the otherwise-bleak years of the previous administration, the Lone Star State </w:t>
      </w:r>
      <w:r w:rsidRPr="00EE55EA">
        <w:rPr>
          <w:rStyle w:val="StyleBoldUnderline"/>
        </w:rPr>
        <w:t>has shined as a beacon of liberty, deregulation and restrained government authority</w:t>
      </w:r>
      <w:r w:rsidRPr="00295864">
        <w:rPr>
          <w:sz w:val="16"/>
        </w:rPr>
        <w:t xml:space="preserve">. </w:t>
      </w:r>
      <w:r w:rsidRPr="00EE55EA">
        <w:rPr>
          <w:rStyle w:val="StyleBoldUnderline"/>
        </w:rPr>
        <w:t>Harkening to</w:t>
      </w:r>
      <w:r w:rsidRPr="00295864">
        <w:rPr>
          <w:sz w:val="16"/>
        </w:rPr>
        <w:t xml:space="preserve"> Justice Louis </w:t>
      </w:r>
      <w:r w:rsidRPr="00EE55EA">
        <w:rPr>
          <w:rStyle w:val="StyleBoldUnderline"/>
        </w:rPr>
        <w:t>Brandeis's</w:t>
      </w:r>
      <w:r w:rsidRPr="00295864">
        <w:rPr>
          <w:sz w:val="16"/>
        </w:rPr>
        <w:t xml:space="preserve"> early-20th-century </w:t>
      </w:r>
      <w:r w:rsidRPr="00EE55EA">
        <w:rPr>
          <w:rStyle w:val="StyleBoldUnderline"/>
        </w:rPr>
        <w:t>comment that “states are the laboratories of democracy,” Texas-based initiatives have sprouted across the nation</w:t>
      </w:r>
      <w:r w:rsidRPr="00295864">
        <w:rPr>
          <w:sz w:val="16"/>
        </w:rPr>
        <w:t xml:space="preserve">. It's no Texan braggadocio to observe that nationwide, efforts in tort reform, deregulation, tax reduction and criminal justice reform originated in Texas. The resulting “Texas Model” has become the blueprint for leaders in dozens of states. And </w:t>
      </w:r>
      <w:r w:rsidRPr="00EE55EA">
        <w:rPr>
          <w:rStyle w:val="Emphasis"/>
        </w:rPr>
        <w:t>that is precisely how our system should work</w:t>
      </w:r>
      <w:r w:rsidRPr="00295864">
        <w:rPr>
          <w:sz w:val="16"/>
        </w:rPr>
        <w:t xml:space="preserve">. </w:t>
      </w:r>
      <w:r w:rsidRPr="00EE55EA">
        <w:rPr>
          <w:rStyle w:val="StyleBoldUnderline"/>
        </w:rPr>
        <w:t>Though we are all familiar with</w:t>
      </w:r>
      <w:r w:rsidRPr="00295864">
        <w:rPr>
          <w:sz w:val="16"/>
        </w:rPr>
        <w:t xml:space="preserve"> the legitimate </w:t>
      </w:r>
      <w:r w:rsidRPr="00EE55EA">
        <w:rPr>
          <w:rStyle w:val="StyleBoldUnderline"/>
        </w:rPr>
        <w:t>claims based on state sovereignty and the Tenth Amendment, our Founders viewed those as mere baseline expectations</w:t>
      </w:r>
      <w:r w:rsidRPr="00295864">
        <w:rPr>
          <w:sz w:val="16"/>
        </w:rPr>
        <w:t xml:space="preserve">. </w:t>
      </w:r>
      <w:r w:rsidRPr="00EE55EA">
        <w:rPr>
          <w:rStyle w:val="StyleBoldUnderline"/>
        </w:rPr>
        <w:t>In the realm of public policy</w:t>
      </w:r>
      <w:r w:rsidRPr="00295864">
        <w:rPr>
          <w:sz w:val="16"/>
        </w:rPr>
        <w:t xml:space="preserve">, </w:t>
      </w:r>
      <w:r w:rsidRPr="00EE55EA">
        <w:rPr>
          <w:rStyle w:val="StyleBoldUnderline"/>
        </w:rPr>
        <w:t>they saw the states as taking the initiative, being so bold and innovative that the federal government would have to serve as a check on them—not the other way around</w:t>
      </w:r>
      <w:r w:rsidRPr="00295864">
        <w:rPr>
          <w:sz w:val="16"/>
        </w:rPr>
        <w:t xml:space="preserve">, as the case has been in recent years. As the Obama administration would be the first to say, Texas has led those efforts to check federal power. That defensive posture was necessary—and, for the Republic, crucial. But now Texas and other </w:t>
      </w:r>
      <w:r w:rsidRPr="00EE55EA">
        <w:rPr>
          <w:rStyle w:val="Emphasis"/>
        </w:rPr>
        <w:t>states must seize the field of education policy, exercising their own power with bold policy initiatives</w:t>
      </w:r>
      <w:r w:rsidRPr="00295864">
        <w:rPr>
          <w:sz w:val="16"/>
        </w:rPr>
        <w:t xml:space="preserve">. The timing for Texas policymakers is perfect. The state's biennial legislative session has just begun, and the </w:t>
      </w:r>
      <w:r w:rsidRPr="00EE55EA">
        <w:rPr>
          <w:rStyle w:val="StyleBoldUnderline"/>
        </w:rPr>
        <w:t>momentum for an education overhaul has never been stronger</w:t>
      </w:r>
      <w:r w:rsidRPr="00295864">
        <w:rPr>
          <w:sz w:val="16"/>
        </w:rPr>
        <w:t xml:space="preserve">.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 </w:t>
      </w:r>
      <w:r w:rsidRPr="00EE55EA">
        <w:rPr>
          <w:rStyle w:val="Emphasis"/>
        </w:rPr>
        <w:t>the inefficiency inherent in the large federal bureaucracy begs for states to take the lead</w:t>
      </w:r>
      <w:r w:rsidRPr="00295864">
        <w:rPr>
          <w:sz w:val="16"/>
        </w:rPr>
        <w:t xml:space="preserve">. Texas, the most populous state with a bent toward conservative, free-market reforms, has a unique opportunity to show that </w:t>
      </w:r>
      <w:r w:rsidRPr="00EE55EA">
        <w:rPr>
          <w:rStyle w:val="StyleBoldUnderline"/>
        </w:rPr>
        <w:t>states, as our Founders expected, can be at the forefront of policy innovation</w:t>
      </w:r>
      <w:r w:rsidRPr="00295864">
        <w:rPr>
          <w:sz w:val="16"/>
        </w:rPr>
        <w:t xml:space="preserve">. There could not be more at stake. Our children deserve an end to zip-code discrimination, which dramatically limits their access to decent educational options. Furthermore, </w:t>
      </w:r>
      <w:r w:rsidRPr="00EE55EA">
        <w:rPr>
          <w:rStyle w:val="StyleBoldUnderline"/>
        </w:rPr>
        <w:t>the civic health of our American Republic</w:t>
      </w:r>
      <w:r w:rsidRPr="00295864">
        <w:rPr>
          <w:sz w:val="16"/>
        </w:rPr>
        <w:t xml:space="preserve">—in particular, </w:t>
      </w:r>
      <w:r w:rsidRPr="00EE55EA">
        <w:rPr>
          <w:rStyle w:val="StyleBoldUnderline"/>
        </w:rPr>
        <w:t>the long-standing view that states, not the feds, would lead—</w:t>
      </w:r>
      <w:r w:rsidRPr="00EE55EA">
        <w:rPr>
          <w:rStyle w:val="Emphasis"/>
        </w:rPr>
        <w:t>hangs in the balance</w:t>
      </w:r>
      <w:r w:rsidRPr="00295864">
        <w:rPr>
          <w:sz w:val="16"/>
        </w:rPr>
        <w:t>. If there ever was a time for all Americans to summon the Spirit of 1836—the year of the Texas Revolution—now would be the time.</w:t>
      </w:r>
    </w:p>
    <w:p w14:paraId="1B1215F5" w14:textId="7E822C16" w:rsidR="001D311D" w:rsidRDefault="00B61D5E" w:rsidP="001D311D">
      <w:pPr>
        <w:pStyle w:val="Heading2"/>
      </w:pPr>
      <w:r>
        <w:t>*</w:t>
      </w:r>
      <w:r w:rsidR="001D311D">
        <w:t>NSF Affirmative</w:t>
      </w:r>
    </w:p>
    <w:p w14:paraId="1FE11838" w14:textId="77777777" w:rsidR="001D311D" w:rsidRDefault="001D311D" w:rsidP="001D311D">
      <w:pPr>
        <w:pStyle w:val="Heading3"/>
      </w:pPr>
      <w:r>
        <w:t>1NC</w:t>
      </w:r>
    </w:p>
    <w:p w14:paraId="196AE95F" w14:textId="77777777" w:rsidR="001D311D" w:rsidRDefault="001D311D" w:rsidP="001D311D">
      <w:pPr>
        <w:pStyle w:val="Heading4"/>
      </w:pPr>
      <w:r>
        <w:t>The fifty states and relevant territories should:</w:t>
      </w:r>
    </w:p>
    <w:p w14:paraId="3587B0DD" w14:textId="77777777" w:rsidR="001D311D" w:rsidRDefault="001D311D" w:rsidP="001D311D">
      <w:pPr>
        <w:pStyle w:val="Heading4"/>
      </w:pPr>
      <w:r>
        <w:t xml:space="preserve">-- create uniform </w:t>
      </w:r>
      <w:r w:rsidRPr="00BE4EC7">
        <w:t>national pre-college</w:t>
      </w:r>
      <w:r>
        <w:t xml:space="preserve"> science, technology, engineering, and math (STEM) curriculum.</w:t>
      </w:r>
    </w:p>
    <w:p w14:paraId="3198CF79" w14:textId="77777777" w:rsidR="001D311D" w:rsidRDefault="001D311D" w:rsidP="001D311D">
      <w:pPr>
        <w:pStyle w:val="Heading4"/>
      </w:pPr>
      <w:r>
        <w:t>-- increase financial incentives for qualified STEM teachers.</w:t>
      </w:r>
    </w:p>
    <w:p w14:paraId="4E5C2FD8" w14:textId="77777777" w:rsidR="001D311D" w:rsidRDefault="001D311D" w:rsidP="001D311D">
      <w:pPr>
        <w:pStyle w:val="Heading4"/>
      </w:pPr>
      <w:r>
        <w:t>-- enhance coordination of public universities, community colleges, and public schools to promote STEM education.</w:t>
      </w:r>
    </w:p>
    <w:p w14:paraId="41A457F9" w14:textId="77777777" w:rsidR="001D311D" w:rsidRDefault="001D311D" w:rsidP="001D311D">
      <w:pPr>
        <w:pStyle w:val="Heading4"/>
      </w:pPr>
      <w:r>
        <w:t>-- implement the findings of the National Governors Association “Meet the Threat” initiative.</w:t>
      </w:r>
    </w:p>
    <w:p w14:paraId="58CFB184" w14:textId="77777777" w:rsidR="001D311D" w:rsidRDefault="001D311D" w:rsidP="001D311D">
      <w:pPr>
        <w:pStyle w:val="Heading4"/>
      </w:pPr>
      <w:r>
        <w:t>State innovation and coordination is key to a strong STEM agenda</w:t>
      </w:r>
    </w:p>
    <w:p w14:paraId="32D9E86D" w14:textId="77777777" w:rsidR="001D311D" w:rsidRPr="00D833C0" w:rsidRDefault="001D311D" w:rsidP="001D311D">
      <w:r w:rsidRPr="00C530BD">
        <w:rPr>
          <w:rStyle w:val="StyleStyleBold12pt"/>
        </w:rPr>
        <w:t>Thomasian</w:t>
      </w:r>
      <w:r>
        <w:t xml:space="preserve"> 20</w:t>
      </w:r>
      <w:r w:rsidRPr="00C530BD">
        <w:rPr>
          <w:rStyle w:val="StyleStyleBold12pt"/>
        </w:rPr>
        <w:t>11</w:t>
      </w:r>
      <w:r>
        <w:t xml:space="preserve"> – </w:t>
      </w:r>
      <w:r w:rsidRPr="00C530BD">
        <w:t>John Thomasian, Black Point Policy Solutions, L</w:t>
      </w:r>
      <w:r>
        <w:t xml:space="preserve">LC (“Building a Science, Technology, Engineering, and Math Education Agenda: An Update of State Actions,” National Governor’s Association Center for Best Practices, </w:t>
      </w:r>
      <w:r w:rsidRPr="00C530BD">
        <w:t>http://files.eric.ed.gov/fulltext/ED532528.pdf</w:t>
      </w:r>
      <w:r>
        <w:t>) bhb</w:t>
      </w:r>
    </w:p>
    <w:p w14:paraId="6CB65E69" w14:textId="77777777" w:rsidR="001D311D" w:rsidRPr="00BE4EC7" w:rsidRDefault="001D311D" w:rsidP="001D311D">
      <w:pPr>
        <w:rPr>
          <w:rStyle w:val="StyleBoldUnderline"/>
        </w:rPr>
      </w:pPr>
      <w:r w:rsidRPr="00BE4EC7">
        <w:rPr>
          <w:rStyle w:val="StyleBoldUnderline"/>
        </w:rPr>
        <w:t>This is an opportune time for governors to take stock of their STEM initiatives.</w:t>
      </w:r>
      <w:r w:rsidRPr="00BE4EC7">
        <w:rPr>
          <w:sz w:val="16"/>
        </w:rPr>
        <w:t xml:space="preserve"> As state economies begin to recover from the recent recession, </w:t>
      </w:r>
      <w:r w:rsidRPr="00BE4EC7">
        <w:rPr>
          <w:rStyle w:val="StyleBoldUnderline"/>
        </w:rPr>
        <w:t>it is important to harmonize the STEM education agenda</w:t>
      </w:r>
      <w:r w:rsidRPr="00BE4EC7">
        <w:rPr>
          <w:sz w:val="16"/>
        </w:rPr>
        <w:t xml:space="preserve"> with the state’s economic agenda. </w:t>
      </w:r>
      <w:r w:rsidRPr="00BE4EC7">
        <w:rPr>
          <w:rStyle w:val="StyleBoldUnderline"/>
        </w:rPr>
        <w:t>Governors should ask the following questions:</w:t>
      </w:r>
    </w:p>
    <w:p w14:paraId="2B50C08E" w14:textId="77777777" w:rsidR="001D311D" w:rsidRPr="00BE4EC7" w:rsidRDefault="001D311D" w:rsidP="001D311D">
      <w:pPr>
        <w:rPr>
          <w:sz w:val="16"/>
          <w:szCs w:val="16"/>
        </w:rPr>
      </w:pPr>
      <w:r w:rsidRPr="00BE4EC7">
        <w:rPr>
          <w:sz w:val="16"/>
          <w:szCs w:val="16"/>
        </w:rPr>
        <w:t>•</w:t>
      </w:r>
      <w:r w:rsidRPr="00BE4EC7">
        <w:rPr>
          <w:sz w:val="16"/>
          <w:szCs w:val="16"/>
        </w:rPr>
        <w:tab/>
        <w:t xml:space="preserve"> Are we producing the correct number of degrees and certificates to meet the job demands of specific industries in the region?</w:t>
      </w:r>
    </w:p>
    <w:p w14:paraId="53F7DC54" w14:textId="77777777" w:rsidR="001D311D" w:rsidRPr="00D833C0" w:rsidRDefault="001D311D" w:rsidP="001D311D">
      <w:r w:rsidRPr="00D833C0">
        <w:t>•</w:t>
      </w:r>
      <w:r w:rsidRPr="00D833C0">
        <w:tab/>
      </w:r>
      <w:r w:rsidRPr="00BE4EC7">
        <w:rPr>
          <w:rStyle w:val="StyleBoldUnderline"/>
        </w:rPr>
        <w:t xml:space="preserve"> Is our educational system providing a seamless trajectory from K–12 through all postsecondary institutions to allow students to efficiently and cost-effectively build the skills they need for STEM careers?</w:t>
      </w:r>
    </w:p>
    <w:p w14:paraId="66CC6D10" w14:textId="77777777" w:rsidR="001D311D" w:rsidRPr="00D833C0" w:rsidRDefault="001D311D" w:rsidP="001D311D">
      <w:r w:rsidRPr="00D833C0">
        <w:t>•</w:t>
      </w:r>
      <w:r w:rsidRPr="00D833C0">
        <w:tab/>
        <w:t xml:space="preserve"> </w:t>
      </w:r>
      <w:r w:rsidRPr="00BE4EC7">
        <w:rPr>
          <w:rStyle w:val="StyleBoldUnderline"/>
        </w:rPr>
        <w:t>Are we taking advantage of all the opportunities and resources available from the various public, private, and philanthropic institutions providing support to the STEM agenda?</w:t>
      </w:r>
    </w:p>
    <w:p w14:paraId="4B80E3E4" w14:textId="77777777" w:rsidR="001D311D" w:rsidRPr="00BE4EC7" w:rsidRDefault="001D311D" w:rsidP="001D311D">
      <w:pPr>
        <w:rPr>
          <w:sz w:val="16"/>
        </w:rPr>
      </w:pPr>
      <w:r w:rsidRPr="00BE4EC7">
        <w:rPr>
          <w:rStyle w:val="StyleBoldUnderline"/>
        </w:rPr>
        <w:t>Answering these questions requires working closely with the private sector</w:t>
      </w:r>
      <w:r w:rsidRPr="00BE4EC7">
        <w:rPr>
          <w:sz w:val="16"/>
        </w:rPr>
        <w:t xml:space="preserve">, P–20 councils, the philanthropic community, </w:t>
      </w:r>
      <w:r w:rsidRPr="00BE4EC7">
        <w:rPr>
          <w:rStyle w:val="StyleBoldUnderline"/>
        </w:rPr>
        <w:t xml:space="preserve">and all components of the state’s educational system. By coordinating resources, leveraging public and private dollars, achieving greater system efficiencies, and creating partnerships, states can drive a </w:t>
      </w:r>
      <w:r w:rsidRPr="00E019FB">
        <w:rPr>
          <w:rStyle w:val="Emphasis"/>
        </w:rPr>
        <w:t>strong STEM agenda</w:t>
      </w:r>
      <w:r w:rsidRPr="00BE4EC7">
        <w:rPr>
          <w:rStyle w:val="StyleBoldUnderline"/>
        </w:rPr>
        <w:t xml:space="preserve">, often </w:t>
      </w:r>
      <w:r w:rsidRPr="00E019FB">
        <w:rPr>
          <w:rStyle w:val="Emphasis"/>
        </w:rPr>
        <w:t>without new investments</w:t>
      </w:r>
      <w:r w:rsidRPr="00BE4EC7">
        <w:rPr>
          <w:rStyle w:val="StyleBoldUnderline"/>
        </w:rPr>
        <w:t>.</w:t>
      </w:r>
      <w:r w:rsidRPr="00BE4EC7">
        <w:rPr>
          <w:sz w:val="16"/>
        </w:rPr>
        <w:t xml:space="preserve"> With a strategic plan to create a more STEM-capable workforce, the path to economic growth grows clearer.</w:t>
      </w:r>
    </w:p>
    <w:p w14:paraId="2AB37CF1" w14:textId="77777777" w:rsidR="001D311D" w:rsidRPr="00D74B4D" w:rsidRDefault="001D311D" w:rsidP="001D311D"/>
    <w:p w14:paraId="42CCFE98" w14:textId="77777777" w:rsidR="001D311D" w:rsidRDefault="001D311D" w:rsidP="001D311D">
      <w:pPr>
        <w:pStyle w:val="Heading3"/>
      </w:pPr>
      <w:r>
        <w:t>2NC – DA to Perm</w:t>
      </w:r>
    </w:p>
    <w:p w14:paraId="4D4FED47" w14:textId="77777777" w:rsidR="001D311D" w:rsidRPr="00B26FA8" w:rsidRDefault="001D311D" w:rsidP="001D311D">
      <w:pPr>
        <w:pStyle w:val="Heading4"/>
      </w:pPr>
      <w:r>
        <w:t>State leadership key to ensure retention through post-secondary education</w:t>
      </w:r>
    </w:p>
    <w:p w14:paraId="0E4E9164" w14:textId="77777777" w:rsidR="001D311D" w:rsidRDefault="001D311D" w:rsidP="001D311D">
      <w:r w:rsidRPr="00B26FA8">
        <w:rPr>
          <w:rStyle w:val="StyleStyleBold12pt"/>
        </w:rPr>
        <w:t xml:space="preserve">Perna et al </w:t>
      </w:r>
      <w:r>
        <w:t>20</w:t>
      </w:r>
      <w:r w:rsidRPr="00B26FA8">
        <w:rPr>
          <w:rStyle w:val="StyleStyleBold12pt"/>
        </w:rPr>
        <w:t>14</w:t>
      </w:r>
      <w:r>
        <w:t xml:space="preserve"> – </w:t>
      </w:r>
      <w:r w:rsidRPr="00B26FA8">
        <w:t>Laura W. Perna is executive director of the Alliance for Higher Education and Democracy (AHEAD) and professor in the Graduate School of Education at the University of Pennsylvania.</w:t>
      </w:r>
      <w:r>
        <w:t xml:space="preserve"> </w:t>
      </w:r>
      <w:r w:rsidRPr="00B26FA8">
        <w:t>Michael W. Klein is the executive director of the New Jersey Association of State Colleges and Universities.</w:t>
      </w:r>
      <w:r>
        <w:t xml:space="preserve"> </w:t>
      </w:r>
      <w:r w:rsidRPr="00B26FA8">
        <w:t>Michael K. McLendon is the Simmons Centennial Endowed Chair in Higher Education Policy and Leadership and the associate dean in the Simmons School of Education at Southern Methodist University.</w:t>
      </w:r>
      <w:r>
        <w:t xml:space="preserve"> (“</w:t>
      </w:r>
      <w:r w:rsidRPr="00B26FA8">
        <w:t>THE ROLE OF STATE POLICY IN PROMOTING COLLEGE ACCESS AND SUCCESS; SPECIAL EDITORS: LAURA W. PERNA AND MICHAEL K. MCLENDON: Insights and Implications for State Policy-Makers</w:t>
      </w:r>
      <w:r>
        <w:t xml:space="preserve">,” </w:t>
      </w:r>
      <w:r w:rsidRPr="00B26FA8">
        <w:t>655 Annals 209</w:t>
      </w:r>
      <w:r>
        <w:t xml:space="preserve"> LexisNexis) bhb</w:t>
      </w:r>
    </w:p>
    <w:p w14:paraId="772C5F93" w14:textId="77777777" w:rsidR="001D311D" w:rsidRPr="001E1CCD" w:rsidRDefault="001D311D" w:rsidP="001D311D">
      <w:pPr>
        <w:rPr>
          <w:sz w:val="16"/>
        </w:rPr>
      </w:pPr>
      <w:r w:rsidRPr="001E1CCD">
        <w:rPr>
          <w:sz w:val="16"/>
        </w:rPr>
        <w:t xml:space="preserve">The second tenet of the conceptual model that Perna and Finney (2014) propose is that </w:t>
      </w:r>
      <w:r w:rsidRPr="001E1CCD">
        <w:rPr>
          <w:rStyle w:val="StyleBoldUnderline"/>
        </w:rPr>
        <w:t xml:space="preserve">improving attainment requires state policy leadership and steering. To improve higher education attainment, a state must have a public agenda that is shared among state leaders and is designed to ensure that the state's higher education system achieves the states attainment goals. </w:t>
      </w:r>
      <w:r w:rsidRPr="001E1CCD">
        <w:rPr>
          <w:rStyle w:val="Emphasis"/>
        </w:rPr>
        <w:t>In the absence of state policy leadership and steering</w:t>
      </w:r>
      <w:r w:rsidRPr="001E1CCD">
        <w:rPr>
          <w:rStyle w:val="StyleBoldUnderline"/>
        </w:rPr>
        <w:t xml:space="preserve">, individual colleges and </w:t>
      </w:r>
      <w:r w:rsidRPr="00282042">
        <w:rPr>
          <w:rStyle w:val="Emphasis"/>
        </w:rPr>
        <w:t>universities will act rationally to achieve their own institution-specific goals</w:t>
      </w:r>
      <w:r w:rsidRPr="001E1CCD">
        <w:rPr>
          <w:sz w:val="16"/>
        </w:rPr>
        <w:t xml:space="preserve">; these actions may be </w:t>
      </w:r>
      <w:r w:rsidRPr="00282042">
        <w:rPr>
          <w:rStyle w:val="Emphasis"/>
        </w:rPr>
        <w:t>counter to actions that advance the public purposes of higher education</w:t>
      </w:r>
      <w:r w:rsidRPr="001E1CCD">
        <w:rPr>
          <w:sz w:val="16"/>
        </w:rPr>
        <w:t>, assuming of course that a state has adopted this type of public agenda (Perna and Finney 2014).</w:t>
      </w:r>
    </w:p>
    <w:p w14:paraId="7C5B77B8" w14:textId="77777777" w:rsidR="001D311D" w:rsidRPr="001E1CCD" w:rsidRDefault="001D311D" w:rsidP="001D311D">
      <w:pPr>
        <w:rPr>
          <w:sz w:val="16"/>
        </w:rPr>
      </w:pPr>
      <w:r w:rsidRPr="001E1CCD">
        <w:rPr>
          <w:sz w:val="16"/>
        </w:rPr>
        <w:t xml:space="preserve"> [*213]  In their categorization of state responses to the economic downturn, Doyle and Zumeta (this volume) illustrate sharp variations in state policy leadership and steering of higher education. The </w:t>
      </w:r>
      <w:r w:rsidRPr="001E1CCD">
        <w:rPr>
          <w:rStyle w:val="StyleBoldUnderline"/>
        </w:rPr>
        <w:t>absence of policy leadership and steering is most obvious in the "hunker down and wait" and "fall apart" states.</w:t>
      </w:r>
      <w:r w:rsidRPr="001E1CCD">
        <w:rPr>
          <w:sz w:val="16"/>
        </w:rPr>
        <w:t xml:space="preserve"> But Doyle and Zumeta's three other categories of responses (</w:t>
      </w:r>
      <w:r w:rsidRPr="001E1CCD">
        <w:rPr>
          <w:rStyle w:val="StyleBoldUnderline"/>
        </w:rPr>
        <w:t>controlling costs</w:t>
      </w:r>
      <w:r w:rsidRPr="001E1CCD">
        <w:rPr>
          <w:sz w:val="16"/>
        </w:rPr>
        <w:t xml:space="preserve">; buying degrees; and "the grand bargain") </w:t>
      </w:r>
      <w:r w:rsidRPr="001E1CCD">
        <w:rPr>
          <w:rStyle w:val="StyleBoldUnderline"/>
        </w:rPr>
        <w:t>also raise questions about how states are--and are not--steering higher education institutions to increase higher educational attainment</w:t>
      </w:r>
      <w:r w:rsidRPr="001E1CCD">
        <w:rPr>
          <w:sz w:val="16"/>
        </w:rPr>
        <w:t>. All five of these possible responses can work against achieving statewide goals and priorities.</w:t>
      </w:r>
    </w:p>
    <w:p w14:paraId="5C0CCEA5" w14:textId="77777777" w:rsidR="001D311D" w:rsidRDefault="001D311D" w:rsidP="001D311D">
      <w:pPr>
        <w:rPr>
          <w:sz w:val="16"/>
        </w:rPr>
      </w:pPr>
      <w:r w:rsidRPr="001E1CCD">
        <w:rPr>
          <w:rStyle w:val="StyleBoldUnderline"/>
        </w:rPr>
        <w:t xml:space="preserve">The need for effective state policy leadership and steering is </w:t>
      </w:r>
      <w:r w:rsidRPr="00282042">
        <w:rPr>
          <w:rStyle w:val="Emphasis"/>
        </w:rPr>
        <w:t>particularly great in the area of academic readiness for college</w:t>
      </w:r>
      <w:r w:rsidRPr="001E1CCD">
        <w:rPr>
          <w:rStyle w:val="StyleBoldUnderline"/>
        </w:rPr>
        <w:t>. The high rates of participation in remedial or developmental education</w:t>
      </w:r>
      <w:r w:rsidRPr="001E1CCD">
        <w:rPr>
          <w:sz w:val="16"/>
        </w:rPr>
        <w:t xml:space="preserve"> (described by Kurlaender, this volume) </w:t>
      </w:r>
      <w:r w:rsidRPr="001E1CCD">
        <w:rPr>
          <w:rStyle w:val="StyleBoldUnderline"/>
        </w:rPr>
        <w:t xml:space="preserve">and the low rates of college success for students who require remedial education </w:t>
      </w:r>
      <w:r w:rsidRPr="001E1CCD">
        <w:rPr>
          <w:sz w:val="16"/>
        </w:rPr>
        <w:t xml:space="preserve">(Bailey, Jeong, and Choo 2010) </w:t>
      </w:r>
      <w:r w:rsidRPr="001E1CCD">
        <w:rPr>
          <w:rStyle w:val="StyleBoldUnderline"/>
        </w:rPr>
        <w:t>underscore the importance of improving the alignment of K-12 and higher education.</w:t>
      </w:r>
      <w:r w:rsidRPr="001E1CCD">
        <w:rPr>
          <w:sz w:val="16"/>
        </w:rPr>
        <w:t xml:space="preserve"> Yet establishing organizational structures that span these systems (P-20 entities) has not resulted in P-20 policy reform (Perna and Armijo, this volume; Perna and Finney 2014).</w:t>
      </w:r>
    </w:p>
    <w:p w14:paraId="72607312" w14:textId="77777777" w:rsidR="001D311D" w:rsidRPr="00713207" w:rsidRDefault="001D311D" w:rsidP="001D311D"/>
    <w:p w14:paraId="792B5F4A" w14:textId="77777777" w:rsidR="001D311D" w:rsidRDefault="001D311D" w:rsidP="001D311D">
      <w:pPr>
        <w:pStyle w:val="Heading3"/>
      </w:pPr>
      <w:r>
        <w:t>S – Uniform STEM Curriculum</w:t>
      </w:r>
    </w:p>
    <w:p w14:paraId="0FF38D80" w14:textId="77777777" w:rsidR="001D311D" w:rsidRDefault="001D311D" w:rsidP="001D311D">
      <w:pPr>
        <w:pStyle w:val="Heading4"/>
      </w:pPr>
      <w:r>
        <w:t>Uniform STEM curriculum is key to pre-college preparedness</w:t>
      </w:r>
    </w:p>
    <w:p w14:paraId="0D882578" w14:textId="77777777" w:rsidR="001D311D" w:rsidRPr="006815DC" w:rsidRDefault="001D311D" w:rsidP="001D311D">
      <w:pPr>
        <w:rPr>
          <w:rStyle w:val="StyleBoldUnderline"/>
          <w:b/>
          <w:u w:val="none"/>
        </w:rPr>
      </w:pPr>
      <w:r w:rsidRPr="006815DC">
        <w:rPr>
          <w:rStyle w:val="StyleStyleBold12pt"/>
        </w:rPr>
        <w:t>Carr et al</w:t>
      </w:r>
      <w:r>
        <w:t xml:space="preserve"> 20</w:t>
      </w:r>
      <w:r w:rsidRPr="006815DC">
        <w:rPr>
          <w:rStyle w:val="StyleStyleBold12pt"/>
        </w:rPr>
        <w:t>12</w:t>
      </w:r>
      <w:r w:rsidRPr="006815DC">
        <w:t xml:space="preserve"> </w:t>
      </w:r>
      <w:r>
        <w:t xml:space="preserve">– Ronald L Carr, PhD @ Purdue University, is the Senior E-Learning Instructional Designer at Florida State College at Jacksonville  </w:t>
      </w:r>
      <w:r w:rsidRPr="006815DC">
        <w:t>(“</w:t>
      </w:r>
      <w:r>
        <w:t>Engineering in the K-12 STEM Standards of the 50 U.S. States: An Analysis of Presence and Extent,” Journal of Engineering Education 101:3, p. 21-23) bhb</w:t>
      </w:r>
    </w:p>
    <w:p w14:paraId="3B122863" w14:textId="77777777" w:rsidR="001D311D" w:rsidRPr="006815DC" w:rsidRDefault="001D311D" w:rsidP="001D311D">
      <w:pPr>
        <w:rPr>
          <w:sz w:val="16"/>
        </w:rPr>
      </w:pPr>
      <w:r w:rsidRPr="002D35CD">
        <w:rPr>
          <w:rStyle w:val="StyleBoldUnderline"/>
        </w:rPr>
        <w:t xml:space="preserve">The engineering community needs to build on the momentum made possible by the increased interest in and funding for STEM education </w:t>
      </w:r>
      <w:r w:rsidRPr="006815DC">
        <w:rPr>
          <w:sz w:val="16"/>
        </w:rPr>
        <w:t xml:space="preserve">and build </w:t>
      </w:r>
      <w:r w:rsidRPr="002D35CD">
        <w:rPr>
          <w:rStyle w:val="StyleBoldUnderline"/>
        </w:rPr>
        <w:t>on what is already being done in pre-college engineering. Standards have been evolving over the past few decades</w:t>
      </w:r>
      <w:r w:rsidRPr="006815DC">
        <w:rPr>
          <w:sz w:val="16"/>
        </w:rPr>
        <w:t xml:space="preserve"> and engineering has found its way into classrooms across the nation. </w:t>
      </w:r>
      <w:r w:rsidRPr="002D35CD">
        <w:rPr>
          <w:rStyle w:val="StyleBoldUnderline"/>
        </w:rPr>
        <w:t>The National Governor’s Association and the Council of Chief State School Officers have driven the move towards national core standards in order to eliminate the variability of what is being taught in our schools</w:t>
      </w:r>
      <w:r w:rsidRPr="006815DC">
        <w:rPr>
          <w:sz w:val="16"/>
        </w:rPr>
        <w:t xml:space="preserve"> (National Governor’s Association, 2010). The engineering community still has time to take a role in the development of the core science standards so that they include well-integrated big ideas from engineering (National Governor’s Association, 2010; Committee on Conceptual Framework, 2010; National Assessment Governing Board, 2010).</w:t>
      </w:r>
    </w:p>
    <w:p w14:paraId="42A435DB" w14:textId="77777777" w:rsidR="001D311D" w:rsidRPr="006815DC" w:rsidRDefault="001D311D" w:rsidP="001D311D">
      <w:pPr>
        <w:rPr>
          <w:sz w:val="16"/>
        </w:rPr>
      </w:pPr>
      <w:r w:rsidRPr="006815DC">
        <w:rPr>
          <w:sz w:val="16"/>
        </w:rPr>
        <w:t xml:space="preserve">While the NAE Standards Committee has called for more research on the cognitive aspects of engineering education, mounting evidence already shows the positive impact of applying math and science concepts in engineering contexts. </w:t>
      </w:r>
      <w:r w:rsidRPr="006815DC">
        <w:rPr>
          <w:rStyle w:val="StyleBoldUnderline"/>
        </w:rPr>
        <w:t>Engineering has a place in the core standards movement</w:t>
      </w:r>
      <w:r w:rsidRPr="006815DC">
        <w:rPr>
          <w:sz w:val="16"/>
        </w:rPr>
        <w:t xml:space="preserve"> (Committee on Conceptual Framework, 2010) and the engineering community can ensure that not only that foundational skills and math and science applications are included but also that the creative aspects of engineering (Center for Science, Mathematics, and Engineering Education, 1995), “the inspirational, optimistic aspects” (Tate et al., 2010, p.381) can be emphasized.</w:t>
      </w:r>
    </w:p>
    <w:p w14:paraId="30B2EEDF" w14:textId="77777777" w:rsidR="001D311D" w:rsidRPr="006815DC" w:rsidRDefault="001D311D" w:rsidP="001D311D">
      <w:pPr>
        <w:rPr>
          <w:sz w:val="16"/>
          <w:szCs w:val="16"/>
        </w:rPr>
      </w:pPr>
      <w:r w:rsidRPr="006815DC">
        <w:rPr>
          <w:sz w:val="16"/>
          <w:szCs w:val="16"/>
        </w:rPr>
        <w:t>Students see engineers as performing manual labor and tasks that require only lowerlevel thinking (Fralick, Kearn, Thompson, &amp; Lyons, 2008) rather than seeing engineering as creative, rewarding and lucrative. Even teachers have misconceptions about engineers and think of them as builders and construction workers (Duncan, Oware, Cox, &amp; Diefes-Dux, 2007). “Students want their careers to be lucrative, rewarding, limitless, creative, multi-disciplinary, and include travel and group work” (Taylor Research Group, 2000). However, they do not realize that four of the top ten “Best Jobs in America” are in engineering because they offer all of those things (Software Architect #1, Environmental Engineer #5, Civil Engineer #6, and Biomedical Engineer #10) (CNN Money, 2010). The engineering community can help erase these misconceptions and show students how to use engineering in their own lives and to better society (Chae, Purzer, &amp; Cardella, 2010).</w:t>
      </w:r>
    </w:p>
    <w:p w14:paraId="5B82B275" w14:textId="77777777" w:rsidR="001D311D" w:rsidRPr="006815DC" w:rsidRDefault="001D311D" w:rsidP="001D311D">
      <w:pPr>
        <w:rPr>
          <w:sz w:val="16"/>
        </w:rPr>
      </w:pPr>
      <w:r w:rsidRPr="006815DC">
        <w:rPr>
          <w:sz w:val="16"/>
        </w:rPr>
        <w:t xml:space="preserve">In 1993, the nation needed “world-class academic standards” to help students “compete successfully with students of any country in the world (National Education Goals Panel, 1993, p. 1)”. The engineering community has seen other educational fields go through design and iteration cycles to create state and national standards. </w:t>
      </w:r>
      <w:r w:rsidRPr="006815DC">
        <w:rPr>
          <w:rStyle w:val="StyleBoldUnderline"/>
        </w:rPr>
        <w:t>Since the National Academy of Engineering and National Research Council called for the United States to resume its position atop the engineering world in 2009</w:t>
      </w:r>
      <w:r w:rsidRPr="006815DC">
        <w:rPr>
          <w:sz w:val="16"/>
        </w:rPr>
        <w:t xml:space="preserve"> (National Academy of Engineering, 2009), </w:t>
      </w:r>
      <w:r w:rsidRPr="006815DC">
        <w:rPr>
          <w:rStyle w:val="StyleBoldUnderline"/>
        </w:rPr>
        <w:t>engineering education has a renewed impetus just as the national core standards movement approaches.</w:t>
      </w:r>
    </w:p>
    <w:p w14:paraId="40051D5A" w14:textId="77777777" w:rsidR="001D311D" w:rsidRPr="006815DC" w:rsidRDefault="001D311D" w:rsidP="001D311D">
      <w:pPr>
        <w:rPr>
          <w:sz w:val="16"/>
        </w:rPr>
      </w:pPr>
      <w:r w:rsidRPr="006815DC">
        <w:rPr>
          <w:rStyle w:val="StyleBoldUnderline"/>
        </w:rPr>
        <w:t>There are barriers to overcome in implementation of standards.</w:t>
      </w:r>
      <w:r w:rsidRPr="006815DC">
        <w:rPr>
          <w:sz w:val="16"/>
        </w:rPr>
        <w:t xml:space="preserve"> In this respect, </w:t>
      </w:r>
      <w:r w:rsidRPr="006815DC">
        <w:rPr>
          <w:rStyle w:val="StyleBoldUnderline"/>
        </w:rPr>
        <w:t>many refer to Massachusetts as the standard-bearer for pre-college engineering standards</w:t>
      </w:r>
      <w:r w:rsidRPr="006815DC">
        <w:rPr>
          <w:sz w:val="16"/>
        </w:rPr>
        <w:t xml:space="preserve"> (Foster, 2010; J. B. Hansen, personal communication, 2010; Pearson et al., 2010), </w:t>
      </w:r>
      <w:r w:rsidRPr="006815DC">
        <w:rPr>
          <w:rStyle w:val="StyleBoldUnderline"/>
        </w:rPr>
        <w:t>Massachusetts has shown that engineering standards can drive curriculum development, assessment design, and teacher preparation and that engineering can fit into academic curriculum while supporting science, mathematics, and technology programs</w:t>
      </w:r>
      <w:r w:rsidRPr="006815DC">
        <w:rPr>
          <w:sz w:val="16"/>
        </w:rPr>
        <w:t xml:space="preserve"> (Foster, 2010). Similarly, </w:t>
      </w:r>
      <w:r w:rsidRPr="006815DC">
        <w:rPr>
          <w:rStyle w:val="StyleBoldUnderline"/>
        </w:rPr>
        <w:t>Massachusetts stands as an example</w:t>
      </w:r>
      <w:r w:rsidRPr="006815DC">
        <w:rPr>
          <w:sz w:val="16"/>
        </w:rPr>
        <w:t xml:space="preserve"> that engineering standards design is an iterative process that can be guided by examining what others are doing.</w:t>
      </w:r>
    </w:p>
    <w:p w14:paraId="1F43E049" w14:textId="77777777" w:rsidR="001D311D" w:rsidRPr="006815DC" w:rsidRDefault="001D311D" w:rsidP="001D311D">
      <w:pPr>
        <w:rPr>
          <w:sz w:val="16"/>
        </w:rPr>
      </w:pPr>
      <w:r w:rsidRPr="006815DC">
        <w:rPr>
          <w:rStyle w:val="StyleBoldUnderline"/>
        </w:rPr>
        <w:t xml:space="preserve">While explaining the urgent need to develop a consensus on engineering standards, this study has shown the extent of engineering content already present in U.S. standards: there are </w:t>
      </w:r>
      <w:r w:rsidRPr="006815DC">
        <w:rPr>
          <w:rStyle w:val="Emphasis"/>
        </w:rPr>
        <w:t>engineering and technology design-related standards in 41 states.</w:t>
      </w:r>
      <w:r w:rsidRPr="006815DC">
        <w:rPr>
          <w:rStyle w:val="StyleBoldUnderline"/>
        </w:rPr>
        <w:t xml:space="preserve"> Thirty-six states have strong explicit</w:t>
      </w:r>
      <w:r w:rsidRPr="006815DC">
        <w:rPr>
          <w:sz w:val="16"/>
        </w:rPr>
        <w:t xml:space="preserve"> engineering </w:t>
      </w:r>
      <w:r w:rsidRPr="006815DC">
        <w:rPr>
          <w:rStyle w:val="StyleBoldUnderline"/>
        </w:rPr>
        <w:t>standards</w:t>
      </w:r>
      <w:r w:rsidRPr="006815DC">
        <w:rPr>
          <w:sz w:val="16"/>
        </w:rPr>
        <w:t xml:space="preserve"> and six states have strong standards where engineering is presented in the context of technology design. Of these, 17 were developed independently from ITEEA and PLTW standards or curriculum. Engineering is most often found in science standards (12), but also in areas variously labeled as technology, engineering and technology, STEM, and career and vocational standards, even in one case in math standards. The majority of standards found relate to design process knowledge or applications, specific parts of the design process and assessing technology impact and innovations. While engineering-related standards are inconsistent in scope, emphasis, location, subject area, and context, </w:t>
      </w:r>
      <w:r w:rsidRPr="006815DC">
        <w:rPr>
          <w:rStyle w:val="StyleBoldUnderline"/>
        </w:rPr>
        <w:t xml:space="preserve">the coherence of core big ideas that emerge from the various standards indicates that </w:t>
      </w:r>
      <w:r w:rsidRPr="006815DC">
        <w:rPr>
          <w:rStyle w:val="Emphasis"/>
        </w:rPr>
        <w:t>a consensus on pre-college engineering curriculum is possible.</w:t>
      </w:r>
      <w:r w:rsidRPr="006815DC">
        <w:rPr>
          <w:sz w:val="16"/>
        </w:rPr>
        <w:t xml:space="preserve"> Truly, engineering </w:t>
      </w:r>
      <w:r w:rsidRPr="006815DC">
        <w:rPr>
          <w:rStyle w:val="StyleBoldUnderline"/>
        </w:rPr>
        <w:t xml:space="preserve">state standards provide </w:t>
      </w:r>
      <w:r w:rsidRPr="006815DC">
        <w:rPr>
          <w:rStyle w:val="Emphasis"/>
        </w:rPr>
        <w:t>rich information</w:t>
      </w:r>
      <w:r w:rsidRPr="006815DC">
        <w:rPr>
          <w:rStyle w:val="StyleBoldUnderline"/>
        </w:rPr>
        <w:t xml:space="preserve"> and </w:t>
      </w:r>
      <w:r w:rsidRPr="006815DC">
        <w:rPr>
          <w:rStyle w:val="Emphasis"/>
        </w:rPr>
        <w:t>concrete examples</w:t>
      </w:r>
      <w:r w:rsidRPr="006815DC">
        <w:rPr>
          <w:rStyle w:val="StyleBoldUnderline"/>
        </w:rPr>
        <w:t xml:space="preserve"> of ways that engineering is </w:t>
      </w:r>
      <w:r w:rsidRPr="006815DC">
        <w:rPr>
          <w:rStyle w:val="Emphasis"/>
        </w:rPr>
        <w:t>already integrated into curricula</w:t>
      </w:r>
      <w:r w:rsidRPr="006815DC">
        <w:rPr>
          <w:rStyle w:val="StyleBoldUnderline"/>
        </w:rPr>
        <w:t xml:space="preserve"> across the nation.</w:t>
      </w:r>
    </w:p>
    <w:p w14:paraId="0A001B27" w14:textId="77777777" w:rsidR="001D311D" w:rsidRDefault="001D311D" w:rsidP="001D311D">
      <w:pPr>
        <w:rPr>
          <w:rStyle w:val="StyleBoldUnderline"/>
        </w:rPr>
      </w:pPr>
      <w:r w:rsidRPr="006815DC">
        <w:rPr>
          <w:rStyle w:val="StyleBoldUnderline"/>
        </w:rPr>
        <w:t xml:space="preserve">Given the strong momentum of increased interest in STEM education in the United States, along with the </w:t>
      </w:r>
      <w:r w:rsidRPr="006815DC">
        <w:rPr>
          <w:sz w:val="16"/>
        </w:rPr>
        <w:t xml:space="preserve">already </w:t>
      </w:r>
      <w:r w:rsidRPr="006815DC">
        <w:rPr>
          <w:rStyle w:val="StyleBoldUnderline"/>
        </w:rPr>
        <w:t>strong presence of</w:t>
      </w:r>
      <w:r w:rsidRPr="006815DC">
        <w:rPr>
          <w:sz w:val="16"/>
        </w:rPr>
        <w:t xml:space="preserve"> engineering </w:t>
      </w:r>
      <w:r w:rsidRPr="006815DC">
        <w:rPr>
          <w:rStyle w:val="StyleBoldUnderline"/>
        </w:rPr>
        <w:t xml:space="preserve">standards in curricula at the state level, now is the time to move forward in the formation of a national pre-college </w:t>
      </w:r>
      <w:r w:rsidRPr="006815DC">
        <w:rPr>
          <w:sz w:val="16"/>
        </w:rPr>
        <w:t xml:space="preserve">engineering </w:t>
      </w:r>
      <w:r w:rsidRPr="006815DC">
        <w:rPr>
          <w:rStyle w:val="StyleBoldUnderline"/>
        </w:rPr>
        <w:t>education agenda and a standards debate.</w:t>
      </w:r>
    </w:p>
    <w:p w14:paraId="411E5759" w14:textId="77777777" w:rsidR="001D311D" w:rsidRDefault="001D311D" w:rsidP="001D311D"/>
    <w:p w14:paraId="4409C34E" w14:textId="77777777" w:rsidR="001D311D" w:rsidRDefault="001D311D" w:rsidP="001D311D">
      <w:pPr>
        <w:rPr>
          <w:rStyle w:val="StyleBoldUnderline"/>
        </w:rPr>
      </w:pPr>
    </w:p>
    <w:p w14:paraId="4596563C" w14:textId="77777777" w:rsidR="001D311D" w:rsidRPr="00713207" w:rsidRDefault="001D311D" w:rsidP="001D311D">
      <w:pPr>
        <w:pStyle w:val="Heading3"/>
      </w:pPr>
      <w:r w:rsidRPr="00713207">
        <w:t>S – Teacher Retention</w:t>
      </w:r>
    </w:p>
    <w:p w14:paraId="33771FE7" w14:textId="77777777" w:rsidR="001D311D" w:rsidRPr="005924CD" w:rsidRDefault="001D311D" w:rsidP="001D311D">
      <w:pPr>
        <w:pStyle w:val="Heading4"/>
      </w:pPr>
      <w:r w:rsidRPr="005924CD">
        <w:t>State</w:t>
      </w:r>
      <w:r>
        <w:t xml:space="preserve"> financial incentives are key to STEM teacher retention</w:t>
      </w:r>
    </w:p>
    <w:p w14:paraId="7C0FAE2A" w14:textId="77777777" w:rsidR="001D311D" w:rsidRPr="00D833C0" w:rsidRDefault="001D311D" w:rsidP="001D311D">
      <w:r w:rsidRPr="00C530BD">
        <w:rPr>
          <w:rStyle w:val="StyleStyleBold12pt"/>
        </w:rPr>
        <w:t>Thomasian</w:t>
      </w:r>
      <w:r>
        <w:t xml:space="preserve"> 20</w:t>
      </w:r>
      <w:r w:rsidRPr="00C530BD">
        <w:rPr>
          <w:rStyle w:val="StyleStyleBold12pt"/>
        </w:rPr>
        <w:t>11</w:t>
      </w:r>
      <w:r>
        <w:t xml:space="preserve"> – </w:t>
      </w:r>
      <w:r w:rsidRPr="00C530BD">
        <w:t>John Thomasian, Black Point Policy Solutions, L</w:t>
      </w:r>
      <w:r>
        <w:t xml:space="preserve">LC (“Building a Science, Technology, Engineering, and Math Education Agenda: An Update of State Actions,” National Governor’s Association Center for Best Practices, </w:t>
      </w:r>
      <w:r w:rsidRPr="00C530BD">
        <w:t>http://files.eric.ed.gov/fulltext/ED532528.pdf</w:t>
      </w:r>
      <w:r>
        <w:t>) bhb</w:t>
      </w:r>
    </w:p>
    <w:p w14:paraId="00998BE1" w14:textId="77777777" w:rsidR="001D311D" w:rsidRPr="00BE4EC7" w:rsidRDefault="001D311D" w:rsidP="001D311D">
      <w:pPr>
        <w:rPr>
          <w:rStyle w:val="StyleBoldUnderline"/>
        </w:rPr>
      </w:pPr>
      <w:r w:rsidRPr="00BE4EC7">
        <w:rPr>
          <w:rStyle w:val="StyleBoldUnderline"/>
        </w:rPr>
        <w:t>To improve K–12 STEM instruction, states will need to recruit more qualified math and science teachers to the classroom.</w:t>
      </w:r>
      <w:r w:rsidRPr="00BE4EC7">
        <w:rPr>
          <w:sz w:val="16"/>
        </w:rPr>
        <w:t xml:space="preserve"> In addition, states will need to focus on policies that retain their most effective instructors. Although more qualified math and teachers are needed, </w:t>
      </w:r>
      <w:r w:rsidRPr="00BE4EC7">
        <w:rPr>
          <w:rStyle w:val="StyleBoldUnderline"/>
        </w:rPr>
        <w:t>a major problem affecting the supply-and-demand balance today is the high number of skilled teachers who depart for non-retirement reasons.</w:t>
      </w:r>
    </w:p>
    <w:p w14:paraId="1D97EBB7" w14:textId="77777777" w:rsidR="001D311D" w:rsidRPr="00E70AD7" w:rsidRDefault="001D311D" w:rsidP="001D311D">
      <w:pPr>
        <w:rPr>
          <w:sz w:val="16"/>
        </w:rPr>
      </w:pPr>
      <w:r w:rsidRPr="00BE4EC7">
        <w:rPr>
          <w:rStyle w:val="StyleBoldUnderline"/>
        </w:rPr>
        <w:t>To reduce departures and fill these hard-to-place jobs, states can utilize financial incentives, provide support systems, and improve institutional conditions.</w:t>
      </w:r>
      <w:r w:rsidRPr="00E70AD7">
        <w:rPr>
          <w:sz w:val="16"/>
        </w:rPr>
        <w:t xml:space="preserve"> In particular, </w:t>
      </w:r>
      <w:r w:rsidRPr="00E70AD7">
        <w:rPr>
          <w:rStyle w:val="StyleBoldUnderline"/>
        </w:rPr>
        <w:t>once placed, polices must focus on retaining the teachers who prove most effective in raising achievement</w:t>
      </w:r>
      <w:r w:rsidRPr="00E70AD7">
        <w:rPr>
          <w:sz w:val="16"/>
        </w:rPr>
        <w:t>.</w:t>
      </w:r>
    </w:p>
    <w:p w14:paraId="683A8F11" w14:textId="77777777" w:rsidR="001D311D" w:rsidRPr="00E70AD7" w:rsidRDefault="001D311D" w:rsidP="001D311D">
      <w:pPr>
        <w:rPr>
          <w:sz w:val="16"/>
          <w:szCs w:val="16"/>
        </w:rPr>
      </w:pPr>
      <w:r w:rsidRPr="00E70AD7">
        <w:rPr>
          <w:sz w:val="16"/>
          <w:szCs w:val="16"/>
        </w:rPr>
        <w:t>Use Financial Incentives to Recruit and Retain</w:t>
      </w:r>
    </w:p>
    <w:p w14:paraId="298F5E60" w14:textId="77777777" w:rsidR="001D311D" w:rsidRPr="00E70AD7" w:rsidRDefault="001D311D" w:rsidP="001D311D">
      <w:pPr>
        <w:rPr>
          <w:sz w:val="16"/>
        </w:rPr>
      </w:pPr>
      <w:r w:rsidRPr="00E70AD7">
        <w:rPr>
          <w:sz w:val="16"/>
        </w:rPr>
        <w:t xml:space="preserve">Salary certainly plays a role in teacher recruitment. </w:t>
      </w:r>
      <w:r w:rsidRPr="00E70AD7">
        <w:rPr>
          <w:rStyle w:val="StyleBoldUnderline"/>
        </w:rPr>
        <w:t>A number of states have used signing bonuses in addition to a teacher’s salary to attract teachers to hard-to-serve areas or to hard-to-place positions, such as math and science.</w:t>
      </w:r>
      <w:r w:rsidRPr="00E70AD7">
        <w:rPr>
          <w:sz w:val="16"/>
        </w:rPr>
        <w:t xml:space="preserve"> The Mission Possible initiative in Guilford County, North Carolina, is one such program that provides recruitment bonuses.  A math teacher can earn a recruitment bonus of $5,000 per year for working in a hard to staff school and a performance bonus of up to $12,000 each year  (see sidebar, Mission Possible).28</w:t>
      </w:r>
    </w:p>
    <w:p w14:paraId="7C2446EA" w14:textId="77777777" w:rsidR="001D311D" w:rsidRPr="00E70AD7" w:rsidRDefault="001D311D" w:rsidP="001D311D">
      <w:pPr>
        <w:rPr>
          <w:sz w:val="16"/>
        </w:rPr>
      </w:pPr>
      <w:r w:rsidRPr="00E70AD7">
        <w:rPr>
          <w:sz w:val="16"/>
        </w:rPr>
        <w:t xml:space="preserve">These </w:t>
      </w:r>
      <w:r w:rsidRPr="00E70AD7">
        <w:rPr>
          <w:rStyle w:val="StyleBoldUnderline"/>
        </w:rPr>
        <w:t>financial incentives can play an even greater role in retaining teachers and targeting those who are most effective in raising achievement. A 2010 review of math and science teacher turnover found that 46.3 percent of science teachers and 59.9 percent of math teachers reportedly left their school because of salary reasons.</w:t>
      </w:r>
      <w:r w:rsidRPr="00E70AD7">
        <w:rPr>
          <w:sz w:val="16"/>
        </w:rPr>
        <w:t>29 A further analysis found that low salaries were the primary determinant for science teacher departures, although salary did not play as significant a role for math teacher departures.</w:t>
      </w:r>
    </w:p>
    <w:p w14:paraId="16C16823" w14:textId="77777777" w:rsidR="001D311D" w:rsidRDefault="001D311D" w:rsidP="001D311D"/>
    <w:p w14:paraId="14C4B433" w14:textId="77777777" w:rsidR="001D311D" w:rsidRPr="00713207" w:rsidRDefault="001D311D" w:rsidP="001D311D">
      <w:pPr>
        <w:pStyle w:val="Heading3"/>
      </w:pPr>
      <w:r>
        <w:t>S – University Partnerships</w:t>
      </w:r>
    </w:p>
    <w:p w14:paraId="5941C5D1" w14:textId="77777777" w:rsidR="001D311D" w:rsidRDefault="001D311D" w:rsidP="001D311D">
      <w:pPr>
        <w:pStyle w:val="Heading4"/>
      </w:pPr>
      <w:r>
        <w:t>States solve university coordination with community colleges and public schools</w:t>
      </w:r>
    </w:p>
    <w:p w14:paraId="4B4ED318" w14:textId="77777777" w:rsidR="001D311D" w:rsidRPr="00D833C0" w:rsidRDefault="001D311D" w:rsidP="001D311D">
      <w:r w:rsidRPr="00C530BD">
        <w:rPr>
          <w:rStyle w:val="StyleStyleBold12pt"/>
        </w:rPr>
        <w:t>Thomasian</w:t>
      </w:r>
      <w:r>
        <w:t xml:space="preserve"> 20</w:t>
      </w:r>
      <w:r w:rsidRPr="00C530BD">
        <w:rPr>
          <w:rStyle w:val="StyleStyleBold12pt"/>
        </w:rPr>
        <w:t>11</w:t>
      </w:r>
      <w:r>
        <w:t xml:space="preserve"> – </w:t>
      </w:r>
      <w:r w:rsidRPr="00C530BD">
        <w:t>John Thomasian, Black Point Policy Solutions, L</w:t>
      </w:r>
      <w:r>
        <w:t xml:space="preserve">LC (“Building a Science, Technology, Engineering, and Math Education Agenda: An Update of State Actions,” National Governor’s Association Center for Best Practices, </w:t>
      </w:r>
      <w:r w:rsidRPr="00C530BD">
        <w:t>http://files.eric.ed.gov/fulltext/ED532528.pdf</w:t>
      </w:r>
      <w:r>
        <w:t>) bhb</w:t>
      </w:r>
    </w:p>
    <w:p w14:paraId="2A051656" w14:textId="77777777" w:rsidR="001D311D" w:rsidRPr="00E70AD7" w:rsidRDefault="001D311D" w:rsidP="001D311D">
      <w:pPr>
        <w:rPr>
          <w:sz w:val="16"/>
        </w:rPr>
      </w:pPr>
      <w:r w:rsidRPr="00E70AD7">
        <w:rPr>
          <w:sz w:val="16"/>
        </w:rPr>
        <w:t xml:space="preserve">More and better-prepared math and science teachers are needed to support the STEM learning pipeline. </w:t>
      </w:r>
      <w:r w:rsidRPr="00E70AD7">
        <w:rPr>
          <w:rStyle w:val="StyleBoldUnderline"/>
        </w:rPr>
        <w:t>States can work with their postsecondary systems to establish goals to produce more teachers, enhance preparation programs, and create alternative pathways to allow math and science professional to enter the teaching profession.</w:t>
      </w:r>
      <w:r w:rsidRPr="00E70AD7">
        <w:rPr>
          <w:sz w:val="16"/>
        </w:rPr>
        <w:t xml:space="preserve"> In particular, upgrading the training of teachers before they enter service is particularly important: </w:t>
      </w:r>
      <w:r w:rsidRPr="00E70AD7">
        <w:rPr>
          <w:rStyle w:val="StyleBoldUnderline"/>
        </w:rPr>
        <w:t>this helps them acquire the hands-on skills to ensure that students learn and apply math and science knowledge.</w:t>
      </w:r>
    </w:p>
    <w:p w14:paraId="2036BA2F" w14:textId="77777777" w:rsidR="001D311D" w:rsidRPr="00E70AD7" w:rsidRDefault="001D311D" w:rsidP="001D311D">
      <w:pPr>
        <w:rPr>
          <w:sz w:val="16"/>
        </w:rPr>
      </w:pPr>
      <w:r w:rsidRPr="00E70AD7">
        <w:rPr>
          <w:sz w:val="16"/>
        </w:rPr>
        <w:t xml:space="preserve">The University of North Carolina </w:t>
      </w:r>
      <w:r w:rsidRPr="00E70AD7">
        <w:rPr>
          <w:rStyle w:val="StyleBoldUnderline"/>
        </w:rPr>
        <w:t>(UNC) is both enhancing teacher training and increasing STEM teacher production.</w:t>
      </w:r>
      <w:r w:rsidRPr="00E70AD7">
        <w:rPr>
          <w:sz w:val="16"/>
        </w:rPr>
        <w:t xml:space="preserve"> In 2004, the university set a 10- year target to increase the number of teachers it produces.48 For math and science teachers, the goal was to increase the number of math teachers by 236 percent and science teachers by 200 percent between 2002 and 2010. To meet these targets, </w:t>
      </w:r>
      <w:r w:rsidRPr="00E70AD7">
        <w:rPr>
          <w:rStyle w:val="StyleBoldUnderline"/>
        </w:rPr>
        <w:t>the university uses both traditional and innovative approaches, such as incentives to students, lateral entry programs, mid-career opportunities, e-learning, and collaborative programs with the state’s community colleges</w:t>
      </w:r>
      <w:r w:rsidRPr="00E70AD7">
        <w:rPr>
          <w:sz w:val="16"/>
        </w:rPr>
        <w:t>.</w:t>
      </w:r>
    </w:p>
    <w:p w14:paraId="6E9167DA" w14:textId="77777777" w:rsidR="001D311D" w:rsidRPr="00E70AD7" w:rsidRDefault="001D311D" w:rsidP="001D311D">
      <w:pPr>
        <w:rPr>
          <w:sz w:val="16"/>
          <w:szCs w:val="16"/>
        </w:rPr>
      </w:pPr>
      <w:r w:rsidRPr="00E70AD7">
        <w:rPr>
          <w:sz w:val="16"/>
          <w:szCs w:val="16"/>
        </w:rPr>
        <w:t>The university also is conducting research to assess the impact of teacher preparation routes and programs on K–12 student performance (test scores). The analysis incorporates almost 500,000 high school end-of-course test scores in mathematics, science, and language arts as well as middle school reading and mathematics test scores. It also takes into account a variety of other factors that affect student performance. This research will allow UNC to more accurately assess the quality of the public school teachers educated through its teacher preparation programs and identify areas for improvement. The ultimate aims are to not only produce more teachers but also better-prepared teachers.49</w:t>
      </w:r>
    </w:p>
    <w:p w14:paraId="5B49FAAC" w14:textId="77777777" w:rsidR="001D311D" w:rsidRPr="00E70AD7" w:rsidRDefault="001D311D" w:rsidP="001D311D">
      <w:pPr>
        <w:rPr>
          <w:sz w:val="16"/>
        </w:rPr>
      </w:pPr>
      <w:r w:rsidRPr="00E70AD7">
        <w:rPr>
          <w:rStyle w:val="StyleBoldUnderline"/>
        </w:rPr>
        <w:t>Texas’s UTeach program is another successful math and science teacher preparation program.</w:t>
      </w:r>
      <w:r w:rsidRPr="00E70AD7">
        <w:rPr>
          <w:sz w:val="16"/>
        </w:rPr>
        <w:t xml:space="preserve">50 Created in 1997 by the College of Natural Sciences and the College of Education at the University of Texas at Austin (UT Austin), it sought to address the shortage and quality of secondary mathematics, science, and computer science teachers. </w:t>
      </w:r>
      <w:r w:rsidRPr="00E70AD7">
        <w:rPr>
          <w:rStyle w:val="StyleBoldUnderline"/>
        </w:rPr>
        <w:t>The program is designed for undergraduates, graduates who wish to obtain certification, and experienced teachers who want advanced degrees.</w:t>
      </w:r>
      <w:r w:rsidRPr="00E70AD7">
        <w:rPr>
          <w:sz w:val="16"/>
        </w:rPr>
        <w:t xml:space="preserve"> Since its inception, UTeach has more than doubled the number of mathematics majors and increased by six the number of science majors certified to teach.</w:t>
      </w:r>
    </w:p>
    <w:p w14:paraId="402288A7" w14:textId="77777777" w:rsidR="001D311D" w:rsidRPr="00E70AD7" w:rsidRDefault="001D311D" w:rsidP="001D311D">
      <w:pPr>
        <w:rPr>
          <w:sz w:val="16"/>
        </w:rPr>
      </w:pPr>
      <w:r w:rsidRPr="00E70AD7">
        <w:rPr>
          <w:rStyle w:val="StyleBoldUnderline"/>
        </w:rPr>
        <w:t>UTeach is being replicated across the country. Nationally,</w:t>
      </w:r>
      <w:r w:rsidRPr="00E70AD7">
        <w:rPr>
          <w:sz w:val="16"/>
        </w:rPr>
        <w:t xml:space="preserve"> as of spring 2011</w:t>
      </w:r>
      <w:r w:rsidRPr="00E70AD7">
        <w:rPr>
          <w:rStyle w:val="StyleBoldUnderline"/>
        </w:rPr>
        <w:t>, 21 universities joined UT Austin to implement UTeach programs</w:t>
      </w:r>
      <w:r w:rsidRPr="00E70AD7">
        <w:rPr>
          <w:sz w:val="16"/>
        </w:rPr>
        <w:t>, which collectively enrolled 4,767 students. By 2018, UTeach expects to graduate more than 8,000 teachers.</w:t>
      </w:r>
    </w:p>
    <w:p w14:paraId="07E1454A" w14:textId="77777777" w:rsidR="001D311D" w:rsidRPr="00B26FA8" w:rsidRDefault="001D311D" w:rsidP="001D311D">
      <w:pPr>
        <w:pStyle w:val="Heading4"/>
        <w:rPr>
          <w:rStyle w:val="StyleStyleBold12pt"/>
        </w:rPr>
      </w:pPr>
      <w:r>
        <w:t>States solve K-12-University partnerships</w:t>
      </w:r>
    </w:p>
    <w:p w14:paraId="682BDA75" w14:textId="77777777" w:rsidR="001D311D" w:rsidRDefault="001D311D" w:rsidP="001D311D">
      <w:r w:rsidRPr="00B26FA8">
        <w:rPr>
          <w:rStyle w:val="StyleStyleBold12pt"/>
        </w:rPr>
        <w:t xml:space="preserve">Perna et al </w:t>
      </w:r>
      <w:r>
        <w:t>20</w:t>
      </w:r>
      <w:r w:rsidRPr="00B26FA8">
        <w:rPr>
          <w:rStyle w:val="StyleStyleBold12pt"/>
        </w:rPr>
        <w:t>14</w:t>
      </w:r>
      <w:r>
        <w:t xml:space="preserve"> – </w:t>
      </w:r>
      <w:r w:rsidRPr="00B26FA8">
        <w:t>Laura W. Perna is executive director of the Alliance for Higher Education and Democracy (AHEAD) and professor in the Graduate School of Education at the University of Pennsylvania.</w:t>
      </w:r>
      <w:r>
        <w:t xml:space="preserve"> </w:t>
      </w:r>
      <w:r w:rsidRPr="00B26FA8">
        <w:t>Michael W. Klein is the executive director of the New Jersey Association of State Colleges and Universities.</w:t>
      </w:r>
      <w:r>
        <w:t xml:space="preserve"> </w:t>
      </w:r>
      <w:r w:rsidRPr="00B26FA8">
        <w:t>Michael K. McLendon is the Simmons Centennial Endowed Chair in Higher Education Policy and Leadership and the associate dean in the Simmons School of Education at Southern Methodist University.</w:t>
      </w:r>
      <w:r>
        <w:t xml:space="preserve"> (“</w:t>
      </w:r>
      <w:r w:rsidRPr="00B26FA8">
        <w:t>THE ROLE OF STATE POLICY IN PROMOTING COLLEGE ACCESS AND SUCCESS; SPECIAL EDITORS: LAURA W. PERNA AND MICHAEL K. MCLENDON: Insights and Implications for State Policy-Makers</w:t>
      </w:r>
      <w:r>
        <w:t xml:space="preserve">,” </w:t>
      </w:r>
      <w:r w:rsidRPr="00B26FA8">
        <w:t>655 Annals 209</w:t>
      </w:r>
      <w:r>
        <w:t xml:space="preserve"> LexisNexis) bhb</w:t>
      </w:r>
    </w:p>
    <w:p w14:paraId="7568ABA5" w14:textId="77777777" w:rsidR="001D311D" w:rsidRPr="001E1CCD" w:rsidRDefault="001D311D" w:rsidP="001D311D">
      <w:pPr>
        <w:rPr>
          <w:sz w:val="16"/>
        </w:rPr>
      </w:pPr>
      <w:r w:rsidRPr="001E1CCD">
        <w:rPr>
          <w:rStyle w:val="StyleBoldUnderline"/>
        </w:rPr>
        <w:t>Academic preparation is among the most important predictors of college access and completion</w:t>
      </w:r>
      <w:r w:rsidRPr="001E1CCD">
        <w:rPr>
          <w:sz w:val="16"/>
        </w:rPr>
        <w:t xml:space="preserve"> (Perna 2005). But for many students there is too little academic preparation. </w:t>
      </w:r>
      <w:r w:rsidRPr="001E1CCD">
        <w:rPr>
          <w:rStyle w:val="StyleBoldUnderline"/>
        </w:rPr>
        <w:t>The lack of adequate academic preparation during high school</w:t>
      </w:r>
      <w:r w:rsidRPr="001E1CCD">
        <w:rPr>
          <w:sz w:val="16"/>
        </w:rPr>
        <w:t xml:space="preserve"> (as measured by the need for remedial coursework) </w:t>
      </w:r>
      <w:r w:rsidRPr="001E1CCD">
        <w:rPr>
          <w:rStyle w:val="StyleBoldUnderline"/>
        </w:rPr>
        <w:t>has considerable costs for both students and society</w:t>
      </w:r>
      <w:r w:rsidRPr="001E1CCD">
        <w:rPr>
          <w:sz w:val="16"/>
        </w:rPr>
        <w:t xml:space="preserve"> (as discussed by Kurlaender, this volume). </w:t>
      </w:r>
      <w:r w:rsidRPr="001E1CCD">
        <w:rPr>
          <w:rStyle w:val="StyleBoldUnderline"/>
        </w:rPr>
        <w:t>Improving students' readiness for college requires renewed attention by state policy-makers to aligning academic expectations and requirements between K-12 and higher education.</w:t>
      </w:r>
    </w:p>
    <w:p w14:paraId="4B8DBD6B" w14:textId="77777777" w:rsidR="001D311D" w:rsidRPr="001E1CCD" w:rsidRDefault="001D311D" w:rsidP="001D311D">
      <w:pPr>
        <w:rPr>
          <w:sz w:val="16"/>
        </w:rPr>
      </w:pPr>
      <w:r w:rsidRPr="001E1CCD">
        <w:rPr>
          <w:sz w:val="16"/>
        </w:rPr>
        <w:t>Some states have taken steps to address this alignment. Kentucky's Postsecondary Education Improvement Act of 1997 established an accountability system that collects data such as the percentage of incoming Kentucky high school graduates not requiring remediation in math and English. Suggesting the effectiveness of this approach, the six-year graduation rate at public universities increased from 37 percent in 1998 to 44 percent in 2004 (Callan et al. 2006). Florida has linked two data systems that allow it to track students through the  [*216]  states K-12 system, public higher education, and the states workforce, helping to determine how some curriculum requirements--such as taking Algebra I-- affect future educational attainment (Callan et al. 2006). Ultimately, "each state's responses to these [K-12 and postsecondary education alignment] challenges will be unique, tempered by historical context, political culture, and the educational and other resources that are available"</w:t>
      </w:r>
      <w:r>
        <w:rPr>
          <w:sz w:val="16"/>
        </w:rPr>
        <w:t xml:space="preserve"> (Callan et al. 2006, 20).</w:t>
      </w:r>
    </w:p>
    <w:p w14:paraId="17A8A20B" w14:textId="77777777" w:rsidR="001D311D" w:rsidRPr="001E1CCD" w:rsidRDefault="001D311D" w:rsidP="001D311D">
      <w:pPr>
        <w:rPr>
          <w:sz w:val="16"/>
        </w:rPr>
      </w:pPr>
      <w:r w:rsidRPr="001E1CCD">
        <w:rPr>
          <w:sz w:val="16"/>
        </w:rPr>
        <w:t>Recognize that P-20 entities have not been effective</w:t>
      </w:r>
    </w:p>
    <w:p w14:paraId="3B5D3040" w14:textId="77777777" w:rsidR="001D311D" w:rsidRPr="001E1CCD" w:rsidRDefault="001D311D" w:rsidP="001D311D">
      <w:pPr>
        <w:rPr>
          <w:sz w:val="16"/>
        </w:rPr>
      </w:pPr>
      <w:r w:rsidRPr="001E1CCD">
        <w:rPr>
          <w:sz w:val="16"/>
        </w:rPr>
        <w:t>The finding by Perna and Armijo (this volume) that P-20 councils have been disappointingly ineffective provides important lessons for states. First,</w:t>
      </w:r>
      <w:r w:rsidRPr="001E1CCD">
        <w:rPr>
          <w:rStyle w:val="StyleBoldUnderline"/>
        </w:rPr>
        <w:t xml:space="preserve"> governance and advisory structures need attention and nurturing. Governors and legislators must keep their commitments to bridging P-12 and higher education and establish policies and procedures that ensure that what they put in place to improve college readiness endures beyond their time in office.</w:t>
      </w:r>
    </w:p>
    <w:p w14:paraId="0110E032" w14:textId="77777777" w:rsidR="001D311D" w:rsidRDefault="001D311D" w:rsidP="001D311D"/>
    <w:p w14:paraId="7F758293" w14:textId="77777777" w:rsidR="001D311D" w:rsidRPr="002D35CD" w:rsidRDefault="001D311D" w:rsidP="001D311D"/>
    <w:p w14:paraId="5A1F4C3F" w14:textId="77777777" w:rsidR="001D311D" w:rsidRDefault="001D311D" w:rsidP="001D311D">
      <w:pPr>
        <w:pStyle w:val="Heading3"/>
      </w:pPr>
      <w:r>
        <w:t>S – Cyber Curriculum</w:t>
      </w:r>
    </w:p>
    <w:p w14:paraId="7DBCE23A" w14:textId="77777777" w:rsidR="001D311D" w:rsidRDefault="001D311D" w:rsidP="001D311D">
      <w:pPr>
        <w:pStyle w:val="Heading4"/>
      </w:pPr>
      <w:r>
        <w:t>Meet the Threat key to shore up cybersecurity for critical infrastructure</w:t>
      </w:r>
    </w:p>
    <w:p w14:paraId="523FC700" w14:textId="77777777" w:rsidR="001D311D" w:rsidRDefault="001D311D" w:rsidP="001D311D">
      <w:r w:rsidRPr="00BE4EC7">
        <w:rPr>
          <w:rStyle w:val="StyleStyleBold12pt"/>
        </w:rPr>
        <w:t>Lohrmann</w:t>
      </w:r>
      <w:r>
        <w:t xml:space="preserve"> 20</w:t>
      </w:r>
      <w:r w:rsidRPr="00BE4EC7">
        <w:rPr>
          <w:rStyle w:val="StyleStyleBold12pt"/>
        </w:rPr>
        <w:t>17</w:t>
      </w:r>
      <w:r>
        <w:t xml:space="preserve"> – </w:t>
      </w:r>
      <w:r w:rsidRPr="00BE4EC7">
        <w:t>Daniel J. Lohrmann is</w:t>
      </w:r>
      <w:r>
        <w:t xml:space="preserve"> the </w:t>
      </w:r>
      <w:r w:rsidRPr="00BE4EC7">
        <w:t>Chief Security Officer &amp; Chief Strategist at Security Mentor Inc.</w:t>
      </w:r>
      <w:r>
        <w:t xml:space="preserve"> (“</w:t>
      </w:r>
      <w:r w:rsidRPr="00BE4EC7">
        <w:t>How Will Governors Address Cybersecurity and Infrastructure in 2017?</w:t>
      </w:r>
      <w:r>
        <w:t xml:space="preserve">,” </w:t>
      </w:r>
      <w:r w:rsidRPr="00BE4EC7">
        <w:t>http://www.govtech.com/blogs/lohrmann-on-cybersecurity/how-will-governors-address-cybersecurity-and-infrastructure-in-2017.html</w:t>
      </w:r>
      <w:r>
        <w:t>) bhb</w:t>
      </w:r>
    </w:p>
    <w:p w14:paraId="73C2359F" w14:textId="77777777" w:rsidR="001D311D" w:rsidRPr="00BE4EC7" w:rsidRDefault="001D311D" w:rsidP="001D311D">
      <w:pPr>
        <w:rPr>
          <w:sz w:val="16"/>
        </w:rPr>
      </w:pPr>
      <w:r w:rsidRPr="00BE4EC7">
        <w:rPr>
          <w:sz w:val="16"/>
        </w:rPr>
        <w:t xml:space="preserve">Last July, Virginia Gov. Terry </w:t>
      </w:r>
      <w:r w:rsidRPr="00BE4EC7">
        <w:rPr>
          <w:rStyle w:val="StyleBoldUnderline"/>
        </w:rPr>
        <w:t>McAuliffe, the 2016-17 chair of t</w:t>
      </w:r>
      <w:r w:rsidRPr="00BE4EC7">
        <w:rPr>
          <w:sz w:val="16"/>
        </w:rPr>
        <w:t xml:space="preserve">he National Governors Association </w:t>
      </w:r>
      <w:r w:rsidRPr="00BE4EC7">
        <w:rPr>
          <w:rStyle w:val="StyleBoldUnderline"/>
        </w:rPr>
        <w:t>(NGA), announced a new initiative called Meet the Threat: States Confront the Cyber Challenge. That focus on cybersecurity, as well as innovative advances in technology and infrastructure,</w:t>
      </w:r>
      <w:r w:rsidRPr="00BE4EC7">
        <w:rPr>
          <w:sz w:val="16"/>
        </w:rPr>
        <w:t xml:space="preserve"> were evident at the NGA Midyear Meeting in Washington, D.C., last weekend.</w:t>
      </w:r>
    </w:p>
    <w:p w14:paraId="7C9000CE" w14:textId="77777777" w:rsidR="001D311D" w:rsidRPr="00BE4EC7" w:rsidRDefault="001D311D" w:rsidP="001D311D">
      <w:pPr>
        <w:rPr>
          <w:sz w:val="16"/>
        </w:rPr>
      </w:pPr>
      <w:r w:rsidRPr="00BE4EC7">
        <w:rPr>
          <w:sz w:val="16"/>
        </w:rPr>
        <w:t>What does the NGA cyberinitiative do, according to the NGA? “</w:t>
      </w:r>
      <w:r w:rsidRPr="00BE4EC7">
        <w:rPr>
          <w:rStyle w:val="StyleBoldUnderline"/>
        </w:rPr>
        <w:t>Meet the Threat places states at the center of finding solutions to the increasingly sophisticated cyber threats facing the nation. The initiative’s primary goal is for states to develop strategies for strengthening cybersecurity practices as they relate to state</w:t>
      </w:r>
      <w:r w:rsidRPr="00BE4EC7">
        <w:rPr>
          <w:sz w:val="16"/>
        </w:rPr>
        <w:t xml:space="preserve"> IT networks, health care, education, public safety, energy, transportation, </w:t>
      </w:r>
      <w:r w:rsidRPr="00BE4EC7">
        <w:rPr>
          <w:rStyle w:val="StyleBoldUnderline"/>
        </w:rPr>
        <w:t>critical infrastructure</w:t>
      </w:r>
      <w:r w:rsidRPr="00BE4EC7">
        <w:rPr>
          <w:sz w:val="16"/>
        </w:rPr>
        <w:t>, economic development and the workforce. …”</w:t>
      </w:r>
    </w:p>
    <w:p w14:paraId="3B7BDC57" w14:textId="77777777" w:rsidR="001D311D" w:rsidRPr="00BE4EC7" w:rsidRDefault="001D311D" w:rsidP="001D311D">
      <w:pPr>
        <w:rPr>
          <w:sz w:val="16"/>
          <w:szCs w:val="16"/>
        </w:rPr>
      </w:pPr>
      <w:r w:rsidRPr="00BE4EC7">
        <w:rPr>
          <w:sz w:val="16"/>
          <w:szCs w:val="16"/>
        </w:rPr>
        <w:t xml:space="preserve">According to TheHill.com: “Cybersecurity is critical to each and every governor,” said McAuliffe, who noted that Virginia was targeted by 86 million cyberattacks last year. “We have a wealth of information that every single day people are trying to get in and get our information through cyber threats and cyber criminals.” </w:t>
      </w:r>
    </w:p>
    <w:p w14:paraId="19C0D90A" w14:textId="77777777" w:rsidR="001D311D" w:rsidRPr="00BE4EC7" w:rsidRDefault="001D311D" w:rsidP="001D311D">
      <w:pPr>
        <w:rPr>
          <w:sz w:val="16"/>
          <w:szCs w:val="16"/>
        </w:rPr>
      </w:pPr>
      <w:r w:rsidRPr="00BE4EC7">
        <w:rPr>
          <w:sz w:val="16"/>
          <w:szCs w:val="16"/>
        </w:rPr>
        <w:t>McAuliffe was flanked by Arkansas Gov. Asa Hutchinson (R) and Oregon Gov. Kate Brown (D), who serve as chair and vice chair of the association’s homeland security and public safety committee, respectively.</w:t>
      </w:r>
    </w:p>
    <w:p w14:paraId="16530989" w14:textId="77777777" w:rsidR="001D311D" w:rsidRPr="00BE4EC7" w:rsidRDefault="001D311D" w:rsidP="001D311D">
      <w:pPr>
        <w:rPr>
          <w:sz w:val="16"/>
          <w:szCs w:val="16"/>
        </w:rPr>
      </w:pPr>
      <w:r w:rsidRPr="00BE4EC7">
        <w:rPr>
          <w:sz w:val="16"/>
          <w:szCs w:val="16"/>
        </w:rPr>
        <w:t>The governors heard testimony from a panel including John Carlin, former assistant attorney general for the Justice Department’s national security division; Vinton Cerf, vice president and chief Internet evangelist for Google; and Mary Galligan, managing director at Deloitte &amp; Touche LLP.</w:t>
      </w:r>
    </w:p>
    <w:p w14:paraId="0AA18964" w14:textId="77777777" w:rsidR="001D311D" w:rsidRPr="00BE4EC7" w:rsidRDefault="001D311D" w:rsidP="001D311D">
      <w:pPr>
        <w:rPr>
          <w:sz w:val="16"/>
        </w:rPr>
      </w:pPr>
      <w:r w:rsidRPr="00BE4EC7">
        <w:rPr>
          <w:sz w:val="16"/>
        </w:rPr>
        <w:t xml:space="preserve">Government Technology magazine reported that </w:t>
      </w:r>
      <w:r w:rsidRPr="00BE4EC7">
        <w:rPr>
          <w:rStyle w:val="StyleBoldUnderline"/>
        </w:rPr>
        <w:t>better coordination and establishing protocols were a few key takeaways from the NGA cybersecurity session</w:t>
      </w:r>
      <w:r w:rsidRPr="00BE4EC7">
        <w:rPr>
          <w:sz w:val="16"/>
        </w:rPr>
        <w:t>:</w:t>
      </w:r>
    </w:p>
    <w:p w14:paraId="722072C7" w14:textId="77777777" w:rsidR="001D311D" w:rsidRPr="00052A0D" w:rsidRDefault="001D311D" w:rsidP="001D311D">
      <w:pPr>
        <w:rPr>
          <w:sz w:val="16"/>
        </w:rPr>
      </w:pPr>
      <w:r w:rsidRPr="00BE4EC7">
        <w:rPr>
          <w:sz w:val="16"/>
        </w:rPr>
        <w:t xml:space="preserve">“In Arkansas, Gov. Asa Hutchinson said </w:t>
      </w:r>
      <w:r w:rsidRPr="00BE4EC7">
        <w:rPr>
          <w:rStyle w:val="StyleBoldUnderline"/>
        </w:rPr>
        <w:t>several efforts are underway to secure the infrastructure and systems that the government and citizens rely on. In addition to a third-party cybersecurity risk assessment, the governor said staff are also working to consolidate data centers</w:t>
      </w:r>
      <w:r w:rsidRPr="00BE4EC7">
        <w:rPr>
          <w:sz w:val="16"/>
        </w:rPr>
        <w:t xml:space="preserve"> and enterprise architecture under one consolidated agency, the Department of Information Services.</w:t>
      </w:r>
    </w:p>
    <w:p w14:paraId="61E037FF" w14:textId="77777777" w:rsidR="001D311D" w:rsidRDefault="001D311D" w:rsidP="001D311D">
      <w:pPr>
        <w:pStyle w:val="Heading4"/>
      </w:pPr>
      <w:r>
        <w:t>States solve K-12 cyber curriculum</w:t>
      </w:r>
    </w:p>
    <w:p w14:paraId="71D12DA4" w14:textId="77777777" w:rsidR="001D311D" w:rsidRDefault="001D311D" w:rsidP="001D311D">
      <w:r w:rsidRPr="00BE4EC7">
        <w:rPr>
          <w:rStyle w:val="StyleStyleBold12pt"/>
        </w:rPr>
        <w:t xml:space="preserve">Herold </w:t>
      </w:r>
      <w:r>
        <w:t>20</w:t>
      </w:r>
      <w:r w:rsidRPr="00BE4EC7">
        <w:rPr>
          <w:rStyle w:val="StyleStyleBold12pt"/>
        </w:rPr>
        <w:t>17</w:t>
      </w:r>
      <w:r>
        <w:t xml:space="preserve"> – </w:t>
      </w:r>
      <w:r w:rsidRPr="00BE4EC7">
        <w:t>Benjamin Herold is a staff writer for Education Week</w:t>
      </w:r>
      <w:r>
        <w:t xml:space="preserve"> (“</w:t>
      </w:r>
      <w:r w:rsidRPr="00BE4EC7">
        <w:t>With Hacking in Headlines, K-12 Cybersecurity Ed. Gets More Attention</w:t>
      </w:r>
      <w:r>
        <w:t xml:space="preserve">,” </w:t>
      </w:r>
      <w:r w:rsidRPr="00BE4EC7">
        <w:t>http://www.edweek.org/ew/articles/2017/03/22/with-hacking-in-headlines-k-12-cybersecurity-ed.html</w:t>
      </w:r>
      <w:r>
        <w:t>) bhb</w:t>
      </w:r>
    </w:p>
    <w:p w14:paraId="00D0DE06" w14:textId="77777777" w:rsidR="001D311D" w:rsidRPr="009B30C8" w:rsidRDefault="001D311D" w:rsidP="001D311D">
      <w:pPr>
        <w:rPr>
          <w:sz w:val="16"/>
        </w:rPr>
      </w:pPr>
      <w:r w:rsidRPr="009B30C8">
        <w:rPr>
          <w:rStyle w:val="StyleBoldUnderline"/>
        </w:rPr>
        <w:t xml:space="preserve">At the state level, leaders such as </w:t>
      </w:r>
      <w:r w:rsidRPr="009B30C8">
        <w:rPr>
          <w:sz w:val="16"/>
        </w:rPr>
        <w:t xml:space="preserve">John </w:t>
      </w:r>
      <w:r w:rsidRPr="009B30C8">
        <w:rPr>
          <w:rStyle w:val="StyleBoldUnderline"/>
        </w:rPr>
        <w:t>Hickenlooper</w:t>
      </w:r>
      <w:r w:rsidRPr="009B30C8">
        <w:rPr>
          <w:sz w:val="16"/>
        </w:rPr>
        <w:t xml:space="preserve">, the Democratic governor of Colorado, </w:t>
      </w:r>
      <w:r w:rsidRPr="009B30C8">
        <w:rPr>
          <w:rStyle w:val="StyleBoldUnderline"/>
        </w:rPr>
        <w:t xml:space="preserve">and </w:t>
      </w:r>
      <w:r w:rsidRPr="009B30C8">
        <w:rPr>
          <w:sz w:val="16"/>
        </w:rPr>
        <w:t xml:space="preserve">Rick </w:t>
      </w:r>
      <w:r w:rsidRPr="009B30C8">
        <w:rPr>
          <w:rStyle w:val="StyleBoldUnderline"/>
        </w:rPr>
        <w:t>Snyder</w:t>
      </w:r>
      <w:r w:rsidRPr="009B30C8">
        <w:rPr>
          <w:sz w:val="16"/>
        </w:rPr>
        <w:t xml:space="preserve">, the Republican governor of Michigan, </w:t>
      </w:r>
      <w:r w:rsidRPr="009B30C8">
        <w:rPr>
          <w:rStyle w:val="StyleBoldUnderline"/>
        </w:rPr>
        <w:t>have also pushed forward their own cybersecurity initiatives. Numerous states now have cybersecurity-focused career-and-technical programs, as well as dual-enrollment programs that allow high school students to earn college credits by taking cybersecurity coursework at area colleges.</w:t>
      </w:r>
    </w:p>
    <w:p w14:paraId="67E23FF4" w14:textId="77777777" w:rsidR="001D311D" w:rsidRPr="009B30C8" w:rsidRDefault="001D311D" w:rsidP="001D311D">
      <w:pPr>
        <w:rPr>
          <w:sz w:val="16"/>
        </w:rPr>
      </w:pPr>
      <w:r w:rsidRPr="009B30C8">
        <w:rPr>
          <w:sz w:val="16"/>
        </w:rPr>
        <w:t xml:space="preserve">And </w:t>
      </w:r>
      <w:r w:rsidRPr="009B30C8">
        <w:rPr>
          <w:rStyle w:val="StyleBoldUnderline"/>
        </w:rPr>
        <w:t xml:space="preserve">under the leadership of </w:t>
      </w:r>
      <w:r w:rsidRPr="009B30C8">
        <w:rPr>
          <w:sz w:val="16"/>
        </w:rPr>
        <w:t xml:space="preserve">Virginia Gov. Terry </w:t>
      </w:r>
      <w:r w:rsidRPr="009B30C8">
        <w:rPr>
          <w:rStyle w:val="StyleBoldUnderline"/>
        </w:rPr>
        <w:t>McAuliffe</w:t>
      </w:r>
      <w:r w:rsidRPr="009B30C8">
        <w:rPr>
          <w:sz w:val="16"/>
        </w:rPr>
        <w:t xml:space="preserve">, a Democrat, </w:t>
      </w:r>
      <w:r w:rsidRPr="009B30C8">
        <w:rPr>
          <w:rStyle w:val="StyleBoldUnderline"/>
        </w:rPr>
        <w:t>the National Governors Association</w:t>
      </w:r>
      <w:r w:rsidRPr="009B30C8">
        <w:rPr>
          <w:sz w:val="16"/>
        </w:rPr>
        <w:t xml:space="preserve"> last July </w:t>
      </w:r>
      <w:r w:rsidRPr="009B30C8">
        <w:rPr>
          <w:rStyle w:val="StyleBoldUnderline"/>
        </w:rPr>
        <w:t>launched a cybersecurity initiative dubbed “Meet the Threat.”</w:t>
      </w:r>
      <w:r w:rsidRPr="009B30C8">
        <w:rPr>
          <w:sz w:val="16"/>
        </w:rPr>
        <w:t xml:space="preserve"> The effort </w:t>
      </w:r>
      <w:r w:rsidRPr="009B30C8">
        <w:rPr>
          <w:rStyle w:val="StyleBoldUnderline"/>
        </w:rPr>
        <w:t>brings together educators and employers. One early outcome of their discussions: a shared desire to introduce computer-science education to young children, through coding games and competitions.</w:t>
      </w:r>
    </w:p>
    <w:p w14:paraId="6DBC612F" w14:textId="77777777" w:rsidR="001D311D" w:rsidRPr="009B30C8" w:rsidRDefault="001D311D" w:rsidP="001D311D">
      <w:pPr>
        <w:rPr>
          <w:sz w:val="16"/>
          <w:szCs w:val="16"/>
        </w:rPr>
      </w:pPr>
      <w:r w:rsidRPr="009B30C8">
        <w:rPr>
          <w:sz w:val="16"/>
          <w:szCs w:val="16"/>
        </w:rPr>
        <w:t>K-12 Connection</w:t>
      </w:r>
    </w:p>
    <w:p w14:paraId="6EE942CE" w14:textId="77777777" w:rsidR="001D311D" w:rsidRPr="009B30C8" w:rsidRDefault="001D311D" w:rsidP="001D311D">
      <w:pPr>
        <w:rPr>
          <w:sz w:val="16"/>
        </w:rPr>
      </w:pPr>
      <w:r w:rsidRPr="009B30C8">
        <w:rPr>
          <w:rStyle w:val="StyleBoldUnderline"/>
        </w:rPr>
        <w:t>Such opportunities in the K-12 arena are only going to grow</w:t>
      </w:r>
      <w:r w:rsidRPr="009B30C8">
        <w:rPr>
          <w:sz w:val="16"/>
        </w:rPr>
        <w:t>, said Bert Steele, a consultant with the nonprofit Cyber Innovation Center. “</w:t>
      </w:r>
      <w:r w:rsidRPr="009B30C8">
        <w:rPr>
          <w:rStyle w:val="StyleBoldUnderline"/>
        </w:rPr>
        <w:t>There’s an absolute hunger to get this kind of content into the classroom,”</w:t>
      </w:r>
      <w:r w:rsidRPr="009B30C8">
        <w:rPr>
          <w:sz w:val="16"/>
        </w:rPr>
        <w:t xml:space="preserve"> Steele said. “Everybody realizes how relevant it is in today’s society.”</w:t>
      </w:r>
    </w:p>
    <w:p w14:paraId="05B4C70F" w14:textId="77777777" w:rsidR="001D311D" w:rsidRDefault="001D311D" w:rsidP="001D311D">
      <w:pPr>
        <w:pStyle w:val="Heading3"/>
      </w:pPr>
      <w:r>
        <w:t>AT: Uniform Fiat Illegit</w:t>
      </w:r>
    </w:p>
    <w:p w14:paraId="0345456C" w14:textId="77777777" w:rsidR="001D311D" w:rsidRDefault="001D311D" w:rsidP="001D311D">
      <w:pPr>
        <w:pStyle w:val="Heading4"/>
      </w:pPr>
      <w:r>
        <w:t>Their interpretation is arbitrary – uniform action isn’t unpredictable – 80% of states have some degree of uniform standards</w:t>
      </w:r>
    </w:p>
    <w:p w14:paraId="1384F1D7" w14:textId="77777777" w:rsidR="001D311D" w:rsidRDefault="001D311D" w:rsidP="001D311D">
      <w:r w:rsidRPr="006815DC">
        <w:rPr>
          <w:rStyle w:val="StyleStyleBold12pt"/>
        </w:rPr>
        <w:t>Carr et al</w:t>
      </w:r>
      <w:r>
        <w:t xml:space="preserve"> 20</w:t>
      </w:r>
      <w:r w:rsidRPr="006815DC">
        <w:rPr>
          <w:rStyle w:val="StyleStyleBold12pt"/>
        </w:rPr>
        <w:t>12</w:t>
      </w:r>
      <w:r w:rsidRPr="006815DC">
        <w:t xml:space="preserve"> </w:t>
      </w:r>
      <w:r>
        <w:t xml:space="preserve">– Ronald L Carr, PhD @ Purdue University, is the Senior E-Learning Instructional Designer at Florida State College at Jacksonville  </w:t>
      </w:r>
      <w:r w:rsidRPr="006815DC">
        <w:t>(“</w:t>
      </w:r>
      <w:r>
        <w:t>Engineering in the K-12 STEM Standards of the 50 U.S. States: An Analysis of Presence and Extent,” Journal of Engineering Education 101:3, p. 21) bhb</w:t>
      </w:r>
    </w:p>
    <w:p w14:paraId="6E3E8206" w14:textId="77777777" w:rsidR="001D311D" w:rsidRDefault="001D311D" w:rsidP="001D311D">
      <w:pPr>
        <w:rPr>
          <w:sz w:val="16"/>
        </w:rPr>
      </w:pPr>
      <w:r w:rsidRPr="006815DC">
        <w:rPr>
          <w:sz w:val="16"/>
        </w:rPr>
        <w:t xml:space="preserve">This study shows that </w:t>
      </w:r>
      <w:r w:rsidRPr="006815DC">
        <w:rPr>
          <w:rStyle w:val="StyleBoldUnderline"/>
        </w:rPr>
        <w:t>engineering does exist in state standards across the nation.</w:t>
      </w:r>
      <w:r w:rsidRPr="006815DC">
        <w:rPr>
          <w:sz w:val="16"/>
        </w:rPr>
        <w:t xml:space="preserve"> Students are learning about engineering (and technology) design formally and informally in both academic and vocational classrooms. </w:t>
      </w:r>
      <w:r w:rsidRPr="006815DC">
        <w:rPr>
          <w:rStyle w:val="StyleBoldUnderline"/>
        </w:rPr>
        <w:t xml:space="preserve">The presence of 41 states with engineering in their standards contradicts the NAE reports of “no content standards” </w:t>
      </w:r>
      <w:r w:rsidRPr="006815DC">
        <w:rPr>
          <w:sz w:val="16"/>
        </w:rPr>
        <w:t xml:space="preserve">(Committee on Standards, 2010, p. 43) </w:t>
      </w:r>
      <w:r w:rsidRPr="006815DC">
        <w:rPr>
          <w:rStyle w:val="StyleBoldUnderline"/>
        </w:rPr>
        <w:t xml:space="preserve">or “a few states” </w:t>
      </w:r>
      <w:r w:rsidRPr="006815DC">
        <w:rPr>
          <w:sz w:val="16"/>
        </w:rPr>
        <w:t xml:space="preserve">(p. 40) </w:t>
      </w:r>
      <w:r w:rsidRPr="006815DC">
        <w:rPr>
          <w:rStyle w:val="StyleBoldUnderline"/>
        </w:rPr>
        <w:t>with standards.</w:t>
      </w:r>
      <w:r w:rsidRPr="006815DC">
        <w:rPr>
          <w:sz w:val="16"/>
        </w:rPr>
        <w:t xml:space="preserve"> This large presence shows that pre-college engineering, just like educational standards, is not going away soon (Rutherford, 2009).</w:t>
      </w:r>
    </w:p>
    <w:p w14:paraId="6F0F0482" w14:textId="77777777" w:rsidR="001D311D" w:rsidRDefault="001D311D" w:rsidP="001D311D"/>
    <w:p w14:paraId="2E2CD175" w14:textId="5CA3AE42" w:rsidR="001D311D" w:rsidRDefault="00B61D5E" w:rsidP="001D311D">
      <w:pPr>
        <w:pStyle w:val="Heading2"/>
      </w:pPr>
      <w:r>
        <w:t>*</w:t>
      </w:r>
      <w:r w:rsidR="009E5FDC">
        <w:t>State Courts</w:t>
      </w:r>
    </w:p>
    <w:p w14:paraId="714AC63B" w14:textId="0E60F851" w:rsidR="009E5FDC" w:rsidRPr="009E5FDC" w:rsidRDefault="009E5FDC" w:rsidP="009E5FDC">
      <w:pPr>
        <w:pStyle w:val="Heading3"/>
      </w:pPr>
      <w:r>
        <w:t>*Right to Education</w:t>
      </w:r>
    </w:p>
    <w:p w14:paraId="1682224A" w14:textId="77777777" w:rsidR="002A1162" w:rsidRDefault="002A1162" w:rsidP="002A1162"/>
    <w:p w14:paraId="196A1EAB" w14:textId="3D1B0BC3" w:rsidR="002A1162" w:rsidRPr="002A1162" w:rsidRDefault="002A1162" w:rsidP="002A1162">
      <w:r w:rsidRPr="002A1162">
        <w:t xml:space="preserve">The 50 state courts should uphold a constitutional right to education, and </w:t>
      </w:r>
      <w:r>
        <w:t xml:space="preserve">the 50 </w:t>
      </w:r>
      <w:r w:rsidRPr="002A1162">
        <w:t>state legislatures should provide sufficient resources for effective funding and management of schools.</w:t>
      </w:r>
    </w:p>
    <w:p w14:paraId="086C5471" w14:textId="77777777" w:rsidR="001D311D" w:rsidRDefault="00DB3D96" w:rsidP="00DB3D96">
      <w:pPr>
        <w:pStyle w:val="Heading3"/>
      </w:pPr>
      <w:r>
        <w:t>S – Right to Education</w:t>
      </w:r>
    </w:p>
    <w:p w14:paraId="3EF02BD9" w14:textId="77777777" w:rsidR="00DB3D96" w:rsidRDefault="00291891" w:rsidP="00291891">
      <w:pPr>
        <w:pStyle w:val="Heading4"/>
      </w:pPr>
      <w:r>
        <w:t>State courts can rule there is a right to education – all other policies fail</w:t>
      </w:r>
    </w:p>
    <w:p w14:paraId="1ECEF189" w14:textId="77777777" w:rsidR="00291891" w:rsidRPr="00291891" w:rsidRDefault="00291891" w:rsidP="00291891">
      <w:pPr>
        <w:rPr>
          <w:rStyle w:val="StyleStyleBold12pt"/>
          <w:b w:val="0"/>
        </w:rPr>
      </w:pPr>
      <w:r>
        <w:rPr>
          <w:rStyle w:val="StyleStyleBold12pt"/>
        </w:rPr>
        <w:t xml:space="preserve">O’Neill Executive Editor of the Columbia Journal of Law and Social Problems ‘9 </w:t>
      </w:r>
      <w:r>
        <w:rPr>
          <w:rStyle w:val="StyleStyleBold12pt"/>
          <w:b w:val="0"/>
        </w:rPr>
        <w:t xml:space="preserve">(Chrstine, “Closing the Door on Positive </w:t>
      </w:r>
      <w:r w:rsidRPr="00291891">
        <w:rPr>
          <w:rStyle w:val="StyleStyleBold12pt"/>
          <w:b w:val="0"/>
        </w:rPr>
        <w:t>Rights: State Court Use of the Political Question Doctrine to Deny Access to Educational Adequacy</w:t>
      </w:r>
      <w:r>
        <w:rPr>
          <w:rStyle w:val="StyleStyleBold12pt"/>
          <w:b w:val="0"/>
        </w:rPr>
        <w:t xml:space="preserve"> Claims,” </w:t>
      </w:r>
      <w:r>
        <w:rPr>
          <w:rStyle w:val="StyleStyleBold12pt"/>
          <w:b w:val="0"/>
          <w:i/>
        </w:rPr>
        <w:t>Columbia Journal of Law and Social Problems, 42</w:t>
      </w:r>
      <w:r>
        <w:rPr>
          <w:rStyle w:val="StyleStyleBold12pt"/>
          <w:b w:val="0"/>
        </w:rPr>
        <w:t>, pp. 580-582, Stadt)</w:t>
      </w:r>
      <w:r w:rsidRPr="00291891">
        <w:rPr>
          <w:rStyle w:val="StyleStyleBold12pt"/>
          <w:b w:val="0"/>
        </w:rPr>
        <w:t xml:space="preserve"> </w:t>
      </w:r>
    </w:p>
    <w:p w14:paraId="0414D61C" w14:textId="77777777" w:rsidR="00DB3D96" w:rsidRPr="00291891" w:rsidRDefault="00DB3D96" w:rsidP="00DB3D96">
      <w:pPr>
        <w:rPr>
          <w:sz w:val="16"/>
        </w:rPr>
      </w:pPr>
      <w:r w:rsidRPr="00291891">
        <w:rPr>
          <w:sz w:val="16"/>
        </w:rPr>
        <w:t xml:space="preserve">The political question doctrine was born of federal law. Though it persists on in Vieth v. Jubelier , 204 no principled explanation has been offered for why it should extend to state courts as well. The </w:t>
      </w:r>
      <w:r w:rsidRPr="00291891">
        <w:rPr>
          <w:rStyle w:val="StyleBoldUnderline"/>
        </w:rPr>
        <w:t>fundamental differences between state and federal courts and their constitutions</w:t>
      </w:r>
      <w:r w:rsidRPr="00291891">
        <w:rPr>
          <w:sz w:val="16"/>
        </w:rPr>
        <w:t xml:space="preserve"> </w:t>
      </w:r>
      <w:r w:rsidRPr="00291891">
        <w:rPr>
          <w:rStyle w:val="StyleBoldUnderline"/>
        </w:rPr>
        <w:t>demonstrate</w:t>
      </w:r>
      <w:r w:rsidRPr="00291891">
        <w:rPr>
          <w:sz w:val="16"/>
        </w:rPr>
        <w:t xml:space="preserve"> </w:t>
      </w:r>
      <w:r w:rsidRPr="00291891">
        <w:rPr>
          <w:rStyle w:val="Emphasis"/>
        </w:rPr>
        <w:t>the illegitimacy of state courts following federal court</w:t>
      </w:r>
      <w:r w:rsidRPr="00291891">
        <w:rPr>
          <w:sz w:val="16"/>
        </w:rPr>
        <w:t xml:space="preserve"> political question doctrine. </w:t>
      </w:r>
      <w:r w:rsidRPr="00291891">
        <w:rPr>
          <w:rStyle w:val="StyleBoldUnderline"/>
        </w:rPr>
        <w:t>State constitutions offer</w:t>
      </w:r>
      <w:r w:rsidRPr="00291891">
        <w:rPr>
          <w:sz w:val="16"/>
        </w:rPr>
        <w:t xml:space="preserve"> </w:t>
      </w:r>
      <w:r w:rsidRPr="00291891">
        <w:rPr>
          <w:rStyle w:val="Emphasis"/>
        </w:rPr>
        <w:t>positive protections</w:t>
      </w:r>
      <w:r w:rsidRPr="00291891">
        <w:rPr>
          <w:sz w:val="16"/>
        </w:rPr>
        <w:t xml:space="preserve"> for the rights of their citizens. </w:t>
      </w:r>
      <w:r w:rsidRPr="00291891">
        <w:rPr>
          <w:rStyle w:val="StyleBoldUnderline"/>
        </w:rPr>
        <w:t>State courts are</w:t>
      </w:r>
      <w:r w:rsidRPr="00291891">
        <w:rPr>
          <w:sz w:val="16"/>
        </w:rPr>
        <w:t xml:space="preserve"> </w:t>
      </w:r>
      <w:r w:rsidRPr="00291891">
        <w:rPr>
          <w:rStyle w:val="Emphasis"/>
        </w:rPr>
        <w:t>closer to the state legislatures</w:t>
      </w:r>
      <w:r w:rsidRPr="00291891">
        <w:rPr>
          <w:sz w:val="16"/>
        </w:rPr>
        <w:t xml:space="preserve">, </w:t>
      </w:r>
      <w:r w:rsidRPr="00291891">
        <w:rPr>
          <w:rStyle w:val="Emphasis"/>
        </w:rPr>
        <w:t>more democratically accountable</w:t>
      </w:r>
      <w:r w:rsidRPr="00291891">
        <w:rPr>
          <w:sz w:val="16"/>
        </w:rPr>
        <w:t xml:space="preserve"> </w:t>
      </w:r>
      <w:r w:rsidRPr="00291891">
        <w:rPr>
          <w:rStyle w:val="StyleBoldUnderline"/>
        </w:rPr>
        <w:t>and</w:t>
      </w:r>
      <w:r w:rsidRPr="00291891">
        <w:rPr>
          <w:sz w:val="16"/>
        </w:rPr>
        <w:t xml:space="preserve"> </w:t>
      </w:r>
      <w:r w:rsidRPr="00291891">
        <w:rPr>
          <w:rStyle w:val="Emphasis"/>
        </w:rPr>
        <w:t>more familiar with the problems of the state</w:t>
      </w:r>
      <w:r w:rsidRPr="00291891">
        <w:rPr>
          <w:sz w:val="16"/>
        </w:rPr>
        <w:t xml:space="preserve"> </w:t>
      </w:r>
      <w:r w:rsidRPr="00291891">
        <w:rPr>
          <w:rStyle w:val="StyleBoldUnderline"/>
        </w:rPr>
        <w:t>than the federal courts could ever be</w:t>
      </w:r>
      <w:r w:rsidRPr="00291891">
        <w:rPr>
          <w:sz w:val="16"/>
        </w:rPr>
        <w:t xml:space="preserve"> with broad ranging national issues. Most importantly, </w:t>
      </w:r>
      <w:r w:rsidRPr="00291891">
        <w:rPr>
          <w:rStyle w:val="StyleBoldUnderline"/>
        </w:rPr>
        <w:t>all states have positive rights to education in their constitutions</w:t>
      </w:r>
      <w:r w:rsidRPr="00291891">
        <w:rPr>
          <w:sz w:val="16"/>
        </w:rPr>
        <w:t xml:space="preserve">. 205 Prior to the slow incorporation of the Bill of Rights under the Fourteenth Amendment, citizens were already guaranteed many of these rights under their state constitutions. 206 Many state constitutions existed before the enactment of the Federal Constitution, and the Framers drew upon these state guaranteed rights when creating the Bill of Rights; every right protected in the Bill of Rights was already contained in at least one state constitution. 207 Throughout the twentieth century, advocates appealed for federal constitutional protections in all different areas, not just education. What was first seen as a revolution by advocates ended abruptly. 208 One by one over the past thirty years, the federal courts have rejected legal claims for better welfare, housing, medical care and public education. 209 </w:t>
      </w:r>
      <w:r w:rsidRPr="00291891">
        <w:rPr>
          <w:rStyle w:val="StyleBoldUnderline"/>
        </w:rPr>
        <w:t>There are no positive rights to these things in the Federal Constitution</w:t>
      </w:r>
      <w:r w:rsidRPr="00291891">
        <w:rPr>
          <w:sz w:val="16"/>
        </w:rPr>
        <w:t xml:space="preserve">, as the Bill of Rights lists only what the federal government cannot do. </w:t>
      </w:r>
      <w:r w:rsidRPr="00291891">
        <w:rPr>
          <w:rStyle w:val="StyleBoldUnderline"/>
        </w:rPr>
        <w:t>Justice Brennan and others urged reformers to move their battles back to the states, and encouraged state judges to step into the gap left open by the federal courts</w:t>
      </w:r>
      <w:r w:rsidRPr="00291891">
        <w:rPr>
          <w:sz w:val="16"/>
        </w:rPr>
        <w:t xml:space="preserve">. 210 This was what happened in the area of education litigation. 211 Structural differences between state constitutions and the Federal Constitution reinforce this argument. While the Federal Constitution explains the limits on federal power, state constitutions provide details of the daily function of state government and services. It does not follow that the same barriers (political question doctrine) would apply to state court access. </w:t>
      </w:r>
      <w:r w:rsidRPr="00291891">
        <w:rPr>
          <w:rStyle w:val="StyleBoldUnderline"/>
        </w:rPr>
        <w:t>State courts</w:t>
      </w:r>
      <w:r w:rsidRPr="00291891">
        <w:rPr>
          <w:sz w:val="16"/>
        </w:rPr>
        <w:t xml:space="preserve"> have no Article III case and controversy requirement, so they </w:t>
      </w:r>
      <w:r w:rsidRPr="00291891">
        <w:rPr>
          <w:rStyle w:val="StyleBoldUnderline"/>
        </w:rPr>
        <w:t>could</w:t>
      </w:r>
      <w:r w:rsidRPr="00291891">
        <w:rPr>
          <w:sz w:val="16"/>
        </w:rPr>
        <w:t xml:space="preserve"> even </w:t>
      </w:r>
      <w:r w:rsidRPr="00291891">
        <w:rPr>
          <w:rStyle w:val="Emphasis"/>
        </w:rPr>
        <w:t>offer binding advisory opinions</w:t>
      </w:r>
      <w:r w:rsidRPr="00291891">
        <w:rPr>
          <w:sz w:val="16"/>
        </w:rPr>
        <w:t xml:space="preserve"> while leaving it to state legislatures to develop and implement their own remedies. 212 As Justice Brennan pointed out, “</w:t>
      </w:r>
      <w:r w:rsidRPr="00291891">
        <w:rPr>
          <w:rStyle w:val="StyleBoldUnderline"/>
        </w:rPr>
        <w:t xml:space="preserve">state courts that rest their decisions wholly or even partly on state law need not apply federal principles </w:t>
      </w:r>
      <w:r w:rsidRPr="00291891">
        <w:rPr>
          <w:sz w:val="16"/>
        </w:rPr>
        <w:t xml:space="preserve">of standing and justiciability that deny litigants access to the courts.” 213 More recently, scholars argue that the problem with state court decisions is that they depend too much on federal court decisions when interpreting their own state constitutions. 214 “[P]rotection of individual rights in the mind of the body politic has become synonymous with the United States Supreme Court and the Federal Constitution.” 215 Four of the seven state court results examined here cite to Baker v. Carr without explaining why this case should have any bearing over interpretations of their state constitutions. The state political question decisions rely on the second of the Baker standards, holding that education finance claims lack judicially identifiable and manageable standards. In this sense the decisions are fundamentally flawed. The seven political question doctrine states have judicially identifiable and manageable standards. 217 As discussed above, 218 the 1980s standards-based reform resulted in education standards in almost every state. The Baker Court called the judicially manageable standards in that case “well developed and familiar.” 219 In Vieth, the majority seized upon this characterization. They reasoned that since Supreme Court justices were unable to agree on standards for political </w:t>
      </w:r>
      <w:r w:rsidR="00291891" w:rsidRPr="00291891">
        <w:rPr>
          <w:sz w:val="16"/>
        </w:rPr>
        <w:t>reapportionment in the past, th</w:t>
      </w:r>
      <w:r w:rsidRPr="00291891">
        <w:rPr>
          <w:sz w:val="16"/>
        </w:rPr>
        <w:t xml:space="preserve">e standards were not familiar enough to fulfill the Baker requirement. 220 By adopting standards, legislators and local school boards commit to achieving these requirements. The legislative branch fulfills its responsibility to the state constitution’s education clause by doing so. </w:t>
      </w:r>
      <w:r w:rsidRPr="00291891">
        <w:rPr>
          <w:rStyle w:val="StyleBoldUnderline"/>
        </w:rPr>
        <w:t>Failing to provide each student with the opportunity to meet the standards denies their right to adequate education</w:t>
      </w:r>
      <w:r w:rsidRPr="00291891">
        <w:rPr>
          <w:sz w:val="16"/>
        </w:rPr>
        <w:t xml:space="preserve">. Some advocates for the role of the judiciary even argue that </w:t>
      </w:r>
      <w:r w:rsidRPr="00291891">
        <w:rPr>
          <w:rStyle w:val="StyleBoldUnderline"/>
        </w:rPr>
        <w:t>if courts find the standards unclear</w:t>
      </w:r>
      <w:r w:rsidRPr="00291891">
        <w:rPr>
          <w:sz w:val="16"/>
        </w:rPr>
        <w:t xml:space="preserve">, </w:t>
      </w:r>
      <w:r w:rsidRPr="00291891">
        <w:rPr>
          <w:rStyle w:val="StyleBoldUnderline"/>
        </w:rPr>
        <w:t>they</w:t>
      </w:r>
      <w:r w:rsidRPr="00291891">
        <w:rPr>
          <w:sz w:val="16"/>
        </w:rPr>
        <w:t xml:space="preserve"> are obligated to identify the standards themselves based on the constitutional language. 221 Others argue that at the very least, a vague judicial verdict </w:t>
      </w:r>
      <w:r w:rsidRPr="00291891">
        <w:rPr>
          <w:rStyle w:val="StyleBoldUnderline"/>
        </w:rPr>
        <w:t>could</w:t>
      </w:r>
      <w:r w:rsidRPr="00291891">
        <w:rPr>
          <w:sz w:val="16"/>
        </w:rPr>
        <w:t xml:space="preserve"> spur state governments into </w:t>
      </w:r>
      <w:r w:rsidRPr="00291891">
        <w:rPr>
          <w:rStyle w:val="StyleBoldUnderline"/>
        </w:rPr>
        <w:t>adopt</w:t>
      </w:r>
      <w:r w:rsidRPr="00291891">
        <w:rPr>
          <w:sz w:val="16"/>
        </w:rPr>
        <w:t xml:space="preserve">ing more </w:t>
      </w:r>
      <w:r w:rsidRPr="00291891">
        <w:rPr>
          <w:rStyle w:val="StyleBoldUnderline"/>
        </w:rPr>
        <w:t>comprehensive standards</w:t>
      </w:r>
      <w:r w:rsidRPr="00291891">
        <w:rPr>
          <w:sz w:val="16"/>
        </w:rPr>
        <w:t xml:space="preserve">. 222 Even without the legislative standards that have been passed for education, gaps often exist between constitutional rights and judicially manageable standards. Standards are often derived through adjudication, rather than extracted from constitutions themselves. 223 C. </w:t>
      </w:r>
      <w:r w:rsidRPr="00291891">
        <w:rPr>
          <w:rStyle w:val="StyleBoldUnderline"/>
        </w:rPr>
        <w:t>JUDICIAL REVIEW OF EDUCATION FUNDING DOES NOT CREATE SEPARATION OF POWERS CONCERNS</w:t>
      </w:r>
      <w:r w:rsidRPr="00291891">
        <w:rPr>
          <w:sz w:val="16"/>
        </w:rPr>
        <w:t xml:space="preserve"> Inherent in separation of powers concerns is the idea that one political branch is better equipped than another to handle certain issues. Thus, when the Supreme Court holds there are no judicially manageable standards, it is holding that it is not equipped to decide the issue and that the legislature or executive would be better suited to do so. This Proposal — that state courts must address matters of education finance — must respond to the argument that courts are not equipped to make these decisions. </w:t>
      </w:r>
      <w:r w:rsidRPr="00291891">
        <w:rPr>
          <w:rStyle w:val="StyleBoldUnderline"/>
        </w:rPr>
        <w:t>Commonly, the critique is that the courts are isolated from the democratic will of the people</w:t>
      </w:r>
      <w:r w:rsidRPr="00291891">
        <w:rPr>
          <w:sz w:val="16"/>
        </w:rPr>
        <w:t xml:space="preserve">, and should not be permitted to make these decisions in their countermajoritarian role. </w:t>
      </w:r>
      <w:r w:rsidRPr="00291891">
        <w:rPr>
          <w:rStyle w:val="StyleBoldUnderline"/>
        </w:rPr>
        <w:t>There are several</w:t>
      </w:r>
      <w:r w:rsidRPr="00291891">
        <w:rPr>
          <w:sz w:val="16"/>
        </w:rPr>
        <w:t xml:space="preserve"> different </w:t>
      </w:r>
      <w:r w:rsidRPr="00291891">
        <w:rPr>
          <w:rStyle w:val="StyleBoldUnderline"/>
        </w:rPr>
        <w:t xml:space="preserve">reasons why separation of powers concerns do not apply in this area </w:t>
      </w:r>
      <w:r w:rsidRPr="00291891">
        <w:rPr>
          <w:sz w:val="16"/>
        </w:rPr>
        <w:t xml:space="preserve">and in these venues. First, many agree that </w:t>
      </w:r>
      <w:r w:rsidRPr="00291891">
        <w:rPr>
          <w:rStyle w:val="StyleBoldUnderline"/>
        </w:rPr>
        <w:t>state courts are safer from this criticism</w:t>
      </w:r>
      <w:r w:rsidRPr="00291891">
        <w:rPr>
          <w:sz w:val="16"/>
        </w:rPr>
        <w:t xml:space="preserve">. Specifically, </w:t>
      </w:r>
      <w:r w:rsidRPr="00291891">
        <w:rPr>
          <w:rStyle w:val="StyleBoldUnderline"/>
        </w:rPr>
        <w:t>institutional competency and implementation concerns facing the federal courts do not extend to state courts</w:t>
      </w:r>
      <w:r w:rsidRPr="00291891">
        <w:rPr>
          <w:sz w:val="16"/>
        </w:rPr>
        <w:t xml:space="preserve">. 224 </w:t>
      </w:r>
      <w:r w:rsidRPr="00291891">
        <w:rPr>
          <w:rStyle w:val="StyleBoldUnderline"/>
        </w:rPr>
        <w:t>The positive rights to education in state constitutions “are not simply structural limits on governmental power; they are also prescriptive duties compelling government to use such power to achieve constitutionally fixed social ends.”</w:t>
      </w:r>
      <w:r w:rsidRPr="00291891">
        <w:rPr>
          <w:sz w:val="16"/>
        </w:rPr>
        <w:t xml:space="preserve"> 225 Second, </w:t>
      </w:r>
      <w:r w:rsidRPr="00291891">
        <w:rPr>
          <w:rStyle w:val="StyleBoldUnderline"/>
        </w:rPr>
        <w:t>the separation of powers arrangements set up by state constitutions differ from the exact balance of power set up by the Federal Constitution</w:t>
      </w:r>
      <w:r w:rsidRPr="00291891">
        <w:rPr>
          <w:sz w:val="16"/>
        </w:rPr>
        <w:t xml:space="preserve">. 226 This is a structural argument. These differences in structure support an interplay between the branches that is impossible in the federal system. </w:t>
      </w:r>
      <w:r w:rsidRPr="00291891">
        <w:rPr>
          <w:rStyle w:val="StyleBoldUnderline"/>
        </w:rPr>
        <w:t>State court decisions are not beyond the reach of the public. Additionally, state constitutions are much easier to amend; citizens can control what they might see as overreaching by the courts</w:t>
      </w:r>
      <w:r w:rsidRPr="00291891">
        <w:rPr>
          <w:sz w:val="16"/>
        </w:rPr>
        <w:t xml:space="preserve">. As one scholar explains, “[s]tate court decisions are best viewed as part of an ongoing process of constitutional interpretation by citizens and all three branches of a state government, rather than pronouncements of fixed principles.” 227 As it stands now, </w:t>
      </w:r>
      <w:r w:rsidRPr="00291891">
        <w:rPr>
          <w:rStyle w:val="StyleBoldUnderline"/>
        </w:rPr>
        <w:t>affirmative rights to education remain present in state constitutions with no present challenges to their existence</w:t>
      </w:r>
      <w:r w:rsidRPr="00291891">
        <w:rPr>
          <w:sz w:val="16"/>
        </w:rPr>
        <w:t xml:space="preserve">. Third, </w:t>
      </w:r>
      <w:r w:rsidRPr="00291891">
        <w:rPr>
          <w:rStyle w:val="StyleBoldUnderline"/>
        </w:rPr>
        <w:t>the judiciary may be at least as institutionally competent as the legislature at protecting certain matters of social welfare</w:t>
      </w:r>
      <w:r w:rsidRPr="00291891">
        <w:rPr>
          <w:sz w:val="16"/>
        </w:rPr>
        <w:t>. Arguments for the legislature are th</w:t>
      </w:r>
      <w:r w:rsidR="00291891" w:rsidRPr="00291891">
        <w:rPr>
          <w:sz w:val="16"/>
        </w:rPr>
        <w:t>at legislators can con</w:t>
      </w:r>
      <w:r w:rsidRPr="00291891">
        <w:rPr>
          <w:sz w:val="16"/>
        </w:rPr>
        <w:t xml:space="preserve">sider whatever evidence they choose, give it whatever weight they wish, and need not rely on one individual (a judge) for his decision. </w:t>
      </w:r>
      <w:r w:rsidRPr="00291891">
        <w:rPr>
          <w:rStyle w:val="StyleBoldUnderline"/>
        </w:rPr>
        <w:t>Critiques of the role of the courts in education reform fall short because they fail to offer any comparative analysis</w:t>
      </w:r>
      <w:r w:rsidRPr="00291891">
        <w:rPr>
          <w:sz w:val="16"/>
        </w:rPr>
        <w:t xml:space="preserve">: perhaps courts have limited success implementing reform, but how good are legislators? 228 Research may demonstrate that </w:t>
      </w:r>
      <w:r w:rsidRPr="00291891">
        <w:rPr>
          <w:rStyle w:val="Emphasis"/>
        </w:rPr>
        <w:t>courts are institutionally better equipped to create and enforce adequacy remedies than are other branches of government</w:t>
      </w:r>
      <w:r w:rsidRPr="00291891">
        <w:rPr>
          <w:sz w:val="16"/>
        </w:rPr>
        <w:t xml:space="preserve">. Two comprehensive studies completed in the 1980s 229 (one general and one education-specific) reveal the comparatively superior informational capacity of the judiciary: despite concerns about the limiting qualities of evidentiary rules in the adversarial system, 230 factual data in evidentiary records were more complete and had more influence than in legislative records. Part of the institutional competency arguments are challenges to the abilities of judges, on an individual level, to make these decisions. Judges’ generalist backgrounds may be viewed as a hindrance to making policy choices. 231 Judges, however, often have experience with a broad range of policy problems and are called upon to consider specific and detailed evidence. 232 Since remedies will take years rather than months to implement, judges will become more expert as the situation progresses. </w:t>
      </w:r>
      <w:r w:rsidRPr="00291891">
        <w:rPr>
          <w:rStyle w:val="StyleBoldUnderline"/>
        </w:rPr>
        <w:t>Members of the judiciary</w:t>
      </w:r>
      <w:r w:rsidRPr="00291891">
        <w:rPr>
          <w:sz w:val="16"/>
        </w:rPr>
        <w:t xml:space="preserve"> are not perfectly removed from the interests involved, but </w:t>
      </w:r>
      <w:r w:rsidRPr="00291891">
        <w:rPr>
          <w:rStyle w:val="StyleBoldUnderline"/>
        </w:rPr>
        <w:t>are more accustomed than legislators or governors to remaining neutral arbiters when making difficult choices. Courts can recommend flexible remedies, and modify their decisions to respond to unanticipated changes along the way</w:t>
      </w:r>
      <w:r w:rsidRPr="00291891">
        <w:rPr>
          <w:sz w:val="16"/>
        </w:rPr>
        <w:t xml:space="preserve">. 233 </w:t>
      </w:r>
      <w:r w:rsidRPr="00291891">
        <w:rPr>
          <w:rStyle w:val="StyleBoldUnderline"/>
        </w:rPr>
        <w:t>The court’s staying power</w:t>
      </w:r>
      <w:r w:rsidRPr="00291891">
        <w:rPr>
          <w:sz w:val="16"/>
        </w:rPr>
        <w:t xml:space="preserve"> 234 </w:t>
      </w:r>
      <w:r w:rsidRPr="00291891">
        <w:rPr>
          <w:rStyle w:val="Emphasis"/>
        </w:rPr>
        <w:t>has proven absolutely crucial to implementation</w:t>
      </w:r>
      <w:r w:rsidRPr="00291891">
        <w:rPr>
          <w:sz w:val="16"/>
        </w:rPr>
        <w:t xml:space="preserve"> in the remedies phase, which can take many years. 235 More specific criticism of this new type of judicial federalism centers on the idea that judicial policy decisions are un- democratic. Again, this is not a critique of how courts define rights but, rather, how they implement remedies. 236 This debate stretches across all substantive areas of law. Critics argue that the shift from one political branch to another is more than just a change from legislators to judges. 237 The power is also transferred from elected officials to other members of the judicial process such as public interest lawyers, since they are the ones defining the problem and possible solution s rather than their aggrieved clients. 238 </w:t>
      </w:r>
      <w:r w:rsidRPr="00291891">
        <w:rPr>
          <w:rStyle w:val="StyleBoldUnderline"/>
        </w:rPr>
        <w:t>Judges who pursue remedies in areas of social policy are often tagged as “judicial activists”</w:t>
      </w:r>
      <w:r w:rsidRPr="00291891">
        <w:rPr>
          <w:sz w:val="16"/>
        </w:rPr>
        <w:t xml:space="preserve">: judges that step out of their appropriate role to rule in order to pursue a personal agenda. 239 </w:t>
      </w:r>
      <w:r w:rsidRPr="00291891">
        <w:rPr>
          <w:rStyle w:val="StyleBoldUnderline"/>
        </w:rPr>
        <w:t>To characterize judges as activist</w:t>
      </w:r>
      <w:r w:rsidRPr="00291891">
        <w:rPr>
          <w:sz w:val="16"/>
        </w:rPr>
        <w:t xml:space="preserve"> just because they agree to hear cases or find in favor of plaintiffs, however, </w:t>
      </w:r>
      <w:r w:rsidRPr="00291891">
        <w:rPr>
          <w:rStyle w:val="Emphasis"/>
        </w:rPr>
        <w:t>would be overly simplistic</w:t>
      </w:r>
      <w:r w:rsidRPr="00291891">
        <w:rPr>
          <w:sz w:val="16"/>
        </w:rPr>
        <w:t>. As Richard Epstein expla</w:t>
      </w:r>
      <w:r w:rsidR="00291891" w:rsidRPr="00291891">
        <w:rPr>
          <w:sz w:val="16"/>
        </w:rPr>
        <w:t>ins, “[t]he choice is never be</w:t>
      </w:r>
      <w:r w:rsidRPr="00291891">
        <w:rPr>
          <w:sz w:val="16"/>
        </w:rPr>
        <w:t xml:space="preserve">tween restraint and activism; it is , rather, a question of whether the attack against a piece of legislation makes sense in light of constitutional text and structure.” 240 Thomas Sowell questions the prevailing image of “liberal, activist judges” and argues that “judicial activists have historically come in various political varieties.” 241 </w:t>
      </w:r>
      <w:r w:rsidRPr="00291891">
        <w:rPr>
          <w:rStyle w:val="StyleBoldUnderline"/>
        </w:rPr>
        <w:t>Judges can also be activists by not acting</w:t>
      </w:r>
      <w:r w:rsidRPr="00291891">
        <w:rPr>
          <w:sz w:val="16"/>
        </w:rPr>
        <w:t xml:space="preserve">, and use of the political question doctrine can be an activist means of avoiding certain reform that the constitution requires. For better or for worse, </w:t>
      </w:r>
      <w:r w:rsidRPr="00291891">
        <w:rPr>
          <w:rStyle w:val="Emphasis"/>
        </w:rPr>
        <w:t>the battle for education reform will be waged only in state courts for the foreseeable future</w:t>
      </w:r>
      <w:r w:rsidR="00291891" w:rsidRPr="00291891">
        <w:rPr>
          <w:sz w:val="16"/>
        </w:rPr>
        <w:t>. Where ex</w:t>
      </w:r>
      <w:r w:rsidRPr="00291891">
        <w:rPr>
          <w:sz w:val="16"/>
        </w:rPr>
        <w:t>actly the baseline of education standards should be set in each state remains in the hands of the legislature. Once the standards are set, however — through the st</w:t>
      </w:r>
      <w:r w:rsidR="00291891" w:rsidRPr="00291891">
        <w:rPr>
          <w:sz w:val="16"/>
        </w:rPr>
        <w:t>ate constitution or through ex</w:t>
      </w:r>
      <w:r w:rsidRPr="00291891">
        <w:rPr>
          <w:sz w:val="16"/>
        </w:rPr>
        <w:t>plicit achievement standards</w:t>
      </w:r>
      <w:r w:rsidR="00291891" w:rsidRPr="00291891">
        <w:rPr>
          <w:sz w:val="16"/>
        </w:rPr>
        <w:t xml:space="preserve"> — </w:t>
      </w:r>
      <w:r w:rsidR="00291891" w:rsidRPr="00291891">
        <w:rPr>
          <w:rStyle w:val="Emphasis"/>
        </w:rPr>
        <w:t>state courts must become in</w:t>
      </w:r>
      <w:r w:rsidRPr="00291891">
        <w:rPr>
          <w:rStyle w:val="Emphasis"/>
        </w:rPr>
        <w:t>volved in the question of whether its students are being denied their rights to education</w:t>
      </w:r>
      <w:r w:rsidRPr="00291891">
        <w:rPr>
          <w:sz w:val="16"/>
        </w:rPr>
        <w:t xml:space="preserve">. For these reasons, </w:t>
      </w:r>
      <w:r w:rsidRPr="00291891">
        <w:rPr>
          <w:rStyle w:val="Emphasis"/>
        </w:rPr>
        <w:t>state courts must stop using the federal political question doctrine to abdicate their responsibility to children</w:t>
      </w:r>
      <w:r w:rsidRPr="00291891">
        <w:rPr>
          <w:sz w:val="16"/>
        </w:rPr>
        <w:t>. State courts rarely rely on Ba</w:t>
      </w:r>
      <w:r w:rsidR="00291891" w:rsidRPr="00291891">
        <w:rPr>
          <w:sz w:val="16"/>
        </w:rPr>
        <w:t>ker or other cases to keep mat</w:t>
      </w:r>
      <w:r w:rsidRPr="00291891">
        <w:rPr>
          <w:sz w:val="16"/>
        </w:rPr>
        <w:t>ters out of th</w:t>
      </w:r>
      <w:r w:rsidR="00291891" w:rsidRPr="00291891">
        <w:rPr>
          <w:sz w:val="16"/>
        </w:rPr>
        <w:t>eir jurisdiction. Hi</w:t>
      </w:r>
      <w:r w:rsidRPr="00291891">
        <w:rPr>
          <w:sz w:val="16"/>
        </w:rPr>
        <w:t>storically when they have done so, the nonjusticiable matters have been relegated to the inner workings of the legislature, suc</w:t>
      </w:r>
      <w:r w:rsidR="00291891" w:rsidRPr="00291891">
        <w:rPr>
          <w:sz w:val="16"/>
        </w:rPr>
        <w:t>h as determining the qualifica</w:t>
      </w:r>
      <w:r w:rsidRPr="00291891">
        <w:rPr>
          <w:sz w:val="16"/>
        </w:rPr>
        <w:t>tions of holding public office or agreeing on election procedures. State courts do not use the political question doctrine to keep other social problems, such as welfare and health care, beyond their grasp. The courts in Illinois, Florida, Pennsylvania, Rhode Island, Alabama, Nebraska and Oklahoma have nevertheless singled out education as a constitutional right they refuse to uphold. On the merits, the answer might not be favorable for plaintiffs in any of these seven states, and it is entirely feasible that the basic level of education is</w:t>
      </w:r>
      <w:r w:rsidR="00291891" w:rsidRPr="00291891">
        <w:rPr>
          <w:sz w:val="16"/>
        </w:rPr>
        <w:t xml:space="preserve"> being met. Other states’ expe</w:t>
      </w:r>
      <w:r w:rsidRPr="00291891">
        <w:rPr>
          <w:sz w:val="16"/>
        </w:rPr>
        <w:t xml:space="preserve">rience in </w:t>
      </w:r>
      <w:r w:rsidR="00291891" w:rsidRPr="00291891">
        <w:rPr>
          <w:sz w:val="16"/>
        </w:rPr>
        <w:t>adequacy litigation imp</w:t>
      </w:r>
      <w:r w:rsidRPr="00291891">
        <w:rPr>
          <w:sz w:val="16"/>
        </w:rPr>
        <w:t xml:space="preserve">lies, however, that the opposite will be true. Whatever the answer is, </w:t>
      </w:r>
      <w:r w:rsidRPr="00291891">
        <w:rPr>
          <w:rStyle w:val="StyleBoldUnderline"/>
        </w:rPr>
        <w:t>in light of the rights to education detailed each of these stat e constitutions, courts can no longer continue to ignore the question</w:t>
      </w:r>
      <w:r w:rsidRPr="00291891">
        <w:rPr>
          <w:sz w:val="16"/>
        </w:rPr>
        <w:t>. From a legal realist perspective, judges will decide these cases based on varying policy considerat</w:t>
      </w:r>
      <w:r w:rsidR="00291891" w:rsidRPr="00291891">
        <w:rPr>
          <w:sz w:val="16"/>
        </w:rPr>
        <w:t>ions; to many, it does not mat</w:t>
      </w:r>
      <w:r w:rsidRPr="00291891">
        <w:rPr>
          <w:sz w:val="16"/>
        </w:rPr>
        <w:t>ter how firm a ground their logic rests upon. This research into the laws of seven different states, however, may inspire plaintiffs on how to approach attempts aroun</w:t>
      </w:r>
      <w:r w:rsidR="00291891" w:rsidRPr="00291891">
        <w:rPr>
          <w:sz w:val="16"/>
        </w:rPr>
        <w:t>d these decisions. It adds fur</w:t>
      </w:r>
      <w:r w:rsidRPr="00291891">
        <w:rPr>
          <w:sz w:val="16"/>
        </w:rPr>
        <w:t>ther support to the argument that the political question doctrine does not belong in state courts.</w:t>
      </w:r>
    </w:p>
    <w:p w14:paraId="2E66B2A2" w14:textId="77777777" w:rsidR="00DB3D96" w:rsidRDefault="00DB3D96" w:rsidP="001D311D"/>
    <w:p w14:paraId="34DFCF1D" w14:textId="232E5737" w:rsidR="00DB3D96" w:rsidRDefault="00DE62F8" w:rsidP="00DE62F8">
      <w:pPr>
        <w:pStyle w:val="Heading3"/>
      </w:pPr>
      <w:r>
        <w:t>Federal Courts Fail/State Courts Key</w:t>
      </w:r>
    </w:p>
    <w:p w14:paraId="210F9BD8" w14:textId="20FBFA0D" w:rsidR="00DE62F8" w:rsidRPr="00DE62F8" w:rsidRDefault="00D94DEF" w:rsidP="00D94DEF">
      <w:pPr>
        <w:pStyle w:val="Heading4"/>
      </w:pPr>
      <w:r>
        <w:t>State Courts avoid Court disads and politics and solve the aff</w:t>
      </w:r>
    </w:p>
    <w:p w14:paraId="2D3D4936" w14:textId="592CA700" w:rsidR="00DE62F8" w:rsidRPr="00DE62F8" w:rsidRDefault="00DE62F8" w:rsidP="00DE62F8">
      <w:pPr>
        <w:rPr>
          <w:rStyle w:val="StyleStyleBold12pt"/>
          <w:b w:val="0"/>
        </w:rPr>
      </w:pPr>
      <w:r>
        <w:rPr>
          <w:rStyle w:val="StyleStyleBold12pt"/>
        </w:rPr>
        <w:t xml:space="preserve">Greenspahn J.D. from George Washington University School of Law ‘8 </w:t>
      </w:r>
      <w:r>
        <w:rPr>
          <w:rStyle w:val="StyleStyleBold12pt"/>
          <w:b w:val="0"/>
        </w:rPr>
        <w:t>(Daniel, “</w:t>
      </w:r>
      <w:r w:rsidRPr="00DE62F8">
        <w:rPr>
          <w:rStyle w:val="StyleStyleBold12pt"/>
          <w:b w:val="0"/>
        </w:rPr>
        <w:t>THE ROBERTS COURT AND EQUAL PROTECTION: GENDER, RACE, AND CLASS: RACE: A Constitutional Right to Learn: The Uncertain Allure of Making a Federal Case out of Education</w:t>
      </w:r>
      <w:r>
        <w:rPr>
          <w:rStyle w:val="StyleStyleBold12pt"/>
          <w:b w:val="0"/>
        </w:rPr>
        <w:t xml:space="preserve">,” </w:t>
      </w:r>
      <w:r>
        <w:rPr>
          <w:rStyle w:val="StyleStyleBold12pt"/>
          <w:b w:val="0"/>
          <w:i/>
        </w:rPr>
        <w:t>South Carolina Law Review</w:t>
      </w:r>
      <w:r>
        <w:rPr>
          <w:rStyle w:val="StyleStyleBold12pt"/>
          <w:b w:val="0"/>
        </w:rPr>
        <w:t xml:space="preserve">, </w:t>
      </w:r>
      <w:r>
        <w:rPr>
          <w:rStyle w:val="StyleStyleBold12pt"/>
          <w:b w:val="0"/>
          <w:i/>
        </w:rPr>
        <w:t>59</w:t>
      </w:r>
      <w:r>
        <w:rPr>
          <w:rStyle w:val="StyleStyleBold12pt"/>
          <w:b w:val="0"/>
        </w:rPr>
        <w:t>, pp. 756-758, Stadt)</w:t>
      </w:r>
    </w:p>
    <w:p w14:paraId="69FC8A26" w14:textId="3301F2F7" w:rsidR="00DE62F8" w:rsidRPr="00D94DEF" w:rsidRDefault="00DE62F8" w:rsidP="00DE62F8">
      <w:pPr>
        <w:rPr>
          <w:sz w:val="16"/>
        </w:rPr>
      </w:pPr>
      <w:r w:rsidRPr="00D94DEF">
        <w:rPr>
          <w:sz w:val="16"/>
        </w:rPr>
        <w:t xml:space="preserve">For decades, </w:t>
      </w:r>
      <w:r w:rsidRPr="00DE62F8">
        <w:rPr>
          <w:rStyle w:val="StyleBoldUnderline"/>
        </w:rPr>
        <w:t>some</w:t>
      </w:r>
      <w:r w:rsidRPr="00D94DEF">
        <w:rPr>
          <w:sz w:val="16"/>
        </w:rPr>
        <w:t xml:space="preserve"> scholars, reformers, and elected officials </w:t>
      </w:r>
      <w:r w:rsidRPr="00DE62F8">
        <w:rPr>
          <w:rStyle w:val="StyleBoldUnderline"/>
        </w:rPr>
        <w:t>have advocated for a federal right to education</w:t>
      </w:r>
      <w:r w:rsidRPr="00D94DEF">
        <w:rPr>
          <w:sz w:val="16"/>
        </w:rPr>
        <w:t xml:space="preserve">.' But </w:t>
      </w:r>
      <w:r w:rsidRPr="00DE62F8">
        <w:rPr>
          <w:rStyle w:val="StyleBoldUnderline"/>
        </w:rPr>
        <w:t>in light of the Supreme Court's</w:t>
      </w:r>
      <w:r w:rsidRPr="00D94DEF">
        <w:rPr>
          <w:sz w:val="16"/>
        </w:rPr>
        <w:t xml:space="preserve"> recent </w:t>
      </w:r>
      <w:r w:rsidRPr="00DE62F8">
        <w:rPr>
          <w:rStyle w:val="StyleBoldUnderline"/>
        </w:rPr>
        <w:t>rulings</w:t>
      </w:r>
      <w:r w:rsidRPr="00D94DEF">
        <w:rPr>
          <w:sz w:val="16"/>
        </w:rPr>
        <w:t xml:space="preserve">, including its decisions </w:t>
      </w:r>
      <w:r w:rsidRPr="00DE62F8">
        <w:rPr>
          <w:rStyle w:val="StyleBoldUnderline"/>
        </w:rPr>
        <w:t>invalidating race-conscious school integration plans</w:t>
      </w:r>
      <w:r w:rsidRPr="00D94DEF">
        <w:rPr>
          <w:sz w:val="16"/>
        </w:rPr>
        <w:t xml:space="preserve">2 </w:t>
      </w:r>
      <w:r w:rsidRPr="00DE62F8">
        <w:rPr>
          <w:rStyle w:val="StyleBoldUnderline"/>
        </w:rPr>
        <w:t>and deferring</w:t>
      </w:r>
      <w:r w:rsidRPr="00D94DEF">
        <w:rPr>
          <w:sz w:val="16"/>
        </w:rPr>
        <w:t xml:space="preserve"> to agency officials on matters of </w:t>
      </w:r>
      <w:r w:rsidRPr="00D94DEF">
        <w:rPr>
          <w:rStyle w:val="StyleBoldUnderline"/>
        </w:rPr>
        <w:t>school funding</w:t>
      </w:r>
      <w:r w:rsidRPr="00D94DEF">
        <w:rPr>
          <w:sz w:val="16"/>
        </w:rPr>
        <w:t xml:space="preserve">,3 </w:t>
      </w:r>
      <w:r w:rsidRPr="00D94DEF">
        <w:rPr>
          <w:rStyle w:val="StyleBoldUnderline"/>
        </w:rPr>
        <w:t>the federal courts do not appear to be the best forum for securing every student a quality education</w:t>
      </w:r>
      <w:r w:rsidRPr="00D94DEF">
        <w:rPr>
          <w:sz w:val="16"/>
        </w:rPr>
        <w:t xml:space="preserve">. </w:t>
      </w:r>
      <w:r w:rsidRPr="00D94DEF">
        <w:rPr>
          <w:rStyle w:val="Emphasis"/>
        </w:rPr>
        <w:t>Instead</w:t>
      </w:r>
      <w:r w:rsidRPr="00D94DEF">
        <w:rPr>
          <w:sz w:val="16"/>
        </w:rPr>
        <w:t xml:space="preserve">, </w:t>
      </w:r>
      <w:r w:rsidRPr="00D94DEF">
        <w:rPr>
          <w:rStyle w:val="StyleBoldUnderline"/>
        </w:rPr>
        <w:t>advocates should seek reform from</w:t>
      </w:r>
      <w:r w:rsidRPr="00D94DEF">
        <w:rPr>
          <w:sz w:val="16"/>
        </w:rPr>
        <w:t xml:space="preserve"> </w:t>
      </w:r>
      <w:r w:rsidRPr="00D94DEF">
        <w:rPr>
          <w:rStyle w:val="Emphasis"/>
        </w:rPr>
        <w:t>state courts</w:t>
      </w:r>
      <w:r w:rsidRPr="00D94DEF">
        <w:rPr>
          <w:sz w:val="16"/>
        </w:rPr>
        <w:t xml:space="preserve">, which have been </w:t>
      </w:r>
      <w:r w:rsidRPr="00D94DEF">
        <w:rPr>
          <w:rStyle w:val="StyleBoldUnderline"/>
        </w:rPr>
        <w:t>more receptive to recognizing a right to education</w:t>
      </w:r>
      <w:r w:rsidRPr="00D94DEF">
        <w:rPr>
          <w:sz w:val="16"/>
        </w:rPr>
        <w:t xml:space="preserve">, as </w:t>
      </w:r>
      <w:r w:rsidRPr="00D94DEF">
        <w:rPr>
          <w:rStyle w:val="StyleBoldUnderline"/>
        </w:rPr>
        <w:t>such a strategy</w:t>
      </w:r>
      <w:r w:rsidRPr="00D94DEF">
        <w:rPr>
          <w:sz w:val="16"/>
        </w:rPr>
        <w:t xml:space="preserve"> </w:t>
      </w:r>
      <w:r w:rsidRPr="00D94DEF">
        <w:rPr>
          <w:rStyle w:val="Emphasis"/>
        </w:rPr>
        <w:t>avoids the legal and political pitfalls</w:t>
      </w:r>
      <w:r w:rsidRPr="00D94DEF">
        <w:rPr>
          <w:sz w:val="16"/>
        </w:rPr>
        <w:t xml:space="preserve"> </w:t>
      </w:r>
      <w:r w:rsidRPr="00D94DEF">
        <w:rPr>
          <w:rStyle w:val="StyleBoldUnderline"/>
        </w:rPr>
        <w:t>of</w:t>
      </w:r>
      <w:r w:rsidRPr="00D94DEF">
        <w:rPr>
          <w:sz w:val="16"/>
        </w:rPr>
        <w:t xml:space="preserve"> making </w:t>
      </w:r>
      <w:r w:rsidRPr="00D94DEF">
        <w:rPr>
          <w:rStyle w:val="StyleBoldUnderline"/>
        </w:rPr>
        <w:t>a federal case</w:t>
      </w:r>
      <w:r w:rsidRPr="00D94DEF">
        <w:rPr>
          <w:sz w:val="16"/>
        </w:rPr>
        <w:t xml:space="preserve"> out of education.4 In Brown v. Board of Education5 (Brown 1), the Supreme Court famously declared that education, "where the state has undertaken to provide it, is a right which must be made available to all on equal terms."6 Ever since, </w:t>
      </w:r>
      <w:r w:rsidRPr="00D94DEF">
        <w:rPr>
          <w:rStyle w:val="StyleBoldUnderline"/>
        </w:rPr>
        <w:t>there have been fierce debates regarding the best means to fulfill Brown</w:t>
      </w:r>
      <w:r w:rsidRPr="00D94DEF">
        <w:rPr>
          <w:sz w:val="16"/>
        </w:rPr>
        <w:t xml:space="preserve"> I's promise that all children must have an equal opportunity to learn. Proponents have alternatively argued for class integration or greater resources,7 urged federal intervention,8 or promoted state-level strategies. 9 No matter which school of thought is embraced, scholars must squarely address the two Supreme Court decisions that have most influenced the debate about Brown I's legacy and the fight for quality education: San Antonio Independent School District v. Rodriguez0" and Parents Involved in Community Schools v. Seattle School District No. 1.1 The former, in which the Court upheld disparities in school funding, 2 has been widely viewed as closing the door on a federal constitutional right to education. 3 The latter, in which the Court struck down the use of race in local efforts to integrate schools, 4 suggests that this country is entering the end of the desegregation era.15 What then is the next step in the movement to ensure a quality education for all children? At an April 2006 conference at the University of California at Berkeley law school, scholars explored various aspects of pursuing education as a fundamental right.' 6 At a November 2007 symposium at Columbia University, legal reformers reassessed recent federal efforts at school integration and state school funding litigation. 7 </w:t>
      </w:r>
      <w:r w:rsidRPr="00D94DEF">
        <w:rPr>
          <w:rStyle w:val="StyleBoldUnderline"/>
        </w:rPr>
        <w:t>Scholars</w:t>
      </w:r>
      <w:r w:rsidRPr="00D94DEF">
        <w:rPr>
          <w:sz w:val="16"/>
        </w:rPr>
        <w:t xml:space="preserve"> appraising these developments have </w:t>
      </w:r>
      <w:r w:rsidRPr="00D94DEF">
        <w:rPr>
          <w:rStyle w:val="StyleBoldUnderline"/>
        </w:rPr>
        <w:t>predict</w:t>
      </w:r>
      <w:r w:rsidRPr="00D94DEF">
        <w:rPr>
          <w:sz w:val="16"/>
        </w:rPr>
        <w:t xml:space="preserve">ed that </w:t>
      </w:r>
      <w:r w:rsidRPr="00D94DEF">
        <w:rPr>
          <w:rStyle w:val="StyleBoldUnderline"/>
        </w:rPr>
        <w:t>advocates might begin using</w:t>
      </w:r>
      <w:r w:rsidRPr="00D94DEF">
        <w:rPr>
          <w:sz w:val="16"/>
        </w:rPr>
        <w:t xml:space="preserve"> the No Child Left Behind (NCLB) Act 8 and successful </w:t>
      </w:r>
      <w:r w:rsidRPr="00D94DEF">
        <w:rPr>
          <w:rStyle w:val="Emphasis"/>
        </w:rPr>
        <w:t>state school funding decisions'</w:t>
      </w:r>
      <w:r w:rsidRPr="00D94DEF">
        <w:rPr>
          <w:sz w:val="16"/>
        </w:rPr>
        <w:t xml:space="preserve"> 9 </w:t>
      </w:r>
      <w:r w:rsidRPr="00D94DEF">
        <w:rPr>
          <w:rStyle w:val="Emphasis"/>
        </w:rPr>
        <w:t>to "secure a foundation in federal law" for a right to education."</w:t>
      </w:r>
      <w:r w:rsidRPr="00D94DEF">
        <w:rPr>
          <w:sz w:val="16"/>
        </w:rPr>
        <w:t xml:space="preserve"> This Article addresses these issues in two ways. First, Part 1II of this Article aims to correct a deep misunderstanding about Rodriguez, even among experts, by demonstrating that the Court's decision and subsequent legal and political developments make a federal constitutional right to an education viable. Unlike recent proponents, however, Part IV of this Article urges advocates not to pursue a federal right to education at this time. </w:t>
      </w:r>
      <w:r w:rsidRPr="00D94DEF">
        <w:rPr>
          <w:rStyle w:val="StyleBoldUnderline"/>
        </w:rPr>
        <w:t>Because state-level school funding litigation has been successful, and the federal judiciary has withdrawn from</w:t>
      </w:r>
      <w:r w:rsidRPr="00D94DEF">
        <w:rPr>
          <w:sz w:val="16"/>
        </w:rPr>
        <w:t xml:space="preserve"> the </w:t>
      </w:r>
      <w:r w:rsidRPr="00D94DEF">
        <w:rPr>
          <w:rStyle w:val="StyleBoldUnderline"/>
        </w:rPr>
        <w:t>education</w:t>
      </w:r>
      <w:r w:rsidRPr="00D94DEF">
        <w:rPr>
          <w:sz w:val="16"/>
        </w:rPr>
        <w:t xml:space="preserve"> arena, </w:t>
      </w:r>
      <w:r w:rsidRPr="00D94DEF">
        <w:rPr>
          <w:rStyle w:val="StyleBoldUnderline"/>
        </w:rPr>
        <w:t>and the Supreme Court has</w:t>
      </w:r>
      <w:r w:rsidRPr="00D94DEF">
        <w:rPr>
          <w:sz w:val="16"/>
        </w:rPr>
        <w:t xml:space="preserve"> placed </w:t>
      </w:r>
      <w:r w:rsidRPr="00D94DEF">
        <w:rPr>
          <w:rStyle w:val="StyleBoldUnderline"/>
        </w:rPr>
        <w:t>renewed emphasis on federalism</w:t>
      </w:r>
      <w:r w:rsidRPr="00D94DEF">
        <w:rPr>
          <w:sz w:val="16"/>
        </w:rPr>
        <w:t xml:space="preserve">, now is not the time to make a federal case out of education. Instead, </w:t>
      </w:r>
      <w:r w:rsidRPr="00D94DEF">
        <w:rPr>
          <w:rStyle w:val="Emphasis"/>
        </w:rPr>
        <w:t>advocates should work with state courts</w:t>
      </w:r>
      <w:r w:rsidRPr="00D94DEF">
        <w:rPr>
          <w:sz w:val="16"/>
        </w:rPr>
        <w:t xml:space="preserve">, legislators, and interested citizens, as they have for the last several decades, </w:t>
      </w:r>
      <w:r w:rsidRPr="00D94DEF">
        <w:rPr>
          <w:rStyle w:val="StyleBoldUnderline"/>
        </w:rPr>
        <w:t>to ensure that public schools receive funding based on student need</w:t>
      </w:r>
      <w:r w:rsidRPr="00D94DEF">
        <w:rPr>
          <w:sz w:val="16"/>
        </w:rPr>
        <w:t>. To reach these conclusions, Part I1ofthis Article documents the inequities in school funding, their costs, and efforts in the last fifty years to remedy the problems in state and federal court.</w:t>
      </w:r>
    </w:p>
    <w:p w14:paraId="43D48E1B" w14:textId="77777777" w:rsidR="00DE62F8" w:rsidRDefault="00DE62F8" w:rsidP="00DE62F8"/>
    <w:p w14:paraId="21A8FE22" w14:textId="7D1B8DC8" w:rsidR="00B3120B" w:rsidRPr="00DE62F8" w:rsidRDefault="0032719C" w:rsidP="00B3120B">
      <w:pPr>
        <w:pStyle w:val="Heading4"/>
      </w:pPr>
      <w:r>
        <w:t>More evidence – the CP is bipartisan and solves the pitfalls of a federal RtE</w:t>
      </w:r>
    </w:p>
    <w:p w14:paraId="2D34E5E3" w14:textId="784715C2" w:rsidR="00B3120B" w:rsidRDefault="00B3120B" w:rsidP="00B3120B">
      <w:r>
        <w:rPr>
          <w:rStyle w:val="StyleStyleBold12pt"/>
        </w:rPr>
        <w:t xml:space="preserve">Greenspahn J.D. from George Washington University School of Law ‘8 </w:t>
      </w:r>
      <w:r>
        <w:rPr>
          <w:rStyle w:val="StyleStyleBold12pt"/>
          <w:b w:val="0"/>
        </w:rPr>
        <w:t>(Daniel, “</w:t>
      </w:r>
      <w:r w:rsidRPr="00DE62F8">
        <w:rPr>
          <w:rStyle w:val="StyleStyleBold12pt"/>
          <w:b w:val="0"/>
        </w:rPr>
        <w:t>THE ROBERTS COURT AND EQUAL PROTECTION: GENDER, RACE, AND CLASS: RACE: A Constitutional Right to Learn: The Uncertain Allure of Making a Federal Case out of Education</w:t>
      </w:r>
      <w:r>
        <w:rPr>
          <w:rStyle w:val="StyleStyleBold12pt"/>
          <w:b w:val="0"/>
        </w:rPr>
        <w:t xml:space="preserve">,” </w:t>
      </w:r>
      <w:r>
        <w:rPr>
          <w:rStyle w:val="StyleStyleBold12pt"/>
          <w:b w:val="0"/>
          <w:i/>
        </w:rPr>
        <w:t>South Carolina Law Review</w:t>
      </w:r>
      <w:r>
        <w:rPr>
          <w:rStyle w:val="StyleStyleBold12pt"/>
          <w:b w:val="0"/>
        </w:rPr>
        <w:t xml:space="preserve">, </w:t>
      </w:r>
      <w:r>
        <w:rPr>
          <w:rStyle w:val="StyleStyleBold12pt"/>
          <w:b w:val="0"/>
          <w:i/>
        </w:rPr>
        <w:t>59</w:t>
      </w:r>
      <w:r w:rsidR="00764000">
        <w:rPr>
          <w:rStyle w:val="StyleStyleBold12pt"/>
          <w:b w:val="0"/>
        </w:rPr>
        <w:t>, pp. 779-781</w:t>
      </w:r>
      <w:r>
        <w:rPr>
          <w:rStyle w:val="StyleStyleBold12pt"/>
          <w:b w:val="0"/>
        </w:rPr>
        <w:t>, Stadt)</w:t>
      </w:r>
    </w:p>
    <w:p w14:paraId="61640E1A" w14:textId="5D3C5915" w:rsidR="00B3120B" w:rsidRPr="0032719C" w:rsidRDefault="00B3120B" w:rsidP="00B3120B">
      <w:pPr>
        <w:rPr>
          <w:sz w:val="16"/>
        </w:rPr>
      </w:pPr>
      <w:r w:rsidRPr="0032719C">
        <w:rPr>
          <w:sz w:val="16"/>
        </w:rPr>
        <w:t xml:space="preserve">As a counterpoint to the risks of returning to federal court, there are benefits of continuing to litigate school funding cases at the state level. </w:t>
      </w:r>
      <w:r w:rsidRPr="0032719C">
        <w:rPr>
          <w:rStyle w:val="StyleBoldUnderline"/>
        </w:rPr>
        <w:t>State constitutions</w:t>
      </w:r>
      <w:r w:rsidRPr="0032719C">
        <w:rPr>
          <w:sz w:val="16"/>
        </w:rPr>
        <w:t xml:space="preserve">, unlike the federal Constitution, </w:t>
      </w:r>
      <w:r w:rsidRPr="0032719C">
        <w:rPr>
          <w:rStyle w:val="StyleBoldUnderline"/>
        </w:rPr>
        <w:t>explicitly recognize the right to an education</w:t>
      </w:r>
      <w:r w:rsidRPr="0032719C">
        <w:rPr>
          <w:sz w:val="16"/>
        </w:rPr>
        <w:t xml:space="preserve">.2 4 2 As a result, </w:t>
      </w:r>
      <w:r w:rsidRPr="0032719C">
        <w:rPr>
          <w:rStyle w:val="StyleBoldUnderline"/>
        </w:rPr>
        <w:t>courts have been more willing to hold states accountable in providing the resources necessary to meet state-imposed educational standards</w:t>
      </w:r>
      <w:r w:rsidRPr="0032719C">
        <w:rPr>
          <w:sz w:val="16"/>
        </w:rPr>
        <w:t xml:space="preserve">.243 </w:t>
      </w:r>
      <w:r w:rsidRPr="0032719C">
        <w:rPr>
          <w:rStyle w:val="StyleBoldUnderline"/>
        </w:rPr>
        <w:t>State litigatio</w:t>
      </w:r>
      <w:r w:rsidRPr="0032719C">
        <w:rPr>
          <w:sz w:val="16"/>
        </w:rPr>
        <w:t xml:space="preserve">n, by most accounts, </w:t>
      </w:r>
      <w:r w:rsidRPr="0032719C">
        <w:rPr>
          <w:rStyle w:val="StyleBoldUnderline"/>
        </w:rPr>
        <w:t>has been</w:t>
      </w:r>
      <w:r w:rsidRPr="0032719C">
        <w:rPr>
          <w:sz w:val="16"/>
        </w:rPr>
        <w:t xml:space="preserve"> relatively </w:t>
      </w:r>
      <w:r w:rsidRPr="0032719C">
        <w:rPr>
          <w:rStyle w:val="StyleBoldUnderline"/>
        </w:rPr>
        <w:t>successful</w:t>
      </w:r>
      <w:r w:rsidRPr="0032719C">
        <w:rPr>
          <w:sz w:val="16"/>
        </w:rPr>
        <w:t xml:space="preserve">, with plaintiff victories </w:t>
      </w:r>
      <w:r w:rsidRPr="0032719C">
        <w:rPr>
          <w:rStyle w:val="StyleBoldUnderline"/>
        </w:rPr>
        <w:t>in twenty-eight states</w:t>
      </w:r>
      <w:r w:rsidRPr="0032719C">
        <w:rPr>
          <w:sz w:val="16"/>
        </w:rPr>
        <w:t xml:space="preserve">. 44 Elected officials, following state court orders, have increased spending by 11% on schools in the poorest districts and by 7% in median districts.z45 Increased funding for the neediest districts has increased student proficiency in states such as Kentucky and Massachusetts and improved school facilities in others, such as Arizona.2 46 Furthermore, </w:t>
      </w:r>
      <w:r w:rsidRPr="0032719C">
        <w:rPr>
          <w:rStyle w:val="StyleBoldUnderline"/>
        </w:rPr>
        <w:t>studies prompted by litigation in</w:t>
      </w:r>
      <w:r w:rsidRPr="0032719C">
        <w:rPr>
          <w:sz w:val="16"/>
        </w:rPr>
        <w:t xml:space="preserve"> more than thirty </w:t>
      </w:r>
      <w:r w:rsidRPr="0032719C">
        <w:rPr>
          <w:rStyle w:val="StyleBoldUnderline"/>
        </w:rPr>
        <w:t>states have resulted in revisions to school funding formulas so that educational resources are delivered based on actual student need</w:t>
      </w:r>
      <w:r w:rsidRPr="0032719C">
        <w:rPr>
          <w:sz w:val="16"/>
        </w:rPr>
        <w:t xml:space="preserve">.247 At the remedial stage, </w:t>
      </w:r>
      <w:r w:rsidRPr="0032719C">
        <w:rPr>
          <w:rStyle w:val="StyleBoldUnderline"/>
        </w:rPr>
        <w:t>state-generated solutions</w:t>
      </w:r>
      <w:r w:rsidRPr="0032719C">
        <w:rPr>
          <w:sz w:val="16"/>
        </w:rPr>
        <w:t xml:space="preserve"> also </w:t>
      </w:r>
      <w:r w:rsidRPr="0032719C">
        <w:rPr>
          <w:rStyle w:val="StyleBoldUnderline"/>
        </w:rPr>
        <w:t>make it easier to tailor reforms to various educational shortcomings and local</w:t>
      </w:r>
      <w:r w:rsidRPr="0032719C">
        <w:rPr>
          <w:sz w:val="16"/>
        </w:rPr>
        <w:t xml:space="preserve"> </w:t>
      </w:r>
      <w:r w:rsidRPr="0032719C">
        <w:rPr>
          <w:rStyle w:val="Emphasis"/>
        </w:rPr>
        <w:t>political realities</w:t>
      </w:r>
      <w:r w:rsidRPr="0032719C">
        <w:rPr>
          <w:sz w:val="16"/>
        </w:rPr>
        <w:t xml:space="preserve"> </w:t>
      </w:r>
      <w:r w:rsidRPr="0032719C">
        <w:rPr>
          <w:rStyle w:val="StyleBoldUnderline"/>
        </w:rPr>
        <w:t>than would be possible at the national level</w:t>
      </w:r>
      <w:r w:rsidRPr="0032719C">
        <w:rPr>
          <w:sz w:val="16"/>
        </w:rPr>
        <w:t xml:space="preserve">.248 </w:t>
      </w:r>
      <w:r w:rsidRPr="0032719C">
        <w:rPr>
          <w:rStyle w:val="Emphasis"/>
        </w:rPr>
        <w:t>Correcting sharp divides</w:t>
      </w:r>
      <w:r w:rsidRPr="0032719C">
        <w:rPr>
          <w:sz w:val="16"/>
        </w:rPr>
        <w:t xml:space="preserve"> between New York City schools and its suburban counterparts, for example, raises very different challenges than does fixing the educational inadequacies facing rural communities 2 49 in sparsely populated Alaska. Furthermore, </w:t>
      </w:r>
      <w:r w:rsidRPr="0032719C">
        <w:rPr>
          <w:rStyle w:val="StyleBoldUnderline"/>
        </w:rPr>
        <w:t>judicial activism at the state level is</w:t>
      </w:r>
      <w:r w:rsidRPr="0032719C">
        <w:rPr>
          <w:sz w:val="16"/>
        </w:rPr>
        <w:t xml:space="preserve"> viewed as </w:t>
      </w:r>
      <w:r w:rsidRPr="0032719C">
        <w:rPr>
          <w:rStyle w:val="StyleBoldUnderline"/>
        </w:rPr>
        <w:t>more tolerable because state judges</w:t>
      </w:r>
      <w:r w:rsidRPr="0032719C">
        <w:rPr>
          <w:sz w:val="16"/>
        </w:rPr>
        <w:t xml:space="preserve">, often elected, </w:t>
      </w:r>
      <w:r w:rsidRPr="0032719C">
        <w:rPr>
          <w:rStyle w:val="StyleBoldUnderline"/>
        </w:rPr>
        <w:t>are accountable</w:t>
      </w:r>
      <w:r w:rsidRPr="0032719C">
        <w:rPr>
          <w:sz w:val="16"/>
        </w:rPr>
        <w:t xml:space="preserve"> to state residents, and the citizens of the states can more easily amend their state constitutions in response to judicial decisions they believe are faulty.2 5 As a result, </w:t>
      </w:r>
      <w:r w:rsidRPr="0032719C">
        <w:rPr>
          <w:rStyle w:val="StyleBoldUnderline"/>
        </w:rPr>
        <w:t>decisions of state courts</w:t>
      </w:r>
      <w:r w:rsidRPr="0032719C">
        <w:rPr>
          <w:sz w:val="16"/>
        </w:rPr>
        <w:t xml:space="preserve"> tend to </w:t>
      </w:r>
      <w:r w:rsidRPr="0032719C">
        <w:rPr>
          <w:rStyle w:val="StyleBoldUnderline"/>
        </w:rPr>
        <w:t>enjoy</w:t>
      </w:r>
      <w:r w:rsidRPr="0032719C">
        <w:rPr>
          <w:sz w:val="16"/>
        </w:rPr>
        <w:t xml:space="preserve"> </w:t>
      </w:r>
      <w:r w:rsidRPr="0032719C">
        <w:rPr>
          <w:rStyle w:val="Emphasis"/>
        </w:rPr>
        <w:t>more legitimacy</w:t>
      </w:r>
      <w:r w:rsidRPr="0032719C">
        <w:rPr>
          <w:sz w:val="16"/>
        </w:rPr>
        <w:t xml:space="preserve"> and are more likely to reflect community concerns </w:t>
      </w:r>
      <w:r w:rsidRPr="0032719C">
        <w:rPr>
          <w:rStyle w:val="StyleBoldUnderline"/>
        </w:rPr>
        <w:t>than</w:t>
      </w:r>
      <w:r w:rsidRPr="0032719C">
        <w:rPr>
          <w:sz w:val="16"/>
        </w:rPr>
        <w:t xml:space="preserve"> those of life-tenured </w:t>
      </w:r>
      <w:r w:rsidRPr="0032719C">
        <w:rPr>
          <w:rStyle w:val="StyleBoldUnderline"/>
        </w:rPr>
        <w:t>federal judges</w:t>
      </w:r>
      <w:r w:rsidRPr="0032719C">
        <w:rPr>
          <w:sz w:val="16"/>
        </w:rPr>
        <w:t xml:space="preserve"> often perceived as distant. In the last three decades, state-level litigation has made important contributions in the field of school funding. Such litigation has documented the failures of unnecessarily complex state funding formulas that distribute resources based on political motivations rather than student need.25' </w:t>
      </w:r>
      <w:r w:rsidRPr="0032719C">
        <w:rPr>
          <w:rStyle w:val="StyleBoldUnderline"/>
        </w:rPr>
        <w:t>State litigation has spurred the development of innovative legal strategies, such as the shift from equity to adequacy, as well as the development of basic school funding principles, including transparency, predictability, and accountability</w:t>
      </w:r>
      <w:r w:rsidRPr="0032719C">
        <w:rPr>
          <w:sz w:val="16"/>
        </w:rPr>
        <w:t xml:space="preserve">. 2 2 By coupling accountability and adequacy, </w:t>
      </w:r>
      <w:r w:rsidRPr="0032719C">
        <w:rPr>
          <w:rStyle w:val="StyleBoldUnderline"/>
        </w:rPr>
        <w:t>state lawsuits have</w:t>
      </w:r>
      <w:r w:rsidRPr="0032719C">
        <w:rPr>
          <w:sz w:val="16"/>
        </w:rPr>
        <w:t xml:space="preserve"> </w:t>
      </w:r>
      <w:r w:rsidRPr="0032719C">
        <w:rPr>
          <w:rStyle w:val="Emphasis"/>
        </w:rPr>
        <w:t>united liberals and conservatives</w:t>
      </w:r>
      <w:r w:rsidRPr="0032719C">
        <w:rPr>
          <w:sz w:val="16"/>
        </w:rPr>
        <w:t xml:space="preserve">, and "linked higher standards ... to increased resources. '253 In addition, </w:t>
      </w:r>
      <w:r w:rsidRPr="0032719C">
        <w:rPr>
          <w:rStyle w:val="StyleBoldUnderline"/>
        </w:rPr>
        <w:t>state litigation</w:t>
      </w:r>
      <w:r w:rsidRPr="0032719C">
        <w:rPr>
          <w:sz w:val="16"/>
        </w:rPr>
        <w:t xml:space="preserve"> has produced judicially manageable standards,254 and </w:t>
      </w:r>
      <w:r w:rsidRPr="0032719C">
        <w:rPr>
          <w:rStyle w:val="StyleBoldUnderline"/>
        </w:rPr>
        <w:t>has brought courts and legislatures together</w:t>
      </w:r>
      <w:r w:rsidRPr="0032719C">
        <w:rPr>
          <w:sz w:val="16"/>
        </w:rPr>
        <w:t xml:space="preserve"> in fixing school funding inadequacies. 255 </w:t>
      </w:r>
      <w:r w:rsidRPr="0032719C">
        <w:rPr>
          <w:rStyle w:val="StyleBoldUnderline"/>
        </w:rPr>
        <w:t>State litigation is</w:t>
      </w:r>
      <w:r w:rsidRPr="0032719C">
        <w:rPr>
          <w:sz w:val="16"/>
        </w:rPr>
        <w:t xml:space="preserve"> not a perfect solution to educational inadequacies,256 but it has been an effective tool that is </w:t>
      </w:r>
      <w:r w:rsidRPr="0032719C">
        <w:rPr>
          <w:rStyle w:val="StyleBoldUnderline"/>
        </w:rPr>
        <w:t>preferable to the uncertainties of seeking redress in federal court</w:t>
      </w:r>
      <w:r w:rsidRPr="0032719C">
        <w:rPr>
          <w:sz w:val="16"/>
        </w:rPr>
        <w:t>.</w:t>
      </w:r>
    </w:p>
    <w:p w14:paraId="42F15FCF" w14:textId="3A0B8FD6" w:rsidR="00B3120B" w:rsidRDefault="009904B1" w:rsidP="009904B1">
      <w:pPr>
        <w:pStyle w:val="Heading3"/>
      </w:pPr>
      <w:r>
        <w:t>State Courts Solve Innovation</w:t>
      </w:r>
    </w:p>
    <w:p w14:paraId="3132D2D4" w14:textId="71F9EBED" w:rsidR="00764000" w:rsidRPr="00DE62F8" w:rsidRDefault="009904B1" w:rsidP="00764000">
      <w:pPr>
        <w:pStyle w:val="Heading4"/>
      </w:pPr>
      <w:r>
        <w:t>CP solves innovation internal links comparatively better than federal action</w:t>
      </w:r>
    </w:p>
    <w:p w14:paraId="574F136B" w14:textId="26228B01" w:rsidR="00764000" w:rsidRPr="00B3120B" w:rsidRDefault="00764000" w:rsidP="00764000">
      <w:r>
        <w:rPr>
          <w:rStyle w:val="StyleStyleBold12pt"/>
        </w:rPr>
        <w:t xml:space="preserve">Greenspahn J.D. from George Washington University School of Law ‘8 </w:t>
      </w:r>
      <w:r>
        <w:rPr>
          <w:rStyle w:val="StyleStyleBold12pt"/>
          <w:b w:val="0"/>
        </w:rPr>
        <w:t>(Daniel, “</w:t>
      </w:r>
      <w:r w:rsidRPr="00DE62F8">
        <w:rPr>
          <w:rStyle w:val="StyleStyleBold12pt"/>
          <w:b w:val="0"/>
        </w:rPr>
        <w:t>THE ROBERTS COURT AND EQUAL PROTECTION: GENDER, RACE, AND CLASS: RACE: A Constitutional Right to Learn: The Uncertain Allure of Making a Federal Case out of Education</w:t>
      </w:r>
      <w:r>
        <w:rPr>
          <w:rStyle w:val="StyleStyleBold12pt"/>
          <w:b w:val="0"/>
        </w:rPr>
        <w:t xml:space="preserve">,” </w:t>
      </w:r>
      <w:r>
        <w:rPr>
          <w:rStyle w:val="StyleStyleBold12pt"/>
          <w:b w:val="0"/>
          <w:i/>
        </w:rPr>
        <w:t>South Carolina Law Review</w:t>
      </w:r>
      <w:r>
        <w:rPr>
          <w:rStyle w:val="StyleStyleBold12pt"/>
          <w:b w:val="0"/>
        </w:rPr>
        <w:t xml:space="preserve">, </w:t>
      </w:r>
      <w:r>
        <w:rPr>
          <w:rStyle w:val="StyleStyleBold12pt"/>
          <w:b w:val="0"/>
          <w:i/>
        </w:rPr>
        <w:t>59</w:t>
      </w:r>
      <w:r>
        <w:rPr>
          <w:rStyle w:val="StyleStyleBold12pt"/>
          <w:b w:val="0"/>
        </w:rPr>
        <w:t>, pp. 781-783, Stadt)</w:t>
      </w:r>
    </w:p>
    <w:p w14:paraId="08544F8C" w14:textId="21B5696D" w:rsidR="00764000" w:rsidRPr="009904B1" w:rsidRDefault="00764000" w:rsidP="00764000">
      <w:pPr>
        <w:rPr>
          <w:sz w:val="16"/>
        </w:rPr>
      </w:pPr>
      <w:r w:rsidRPr="00764000">
        <w:rPr>
          <w:rStyle w:val="StyleBoldUnderline"/>
        </w:rPr>
        <w:t>Local control over education remains a</w:t>
      </w:r>
      <w:r w:rsidRPr="009904B1">
        <w:rPr>
          <w:sz w:val="16"/>
        </w:rPr>
        <w:t xml:space="preserve"> reality and a </w:t>
      </w:r>
      <w:r w:rsidRPr="00764000">
        <w:rPr>
          <w:rStyle w:val="StyleBoldUnderline"/>
        </w:rPr>
        <w:t>touchstone of accountable government</w:t>
      </w:r>
      <w:r w:rsidRPr="009904B1">
        <w:rPr>
          <w:sz w:val="16"/>
        </w:rPr>
        <w:t xml:space="preserve"> </w:t>
      </w:r>
      <w:r w:rsidRPr="00764000">
        <w:rPr>
          <w:rStyle w:val="StyleBoldUnderline"/>
        </w:rPr>
        <w:t xml:space="preserve">that weighs </w:t>
      </w:r>
      <w:r w:rsidRPr="00764000">
        <w:rPr>
          <w:rStyle w:val="Emphasis"/>
        </w:rPr>
        <w:t>against a federal right to education</w:t>
      </w:r>
      <w:r w:rsidRPr="009904B1">
        <w:rPr>
          <w:sz w:val="16"/>
        </w:rPr>
        <w:t xml:space="preserve">. Federal participation in education has increased in recent years,257 but decisions regarding curriculum, personnel, and school administration are overwhelmingly made at the community level.2"' The American tradition of </w:t>
      </w:r>
      <w:r w:rsidRPr="00764000">
        <w:rPr>
          <w:rStyle w:val="StyleBoldUnderline"/>
        </w:rPr>
        <w:t>decentralized education is</w:t>
      </w:r>
      <w:r w:rsidRPr="009904B1">
        <w:rPr>
          <w:sz w:val="16"/>
        </w:rPr>
        <w:t xml:space="preserve"> viewed as "</w:t>
      </w:r>
      <w:r w:rsidRPr="00764000">
        <w:rPr>
          <w:rStyle w:val="Emphasis"/>
        </w:rPr>
        <w:t>more responsive</w:t>
      </w:r>
      <w:r w:rsidRPr="009904B1">
        <w:rPr>
          <w:sz w:val="16"/>
        </w:rPr>
        <w:t>... [</w:t>
      </w:r>
      <w:r w:rsidRPr="00764000">
        <w:rPr>
          <w:rStyle w:val="StyleBoldUnderline"/>
        </w:rPr>
        <w:t>and</w:t>
      </w:r>
      <w:r w:rsidRPr="009904B1">
        <w:rPr>
          <w:sz w:val="16"/>
        </w:rPr>
        <w:t xml:space="preserve">] </w:t>
      </w:r>
      <w:r w:rsidRPr="00764000">
        <w:rPr>
          <w:rStyle w:val="Emphasis"/>
        </w:rPr>
        <w:t>democratic</w:t>
      </w:r>
      <w:r w:rsidRPr="009904B1">
        <w:rPr>
          <w:sz w:val="16"/>
        </w:rPr>
        <w:t xml:space="preserve">" </w:t>
      </w:r>
      <w:r w:rsidRPr="00764000">
        <w:rPr>
          <w:rStyle w:val="StyleBoldUnderline"/>
        </w:rPr>
        <w:t>than</w:t>
      </w:r>
      <w:r w:rsidRPr="009904B1">
        <w:rPr>
          <w:sz w:val="16"/>
        </w:rPr>
        <w:t xml:space="preserve"> an educational system controlled by </w:t>
      </w:r>
      <w:r w:rsidRPr="00764000">
        <w:rPr>
          <w:rStyle w:val="StyleBoldUnderline"/>
        </w:rPr>
        <w:t>a distant federal government</w:t>
      </w:r>
      <w:r w:rsidRPr="009904B1">
        <w:rPr>
          <w:sz w:val="16"/>
        </w:rPr>
        <w:t xml:space="preserve">.259 A policy of allowing wide-ranging </w:t>
      </w:r>
      <w:r w:rsidRPr="00764000">
        <w:rPr>
          <w:rStyle w:val="StyleBoldUnderline"/>
        </w:rPr>
        <w:t>local reforms encourages</w:t>
      </w:r>
      <w:r w:rsidRPr="009904B1">
        <w:rPr>
          <w:sz w:val="16"/>
        </w:rPr>
        <w:t xml:space="preserve"> 26 0 </w:t>
      </w:r>
      <w:r w:rsidRPr="00764000">
        <w:rPr>
          <w:rStyle w:val="StyleBoldUnderline"/>
        </w:rPr>
        <w:t>states</w:t>
      </w:r>
      <w:r w:rsidRPr="009904B1">
        <w:rPr>
          <w:sz w:val="16"/>
        </w:rPr>
        <w:t xml:space="preserve">, </w:t>
      </w:r>
      <w:r w:rsidRPr="00764000">
        <w:rPr>
          <w:rStyle w:val="StyleBoldUnderline"/>
        </w:rPr>
        <w:t>as individual laboratories</w:t>
      </w:r>
      <w:r w:rsidRPr="009904B1">
        <w:rPr>
          <w:sz w:val="16"/>
        </w:rPr>
        <w:t xml:space="preserve">, </w:t>
      </w:r>
      <w:r w:rsidRPr="00764000">
        <w:rPr>
          <w:rStyle w:val="StyleBoldUnderline"/>
        </w:rPr>
        <w:t>to work toward educational success</w:t>
      </w:r>
      <w:r w:rsidRPr="009904B1">
        <w:rPr>
          <w:sz w:val="16"/>
        </w:rPr>
        <w:t xml:space="preserve">. </w:t>
      </w:r>
      <w:r w:rsidRPr="00764000">
        <w:rPr>
          <w:rStyle w:val="StyleBoldUnderline"/>
        </w:rPr>
        <w:t>State</w:t>
      </w:r>
      <w:r w:rsidRPr="009904B1">
        <w:rPr>
          <w:sz w:val="16"/>
        </w:rPr>
        <w:t xml:space="preserve"> and local </w:t>
      </w:r>
      <w:r w:rsidRPr="00764000">
        <w:rPr>
          <w:rStyle w:val="StyleBoldUnderline"/>
        </w:rPr>
        <w:t>governments</w:t>
      </w:r>
      <w:r w:rsidRPr="009904B1">
        <w:rPr>
          <w:sz w:val="16"/>
        </w:rPr>
        <w:t xml:space="preserve"> also </w:t>
      </w:r>
      <w:r w:rsidRPr="00764000">
        <w:rPr>
          <w:rStyle w:val="Emphasis"/>
        </w:rPr>
        <w:t>provide funding for over 90% of public school expenditures</w:t>
      </w:r>
      <w:r w:rsidRPr="009904B1">
        <w:rPr>
          <w:sz w:val="16"/>
        </w:rPr>
        <w:t xml:space="preserve">. 261 Brown I's famous proclamation that "education is perhaps the most important function of state and local governments, 262 still reflects modern practice. </w:t>
      </w:r>
      <w:r w:rsidRPr="00764000">
        <w:rPr>
          <w:rStyle w:val="StyleBoldUnderline"/>
        </w:rPr>
        <w:t>Even if NCLB has imposed federal requirements in the area of education, no single expenditure receives more state and local support than public schools</w:t>
      </w:r>
      <w:r w:rsidRPr="009904B1">
        <w:rPr>
          <w:sz w:val="16"/>
        </w:rPr>
        <w:t xml:space="preserve">.263 </w:t>
      </w:r>
      <w:r w:rsidRPr="00764000">
        <w:rPr>
          <w:rStyle w:val="StyleBoldUnderline"/>
        </w:rPr>
        <w:t>There is a certain logic in having state litigation alleging resource deficiencies track state expenditures, the primary source of funding for education</w:t>
      </w:r>
      <w:r w:rsidRPr="009904B1">
        <w:rPr>
          <w:sz w:val="16"/>
        </w:rPr>
        <w:t xml:space="preserve">. </w:t>
      </w:r>
      <w:r w:rsidRPr="00764000">
        <w:rPr>
          <w:rStyle w:val="StyleBoldUnderline"/>
        </w:rPr>
        <w:t>Despite growing</w:t>
      </w:r>
      <w:r w:rsidRPr="009904B1">
        <w:rPr>
          <w:sz w:val="16"/>
        </w:rPr>
        <w:t xml:space="preserve"> "</w:t>
      </w:r>
      <w:r w:rsidRPr="00764000">
        <w:rPr>
          <w:rStyle w:val="StyleBoldUnderline"/>
        </w:rPr>
        <w:t>federal involvement</w:t>
      </w:r>
      <w:r w:rsidRPr="009904B1">
        <w:rPr>
          <w:sz w:val="16"/>
        </w:rPr>
        <w:t xml:space="preserve"> in education, </w:t>
      </w:r>
      <w:r w:rsidRPr="00764000">
        <w:rPr>
          <w:rStyle w:val="StyleBoldUnderline"/>
        </w:rPr>
        <w:t>the tradition of local-state governance has prevailed</w:t>
      </w:r>
      <w:r w:rsidRPr="009904B1">
        <w:rPr>
          <w:sz w:val="16"/>
        </w:rPr>
        <w:t xml:space="preserve"> over efforts to equalize education resources across state lines through 2'64 litigation or legislation." The Supreme Court has been a chief defender of local control. The year following Rodriguez, the Court declared that "[n]o single tradition in public education is more deeply rooted than local control over the operation of schools. ' 265 Ever since, the Court has reiterated the value of local control in decisions involving school desegregation,26 6 education funding,267 student assignment,268 and student 269 speech. The Court has praised </w:t>
      </w:r>
      <w:r w:rsidRPr="00764000">
        <w:rPr>
          <w:rStyle w:val="StyleBoldUnderline"/>
        </w:rPr>
        <w:t>local control</w:t>
      </w:r>
      <w:r w:rsidRPr="009904B1">
        <w:rPr>
          <w:sz w:val="16"/>
        </w:rPr>
        <w:t xml:space="preserve"> because it "</w:t>
      </w:r>
      <w:r w:rsidRPr="00764000">
        <w:rPr>
          <w:rStyle w:val="StyleBoldUnderline"/>
        </w:rPr>
        <w:t>affords citizens an opportunity to participate in decision making, permits the structuring of school programs to fit local needs, and encourages 'experimentation, innovation, and a healthy competition for educational excellence</w:t>
      </w:r>
      <w:r w:rsidRPr="009904B1">
        <w:rPr>
          <w:sz w:val="16"/>
        </w:rPr>
        <w:t xml:space="preserve">."27'The prominence of community decision making in schooling and the Supreme Court's commitment to this policy weigh heavily against pursuit of a federal right to education. V. CONCLUSION </w:t>
      </w:r>
      <w:r w:rsidRPr="00764000">
        <w:rPr>
          <w:rStyle w:val="StyleBoldUnderline"/>
        </w:rPr>
        <w:t>A federal right to an education remains legally possible today</w:t>
      </w:r>
      <w:r w:rsidRPr="009904B1">
        <w:rPr>
          <w:sz w:val="16"/>
        </w:rPr>
        <w:t xml:space="preserve">, despite general perceptions that Rodriguez foreclosed such a right. By some measures, renewed federal litigation is the most viable it has been since Rodriguez was decided. In 1973, advocates and politicians were divided over federal involvement in education, legal precedent for a right to education was tenuous at best, and few remedies for school funding inadequacies were available. Thirty-five years later, elected officials largely support federal participation in education, numerous state decisions advance a right to education, and manageable standards for school funding reform abound. Growing frustration with a national regime that demands accountability without providing adequate resources also makes a federal right to education more politically feasible. </w:t>
      </w:r>
      <w:r w:rsidRPr="00764000">
        <w:rPr>
          <w:rStyle w:val="StyleBoldUnderline"/>
        </w:rPr>
        <w:t xml:space="preserve">Though a federal right to education may be found in the Constitution, advocates should </w:t>
      </w:r>
      <w:r w:rsidRPr="00764000">
        <w:rPr>
          <w:rStyle w:val="Emphasis"/>
        </w:rPr>
        <w:t>not</w:t>
      </w:r>
      <w:r w:rsidRPr="00764000">
        <w:rPr>
          <w:rStyle w:val="StyleBoldUnderline"/>
        </w:rPr>
        <w:t xml:space="preserve"> return to the </w:t>
      </w:r>
      <w:r w:rsidRPr="00764000">
        <w:rPr>
          <w:rStyle w:val="Emphasis"/>
        </w:rPr>
        <w:t>federal courts</w:t>
      </w:r>
      <w:r w:rsidRPr="00764000">
        <w:rPr>
          <w:rStyle w:val="StyleBoldUnderline"/>
        </w:rPr>
        <w:t xml:space="preserve"> to try and achieve a quick fix to the country's school funding problems</w:t>
      </w:r>
      <w:r w:rsidRPr="009904B1">
        <w:rPr>
          <w:sz w:val="16"/>
        </w:rPr>
        <w:t xml:space="preserve">. </w:t>
      </w:r>
      <w:r w:rsidRPr="00764000">
        <w:rPr>
          <w:rStyle w:val="StyleBoldUnderline"/>
        </w:rPr>
        <w:t>Recent Supreme Court decisions</w:t>
      </w:r>
      <w:r w:rsidRPr="009904B1">
        <w:rPr>
          <w:sz w:val="16"/>
        </w:rPr>
        <w:t xml:space="preserve">, such as ones that limit options for school integration,27' </w:t>
      </w:r>
      <w:r w:rsidRPr="00764000">
        <w:rPr>
          <w:rStyle w:val="StyleBoldUnderline"/>
        </w:rPr>
        <w:t>suggest a federal right to education will not be a welcome next step toward providing every student with a meaningful chance to learn</w:t>
      </w:r>
      <w:r w:rsidRPr="009904B1">
        <w:rPr>
          <w:sz w:val="16"/>
        </w:rPr>
        <w:t xml:space="preserve">. Reflecting on three decades of successful state school funding litigation and the federal judiciary's recent reluctance to become involved in education, </w:t>
      </w:r>
      <w:r w:rsidRPr="009904B1">
        <w:rPr>
          <w:rStyle w:val="Emphasis"/>
        </w:rPr>
        <w:t>reformers should continue to use state courts</w:t>
      </w:r>
      <w:r w:rsidRPr="009904B1">
        <w:rPr>
          <w:sz w:val="16"/>
        </w:rPr>
        <w:t xml:space="preserve"> </w:t>
      </w:r>
      <w:r w:rsidRPr="009904B1">
        <w:rPr>
          <w:rStyle w:val="StyleBoldUnderline"/>
        </w:rPr>
        <w:t>to ensure</w:t>
      </w:r>
      <w:r w:rsidRPr="009904B1">
        <w:rPr>
          <w:sz w:val="16"/>
        </w:rPr>
        <w:t xml:space="preserve"> that local community leaders provide the </w:t>
      </w:r>
      <w:r w:rsidRPr="009904B1">
        <w:rPr>
          <w:rStyle w:val="StyleBoldUnderline"/>
        </w:rPr>
        <w:t>resources students need</w:t>
      </w:r>
      <w:r w:rsidRPr="009904B1">
        <w:rPr>
          <w:sz w:val="16"/>
        </w:rPr>
        <w:t>. The lure of avoiding piecemeal litigation should not distract advocates from what has been a successful state-level effort by courts, legislatures, and concerned citizens to improve the funding and management of our public schools.</w:t>
      </w:r>
    </w:p>
    <w:p w14:paraId="09195259" w14:textId="77777777" w:rsidR="00DB3D96" w:rsidRDefault="00DB3D96" w:rsidP="001D311D"/>
    <w:p w14:paraId="2B78C666" w14:textId="77777777" w:rsidR="001D311D" w:rsidRDefault="001D311D" w:rsidP="001D311D">
      <w:pPr>
        <w:pStyle w:val="Heading3"/>
      </w:pPr>
      <w:r>
        <w:t>Modeling</w:t>
      </w:r>
    </w:p>
    <w:p w14:paraId="535FF505" w14:textId="77777777" w:rsidR="001D311D" w:rsidRDefault="001D311D" w:rsidP="001D311D">
      <w:pPr>
        <w:pStyle w:val="Heading4"/>
      </w:pPr>
      <w:r>
        <w:t>State courts get modeled gloablly</w:t>
      </w:r>
    </w:p>
    <w:p w14:paraId="2347A2F9" w14:textId="77777777" w:rsidR="001D311D" w:rsidRPr="001D311D" w:rsidRDefault="001D311D" w:rsidP="001D311D">
      <w:pPr>
        <w:rPr>
          <w:rStyle w:val="StyleStyleBold12pt"/>
          <w:b w:val="0"/>
        </w:rPr>
      </w:pPr>
      <w:r>
        <w:rPr>
          <w:rStyle w:val="StyleStyleBold12pt"/>
        </w:rPr>
        <w:t xml:space="preserve">Jackson Professor of Law at Georgetown University ’4 </w:t>
      </w:r>
      <w:r>
        <w:rPr>
          <w:rStyle w:val="StyleStyleBold12pt"/>
          <w:b w:val="0"/>
        </w:rPr>
        <w:t>(Vicki, “</w:t>
      </w:r>
      <w:r w:rsidRPr="001D311D">
        <w:rPr>
          <w:rStyle w:val="StyleStyleBold12pt"/>
          <w:b w:val="0"/>
        </w:rPr>
        <w:t>Constitution</w:t>
      </w:r>
      <w:r>
        <w:rPr>
          <w:rStyle w:val="StyleStyleBold12pt"/>
          <w:b w:val="0"/>
        </w:rPr>
        <w:t xml:space="preserve">al Dialogue and Human Dignity: </w:t>
      </w:r>
      <w:r w:rsidRPr="001D311D">
        <w:rPr>
          <w:rStyle w:val="StyleStyleBold12pt"/>
          <w:b w:val="0"/>
        </w:rPr>
        <w:t>States and Transnational Constitutional Discourse</w:t>
      </w:r>
      <w:r>
        <w:rPr>
          <w:rStyle w:val="StyleStyleBold12pt"/>
          <w:b w:val="0"/>
        </w:rPr>
        <w:t xml:space="preserve">,” </w:t>
      </w:r>
      <w:r w:rsidRPr="001D311D">
        <w:rPr>
          <w:rStyle w:val="StyleStyleBold12pt"/>
          <w:b w:val="0"/>
        </w:rPr>
        <w:t>65 Mont. L. Rev. 15-40</w:t>
      </w:r>
      <w:r>
        <w:rPr>
          <w:rStyle w:val="StyleStyleBold12pt"/>
          <w:b w:val="0"/>
        </w:rPr>
        <w:t>, Stadt)</w:t>
      </w:r>
    </w:p>
    <w:p w14:paraId="0E44025A" w14:textId="77777777" w:rsidR="001D311D" w:rsidRPr="001D311D" w:rsidRDefault="001D311D" w:rsidP="001D311D">
      <w:pPr>
        <w:rPr>
          <w:sz w:val="16"/>
        </w:rPr>
      </w:pPr>
      <w:r w:rsidRPr="001D311D">
        <w:rPr>
          <w:rStyle w:val="StyleBoldUnderline"/>
        </w:rPr>
        <w:t>It is important to note the degree of transnational influence within U.S. constitutionalism</w:t>
      </w:r>
      <w:r w:rsidRPr="001D311D">
        <w:rPr>
          <w:sz w:val="16"/>
        </w:rPr>
        <w:t xml:space="preserve">, broadly understood as </w:t>
      </w:r>
      <w:r w:rsidRPr="001D311D">
        <w:rPr>
          <w:rStyle w:val="Emphasis"/>
        </w:rPr>
        <w:t>including decisions in state</w:t>
      </w:r>
      <w:r w:rsidRPr="001D311D">
        <w:rPr>
          <w:sz w:val="16"/>
        </w:rPr>
        <w:t xml:space="preserve">, </w:t>
      </w:r>
      <w:r w:rsidRPr="001D311D">
        <w:rPr>
          <w:rStyle w:val="StyleBoldUnderline"/>
        </w:rPr>
        <w:t>territorial or commonwealth</w:t>
      </w:r>
      <w:r w:rsidRPr="001D311D">
        <w:rPr>
          <w:sz w:val="16"/>
        </w:rPr>
        <w:t xml:space="preserve"> </w:t>
      </w:r>
      <w:r w:rsidRPr="001D311D">
        <w:rPr>
          <w:rStyle w:val="Emphasis"/>
        </w:rPr>
        <w:t>courts</w:t>
      </w:r>
      <w:r w:rsidRPr="001D311D">
        <w:rPr>
          <w:sz w:val="16"/>
        </w:rPr>
        <w:t xml:space="preserve">. </w:t>
      </w:r>
      <w:r w:rsidRPr="001D311D">
        <w:rPr>
          <w:rStyle w:val="StyleBoldUnderline"/>
        </w:rPr>
        <w:t>It would be a mistake to think that national level governments are the only diffusers of transnational constitutionalism</w:t>
      </w:r>
      <w:r w:rsidRPr="001D311D">
        <w:rPr>
          <w:sz w:val="16"/>
        </w:rPr>
        <w:t xml:space="preserve">. Even if largely unnoticed in federal constitutional discourse, our subnational units have been learning, not only from other states and from federal decisions, but also from the transnational and international constitutional discourse of human rights. 92 But It is important also to note the relatively small inroads on discourse in Montana that the human dignity clause has had thus far, perhaps showing the influence of a dominant model of constitutional discourse derived from the U.S. Constitution, though one perhaps itself in the process of change. 93 Given the apparently robust tradition in Puerto Rico and the possibilities for development in Montana, </w:t>
      </w:r>
      <w:r w:rsidRPr="001D311D">
        <w:rPr>
          <w:rStyle w:val="StyleBoldUnderline"/>
        </w:rPr>
        <w:t>students of transnational human rights</w:t>
      </w:r>
      <w:r w:rsidRPr="001D311D">
        <w:rPr>
          <w:sz w:val="16"/>
        </w:rPr>
        <w:t xml:space="preserve"> discourse </w:t>
      </w:r>
      <w:r w:rsidRPr="001D311D">
        <w:rPr>
          <w:rStyle w:val="StyleBoldUnderline"/>
        </w:rPr>
        <w:t>would do well</w:t>
      </w:r>
      <w:r w:rsidRPr="001D311D">
        <w:rPr>
          <w:sz w:val="16"/>
        </w:rPr>
        <w:t xml:space="preserve"> in the future </w:t>
      </w:r>
      <w:r w:rsidRPr="001D311D">
        <w:rPr>
          <w:rStyle w:val="StyleBoldUnderline"/>
        </w:rPr>
        <w:t>to pay attention to the</w:t>
      </w:r>
      <w:r w:rsidRPr="001D311D">
        <w:rPr>
          <w:sz w:val="16"/>
        </w:rPr>
        <w:t xml:space="preserve"> multiple fora for the </w:t>
      </w:r>
      <w:r w:rsidRPr="001D311D">
        <w:rPr>
          <w:rStyle w:val="StyleBoldUnderline"/>
        </w:rPr>
        <w:t>development, diffusion, and articulation of foundational concepts of human dignity, looking</w:t>
      </w:r>
      <w:r w:rsidRPr="001D311D">
        <w:rPr>
          <w:sz w:val="16"/>
        </w:rPr>
        <w:t xml:space="preserve"> not only to international, transnational and national sources but also </w:t>
      </w:r>
      <w:r w:rsidRPr="001D311D">
        <w:rPr>
          <w:rStyle w:val="StyleBoldUnderline"/>
        </w:rPr>
        <w:t>to sub national entities that function with</w:t>
      </w:r>
      <w:r w:rsidRPr="001D311D">
        <w:rPr>
          <w:sz w:val="16"/>
        </w:rPr>
        <w:t xml:space="preserve"> </w:t>
      </w:r>
      <w:r w:rsidRPr="001D311D">
        <w:rPr>
          <w:rStyle w:val="Emphasis"/>
        </w:rPr>
        <w:t>sufficient independence</w:t>
      </w:r>
      <w:r w:rsidRPr="001D311D">
        <w:rPr>
          <w:sz w:val="16"/>
        </w:rPr>
        <w:t xml:space="preserve"> </w:t>
      </w:r>
      <w:r w:rsidRPr="001D311D">
        <w:rPr>
          <w:rStyle w:val="StyleBoldUnderline"/>
        </w:rPr>
        <w:t>to develop their own lines of authority and reasoning</w:t>
      </w:r>
      <w:r w:rsidRPr="001D311D">
        <w:rPr>
          <w:sz w:val="16"/>
        </w:rPr>
        <w:t>.</w:t>
      </w:r>
    </w:p>
    <w:p w14:paraId="621AECA4" w14:textId="77777777" w:rsidR="001D311D" w:rsidRDefault="001D311D" w:rsidP="001D311D"/>
    <w:p w14:paraId="29FFFF29" w14:textId="729F65DF" w:rsidR="000646B2" w:rsidRDefault="000646B2" w:rsidP="000646B2">
      <w:pPr>
        <w:pStyle w:val="Heading3"/>
      </w:pPr>
      <w:r>
        <w:t>A2 Perm</w:t>
      </w:r>
    </w:p>
    <w:p w14:paraId="78766F79" w14:textId="1FA62CEB" w:rsidR="000646B2" w:rsidRDefault="00011176" w:rsidP="00011176">
      <w:pPr>
        <w:pStyle w:val="Heading4"/>
      </w:pPr>
      <w:r>
        <w:t>Perm links to the disads and CP alone is sufficient – causes judicial activism and destroys federalism</w:t>
      </w:r>
    </w:p>
    <w:p w14:paraId="68141206" w14:textId="11C7B943" w:rsidR="000646B2" w:rsidRPr="000646B2" w:rsidRDefault="000646B2" w:rsidP="000646B2">
      <w:pPr>
        <w:rPr>
          <w:rStyle w:val="StyleStyleBold12pt"/>
          <w:b w:val="0"/>
        </w:rPr>
      </w:pPr>
      <w:r>
        <w:rPr>
          <w:rStyle w:val="StyleStyleBold12pt"/>
        </w:rPr>
        <w:t xml:space="preserve">Lindseth, Peifer, and Testani Harvard Kennedy School of Education Policy and Governance ’17 </w:t>
      </w:r>
      <w:r>
        <w:rPr>
          <w:rStyle w:val="StyleStyleBold12pt"/>
          <w:b w:val="0"/>
        </w:rPr>
        <w:t>(Alfred, Lee, and Rocco, “</w:t>
      </w:r>
      <w:r w:rsidRPr="000646B2">
        <w:rPr>
          <w:rStyle w:val="StyleStyleBold12pt"/>
          <w:b w:val="0"/>
        </w:rPr>
        <w:t>Federal Courts Can’t Solve Our Education Ills</w:t>
      </w:r>
      <w:r>
        <w:rPr>
          <w:rStyle w:val="StyleStyleBold12pt"/>
          <w:b w:val="0"/>
        </w:rPr>
        <w:t xml:space="preserve">,” </w:t>
      </w:r>
      <w:r>
        <w:rPr>
          <w:rStyle w:val="StyleStyleBold12pt"/>
          <w:b w:val="0"/>
          <w:i/>
        </w:rPr>
        <w:t>EducationNext, 17</w:t>
      </w:r>
      <w:r>
        <w:rPr>
          <w:rStyle w:val="StyleStyleBold12pt"/>
          <w:b w:val="0"/>
        </w:rPr>
        <w:t xml:space="preserve">(2), </w:t>
      </w:r>
      <w:r w:rsidRPr="000646B2">
        <w:rPr>
          <w:rStyle w:val="StyleStyleBold12pt"/>
          <w:b w:val="0"/>
        </w:rPr>
        <w:t>http://educationnext.org/federal-courts-cant-solve-our-education-ills-forum-san-antonio-rodriguez/</w:t>
      </w:r>
      <w:r>
        <w:rPr>
          <w:rStyle w:val="StyleStyleBold12pt"/>
          <w:b w:val="0"/>
        </w:rPr>
        <w:t>, Stadt)</w:t>
      </w:r>
    </w:p>
    <w:p w14:paraId="65044D50" w14:textId="7E6CE328" w:rsidR="000646B2" w:rsidRPr="00011176" w:rsidRDefault="000646B2" w:rsidP="000646B2">
      <w:pPr>
        <w:rPr>
          <w:sz w:val="16"/>
        </w:rPr>
      </w:pPr>
      <w:r w:rsidRPr="00011176">
        <w:rPr>
          <w:sz w:val="16"/>
        </w:rPr>
        <w:t xml:space="preserve">In 1973, the U.S. Supreme Court held that </w:t>
      </w:r>
      <w:r w:rsidRPr="001A4653">
        <w:rPr>
          <w:rStyle w:val="StyleBoldUnderline"/>
        </w:rPr>
        <w:t>the federal Constitution does not establish a fundamental right to education</w:t>
      </w:r>
      <w:r w:rsidRPr="00011176">
        <w:rPr>
          <w:sz w:val="16"/>
        </w:rPr>
        <w:t xml:space="preserve"> or to “equal” school funding. In so doing, </w:t>
      </w:r>
      <w:r w:rsidRPr="001A4653">
        <w:rPr>
          <w:rStyle w:val="StyleBoldUnderline"/>
        </w:rPr>
        <w:t>the court rejected</w:t>
      </w:r>
      <w:r w:rsidRPr="00011176">
        <w:rPr>
          <w:sz w:val="16"/>
        </w:rPr>
        <w:t xml:space="preserve"> the argument </w:t>
      </w:r>
      <w:r w:rsidRPr="001A4653">
        <w:rPr>
          <w:rStyle w:val="StyleBoldUnderline"/>
        </w:rPr>
        <w:t>that funding disparities across local school districts should be “strictly scrutinized”</w:t>
      </w:r>
      <w:r w:rsidRPr="00011176">
        <w:rPr>
          <w:sz w:val="16"/>
        </w:rPr>
        <w:t xml:space="preserve"> under the Fourteenth Amendment’s equal protection clause. That decision, in San Antonio Independent School District v. Rodriguez, has been good law for more than 40 years. Various commentators and two new lawsuits, however, argue that Rodriguez should be reconsidered. These </w:t>
      </w:r>
      <w:r w:rsidRPr="001A4653">
        <w:rPr>
          <w:rStyle w:val="StyleBoldUnderline"/>
        </w:rPr>
        <w:t>advocates urge the courts to create a federal constitutional right to education</w:t>
      </w:r>
      <w:r w:rsidRPr="00011176">
        <w:rPr>
          <w:sz w:val="16"/>
        </w:rPr>
        <w:t xml:space="preserve">. Although the word “education” appears nowhere in the federal Constitution, advocates for recognizing that such a right is implied typically argue that it would ensure “equal educational opportunity” and foster more effective participation in civil society. </w:t>
      </w:r>
      <w:r w:rsidRPr="001A4653">
        <w:rPr>
          <w:rStyle w:val="StyleBoldUnderline"/>
        </w:rPr>
        <w:t>These advocates may be well-intentioned, but their arguments rest on</w:t>
      </w:r>
      <w:r w:rsidRPr="00011176">
        <w:rPr>
          <w:sz w:val="16"/>
        </w:rPr>
        <w:t xml:space="preserve"> </w:t>
      </w:r>
      <w:r w:rsidRPr="001A4653">
        <w:rPr>
          <w:rStyle w:val="Emphasis"/>
        </w:rPr>
        <w:t>shaky legal reasoning</w:t>
      </w:r>
      <w:r w:rsidRPr="00011176">
        <w:rPr>
          <w:sz w:val="16"/>
        </w:rPr>
        <w:t xml:space="preserve"> </w:t>
      </w:r>
      <w:r w:rsidRPr="001A4653">
        <w:rPr>
          <w:rStyle w:val="StyleBoldUnderline"/>
        </w:rPr>
        <w:t>and would translate into</w:t>
      </w:r>
      <w:r w:rsidRPr="00011176">
        <w:rPr>
          <w:sz w:val="16"/>
        </w:rPr>
        <w:t xml:space="preserve"> </w:t>
      </w:r>
      <w:r w:rsidRPr="001A4653">
        <w:rPr>
          <w:rStyle w:val="Emphasis"/>
        </w:rPr>
        <w:t>bad policy</w:t>
      </w:r>
      <w:r w:rsidRPr="00011176">
        <w:rPr>
          <w:sz w:val="16"/>
        </w:rPr>
        <w:t xml:space="preserve">. First, as a matter of constitutional law, Rodriguez was correctly decided. With a nod to Brown v. Board of Education, the Supreme Court’s 1954 decision banning state-imposed racial segregation in schools, the Rodriguez court recognized “the vital role of education in a free society.” But the court also emphasized the restraint inherent in our federal constitutional scheme: “The importance of a service performed by the State does not determine whether it must be regarded as fundamental for purposes of examination under the Equal Protection Clause,” the court wrote in its opinion, and “education, of course, is not among the rights afforded explicit protection under our Federal Constitution. Nor do we find any basis for saying it is implicitly so protected.” And finally, the court noted, “it is not the province of this Court to create substantive constitutional rights in the name of guaranteeing equal protection of the laws.” This analysis reflects the fact that </w:t>
      </w:r>
      <w:r w:rsidRPr="004E3B25">
        <w:rPr>
          <w:rStyle w:val="StyleBoldUnderline"/>
        </w:rPr>
        <w:t>the federal Constitution protects us from certain kinds of governmental action</w:t>
      </w:r>
      <w:r w:rsidRPr="00011176">
        <w:rPr>
          <w:sz w:val="16"/>
        </w:rPr>
        <w:t>—such as state-imposed segregation, prohibitions on free speech, or invasions of personal privacy—</w:t>
      </w:r>
      <w:r w:rsidRPr="004E3B25">
        <w:rPr>
          <w:rStyle w:val="StyleBoldUnderline"/>
        </w:rPr>
        <w:t>but does not create expansive positive rights or guarantee governmental assistance</w:t>
      </w:r>
      <w:r w:rsidRPr="00011176">
        <w:rPr>
          <w:sz w:val="16"/>
        </w:rPr>
        <w:t xml:space="preserve">. Federal courts typically refuse to create new substantive rights, and in a 1989 case, DeShaney v. Winnebago County Department of Social Services, the Supreme Court “recognized that the [Constitution’s] Due Process Clauses generally confer no affirmative right to governmental aid, even where such aid may be necessary to secure life, liberty, or property interests.” </w:t>
      </w:r>
      <w:r w:rsidRPr="009A005E">
        <w:rPr>
          <w:rStyle w:val="StyleBoldUnderline"/>
        </w:rPr>
        <w:t>Declaring education to be an implicit fundamental right would raise difficult constitutional questions about essentials</w:t>
      </w:r>
      <w:r w:rsidRPr="00011176">
        <w:rPr>
          <w:sz w:val="16"/>
        </w:rPr>
        <w:t xml:space="preserve"> such as food, shelter, and health care—</w:t>
      </w:r>
      <w:r w:rsidRPr="009A005E">
        <w:rPr>
          <w:rStyle w:val="StyleBoldUnderline"/>
        </w:rPr>
        <w:t>none of which are mentioned in the federal Constitution</w:t>
      </w:r>
      <w:r w:rsidRPr="00011176">
        <w:rPr>
          <w:sz w:val="16"/>
        </w:rPr>
        <w:t xml:space="preserve">. More broadly, </w:t>
      </w:r>
      <w:r w:rsidRPr="009A005E">
        <w:rPr>
          <w:rStyle w:val="StyleBoldUnderline"/>
        </w:rPr>
        <w:t>the federal government was designed to have limited</w:t>
      </w:r>
      <w:r w:rsidRPr="00011176">
        <w:rPr>
          <w:sz w:val="16"/>
        </w:rPr>
        <w:t xml:space="preserve">, enumerated </w:t>
      </w:r>
      <w:r w:rsidRPr="009A005E">
        <w:rPr>
          <w:rStyle w:val="StyleBoldUnderline"/>
        </w:rPr>
        <w:t>powers</w:t>
      </w:r>
      <w:r w:rsidRPr="00011176">
        <w:rPr>
          <w:sz w:val="16"/>
        </w:rPr>
        <w:t xml:space="preserve">, as reflected in the Tenth Amendment: “The </w:t>
      </w:r>
      <w:r w:rsidRPr="009A005E">
        <w:rPr>
          <w:rStyle w:val="StyleBoldUnderline"/>
        </w:rPr>
        <w:t>powers not delegated</w:t>
      </w:r>
      <w:r w:rsidRPr="00011176">
        <w:rPr>
          <w:sz w:val="16"/>
        </w:rPr>
        <w:t xml:space="preserve"> to the United States by the Constitution, nor prohibited by it to the States, </w:t>
      </w:r>
      <w:r w:rsidRPr="009A005E">
        <w:rPr>
          <w:rStyle w:val="StyleBoldUnderline"/>
        </w:rPr>
        <w:t>are reserved to the States</w:t>
      </w:r>
      <w:r w:rsidRPr="00011176">
        <w:rPr>
          <w:sz w:val="16"/>
        </w:rPr>
        <w:t xml:space="preserve"> respectively, or to the people.” </w:t>
      </w:r>
      <w:r w:rsidRPr="009A005E">
        <w:rPr>
          <w:rStyle w:val="StyleBoldUnderline"/>
        </w:rPr>
        <w:t>Regardless of the incentives contained in federal laws like the Elementary and Secondary Education Act, the Supreme Court has repeatedly held that the federal government may encourage but may not simply “commandeer” state governments to implement or enforce federal policies</w:t>
      </w:r>
      <w:r w:rsidRPr="00011176">
        <w:rPr>
          <w:sz w:val="16"/>
        </w:rPr>
        <w:t xml:space="preserve">. </w:t>
      </w:r>
      <w:r w:rsidRPr="009A005E">
        <w:rPr>
          <w:rStyle w:val="StyleBoldUnderline"/>
        </w:rPr>
        <w:t>These constitutional principles are especially important in the context of education</w:t>
      </w:r>
      <w:r w:rsidRPr="00011176">
        <w:rPr>
          <w:sz w:val="16"/>
        </w:rPr>
        <w:t xml:space="preserve">. Historically, </w:t>
      </w:r>
      <w:r w:rsidRPr="009A005E">
        <w:rPr>
          <w:rStyle w:val="StyleBoldUnderline"/>
        </w:rPr>
        <w:t>responsibility for</w:t>
      </w:r>
      <w:r w:rsidRPr="00011176">
        <w:rPr>
          <w:sz w:val="16"/>
        </w:rPr>
        <w:t xml:space="preserve"> designing and reforming systems of public </w:t>
      </w:r>
      <w:r w:rsidRPr="009A005E">
        <w:rPr>
          <w:rStyle w:val="StyleBoldUnderline"/>
        </w:rPr>
        <w:t>education</w:t>
      </w:r>
      <w:r w:rsidRPr="00011176">
        <w:rPr>
          <w:sz w:val="16"/>
        </w:rPr>
        <w:t xml:space="preserve"> </w:t>
      </w:r>
      <w:r w:rsidRPr="009A005E">
        <w:rPr>
          <w:rStyle w:val="StyleBoldUnderline"/>
        </w:rPr>
        <w:t>has rested with the states</w:t>
      </w:r>
      <w:r w:rsidRPr="00011176">
        <w:rPr>
          <w:sz w:val="16"/>
        </w:rPr>
        <w:t xml:space="preserve">. Unlike the federal Constitution, </w:t>
      </w:r>
      <w:r w:rsidRPr="009A005E">
        <w:rPr>
          <w:rStyle w:val="StyleBoldUnderline"/>
        </w:rPr>
        <w:t>all 50 state constitutions have provisions that explicitly address education</w:t>
      </w:r>
      <w:r w:rsidRPr="00011176">
        <w:rPr>
          <w:sz w:val="16"/>
        </w:rPr>
        <w:t xml:space="preserve">. Many of these provisions speak merely in broad terms, but they still serve as points of reference for state and local governments charged with establishing and maintaining public schools. Legal challenges to a state’s legislative and executive policies on public education necessarily implicate separation-of-powers concerns about the courts’ abilities to answer political questions and resolve policy debates. But at least </w:t>
      </w:r>
      <w:r w:rsidRPr="009A005E">
        <w:rPr>
          <w:rStyle w:val="StyleBoldUnderline"/>
        </w:rPr>
        <w:t>state courts have an education clause to begin their analysis of any right to education</w:t>
      </w:r>
      <w:r w:rsidRPr="00011176">
        <w:rPr>
          <w:sz w:val="16"/>
        </w:rPr>
        <w:t xml:space="preserve">. By contrast, given the lack of an education clause in the U.S. Constitution, </w:t>
      </w:r>
      <w:r w:rsidRPr="009A005E">
        <w:rPr>
          <w:rStyle w:val="StyleBoldUnderline"/>
        </w:rPr>
        <w:t>federal courts attempting to define an implicit right to education would need to start from scratch</w:t>
      </w:r>
      <w:r w:rsidRPr="00011176">
        <w:rPr>
          <w:sz w:val="16"/>
        </w:rPr>
        <w:t xml:space="preserve">. </w:t>
      </w:r>
      <w:r w:rsidRPr="009A005E">
        <w:rPr>
          <w:rStyle w:val="StyleBoldUnderline"/>
        </w:rPr>
        <w:t>Without the benefit of any constitutional text or interpretive history to lend meaning to the term “education,” federal courts would be fabricating a new substantive right out of whole cloth</w:t>
      </w:r>
      <w:r w:rsidRPr="00011176">
        <w:rPr>
          <w:sz w:val="16"/>
        </w:rPr>
        <w:t xml:space="preserve">. Misguided Efforts 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attempts to revisit Rodriguez are misguided. For one thing, the Michigan plaintiffs rely on arguments that the Supreme Court has already rejected.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question is “whether there is a right to education explicitly or implicitly guaranteed by the Constitution.” Creating a federal right to education would also force federal courts to take on issues they are not well-equipped to address. School funding cases are complicated enough for state courts,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If federal courts undertook a similar journey unmoored from any constitutional text, “it would be difficult,” as the Supreme Court cautioned in Rodriguez, “to imagine a case having a greater potential impact on our federal system.” 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w:t>
      </w:r>
      <w:r w:rsidRPr="009A005E">
        <w:rPr>
          <w:rStyle w:val="StyleBoldUnderline"/>
        </w:rPr>
        <w:t>Courts should not sit as a super-legislature. Nor should they assume the role of super-laboratory. They are not equipped to resolve intractable disagreements on fundamental questions in the social sciences</w:t>
      </w:r>
      <w:r w:rsidRPr="00011176">
        <w:rPr>
          <w:sz w:val="16"/>
        </w:rPr>
        <w:t xml:space="preserve">. Arthur Miller may have referred to a trial as the crucible, but we doubt he saw it as the best place for reducing scientific truth when the scientific community itself has reached an impasse. </w:t>
      </w:r>
      <w:r w:rsidRPr="009A005E">
        <w:rPr>
          <w:rStyle w:val="StyleBoldUnderline"/>
        </w:rPr>
        <w:t>The Rodriguez court anticipated this problem when it held that federal judges should “refrain from imposing on the States inflexible constitutional restraints that could circumscribe or handicap the continued research and experimentation so vital to finding even partial solutions to educational problems and to keeping abreast of ever-changing conditions.”</w:t>
      </w:r>
      <w:r w:rsidRPr="00011176">
        <w:rPr>
          <w:sz w:val="16"/>
        </w:rPr>
        <w:t xml:space="preserve"> Rodriguez thus belongs to a long line of federal cases emphasizing the value of state and local control over public education. Even in the desegregation context—where state actions are subject to strict scrutiny under the Fourteenth Amendment—the Supreme Court held in Freeman v. Pitts that “</w:t>
      </w:r>
      <w:r w:rsidRPr="009A005E">
        <w:rPr>
          <w:rStyle w:val="StyleBoldUnderline"/>
        </w:rPr>
        <w:t>returning schools to the control of local authorities at the earliest practicable date is essential to restore their true accountability in our governmental system</w:t>
      </w:r>
      <w:r w:rsidRPr="00011176">
        <w:rPr>
          <w:sz w:val="16"/>
        </w:rPr>
        <w:t xml:space="preserve">.” Hence, </w:t>
      </w:r>
      <w:r w:rsidRPr="009A005E">
        <w:rPr>
          <w:rStyle w:val="StyleBoldUnderline"/>
        </w:rPr>
        <w:t>the lack of supporting constitutional text, principles of federalism, and the doctrine of stare decisis</w:t>
      </w:r>
      <w:r w:rsidRPr="00011176">
        <w:rPr>
          <w:sz w:val="16"/>
        </w:rPr>
        <w:t xml:space="preserve"> (which lends stability to the law by encouraging courts to stand by their prior decisions) </w:t>
      </w:r>
      <w:r w:rsidRPr="009A005E">
        <w:rPr>
          <w:rStyle w:val="StyleBoldUnderline"/>
        </w:rPr>
        <w:t xml:space="preserve">all </w:t>
      </w:r>
      <w:r w:rsidRPr="009A005E">
        <w:rPr>
          <w:rStyle w:val="Emphasis"/>
        </w:rPr>
        <w:t>militate against the creation of a federal constitutional right to education</w:t>
      </w:r>
      <w:r w:rsidRPr="00011176">
        <w:rPr>
          <w:sz w:val="16"/>
        </w:rPr>
        <w:t xml:space="preserve"> or to supposedly equal school funding. Plaintiffs who are unable to achieve their policy goals through state and local political processes should not be allowed to impose their preferences by federal judicial fiat. Unanswered Questions But even if Rodriguez had been wrongly decided, defining a federal right to education in a way that guarantees “equal educational opportunity” would be no easy task and would raise more questions than it answered. 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 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w:t>
      </w:r>
      <w:r w:rsidRPr="009A005E">
        <w:rPr>
          <w:rStyle w:val="StyleBoldUnderline"/>
        </w:rPr>
        <w:t>Asking federal courts to wade into these thickets is a mistake</w:t>
      </w:r>
      <w:r w:rsidRPr="00011176">
        <w:rPr>
          <w:sz w:val="16"/>
        </w:rPr>
        <w:t xml:space="preserve">. </w:t>
      </w:r>
      <w:r w:rsidRPr="009A005E">
        <w:rPr>
          <w:rStyle w:val="StyleBoldUnderline"/>
        </w:rPr>
        <w:t>State officials and courts have already grappled with many of these issues, and creating a federal right to education would</w:t>
      </w:r>
      <w:r w:rsidRPr="00011176">
        <w:rPr>
          <w:sz w:val="16"/>
        </w:rPr>
        <w:t xml:space="preserve"> </w:t>
      </w:r>
      <w:r w:rsidRPr="009A005E">
        <w:rPr>
          <w:rStyle w:val="Emphasis"/>
        </w:rPr>
        <w:t>destabilize policies and decisions</w:t>
      </w:r>
      <w:r w:rsidRPr="00011176">
        <w:rPr>
          <w:sz w:val="16"/>
        </w:rPr>
        <w:t xml:space="preserve"> that have shaped local school systems for generations. On this point, the Rodriguez court observed that the school-funding systems in Texas and “virtually every other state [would] not pass muster” under strict federal judicial scrutiny. “Nor indeed,” the court explained, “in view of the infinite variables affecting the educational process, can any system assure equal quality of education except in the most relative sense.” </w:t>
      </w:r>
      <w:r w:rsidRPr="009A005E">
        <w:rPr>
          <w:rStyle w:val="StyleBoldUnderline"/>
        </w:rPr>
        <w:t>Proponents of a federal right to education presume that federal judges would succeed where local policymakers have supposedly failed. But the federal judiciary lacks the</w:t>
      </w:r>
      <w:r w:rsidRPr="00011176">
        <w:rPr>
          <w:sz w:val="16"/>
        </w:rPr>
        <w:t xml:space="preserve"> </w:t>
      </w:r>
      <w:r w:rsidRPr="009A005E">
        <w:rPr>
          <w:rStyle w:val="Emphasis"/>
        </w:rPr>
        <w:t>capacity and expertise</w:t>
      </w:r>
      <w:r w:rsidRPr="00011176">
        <w:rPr>
          <w:sz w:val="16"/>
        </w:rPr>
        <w:t xml:space="preserve"> </w:t>
      </w:r>
      <w:r w:rsidRPr="009A005E">
        <w:rPr>
          <w:rStyle w:val="StyleBoldUnderline"/>
        </w:rPr>
        <w:t>to solve entrenched problems like the</w:t>
      </w:r>
      <w:r w:rsidRPr="00011176">
        <w:rPr>
          <w:sz w:val="16"/>
        </w:rPr>
        <w:t xml:space="preserve"> </w:t>
      </w:r>
      <w:r w:rsidRPr="009A005E">
        <w:rPr>
          <w:rStyle w:val="Emphasis"/>
        </w:rPr>
        <w:t>achievement gap</w:t>
      </w:r>
      <w:r w:rsidRPr="00011176">
        <w:rPr>
          <w:sz w:val="16"/>
        </w:rPr>
        <w:t xml:space="preserve"> from the bench. </w:t>
      </w:r>
      <w:r w:rsidRPr="009A005E">
        <w:rPr>
          <w:rStyle w:val="StyleBoldUnderline"/>
        </w:rPr>
        <w:t>Federal judges are not</w:t>
      </w:r>
      <w:r w:rsidRPr="00011176">
        <w:rPr>
          <w:sz w:val="16"/>
        </w:rPr>
        <w:t xml:space="preserve"> school superintendents, </w:t>
      </w:r>
      <w:r w:rsidRPr="009A005E">
        <w:rPr>
          <w:rStyle w:val="StyleBoldUnderline"/>
        </w:rPr>
        <w:t>education experts</w:t>
      </w:r>
      <w:r w:rsidRPr="00011176">
        <w:rPr>
          <w:sz w:val="16"/>
        </w:rPr>
        <w:t xml:space="preserve">, or central planners. What evidence shows that federal courts would produce better results than the state and local governments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w:t>
      </w:r>
      <w:r w:rsidRPr="00011176">
        <w:rPr>
          <w:rStyle w:val="StyleBoldUnderline"/>
        </w:rPr>
        <w:t>Adding constitutional equity and adequacy claims to the federal dockets, in the service of an implicit right to education, could lead to an era of federal judicial supervision with no end in sight</w:t>
      </w:r>
      <w:r w:rsidRPr="00011176">
        <w:rPr>
          <w:sz w:val="16"/>
        </w:rPr>
        <w:t xml:space="preserve">. It may well be the case that additional funds devoted to particular policies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w:t>
      </w:r>
      <w:r w:rsidRPr="00011176">
        <w:rPr>
          <w:rStyle w:val="StyleBoldUnderline"/>
        </w:rPr>
        <w:t>Given the substantial risks</w:t>
      </w:r>
      <w:r w:rsidRPr="00011176">
        <w:rPr>
          <w:sz w:val="16"/>
        </w:rPr>
        <w:t xml:space="preserve"> (and uncertain rewards) </w:t>
      </w:r>
      <w:r w:rsidRPr="00011176">
        <w:rPr>
          <w:rStyle w:val="StyleBoldUnderline"/>
        </w:rPr>
        <w:t>of federal judicial intervention, any acknowledgment of constitutional rights to education should be left to the states</w:t>
      </w:r>
      <w:r w:rsidRPr="00011176">
        <w:rPr>
          <w:sz w:val="16"/>
        </w:rPr>
        <w:t>.</w:t>
      </w:r>
    </w:p>
    <w:p w14:paraId="5CEC8350" w14:textId="77777777" w:rsidR="000646B2" w:rsidRDefault="000646B2" w:rsidP="001D311D"/>
    <w:p w14:paraId="3E182B5B" w14:textId="0734375E" w:rsidR="000E153B" w:rsidRDefault="000539CA" w:rsidP="000539CA">
      <w:pPr>
        <w:pStyle w:val="Heading4"/>
      </w:pPr>
      <w:r>
        <w:t>Permutation causes federal preemption that destroys state courts and state-federal balance</w:t>
      </w:r>
    </w:p>
    <w:p w14:paraId="40440B30" w14:textId="7ADD68AB" w:rsidR="000E153B" w:rsidRPr="000E153B" w:rsidRDefault="000E153B" w:rsidP="001D311D">
      <w:pPr>
        <w:rPr>
          <w:rStyle w:val="StyleStyleBold12pt"/>
          <w:b w:val="0"/>
        </w:rPr>
      </w:pPr>
      <w:r>
        <w:rPr>
          <w:rStyle w:val="StyleStyleBold12pt"/>
        </w:rPr>
        <w:t xml:space="preserve">Lawson JD from University of Michigan Law ’13 </w:t>
      </w:r>
      <w:r>
        <w:rPr>
          <w:rStyle w:val="StyleStyleBold12pt"/>
          <w:b w:val="0"/>
        </w:rPr>
        <w:t>(Aaron, “</w:t>
      </w:r>
      <w:r w:rsidRPr="000E153B">
        <w:rPr>
          <w:rStyle w:val="StyleStyleBold12pt"/>
          <w:b w:val="0"/>
        </w:rPr>
        <w:t>EDUCATIONAL FEDERALISM: A NEW CASE FOR REDUCED FEDERAL INVOLVEMENT IN K-12 EDUCATION</w:t>
      </w:r>
      <w:r>
        <w:rPr>
          <w:rStyle w:val="StyleStyleBold12pt"/>
          <w:b w:val="0"/>
        </w:rPr>
        <w:t xml:space="preserve">,” </w:t>
      </w:r>
      <w:r w:rsidRPr="000E153B">
        <w:rPr>
          <w:rStyle w:val="StyleStyleBold12pt"/>
          <w:b w:val="0"/>
        </w:rPr>
        <w:t>Brigham Young University education and law journal</w:t>
      </w:r>
      <w:r>
        <w:rPr>
          <w:rStyle w:val="StyleStyleBold12pt"/>
          <w:b w:val="0"/>
        </w:rPr>
        <w:t>, pp. 283-286, Stadt)</w:t>
      </w:r>
    </w:p>
    <w:p w14:paraId="095ABF25" w14:textId="7C4E481B" w:rsidR="007C399D" w:rsidRPr="001F6081" w:rsidRDefault="000E153B" w:rsidP="001D311D">
      <w:pPr>
        <w:rPr>
          <w:sz w:val="16"/>
        </w:rPr>
      </w:pPr>
      <w:r w:rsidRPr="000539CA">
        <w:rPr>
          <w:sz w:val="16"/>
        </w:rPr>
        <w:t xml:space="preserve">Every state constitution, in contrast with the Federal Constitution, contains some guarantee of education.'* </w:t>
      </w:r>
      <w:r w:rsidRPr="000E153B">
        <w:rPr>
          <w:rStyle w:val="StyleBoldUnderline"/>
        </w:rPr>
        <w:t>State courts</w:t>
      </w:r>
      <w:r w:rsidRPr="000539CA">
        <w:rPr>
          <w:sz w:val="16"/>
        </w:rPr>
        <w:t xml:space="preserve"> split into two groups on how to </w:t>
      </w:r>
      <w:r w:rsidRPr="000E153B">
        <w:rPr>
          <w:rStyle w:val="StyleBoldUnderline"/>
        </w:rPr>
        <w:t>give effect to</w:t>
      </w:r>
      <w:r w:rsidRPr="000539CA">
        <w:rPr>
          <w:sz w:val="16"/>
        </w:rPr>
        <w:t xml:space="preserve"> these </w:t>
      </w:r>
      <w:r w:rsidRPr="000E153B">
        <w:rPr>
          <w:rStyle w:val="StyleBoldUnderline"/>
        </w:rPr>
        <w:t>guarantees</w:t>
      </w:r>
      <w:r w:rsidRPr="000539CA">
        <w:rPr>
          <w:sz w:val="16"/>
        </w:rPr>
        <w:t xml:space="preserve">: (i) by evaluating education policy </w:t>
      </w:r>
      <w:r w:rsidRPr="000E153B">
        <w:rPr>
          <w:rStyle w:val="StyleBoldUnderline"/>
        </w:rPr>
        <w:t>under Equal Protection</w:t>
      </w:r>
      <w:r w:rsidRPr="000539CA">
        <w:rPr>
          <w:sz w:val="16"/>
        </w:rPr>
        <w:t xml:space="preserve"> </w:t>
      </w:r>
      <w:r w:rsidRPr="000E153B">
        <w:rPr>
          <w:rStyle w:val="StyleBoldUnderline"/>
        </w:rPr>
        <w:t>by declaring education a fundamental right</w:t>
      </w:r>
      <w:r w:rsidRPr="000539CA">
        <w:rPr>
          <w:sz w:val="16"/>
        </w:rPr>
        <w:t xml:space="preserve"> or by treating wealth as a suspect classification,'' or (2) by evaluating education policies under a framework of educational adequacy.^" In either case, </w:t>
      </w:r>
      <w:r w:rsidRPr="000E153B">
        <w:rPr>
          <w:rStyle w:val="StyleBoldUnderline"/>
        </w:rPr>
        <w:t>these</w:t>
      </w:r>
      <w:r w:rsidRPr="000539CA">
        <w:rPr>
          <w:sz w:val="16"/>
        </w:rPr>
        <w:t xml:space="preserve"> clauses </w:t>
      </w:r>
      <w:r w:rsidRPr="000E153B">
        <w:rPr>
          <w:rStyle w:val="StyleBoldUnderline"/>
        </w:rPr>
        <w:t>establish substantive educational guarantees on the state level that do not exist at the federal level and provide the courts with a role</w:t>
      </w:r>
      <w:r w:rsidRPr="000539CA">
        <w:rPr>
          <w:sz w:val="16"/>
        </w:rPr>
        <w:t xml:space="preserve"> in </w:t>
      </w:r>
      <w:r w:rsidRPr="000E153B">
        <w:rPr>
          <w:rStyle w:val="StyleBoldUnderline"/>
        </w:rPr>
        <w:t>ensuring</w:t>
      </w:r>
      <w:r w:rsidRPr="000539CA">
        <w:rPr>
          <w:sz w:val="16"/>
        </w:rPr>
        <w:t xml:space="preserve"> the </w:t>
      </w:r>
      <w:r w:rsidRPr="000E153B">
        <w:rPr>
          <w:rStyle w:val="StyleBoldUnderline"/>
        </w:rPr>
        <w:t>fulfillment of these guarantees</w:t>
      </w:r>
      <w:r w:rsidRPr="000539CA">
        <w:rPr>
          <w:sz w:val="16"/>
        </w:rPr>
        <w:t xml:space="preserve">.^' </w:t>
      </w:r>
      <w:r w:rsidRPr="000E153B">
        <w:rPr>
          <w:rStyle w:val="StyleBoldUnderline"/>
        </w:rPr>
        <w:t>These</w:t>
      </w:r>
      <w:r w:rsidRPr="000539CA">
        <w:rPr>
          <w:sz w:val="16"/>
        </w:rPr>
        <w:t xml:space="preserve"> clauses also help to </w:t>
      </w:r>
      <w:r w:rsidRPr="000E153B">
        <w:rPr>
          <w:rStyle w:val="StyleBoldUnderline"/>
        </w:rPr>
        <w:t>create a</w:t>
      </w:r>
      <w:r w:rsidRPr="000539CA">
        <w:rPr>
          <w:sz w:val="16"/>
        </w:rPr>
        <w:t xml:space="preserve"> </w:t>
      </w:r>
      <w:r w:rsidRPr="000E153B">
        <w:rPr>
          <w:rStyle w:val="Emphasis"/>
        </w:rPr>
        <w:t>valuable political dynamic</w:t>
      </w:r>
      <w:r w:rsidRPr="000539CA">
        <w:rPr>
          <w:sz w:val="16"/>
        </w:rPr>
        <w:t xml:space="preserve">, which has inured to the benefit of children. As part of this political dynamic, </w:t>
      </w:r>
      <w:r w:rsidRPr="000E153B">
        <w:rPr>
          <w:rStyle w:val="StyleBoldUnderline"/>
        </w:rPr>
        <w:t>courts define the contours of these affirmative guarantees, and the legislature fulfills its own constitutional duty by legislating between those boundaries</w:t>
      </w:r>
      <w:r w:rsidRPr="000539CA">
        <w:rPr>
          <w:sz w:val="16"/>
        </w:rPr>
        <w:t xml:space="preserve">.^^ However, </w:t>
      </w:r>
      <w:r w:rsidRPr="000E153B">
        <w:rPr>
          <w:rStyle w:val="StyleBoldUnderline"/>
        </w:rPr>
        <w:t>when the federal government legislates or regulates</w:t>
      </w:r>
      <w:r w:rsidRPr="000539CA">
        <w:rPr>
          <w:sz w:val="16"/>
        </w:rPr>
        <w:t xml:space="preserve"> in a given field, </w:t>
      </w:r>
      <w:r w:rsidRPr="000E153B">
        <w:rPr>
          <w:rStyle w:val="StyleBoldUnderline"/>
        </w:rPr>
        <w:t>it</w:t>
      </w:r>
      <w:r w:rsidRPr="000539CA">
        <w:rPr>
          <w:sz w:val="16"/>
        </w:rPr>
        <w:t xml:space="preserve"> necessarily </w:t>
      </w:r>
      <w:r w:rsidRPr="000E153B">
        <w:rPr>
          <w:rStyle w:val="Emphasis"/>
        </w:rPr>
        <w:t>constrains the ability of states</w:t>
      </w:r>
      <w:r w:rsidRPr="000539CA">
        <w:rPr>
          <w:sz w:val="16"/>
        </w:rPr>
        <w:t xml:space="preserve"> </w:t>
      </w:r>
      <w:r w:rsidRPr="000E153B">
        <w:rPr>
          <w:rStyle w:val="StyleBoldUnderline"/>
        </w:rPr>
        <w:t>to legislate in that same field</w:t>
      </w:r>
      <w:r w:rsidRPr="000539CA">
        <w:rPr>
          <w:sz w:val="16"/>
        </w:rPr>
        <w:t xml:space="preserve">.^' In the field of education, </w:t>
      </w:r>
      <w:r w:rsidRPr="000E153B">
        <w:rPr>
          <w:rStyle w:val="StyleBoldUnderline"/>
        </w:rPr>
        <w:t>the ability of courts to protect the rights of children is dependent on the ability of legislatures freely to react to courts</w:t>
      </w:r>
      <w:r w:rsidRPr="000539CA">
        <w:rPr>
          <w:sz w:val="16"/>
        </w:rPr>
        <w:t xml:space="preserve">. As such, </w:t>
      </w:r>
      <w:r w:rsidRPr="000E153B">
        <w:rPr>
          <w:rStyle w:val="Emphasis"/>
        </w:rPr>
        <w:t>anything</w:t>
      </w:r>
      <w:r w:rsidRPr="000539CA">
        <w:rPr>
          <w:sz w:val="16"/>
        </w:rPr>
        <w:t xml:space="preserve"> </w:t>
      </w:r>
      <w:r w:rsidRPr="000539CA">
        <w:rPr>
          <w:rStyle w:val="StyleBoldUnderline"/>
        </w:rPr>
        <w:t>that constrains state legislatures also constrains state courts and upsets this valuable political dynamic</w:t>
      </w:r>
      <w:r w:rsidRPr="000539CA">
        <w:rPr>
          <w:sz w:val="16"/>
        </w:rPr>
        <w:t xml:space="preserve"> created by the interaction of state legislatures and state courts. </w:t>
      </w:r>
      <w:r w:rsidRPr="000539CA">
        <w:rPr>
          <w:rStyle w:val="StyleBoldUnderline"/>
        </w:rPr>
        <w:t>An</w:t>
      </w:r>
      <w:r w:rsidRPr="000539CA">
        <w:rPr>
          <w:sz w:val="16"/>
        </w:rPr>
        <w:t xml:space="preserve"> </w:t>
      </w:r>
      <w:r w:rsidRPr="000539CA">
        <w:rPr>
          <w:rStyle w:val="Emphasis"/>
        </w:rPr>
        <w:t>expansive federal role</w:t>
      </w:r>
      <w:r w:rsidRPr="000539CA">
        <w:rPr>
          <w:sz w:val="16"/>
        </w:rPr>
        <w:t xml:space="preserve"> </w:t>
      </w:r>
      <w:r w:rsidRPr="000539CA">
        <w:rPr>
          <w:rStyle w:val="StyleBoldUnderline"/>
        </w:rPr>
        <w:t>in educational policymaking</w:t>
      </w:r>
      <w:r w:rsidRPr="000539CA">
        <w:rPr>
          <w:sz w:val="16"/>
        </w:rPr>
        <w:t xml:space="preserve"> is normatively undesirable when it </w:t>
      </w:r>
      <w:r w:rsidRPr="000539CA">
        <w:rPr>
          <w:rStyle w:val="Emphasis"/>
        </w:rPr>
        <w:t>threatens</w:t>
      </w:r>
      <w:r w:rsidRPr="000539CA">
        <w:rPr>
          <w:sz w:val="16"/>
        </w:rPr>
        <w:t xml:space="preserve"> to interfere with </w:t>
      </w:r>
      <w:r w:rsidRPr="000539CA">
        <w:rPr>
          <w:rStyle w:val="StyleBoldUnderline"/>
        </w:rPr>
        <w:t>this political dynamic</w:t>
      </w:r>
      <w:r w:rsidRPr="000539CA">
        <w:rPr>
          <w:sz w:val="16"/>
        </w:rPr>
        <w:t xml:space="preserve">. This dynamic receives scant attention in the literature </w:t>
      </w:r>
      <w:r w:rsidR="000539CA" w:rsidRPr="000539CA">
        <w:rPr>
          <w:sz w:val="16"/>
        </w:rPr>
        <w:t>described above. However, mindf</w:t>
      </w:r>
      <w:r w:rsidRPr="000539CA">
        <w:rPr>
          <w:sz w:val="16"/>
        </w:rPr>
        <w:t xml:space="preserve">ulness of </w:t>
      </w:r>
      <w:r w:rsidRPr="000539CA">
        <w:rPr>
          <w:rStyle w:val="StyleBoldUnderline"/>
        </w:rPr>
        <w:t>this dynamic</w:t>
      </w:r>
      <w:r w:rsidRPr="000539CA">
        <w:rPr>
          <w:sz w:val="16"/>
        </w:rPr>
        <w:t xml:space="preserve"> </w:t>
      </w:r>
      <w:r w:rsidRPr="000539CA">
        <w:rPr>
          <w:rStyle w:val="Emphasis"/>
        </w:rPr>
        <w:t>is crucial</w:t>
      </w:r>
      <w:r w:rsidRPr="000539CA">
        <w:rPr>
          <w:sz w:val="16"/>
        </w:rPr>
        <w:t xml:space="preserve"> </w:t>
      </w:r>
      <w:r w:rsidRPr="000539CA">
        <w:rPr>
          <w:rStyle w:val="StyleBoldUnderline"/>
        </w:rPr>
        <w:t>to the proper placement of</w:t>
      </w:r>
      <w:r w:rsidRPr="000539CA">
        <w:rPr>
          <w:sz w:val="16"/>
        </w:rPr>
        <w:t xml:space="preserve"> the </w:t>
      </w:r>
      <w:r w:rsidRPr="000539CA">
        <w:rPr>
          <w:rStyle w:val="StyleBoldUnderline"/>
        </w:rPr>
        <w:t>educational policymaking and regulatory epicenter</w:t>
      </w:r>
      <w:r w:rsidRPr="000539CA">
        <w:rPr>
          <w:sz w:val="16"/>
        </w:rPr>
        <w:t xml:space="preserve">. Constraints on state legislatures would not be as problematic if </w:t>
      </w:r>
      <w:r w:rsidRPr="000539CA">
        <w:rPr>
          <w:rStyle w:val="StyleBoldUnderline"/>
        </w:rPr>
        <w:t>the federal government had proven itself</w:t>
      </w:r>
      <w:r w:rsidRPr="000539CA">
        <w:rPr>
          <w:sz w:val="16"/>
        </w:rPr>
        <w:t xml:space="preserve"> adept at guaranteeing adequate educational opportunity for all students. However, RTTT and NCLB have, in some cases, proven </w:t>
      </w:r>
      <w:r w:rsidRPr="000539CA">
        <w:rPr>
          <w:rStyle w:val="StyleBoldUnderline"/>
        </w:rPr>
        <w:t>remarkably unhelpful for poor and minority students</w:t>
      </w:r>
      <w:r w:rsidRPr="000539CA">
        <w:rPr>
          <w:sz w:val="16"/>
        </w:rPr>
        <w:t xml:space="preserve">.^* These negative outcomes, of course, are not guaranteed. However, the fact that federal involvement in education has produced undesirable outcomes for poor and minority students should cause policymakers to reexamine whether it is most desirable for the federal government to play such a significant role in education. This Comment argues that it is not. Using policies adopted in New York State in response to RTTT as an example, this Comment argues that the federal government should step aside to the extent necessary to allow state courts more flexibility to protect the substantive educational rights of poor and minority children. Specifically, where federal constitutional rights are not at issue, </w:t>
      </w:r>
      <w:r w:rsidRPr="000539CA">
        <w:rPr>
          <w:rStyle w:val="StyleBoldUnderline"/>
        </w:rPr>
        <w:t>federal involvement in education should be minimized to the point that state courts have an unrestrained ability to protect</w:t>
      </w:r>
      <w:r w:rsidRPr="000539CA">
        <w:rPr>
          <w:sz w:val="16"/>
        </w:rPr>
        <w:t xml:space="preserve"> the </w:t>
      </w:r>
      <w:r w:rsidRPr="000539CA">
        <w:rPr>
          <w:rStyle w:val="StyleBoldUnderline"/>
        </w:rPr>
        <w:t>educational needs</w:t>
      </w:r>
      <w:r w:rsidRPr="000539CA">
        <w:rPr>
          <w:sz w:val="16"/>
        </w:rPr>
        <w:t xml:space="preserve"> of, and ensure adequate educational opportunity for, each state's children.''^ This Comment does not argue for an end to all education policymaking at the federal level. Rather, it argues that the functioning of the state's court-legislature dynamic should act as a limitation on the policies enacted at the federal level. 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w:t>
      </w:r>
    </w:p>
    <w:p w14:paraId="669375C3" w14:textId="3374A644" w:rsidR="007C399D" w:rsidRDefault="007C399D" w:rsidP="007C399D">
      <w:pPr>
        <w:pStyle w:val="Heading4"/>
      </w:pPr>
      <w:r>
        <w:t xml:space="preserve">Permutation </w:t>
      </w:r>
      <w:r w:rsidR="00490229">
        <w:t>makes closing the achievement gap impossible and makes state rulings ineffective – CP alone is key</w:t>
      </w:r>
    </w:p>
    <w:p w14:paraId="7963A19D" w14:textId="6FC98349" w:rsidR="007C399D" w:rsidRDefault="007C399D" w:rsidP="007C399D">
      <w:r>
        <w:rPr>
          <w:rStyle w:val="StyleStyleBold12pt"/>
        </w:rPr>
        <w:t xml:space="preserve">Lawson JD from University of Michigan Law ’13 </w:t>
      </w:r>
      <w:r>
        <w:rPr>
          <w:rStyle w:val="StyleStyleBold12pt"/>
          <w:b w:val="0"/>
        </w:rPr>
        <w:t>(Aaron, “</w:t>
      </w:r>
      <w:r w:rsidRPr="000E153B">
        <w:rPr>
          <w:rStyle w:val="StyleStyleBold12pt"/>
          <w:b w:val="0"/>
        </w:rPr>
        <w:t>EDUCATIONAL FEDERALISM: A NEW CASE FOR REDUCED FEDERAL INVOLVEMENT IN K-12 EDUCATION</w:t>
      </w:r>
      <w:r>
        <w:rPr>
          <w:rStyle w:val="StyleStyleBold12pt"/>
          <w:b w:val="0"/>
        </w:rPr>
        <w:t xml:space="preserve">,” </w:t>
      </w:r>
      <w:r w:rsidRPr="000E153B">
        <w:rPr>
          <w:rStyle w:val="StyleStyleBold12pt"/>
          <w:b w:val="0"/>
        </w:rPr>
        <w:t>Brigham Young University education and law journal</w:t>
      </w:r>
      <w:r>
        <w:rPr>
          <w:rStyle w:val="StyleStyleBold12pt"/>
          <w:b w:val="0"/>
        </w:rPr>
        <w:t>, pp. 317-318, Stadt)</w:t>
      </w:r>
    </w:p>
    <w:p w14:paraId="10E336CF" w14:textId="20BE803B" w:rsidR="007C399D" w:rsidRDefault="007C399D" w:rsidP="007C399D">
      <w:pPr>
        <w:rPr>
          <w:sz w:val="16"/>
        </w:rPr>
      </w:pPr>
      <w:r w:rsidRPr="00490229">
        <w:rPr>
          <w:rStyle w:val="StyleBoldUnderline"/>
        </w:rPr>
        <w:t>The judiciary is the ultimate defense against</w:t>
      </w:r>
      <w:r w:rsidRPr="00490229">
        <w:rPr>
          <w:sz w:val="16"/>
        </w:rPr>
        <w:t xml:space="preserve"> the legislative </w:t>
      </w:r>
      <w:r w:rsidRPr="00490229">
        <w:rPr>
          <w:rStyle w:val="StyleBoldUnderline"/>
        </w:rPr>
        <w:t>inertia that threatens</w:t>
      </w:r>
      <w:r w:rsidRPr="00490229">
        <w:rPr>
          <w:sz w:val="16"/>
        </w:rPr>
        <w:t xml:space="preserve"> the ability of </w:t>
      </w:r>
      <w:r w:rsidRPr="00490229">
        <w:rPr>
          <w:rStyle w:val="StyleBoldUnderline"/>
        </w:rPr>
        <w:t>poor and minority students</w:t>
      </w:r>
      <w:r w:rsidRPr="00490229">
        <w:rPr>
          <w:sz w:val="16"/>
        </w:rPr>
        <w:t xml:space="preserve"> to obtain an adequate education. Educational adequacy litigation began to open new doors and expand beyond funding precisely at the moment that federal involvement, through NCLB and RTTT, began to grow to such a level as to threaten to interfere with judicial intervention in education.'^' </w:t>
      </w:r>
      <w:r w:rsidRPr="00490229">
        <w:rPr>
          <w:rStyle w:val="StyleBoldUnderline"/>
        </w:rPr>
        <w:t>This</w:t>
      </w:r>
      <w:r w:rsidRPr="00490229">
        <w:rPr>
          <w:sz w:val="16"/>
        </w:rPr>
        <w:t xml:space="preserve"> potential </w:t>
      </w:r>
      <w:r w:rsidRPr="00490229">
        <w:rPr>
          <w:rStyle w:val="StyleBoldUnderline"/>
        </w:rPr>
        <w:t>pitfall is</w:t>
      </w:r>
      <w:r w:rsidRPr="00490229">
        <w:rPr>
          <w:sz w:val="16"/>
        </w:rPr>
        <w:t xml:space="preserve"> precisely the reason </w:t>
      </w:r>
      <w:r w:rsidRPr="00490229">
        <w:rPr>
          <w:rStyle w:val="StyleBoldUnderline"/>
        </w:rPr>
        <w:t>why the federal government should not take such an active role in education</w:t>
      </w:r>
      <w:r w:rsidRPr="00490229">
        <w:rPr>
          <w:sz w:val="16"/>
        </w:rPr>
        <w:t xml:space="preserve">. </w:t>
      </w:r>
      <w:r w:rsidRPr="00490229">
        <w:rPr>
          <w:rStyle w:val="StyleBoldUnderline"/>
        </w:rPr>
        <w:t>Courts are important</w:t>
      </w:r>
      <w:r w:rsidRPr="00490229">
        <w:rPr>
          <w:sz w:val="16"/>
        </w:rPr>
        <w:t xml:space="preserve"> players </w:t>
      </w:r>
      <w:r w:rsidRPr="00490229">
        <w:rPr>
          <w:rStyle w:val="StyleBoldUnderline"/>
        </w:rPr>
        <w:t>in education reform</w:t>
      </w:r>
      <w:r w:rsidRPr="00490229">
        <w:rPr>
          <w:sz w:val="16"/>
        </w:rPr>
        <w:t xml:space="preserve"> not by articulating the content of educational policy but </w:t>
      </w:r>
      <w:r w:rsidRPr="00490229">
        <w:rPr>
          <w:rStyle w:val="StyleBoldUnderline"/>
        </w:rPr>
        <w:t>by setting the rules governing how education reform can proceed</w:t>
      </w:r>
      <w:r w:rsidRPr="00490229">
        <w:rPr>
          <w:sz w:val="16"/>
        </w:rPr>
        <w:t xml:space="preserve">. Educational reform involves an important give and take as interested parties advance their own solutions, but there are constitutional limits on this give and take that should be defined by state courts. The experience of educational adequacy lawsuits indicates that there is an important political dynamic at play here, which involves courts and ultimately inures to the benefit of students, as all education reform should. To </w:t>
      </w:r>
      <w:r w:rsidRPr="00490229">
        <w:rPr>
          <w:rStyle w:val="StyleBoldUnderline"/>
        </w:rPr>
        <w:t>the extent that the federal government is involved</w:t>
      </w:r>
      <w:r w:rsidRPr="00490229">
        <w:rPr>
          <w:sz w:val="16"/>
        </w:rPr>
        <w:t xml:space="preserve">, through programs like NCLB and RTTT, that involvement </w:t>
      </w:r>
      <w:r w:rsidRPr="00490229">
        <w:rPr>
          <w:rStyle w:val="StyleBoldUnderline"/>
        </w:rPr>
        <w:t>has</w:t>
      </w:r>
      <w:r w:rsidRPr="00490229">
        <w:rPr>
          <w:sz w:val="16"/>
        </w:rPr>
        <w:t xml:space="preserve"> the </w:t>
      </w:r>
      <w:r w:rsidRPr="00490229">
        <w:rPr>
          <w:rStyle w:val="StyleBoldUnderline"/>
        </w:rPr>
        <w:t>potential to diminish the effectiveness of</w:t>
      </w:r>
      <w:r w:rsidRPr="00490229">
        <w:rPr>
          <w:sz w:val="16"/>
        </w:rPr>
        <w:t xml:space="preserve"> state legislative response to </w:t>
      </w:r>
      <w:r w:rsidRPr="00490229">
        <w:rPr>
          <w:rStyle w:val="StyleBoldUnderline"/>
        </w:rPr>
        <w:t>state courts by binding the legislature to the requirements of federal</w:t>
      </w:r>
      <w:r w:rsidRPr="00490229">
        <w:rPr>
          <w:sz w:val="16"/>
        </w:rPr>
        <w:t xml:space="preserve"> funding </w:t>
      </w:r>
      <w:r w:rsidRPr="00490229">
        <w:rPr>
          <w:rStyle w:val="StyleBoldUnderline"/>
        </w:rPr>
        <w:t>programs</w:t>
      </w:r>
      <w:r w:rsidRPr="00490229">
        <w:rPr>
          <w:sz w:val="16"/>
        </w:rPr>
        <w:t xml:space="preserve">. Thus, through NCLB and RTTT, </w:t>
      </w:r>
      <w:r w:rsidRPr="00490229">
        <w:rPr>
          <w:rStyle w:val="StyleBoldUnderline"/>
        </w:rPr>
        <w:t>the federal government threatens this valuable political dynamic in which courts play an important role in vindicating the substantive educational entitlements enjoyed by students</w:t>
      </w:r>
      <w:r w:rsidRPr="00490229">
        <w:rPr>
          <w:sz w:val="16"/>
        </w:rPr>
        <w:t xml:space="preserve">. </w:t>
      </w:r>
      <w:r w:rsidRPr="00490229">
        <w:rPr>
          <w:rStyle w:val="StyleBoldUnderline"/>
        </w:rPr>
        <w:t>Although</w:t>
      </w:r>
      <w:r w:rsidRPr="00490229">
        <w:rPr>
          <w:sz w:val="16"/>
        </w:rPr>
        <w:t xml:space="preserve"> </w:t>
      </w:r>
      <w:r w:rsidRPr="00490229">
        <w:rPr>
          <w:rStyle w:val="StyleBoldUnderline"/>
        </w:rPr>
        <w:t>state legislatures may be able to respond to both the federal government and to state courts simultaneously</w:t>
      </w:r>
      <w:r w:rsidRPr="00490229">
        <w:rPr>
          <w:sz w:val="16"/>
        </w:rPr>
        <w:t xml:space="preserve">, the very real possibility that </w:t>
      </w:r>
      <w:r w:rsidRPr="00490229">
        <w:rPr>
          <w:rStyle w:val="StyleBoldUnderline"/>
        </w:rPr>
        <w:t>state legislatures</w:t>
      </w:r>
      <w:r w:rsidRPr="00490229">
        <w:rPr>
          <w:sz w:val="16"/>
        </w:rPr>
        <w:t xml:space="preserve"> </w:t>
      </w:r>
      <w:r w:rsidRPr="00490229">
        <w:rPr>
          <w:rStyle w:val="StyleBoldUnderline"/>
        </w:rPr>
        <w:t>may</w:t>
      </w:r>
      <w:r w:rsidRPr="00490229">
        <w:rPr>
          <w:sz w:val="16"/>
        </w:rPr>
        <w:t xml:space="preserve">, in some instances, </w:t>
      </w:r>
      <w:r w:rsidRPr="00490229">
        <w:rPr>
          <w:rStyle w:val="StyleBoldUnderline"/>
        </w:rPr>
        <w:t>be placed in an</w:t>
      </w:r>
      <w:r w:rsidRPr="00490229">
        <w:rPr>
          <w:sz w:val="16"/>
        </w:rPr>
        <w:t xml:space="preserve"> </w:t>
      </w:r>
      <w:r w:rsidRPr="00490229">
        <w:rPr>
          <w:rStyle w:val="Emphasis"/>
        </w:rPr>
        <w:t>untenable position</w:t>
      </w:r>
      <w:r w:rsidRPr="00490229">
        <w:rPr>
          <w:sz w:val="16"/>
        </w:rPr>
        <w:t xml:space="preserve"> </w:t>
      </w:r>
      <w:r w:rsidRPr="00490229">
        <w:rPr>
          <w:rStyle w:val="StyleBoldUnderline"/>
        </w:rPr>
        <w:t>between federal requirements and state court dictates</w:t>
      </w:r>
      <w:r w:rsidRPr="00490229">
        <w:rPr>
          <w:sz w:val="16"/>
        </w:rPr>
        <w:t xml:space="preserve"> should counsel against extensive federal involvement in education. 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 </w:t>
      </w:r>
      <w:r w:rsidRPr="00490229">
        <w:rPr>
          <w:rStyle w:val="StyleBoldUnderline"/>
        </w:rPr>
        <w:t>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w:t>
      </w:r>
      <w:r w:rsidRPr="00490229">
        <w:rPr>
          <w:sz w:val="16"/>
        </w:rPr>
        <w:t xml:space="preserve">. </w:t>
      </w:r>
      <w:r w:rsidRPr="00490229">
        <w:rPr>
          <w:rStyle w:val="StyleBoldUnderline"/>
        </w:rPr>
        <w:t>State constitutional text demands that closing the achievement gap cannot merely be a legislative priority</w:t>
      </w:r>
      <w:r w:rsidRPr="00490229">
        <w:rPr>
          <w:sz w:val="16"/>
        </w:rPr>
        <w:t xml:space="preserve">. </w:t>
      </w:r>
      <w:r w:rsidRPr="00490229">
        <w:rPr>
          <w:rStyle w:val="StyleBoldUnderline"/>
        </w:rPr>
        <w:t>State courts cannot effectively play that role in a system riddled with federal command</w:t>
      </w:r>
      <w:r w:rsidRPr="00490229">
        <w:rPr>
          <w:sz w:val="16"/>
        </w:rPr>
        <w:t>s. There are reasons for federal involvement in local educational policy, but protection of student interests counsels in favor of more restrained involvement, rather than the ever-expanding role the federal government has given itself in the last decade.</w:t>
      </w:r>
    </w:p>
    <w:p w14:paraId="2130D7E2" w14:textId="77777777" w:rsidR="00B267E6" w:rsidRDefault="00B267E6" w:rsidP="007C399D">
      <w:pPr>
        <w:rPr>
          <w:sz w:val="16"/>
        </w:rPr>
      </w:pPr>
    </w:p>
    <w:p w14:paraId="69D6B0EC" w14:textId="0B786654" w:rsidR="00B267E6" w:rsidRDefault="00B267E6" w:rsidP="00B267E6">
      <w:pPr>
        <w:pStyle w:val="Heading3"/>
      </w:pPr>
      <w:r>
        <w:t>*Teacher Tenure</w:t>
      </w:r>
    </w:p>
    <w:p w14:paraId="0F2B4EBD" w14:textId="0C0A60FC" w:rsidR="00B267E6" w:rsidRDefault="00614BC1" w:rsidP="00614BC1">
      <w:pPr>
        <w:pStyle w:val="Heading4"/>
      </w:pPr>
      <w:r>
        <w:t>CP solves the case</w:t>
      </w:r>
    </w:p>
    <w:p w14:paraId="24FA6ACD" w14:textId="28742DB6" w:rsidR="00B267E6" w:rsidRPr="00B267E6" w:rsidRDefault="00B267E6" w:rsidP="00B267E6">
      <w:pPr>
        <w:rPr>
          <w:rStyle w:val="StyleStyleBold12pt"/>
          <w:b w:val="0"/>
        </w:rPr>
      </w:pPr>
      <w:r>
        <w:rPr>
          <w:rStyle w:val="StyleStyleBold12pt"/>
        </w:rPr>
        <w:t xml:space="preserve">DeJianne JD Seton Hall University ’16 </w:t>
      </w:r>
      <w:r>
        <w:rPr>
          <w:rStyle w:val="StyleStyleBold12pt"/>
          <w:b w:val="0"/>
        </w:rPr>
        <w:t>(</w:t>
      </w:r>
      <w:r w:rsidR="00614BC1">
        <w:rPr>
          <w:rStyle w:val="StyleStyleBold12pt"/>
          <w:b w:val="0"/>
        </w:rPr>
        <w:t>Michael, “TH</w:t>
      </w:r>
      <w:r w:rsidR="00614BC1" w:rsidRPr="00614BC1">
        <w:rPr>
          <w:rStyle w:val="StyleStyleBold12pt"/>
          <w:b w:val="0"/>
        </w:rPr>
        <w:t>E RIGHT TO EDUCATION: RECONCILING TEACHER TENURE AND THE CURRENT STATE OF PUBLIC EDUCATION</w:t>
      </w:r>
      <w:r w:rsidR="00614BC1">
        <w:rPr>
          <w:rStyle w:val="StyleStyleBold12pt"/>
          <w:b w:val="0"/>
        </w:rPr>
        <w:t xml:space="preserve">,” </w:t>
      </w:r>
      <w:r w:rsidR="00614BC1" w:rsidRPr="00614BC1">
        <w:rPr>
          <w:rStyle w:val="StyleStyleBold12pt"/>
          <w:b w:val="0"/>
        </w:rPr>
        <w:t>6 Seton Hall L. Rev. 333 2015-2016</w:t>
      </w:r>
      <w:r w:rsidR="00614BC1">
        <w:rPr>
          <w:rStyle w:val="StyleStyleBold12pt"/>
          <w:b w:val="0"/>
        </w:rPr>
        <w:t>, p. 359, Stadt)</w:t>
      </w:r>
    </w:p>
    <w:p w14:paraId="35DFFC7C" w14:textId="29296606" w:rsidR="00B267E6" w:rsidRPr="00B267E6" w:rsidRDefault="00B267E6" w:rsidP="00B267E6">
      <w:r w:rsidRPr="00614BC1">
        <w:rPr>
          <w:rStyle w:val="StyleBoldUnderline"/>
        </w:rPr>
        <w:t>State</w:t>
      </w:r>
      <w:r w:rsidRPr="00B267E6">
        <w:t xml:space="preserve"> and federal </w:t>
      </w:r>
      <w:r w:rsidRPr="00614BC1">
        <w:rPr>
          <w:rStyle w:val="StyleBoldUnderline"/>
        </w:rPr>
        <w:t>courts have consistently recognized education's importance</w:t>
      </w:r>
      <w:r w:rsidRPr="00B267E6">
        <w:t xml:space="preserve"> to society. 2 66 While each jurisdiction has differing views of the constitutional obligation to provide an education, New York, New Jersey, </w:t>
      </w:r>
      <w:r w:rsidRPr="00614BC1">
        <w:rPr>
          <w:rStyle w:val="StyleBoldUnderline"/>
        </w:rPr>
        <w:t>and</w:t>
      </w:r>
      <w:r w:rsidRPr="00B267E6">
        <w:t xml:space="preserve"> California </w:t>
      </w:r>
      <w:r w:rsidRPr="00614BC1">
        <w:rPr>
          <w:rStyle w:val="StyleBoldUnderline"/>
        </w:rPr>
        <w:t>agree that</w:t>
      </w:r>
      <w:r w:rsidRPr="00B267E6">
        <w:t xml:space="preserve"> a certain level of </w:t>
      </w:r>
      <w:r w:rsidRPr="00614BC1">
        <w:rPr>
          <w:rStyle w:val="StyleBoldUnderline"/>
        </w:rPr>
        <w:t>education must be available to all students</w:t>
      </w:r>
      <w:r w:rsidRPr="00B267E6">
        <w:t xml:space="preserve">.26 7 </w:t>
      </w:r>
      <w:r w:rsidRPr="00614BC1">
        <w:rPr>
          <w:rStyle w:val="StyleBoldUnderline"/>
        </w:rPr>
        <w:t>Even at the lowest level of equal protection analysis, state courts and legislatures are obligated to ensure that laws bear some rational relationship to a legitimate government interest</w:t>
      </w:r>
      <w:r w:rsidRPr="00B267E6">
        <w:t xml:space="preserve">. </w:t>
      </w:r>
      <w:r w:rsidRPr="00614BC1">
        <w:rPr>
          <w:rStyle w:val="StyleBoldUnderline"/>
        </w:rPr>
        <w:t>When teacher tenure statutes interfere with the classroom experience and create disruption in a student's learning environment, those laws fail both strict scrutiny and rational basis review</w:t>
      </w:r>
      <w:r w:rsidRPr="00B267E6">
        <w:t xml:space="preserve">, </w:t>
      </w:r>
      <w:r w:rsidRPr="00614BC1">
        <w:rPr>
          <w:rStyle w:val="Emphasis"/>
        </w:rPr>
        <w:t>and therefore must be changed</w:t>
      </w:r>
      <w:r w:rsidRPr="00B267E6">
        <w:t xml:space="preserve">. For these reasons, the challenged </w:t>
      </w:r>
      <w:r w:rsidRPr="00614BC1">
        <w:rPr>
          <w:rStyle w:val="StyleBoldUnderline"/>
        </w:rPr>
        <w:t>teacher tenure statutes</w:t>
      </w:r>
      <w:r w:rsidRPr="00B267E6">
        <w:t xml:space="preserve"> in California and New York </w:t>
      </w:r>
      <w:r w:rsidRPr="00614BC1">
        <w:rPr>
          <w:rStyle w:val="Emphasis"/>
        </w:rPr>
        <w:t>should be repealed</w:t>
      </w:r>
      <w:r w:rsidRPr="00B267E6">
        <w:t xml:space="preserve"> and a new statutory scheme, like the TEACHNJ Act, should be instituted.</w:t>
      </w:r>
    </w:p>
    <w:p w14:paraId="7E3C068F" w14:textId="21FAD77A" w:rsidR="007C399D" w:rsidRDefault="007C399D" w:rsidP="007C399D"/>
    <w:p w14:paraId="3DF54764" w14:textId="77777777" w:rsidR="00DE62FB" w:rsidRDefault="00DE62FB" w:rsidP="00DE62FB">
      <w:pPr>
        <w:pStyle w:val="Heading2"/>
      </w:pPr>
      <w:r>
        <w:t>**AFF**</w:t>
      </w:r>
    </w:p>
    <w:p w14:paraId="31F2F496" w14:textId="20429DD6" w:rsidR="00325B58" w:rsidRDefault="00AC0F68" w:rsidP="00AC0F68">
      <w:pPr>
        <w:pStyle w:val="Heading2"/>
      </w:pPr>
      <w:r>
        <w:t>**</w:t>
      </w:r>
      <w:r w:rsidR="00325B58">
        <w:t>Theory – Fifty State Fiat Bad</w:t>
      </w:r>
    </w:p>
    <w:p w14:paraId="509DE8D2" w14:textId="77777777" w:rsidR="00325B58" w:rsidRDefault="00325B58" w:rsidP="00325B58">
      <w:pPr>
        <w:pStyle w:val="Heading4"/>
      </w:pPr>
      <w:r>
        <w:t>50 State Fiat is a voting issue for fairness and education</w:t>
      </w:r>
    </w:p>
    <w:p w14:paraId="54F9A152" w14:textId="77777777" w:rsidR="00325B58" w:rsidRDefault="00325B58" w:rsidP="00325B58">
      <w:pPr>
        <w:pStyle w:val="Heading4"/>
      </w:pPr>
      <w:r>
        <w:t>1. Destroys Aff Ground – Lack of literature about uniform state action – makes it impossible to generate solvency deficits</w:t>
      </w:r>
    </w:p>
    <w:p w14:paraId="07AEA940" w14:textId="77777777" w:rsidR="00325B58" w:rsidRDefault="00325B58" w:rsidP="00325B58">
      <w:pPr>
        <w:pStyle w:val="Heading4"/>
      </w:pPr>
      <w:r>
        <w:t>2. Topic Education – All domestic topics end up in states v federal action, moots research and decision-making skills</w:t>
      </w:r>
    </w:p>
    <w:p w14:paraId="529FA349" w14:textId="77777777" w:rsidR="00325B58" w:rsidRDefault="00325B58" w:rsidP="00325B58">
      <w:pPr>
        <w:pStyle w:val="Heading4"/>
      </w:pPr>
      <w:r>
        <w:t>3. Fairness – Infinite actors the neg could propose – infinitely regressive, especially with combinations of actors</w:t>
      </w:r>
    </w:p>
    <w:p w14:paraId="514819B6" w14:textId="2D8FFB6A" w:rsidR="00325B58" w:rsidRDefault="00325B58" w:rsidP="00325B58">
      <w:pPr>
        <w:pStyle w:val="Heading4"/>
      </w:pPr>
      <w:r>
        <w:t>4. Counter-Interpretation – the neg gets the devolution CP</w:t>
      </w:r>
      <w:r w:rsidR="00DD02F0">
        <w:t xml:space="preserve"> – devolution means uniform action isn’t durable which recenters the debate</w:t>
      </w:r>
    </w:p>
    <w:p w14:paraId="560F2E10" w14:textId="77777777" w:rsidR="00325B58" w:rsidRPr="001E2186" w:rsidRDefault="00325B58" w:rsidP="00325B58">
      <w:pPr>
        <w:pStyle w:val="Heading4"/>
      </w:pPr>
      <w:r>
        <w:t>5. Net benefits alone check – no reason the CP is necessary</w:t>
      </w:r>
    </w:p>
    <w:p w14:paraId="1F66F893" w14:textId="77777777" w:rsidR="00325B58" w:rsidRDefault="00325B58" w:rsidP="00325B58">
      <w:pPr>
        <w:pStyle w:val="Heading4"/>
      </w:pPr>
      <w:r>
        <w:t>6. The States CP destroys the topic writ-large – pigeon-holes the aff into exclusively theory arguments</w:t>
      </w:r>
    </w:p>
    <w:p w14:paraId="4C5AF44C" w14:textId="77777777" w:rsidR="00325B58" w:rsidRDefault="00325B58" w:rsidP="00325B58">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14:paraId="081F4050" w14:textId="585AD9BB" w:rsidR="00325B58" w:rsidRDefault="00325B58" w:rsidP="00325B58">
      <w:pPr>
        <w:rPr>
          <w:sz w:val="16"/>
        </w:rPr>
      </w:pPr>
      <w:r w:rsidRPr="004C1BE8">
        <w:rPr>
          <w:sz w:val="16"/>
        </w:rPr>
        <w:t xml:space="preserve">If </w:t>
      </w:r>
      <w:r w:rsidRPr="001E2186">
        <w:rPr>
          <w:rStyle w:val="StyleBoldUnderline"/>
        </w:rPr>
        <w:t>the state counterplan</w:t>
      </w:r>
      <w:r w:rsidRPr="004C1BE8">
        <w:rPr>
          <w:sz w:val="16"/>
        </w:rPr>
        <w:t xml:space="preserve"> is a powerful tool for the negative, it is a correspondingly threatening argument against the affirmative. If the negative can use its counterplan to solve for all or most of the affirmative advantage, then the debate </w:t>
      </w:r>
      <w:r w:rsidRPr="001E2186">
        <w:rPr>
          <w:rStyle w:val="Emphasis"/>
        </w:rPr>
        <w:t>effectively shifts onto negative ground -their disadvantages to federal action</w:t>
      </w:r>
      <w:r w:rsidRPr="004C1BE8">
        <w:rPr>
          <w:sz w:val="16"/>
        </w:rPr>
        <w:t xml:space="preserve">. </w:t>
      </w:r>
      <w:r w:rsidRPr="001E2186">
        <w:rPr>
          <w:rStyle w:val="StyleBoldUnderline"/>
        </w:rPr>
        <w:t>This</w:t>
      </w:r>
      <w:r w:rsidRPr="004C1BE8">
        <w:rPr>
          <w:sz w:val="16"/>
        </w:rPr>
        <w:t xml:space="preserve"> obviously </w:t>
      </w:r>
      <w:r w:rsidRPr="001E2186">
        <w:rPr>
          <w:rStyle w:val="Emphasis"/>
        </w:rPr>
        <w:t>negates the affirmative's treasured side advantage</w:t>
      </w:r>
      <w:r w:rsidRPr="004C1BE8">
        <w:rPr>
          <w:sz w:val="16"/>
        </w:rPr>
        <w:t xml:space="preserve">, </w:t>
      </w:r>
      <w:r w:rsidRPr="001E2186">
        <w:rPr>
          <w:rStyle w:val="StyleBoldUnderline"/>
        </w:rPr>
        <w:t>the ability to select the ground for the debate</w:t>
      </w:r>
      <w:r w:rsidRPr="004C1BE8">
        <w:rPr>
          <w:sz w:val="16"/>
        </w:rPr>
        <w:t xml:space="preserve">. Further more, the state counterplan poses a difficult target to attack. The Affirmative obviously cannot attack its substantive mandates since they are those of the Affirmative plan as well. </w:t>
      </w:r>
      <w:r w:rsidRPr="001E2186">
        <w:rPr>
          <w:rStyle w:val="StyleBoldUnderline"/>
        </w:rPr>
        <w:t>There are potential disadvantages to state action, but these tend to have much less impact than the potential disadvantages to federal action, and the negative may be able to dodge such disadvantages based on the way in which it words the counterplan</w:t>
      </w:r>
      <w:r w:rsidRPr="004C1BE8">
        <w:rPr>
          <w:sz w:val="16"/>
        </w:rPr>
        <w:t xml:space="preserve">. (For example, they may be able to spike state spending.) Thus, </w:t>
      </w:r>
      <w:r w:rsidRPr="001E2186">
        <w:rPr>
          <w:rStyle w:val="StyleBoldUnderline"/>
        </w:rPr>
        <w:t>an effective attack on the state counterplan is likely to have to take the form of a theory objection</w:t>
      </w:r>
      <w:r w:rsidRPr="004C1BE8">
        <w:rPr>
          <w:sz w:val="16"/>
        </w:rPr>
        <w:t xml:space="preserve">. Here the affirmative might seem to be on relatively strong ground. There is, after all, something odd about </w:t>
      </w:r>
      <w:r w:rsidRPr="001E2186">
        <w:rPr>
          <w:rStyle w:val="StyleBoldUnderline"/>
        </w:rPr>
        <w:t>the state counterplan</w:t>
      </w:r>
      <w:r w:rsidRPr="004C1BE8">
        <w:rPr>
          <w:sz w:val="16"/>
        </w:rPr>
        <w:t xml:space="preserve">. It </w:t>
      </w:r>
      <w:r w:rsidRPr="001E2186">
        <w:rPr>
          <w:rStyle w:val="StyleBoldUnderline"/>
        </w:rPr>
        <w:t>advocates the virtually simultaneous adoption by all fifty states of a virtually identical policy</w:t>
      </w:r>
      <w:r w:rsidRPr="004C1BE8">
        <w:rPr>
          <w:sz w:val="16"/>
        </w:rPr>
        <w:t xml:space="preserve">. This is something that rarely if ever occurs in the political world, leading one to the suspicion that the power of </w:t>
      </w:r>
      <w:r w:rsidRPr="001E2186">
        <w:rPr>
          <w:rStyle w:val="Emphasis"/>
        </w:rPr>
        <w:t>the state counterplan is merely an artificial artifact of fiat</w:t>
      </w:r>
      <w:r w:rsidRPr="004C1BE8">
        <w:rPr>
          <w:sz w:val="16"/>
        </w:rPr>
        <w:t xml:space="preserve">. Still, this intuition that </w:t>
      </w:r>
      <w:r w:rsidRPr="001E2186">
        <w:rPr>
          <w:rStyle w:val="StyleBoldUnderline"/>
        </w:rPr>
        <w:t>there is something rotten at the heart of the state counterplan</w:t>
      </w:r>
      <w:r w:rsidRPr="004C1BE8">
        <w:rPr>
          <w:sz w:val="16"/>
        </w:rPr>
        <w:t xml:space="preserve"> is more easily felt than it is effectively argued. Really sophisticated theory arguments are a rarity in college, let alone in high school debate. Yet </w:t>
      </w:r>
      <w:r w:rsidRPr="001E2186">
        <w:rPr>
          <w:rStyle w:val="StyleBoldUnderline"/>
        </w:rPr>
        <w:t>the ability to advance such arguments may</w:t>
      </w:r>
      <w:r w:rsidRPr="004C1BE8">
        <w:rPr>
          <w:sz w:val="16"/>
        </w:rPr>
        <w:t xml:space="preserve"> well </w:t>
      </w:r>
      <w:r w:rsidRPr="001E2186">
        <w:rPr>
          <w:rStyle w:val="StyleBoldUnderline"/>
        </w:rPr>
        <w:t>be</w:t>
      </w:r>
      <w:r w:rsidRPr="004C1BE8">
        <w:rPr>
          <w:sz w:val="16"/>
        </w:rPr>
        <w:t xml:space="preserve"> </w:t>
      </w:r>
      <w:r w:rsidRPr="001E2186">
        <w:rPr>
          <w:rStyle w:val="Emphasis"/>
        </w:rPr>
        <w:t>vital to the affirmative</w:t>
      </w:r>
      <w:r w:rsidRPr="004C1BE8">
        <w:rPr>
          <w:sz w:val="16"/>
        </w:rPr>
        <w:t xml:space="preserve"> </w:t>
      </w:r>
      <w:r w:rsidRPr="001E2186">
        <w:rPr>
          <w:rStyle w:val="StyleBoldUnderline"/>
        </w:rPr>
        <w:t>on this topic.</w:t>
      </w:r>
      <w:r w:rsidRPr="004C1BE8">
        <w:rPr>
          <w:sz w:val="16"/>
        </w:rPr>
        <w:t xml:space="preserve"> The first theoretical level at which the state counterplan can be attacked is topicality. This is not, I think, either initially or ultimately a very powerful attack, but the affirmative does at least have a couple of potential arguments here. Based on common understanding, the state counterplan is clearly nontopical. The federal government is best understood as the central government located inside the Washington, D.C. beltway. The states are therefore a separate level of government, They are, of course, part of the federal system, but they are not the federal government This conclusion has been contested in two ways. First, it is argued that the states acting together constitute the federal government. Second, it is sometimes argued that the states acting identically and in unison are engaged in what is effectively federal action. To the "states acting together are federal" argument, the negative has an easy response. In the counterplan, the states may be doing the same thing, but they are not acting together. The counterplan is not an interstate compact; it simply embodies the normal legislative process of each state acting separately. As to the "effectively federal" argument, there is still a difference between an effectively federal and an actually federal policy. One is literally undertaken by the federal government, while the other merely has the same effect as federal action. Second, the counterplan may not be "effectively federal" if it gains greater solvency or avoids some disadvantage linked uniquely to federal action. Another way to answer both of these affirmative topicality arguments is to allow for local variation within the state counterplan. This could potentially damage counterplan solvency since each state would not be doing exactly what affirmative solvency authors advocate, but it could also strengthen solvency by allowing for adaptation and experiment. Finally, the negative can also defend the legitimacy of topical counterplans. (The plan is the focus of the debate, so any policy which provides a reason to reject the plan is fair ground for the negative.) Though some judges reject this theory, many find it persuasive. But since the negative can probably win that the state counterplan is nontopical (or at least reasonably non-topical), then a "counterplans can be topical" argument is likely in this context to be no more than a final fallback. A second theoretical level on which to attack the state counterplan is competitiveness. It is clear that the counterplan is not mutually exclusive with the Affirmative. Even if the plan and counterplan enact identical policies, states and the federal government could do the same thing simultaneously. The basic question of competitiveness, however, is rarely whether the plan and counterplan could be done together but whether they should be that is, are the net benefits of adopting the counterplan alone greater than the net benefits of doing both together. It might be argued in this case that there is no net benefit to federal action duplicating exactly what the states have already done, but this is not necessarily true. All plans are subject to some degree of policy failure to circumvention, underfunding, repeal or simple insufficiency. Thus, the argument is that "redundant' policies are desirable because they assure a higher level of solvency more resources, more enforcement, etc. The Rodney King beating provides an example of beneficial redundancy; when the state courts failed to vindicate his rights, it took a federal remedy to do so. In practice, there is a good deal of redundancy between state and federal action, implying the prima facie persuasiveness of the "do both" permutation. The redundancy is good argument carries at least presumptive weight most of the time, but it is clearly not irrefutable. For example, it can be argued that duplication diffuses responsibility and that therefore either agent acting alone might be better than both acting together. More importantly, though, any risk of a disadvantage to federal action will probably be enough to outweigh the advantage of policy redundancy. What should be clear from this discussion is that </w:t>
      </w:r>
      <w:r w:rsidRPr="001E2186">
        <w:rPr>
          <w:rStyle w:val="StyleBoldUnderline"/>
        </w:rPr>
        <w:t>competitiveness is not a silver bullet for the affirmative against the state counterplan</w:t>
      </w:r>
      <w:r w:rsidRPr="004C1BE8">
        <w:rPr>
          <w:sz w:val="16"/>
        </w:rPr>
        <w:t xml:space="preserve">. Rather, </w:t>
      </w:r>
      <w:r w:rsidRPr="001E2186">
        <w:rPr>
          <w:rStyle w:val="StyleBoldUnderline"/>
        </w:rPr>
        <w:t>it is the nexus in which the various net benefits of plan and counterplan, separately and in combination, come together for their ultimate policy evaluation</w:t>
      </w:r>
      <w:r w:rsidRPr="004C1BE8">
        <w:rPr>
          <w:sz w:val="16"/>
        </w:rPr>
        <w:t xml:space="preserve">. </w:t>
      </w:r>
      <w:r w:rsidRPr="001E2186">
        <w:rPr>
          <w:rStyle w:val="StyleBoldUnderline"/>
        </w:rPr>
        <w:t>To defend counterplan competitiveness, the affirmative must show that even in light of the counterplan its plan is still a good idea, and this is largely a substantive rather than a theoretical debate</w:t>
      </w:r>
      <w:r w:rsidRPr="004C1BE8">
        <w:rPr>
          <w:sz w:val="16"/>
        </w:rPr>
        <w:t xml:space="preserve">. One way in which the affirmative can more effectively engage this debate, however, is to look carefully at the uniqueness of disadvantages relative to the counterplan. The federalism disadvantage, for example, may not work as well in combination with the state counterplan as is commonly believed. If the states are all enacting essentially the same policy, then the benefits of state action in terms of local adaptation and experiment or democratic responsiveness seem extremely slim. Even the argument that federal imposition leads to further centralization of power may not matter much if the policy being imposed is one that everyone agrees is a good idea. On the other hand, extending federal authority deeper and deeper into the realm of crime control may be bad in itself"; thus, there may be versions of the federalism disadvantage (or values of federalism) which the state counterplan doesn't compromise. The moral for the negative here is that they need to be careful in selecting their federalism impact to make it consistent with their counterplan. For the affirmative, the lesson is that the counterplan can undercut the negative's own net benefit. A similar argument is possible in terms of the Clinton disadvantage. If, as is commonly argued, the President receives credit or blame for whatever happens in America, then the popularity or unpopularity of the counterplan might well be reflected on Clinton. The recent welfare debate offers an example of the President's ability to coopt state programs. Clinton's endorsement of Wisconsin ' s welfare reform program is said to have undercut the Republicans on this issue. It is reasonable, of course, to think that Clinton will be more strongly implicated in policies for which he is directly responsible, but if, for example, Congress enacted the plan and the states the counterplan, it is not clear that Clinton would receive much more credit or blame for the one than the other. Since the basic equation of counterplan competitiveness is that the counterplan alone must be better than the plan plus the counterplan, the affirmative should always advance </w:t>
      </w:r>
      <w:r w:rsidRPr="001E2186">
        <w:rPr>
          <w:rStyle w:val="StyleBoldUnderline"/>
        </w:rPr>
        <w:t>the "do both" permutation</w:t>
      </w:r>
      <w:r w:rsidRPr="004C1BE8">
        <w:rPr>
          <w:sz w:val="16"/>
        </w:rPr>
        <w:t xml:space="preserve">. As I've noted earlier, while not a silver bullet, this permutation </w:t>
      </w:r>
      <w:r w:rsidRPr="001E2186">
        <w:rPr>
          <w:rStyle w:val="StyleBoldUnderline"/>
        </w:rPr>
        <w:t>does capture any unique advantages associated solely with state action and shift the debate back to the question of whether there is a disadvantage to the federal government acting as well</w:t>
      </w:r>
      <w:r w:rsidRPr="004C1BE8">
        <w:rPr>
          <w:sz w:val="16"/>
        </w:rPr>
        <w:t xml:space="preserve">. Beyond the traditional "do both" permutation, the affirmative may also attempt to offer various permutations which combine federal enactment with state funding or enforcement or perhaps even state enactment with federal logistical support. For somewhat complex reasons, I believe that these are not legitimate permutations. A commonly accepted standard is that a legitimate permutation combines all of the Affirmative plan with all or part of the counterplan. A permutation which adds a policy element not found in either plan or counterplan functions in effect as an intrinsicness argument against the counterplan' s net benefit and therefore is probably illegitimate. A permutation which eliminates something from the plan is in effect a plan severance argument, another approach debate theorists generally reject. </w:t>
      </w:r>
      <w:r w:rsidRPr="001E2186">
        <w:rPr>
          <w:rStyle w:val="StyleBoldUnderline"/>
        </w:rPr>
        <w:t>The "do both" permutation is clearly legitimate</w:t>
      </w:r>
      <w:r w:rsidRPr="004C1BE8">
        <w:rPr>
          <w:sz w:val="16"/>
        </w:rPr>
        <w:t xml:space="preserve"> and there are other kinds of legitimate permutations (those which combine a physical or logical component of the counterplan with all of the plan), but the other permutation examples listed here are probably unsound. If the Affirmative plan as initially advanced involves both federal enactment and implementation, then to have the states either solely enact or implement severs out a portion of the original plan. Plan severance, and severance permutations, make the plan a moving target, undermining both consistent advocacy and in-depth analysis. Thus, these permutations are probably unacceptable. (There might, however, be ways of wording a plan which would make these permutations more legitimate. The plan might, for example, provide for federal implementation unless the states chose voluntarily to implement its provisions. Or the plan might merely be offered as a federal recommendation to the states.) Another theory issue related to competitiveness is the question of presumption. The status quo is usually said to enjoy presumption in its favor because of a general risk of the unknown. But what happens then in a counterplan round where both teams advocate change? Some say that the negative automatically loses presumption because they have abandoned the status quo or because the counterplan needs to be a reason to reject the affirmative. Others argue that the negative always retains presumption, either because presumption is always against the resolution or because the affirmative always has the primary burden of justifying its plan (since the plan is the central focus of the debate) or because affirmatives win more than negatives so negative presumption offsets side bias. Still another position claims that it is the degree of change which determines presumption. In this case, the state counterplan probably retains presumption because education is currently a state issue, making the counterplan less change than the plan. As exciting as these theory issues may seem in their own right, it is less clear that the question of who has presumption really matters in practical terms. According to most theorists, presumption is simply a tie-breaker, and arguably few if any debates end up as ties. However, I think this conclusion that presumption doesn't matter is a hasty one to draw. </w:t>
      </w:r>
      <w:r w:rsidRPr="001E2186">
        <w:rPr>
          <w:rStyle w:val="StyleBoldUnderline"/>
        </w:rPr>
        <w:t>Affirmatives are often unable to win an increment of solvency to either plan or permutation over and above the state counterplan</w:t>
      </w:r>
      <w:r w:rsidRPr="004C1BE8">
        <w:rPr>
          <w:sz w:val="16"/>
        </w:rPr>
        <w:t xml:space="preserve">. But negatives, almost as often, are unable to win a net risk to a disadvantage. More often than debaters realize, agent counterplan debates do end up as ties, giving presumption arguments value for both sides. A third major theory argument which can be made against the state counterplan is to indict it for being plan inclusive. (That is, it advocates part of the affirmative plan in this case the specific mandates without the federal agent.) Against counterplans which make only a minor change in the affirmative plan, the inclusiveness objection can be a powerful argument, and based on a kind of slippery slope analysis some judges therefore reject plan inclusive counterplans altogether. Nonetheless, the state counterplan seems on balance to offer a counter-example of why some degree of plan inclusiveness is at least sometimes legitimate. First, the question of state versus federal action is a central issue in the education debate. Second, the states are arguably a more germane actor than is the federal government in secondary education policy. Third, deprived of any agent counterplan option, the negative figures to be at a huge competitive disadvantage on this topic. Fourth, the state counterplan is pretty clearly non-topical. In response to an affirmative claim that the federal government should increase academic achievement in secondary schools, it is a perfectly sensible response to say that the states should do so instead. Even if topical plan inclusive counterplans are illegitimate, non-topical ones are arguably fair game for the negative since they deny a central element of the resolution. Thus, while it is generally a good practice for the affirmative to indict plan inclusiveness whenever it appears, this seems unlikely to be a winning argument for most judges against this particular counterplan. For a fuller discussion of these issues, see Paul Skiermont's article. None of the above theory arguments seems likely to decisively defeat the state counterplan. This leaves the fourth and basic theoretical objection that the state counterplan relies on an abuse of negative fiat I believe that in theoretical terms this is the most promising line of attack. As noted above, there is an intuitive sense that it is illegitimate to fiat a state behavior (uniform, simultaneous action) which never or almost never occurs. Still, it is difficult to translate this intuition into a sustainable argument, and the theory of negative fiat is, quite frankly, a morass, a swamp filled with exotic species of fiat theory and no theoretical consensus. Nonetheless, since this seems to be the best hope for defeating the state counterplan on theory grounds, we will have to brave these murky waters. The problem of negative fiat is two-fold. First, most theorists agree there should be some form of negative fiat. Affirmative fiat is simply a shorthand for saying that the plan should be adopted whether or not it actually will be. Negative fiat, reciprocally, is based on a claim that the counterplan should be adopted, regardless of its actual chances of passage. There are at least two persuasive reasons why there should be some negative fiat. First, it is grounded in the logic of policy discourse. Opponents of a policy frequently make counterproposals, and if the purpose of policy debate is to find the best policy, then allowing the judge to endorse a counterplan clearly advances this goal. Second, as a matter of competitive equity, it seems fair that if the affirmative can propose change without showing political practicality, the negative should be able to do so as well. The negative already suffers a severe competitive disadvantage, so eliminating the counterplan from its arsenal would only make debate that much more competitively lopsided. But if the negative has fiat power, how far does that power extend? Affirmative fiat is limited by the resolution. (Even if one believes that plans can avoid disadvantages by extra-topical means, no one argues that extra-topical provisions can generate a ballot justifying advantage.) But negative power to imagine non-topical alternatives is completely unbounded. </w:t>
      </w:r>
      <w:r w:rsidRPr="004C1BE8">
        <w:rPr>
          <w:rStyle w:val="StyleBoldUnderline"/>
        </w:rPr>
        <w:t>If no limits are placed on negative fiat, they could potentially advocate changing the laws of nature</w:t>
      </w:r>
      <w:r w:rsidRPr="004C1BE8">
        <w:rPr>
          <w:sz w:val="16"/>
        </w:rPr>
        <w:t xml:space="preserve"> (bullets will pass through people without injury), or, only slightly less fancifully, advocate that all juveniles become studious and thus raise their grades. In response to such an objection, one might say that fiat is neither an act of individual choice nor of divine intervention but rather relates to choices made by institutions. But the institutional standard is itself subject to abuse. Private corporations are institutions, but it hardy seems legitimate to respond to a government plan to increase pollution control by saying corporations should voluntarily control their own pollution. Foreign fiat suffers from a similar problem. Against a case which cracks down on Chinese human rights abuses, it seems intuitively illegitimate to argue simply that China should stop abusing human rights. What these last two examples suggest may be the major problem with many counterplans that is, they seem to beg the question implied by the topic. A pollution control topic assumes the existence of a private profit motive to pollute. But the private sector counterplan imagines away the real world context of corporate behavior which the resolution was based upon. And the China counterplan likewise imagines away the geopolitical context which gave rise to the China topic. It thus seems clear that a somewhat more restrictive idea of negative fiat is needed to avoid flagrant utopianism, unlimited abuse potential, and question begging counterplans which imagine away the necessary context of resolutional discussion. </w:t>
      </w:r>
      <w:r w:rsidRPr="004C1BE8">
        <w:rPr>
          <w:rStyle w:val="StyleBoldUnderline"/>
        </w:rPr>
        <w:t>Another reason to limit negative fiat is to preserve the discussion directing function of the topic</w:t>
      </w:r>
      <w:r w:rsidRPr="004C1BE8">
        <w:rPr>
          <w:sz w:val="16"/>
        </w:rPr>
        <w:t xml:space="preserve">. We pick a new topic each year in order to discuss different, important, and timely questions. But if the same counterplan (be it anarchy, socialism, 1 world government, or even states) can be nm year after year, then the unique aspects of the topic are neglected in favor of the same tired discussions. The need to place some limits on negative fiat no longer seems very controversial. But </w:t>
      </w:r>
      <w:r w:rsidRPr="004C1BE8">
        <w:rPr>
          <w:rStyle w:val="StyleBoldUnderline"/>
        </w:rPr>
        <w:t>the nature of these limits remains highly contested</w:t>
      </w:r>
      <w:r w:rsidRPr="004C1BE8">
        <w:rPr>
          <w:sz w:val="16"/>
        </w:rPr>
        <w:t xml:space="preserve">. I want to briefly describe six theories of how negative fiat should be limited which have particular relevance to this topic. To effectively engage in the debate over negative fiat one needs to be able to defend an appropriate theory (one which justifies one's conclusion regarding the legitimacy or illegitimacy of the state counterplan) and to successfully indict alternative theories. One theory is that negative fiat is limited by the object of the resolution. So, for example, on the China topic, China is die object of resolutional analysis (as opposed to the subject, or agent, of resolutional analysis). Thus, a counterplan fiat acted through China might be regarded as question-begging and therefore illegitimate, whereas a counterplan acting through Japan or Russia (or any other international institution) would be acceptable. The subject/object distinction has been used in the past to legitimize international counterplans. My suggestion is that it might be used as an argument against the state counterplan. Since the states have primary authority over educational policy, they could be considered to be the object of die resolution fiat is, the source of the problem the resolution is intended to address. If the states are the source of the problem, then it may be illegitimate to fiat a solution through the states. The subject/object standard does check the worst abuses of international fiat, but as a theory, it possesses a number of problems. First, it is not clear that the distinction fits well into a broader theory of fiat If fiat is seen as the end result of a process of persuasion, then it is unclear why we couldn't try to persuade the object of the resolution to change rather than some less interested third party. And if fiat is simply an act of intellectual endorsement, one could just as easily endorse action by the resolution's object as by anyone else. Second, it isn't clear that (except perhaps grammatically) resolutions have particular objects. One reason to change China policy might be to stop Japanese rearmament; others might be to encourage Indian democracy, check Pakistani proliferation, or foster Russian democracy. Does this make Japan, India, Pakistan, and Russia all objects of the resolution? To say China's behavior provides die context from which die resolution is drawn is overly simplistic. The background context for the resolution at least from a U .S. perspective is the sum of actions by China and the rest of the international community. The subject/object distinction would stop a counterplan to prevent China from exporting weapons of mass destruction, but not a counterplan to prevent all other countries from buying Chinese weapons. The abuse potential still seems great and the standard itself unprincipled. Finally, in terms of domestic topics, the agent and the object are often the same. The federal government has a role, albeit limited, in education policy; thus, it is arguably part of the problem and the subject/object distinction would conceivably stop federal fiat on a federal topic. (Certainly in the case of welfare reform of health care, federal policies are seen as the central source of the problem.) In sum, the subject/object argument has promise as an Affirmative objection to the state counterplan, but it is not without its theoretical difficulties. A second standard is that fiat should be limited by the institutional nature of the agent So, for example, the private pollution control counterplan might be illegitimate because it violates the profit motive inherent to corporations. Certain international counterplans might be illegitimate because they violate nation-state sovereignty. In terms of the state counterplan, it could be argued that the institutional nature of the states is to act in a decentralized, incremental fashion and that to fiat uniform, simultaneous action by all states violates this institutional essence. Again, this standard has some plausibility. It does seem to capture something of the intuition about why the state counterplan is illegitimate without imposing a purely political standard for what policies can be fiated. But again, there are also substantial difficulties. First, the idea of an institutional nature is highly abstract, even metaphysical. As an empirical matter, corporations don't always seek to maximize profits, nor do nation-states always act so as to maximize their sovereignty. Second, this standard may fall afoul of the traditional should! would distinction. Maybe corporations shouldn't always maximize profits or nation-states' sovereignty. Maybe the states should sometimes act together in the same way. Third, the states do sometimes enact very similar policies at approximately the same time. A change in the ABA's Uniform Crime Code might, for example, be rapidly adopted by most, if not all, of the states. If fiat assumes normal means, then we would probably not imagine the states to be acting exactly the same way at the same time, but as acting in the same general way at close to the same time, and this could be consistent with their decentralized nature. A third standard for negative fiat is that it should be limited to domestic public actors. In addition to limiting most of the more self-evidently suspect counterplans, this standard is in accord with the notion that policy debate is an adjunct to democratic decision making. If this is the case (and if it is not then it is unclear why we always select issues of American public policy as our topics), then it makes sense to limit flat to agents over whom we as citizens have some democratic influence. Given this standard, the state counterplan is pretty clearly legitimate; the states are as much domestic public actors subject to democratic input as is the federal government Like all theories of fiat, this one can be criticized. Perhaps we should view ourselves as citizens of the world, not just citizens of specific nations or states. Certainly, the extent of our democratic influence over any government is highly limited. And maybe this standard doesn't go far enough to limit the scope of negative fiat for reasons articulated in defense of other standards. A fourth theory focuses on policy literature as a check on negative fiat. According to this field context standard, counterplans are only legitimate if they are proposed in the literature. Again, by this standard, the state counterplan is probably acceptable; literature proposing state action to improve achievement in secondary education is obviously abundant The literature standard for counterplans parallels the field context standard for determining Affirmative topicality, and it is based on a similar insight: for determining questions of germaneness (or relevance to a discussion) the actual policy context as revealed in the surrounding policy literature is the best guide. I find this argument persuasive, but the standard it produces does become blurred at the margins. How specifically does the counterplan have to appear in the literature? Requiring the exact counterplan to have been proposed seems too restrictive, but allowing any counterplan the broadest principle of which can be found in the literature seems too expansive. In practice, this standard tends to accompany other more limited or expansive standards. Certainly, contextual support bolsters the credibility of any counterplan but perhaps it is neither necessary nor sufficient given other concerns. A fifth standard for fiat focuses on the political feasibility of counterplans. Dallas Perkins' "realm of discourse" standard argues that counterplans should only be permitted if they are as politically practical as the affirmative plan. (Another version of the political practicality standard is David Cheshier's argument that the net impact of both plan and counterplan should be determined by multiplying the gross impact of each times its probability of adoption and then weighing the two.) At fl1"St glance, it seems that the political feasibility standard would be effective as an argument against the state counterplan, and in some cases it probably can be since the state counterplan is extremely unlikely. On the other hand, many of the affirmative plans on this topic are also very improbable, so the argument may have less force than one would initially imagine. Political practicality as a standard clearly has benefits of stressing policy realism and discouraging utopian counterplans. On the other hand, it has the disadvantage of discouraging thought about basic alternatives. Affirmatives are encouraged to pick very small plans only slightly different from the status quo in order to forestall systemic counterplans. In policy discourse beyond debate, policies aren't discarded from consideration just because there is some more politically popular alternative or at least they shouldn't be. An academic forum such as competitive debate should arguably err on the side of considering less immediately practical political options. Debaters are not practicing politicians seeking reelection (the Clinton disadvantage notwithstanding), so intellectual understanding of a range of alternatives can legitimately receive higher priority. The political practicality standard in its various forms seems to violate the focus on what should be done rather than what will be actually adopted, and, finally, comparative political probabilities of adoption are very difficult to quantify and debate. A sixth and final standard is that negative fiat should be limited to the agent specified in the resolution. If the judge acts as a decision maker considering a federal policy, then s/he could not simultaneously be a state policymaker evaluating a state alternative. To put it another way, the resolution defines the role of the judge, thereby constraining negative fiat. This standard clearly would disallow the state counterplan, since the agent of this topic is the federal government The resolutional agent standard has the benefit of offering a relatively clear line. It is also a fairly easy standard to articulate and defend. Its basic problem is that it seems attached to a narrow, literalistic policy making model of debate which is no longer widely shared. Few contemporary debate judges actually think of themselves as simulating the role of an actual policy maker. Rather, the judge is simply him or herself evaluating policy arguments and endorsing what s/he sees as the optimal policy at the end of the round. It is sometimes argued that even within this framework the resolutional agent standard would be justified; in asking if the federal government should do something, we assume the perspective of the federal government even if we don't actually pretend to be the federal government, and from that perspective what other agents should do (as opposed to what they will do) is irrelevant This argument has a certain appeal, but it seems to assume that </w:t>
      </w:r>
      <w:r w:rsidRPr="004C1BE8">
        <w:rPr>
          <w:rStyle w:val="StyleBoldUnderline"/>
        </w:rPr>
        <w:t>the main focus of the topic is on the action not the agent</w:t>
      </w:r>
      <w:r w:rsidRPr="004C1BE8">
        <w:rPr>
          <w:sz w:val="16"/>
        </w:rPr>
        <w:t xml:space="preserve">. That is, it assumes that </w:t>
      </w:r>
      <w:r w:rsidRPr="004C1BE8">
        <w:rPr>
          <w:rStyle w:val="StyleBoldUnderline"/>
        </w:rPr>
        <w:t>the topic is primarily about what the federal government should do, rather than who should do something to strengthen academic achievement</w:t>
      </w:r>
      <w:r w:rsidRPr="004C1BE8">
        <w:rPr>
          <w:sz w:val="16"/>
        </w:rPr>
        <w:t xml:space="preserve">. Unfortunately or fortunately, depending on your perspective, there is no reason to think that the resolution is focused more on the what than on the who. Nothing in the structure or logic of the resolution draws that distinction, and it is a premise which seems essential to this standard. In sum, the state counterplan is probably best attacked using a resolutional agent, an institutional nature, or a subject! object concept of negative fiat It is best defended using the domestic public actor standard in combination with the literature standard. Political feasibility standards of negative fiat are potentially useful to both sides depending on the particular affirmative plan and (to a lesser extent) the exact wording of the counterplan. (Counterplans allowing more state variation are probably more politically likely.) This is not an easy branch of debate theory to master, but it figures to be an extremely useful one on this topic. In debating the state counterplan, the affirmative should probably raise several theory objections. I believe that the fiat arguments and the indictment of plan inclusiveness are the strongest available, but the affirmative should also indict conditionality if the counterplan is conditional. The topicality objections seem less promising with regard to the state counterplan. For the negative engaged in this theory debate, the best strategy is usually to bury the theory arguments in the negative block. If this happens, the Affirmative should probably pick only its strongest theory indictment to extend into rebuttals. While this focusing is important, it is also essential to thoroughly answer the negative arguments on the position you choose to go for. Less than thorough extension of theory is a recipe for an easy 2NR. Beyond the pure theory arguments, the Affirmative should at least offer the permutation of doing both plan and counterplan. The negative needs to clearly explain why its disadvantages apply to the permutation but not the counterplan alone and to explain the illegitimacy of any permutations which subtract from the initial affirmative plan. It is also important, however, that the affirmative be prepared to attack the substance of the counterplan as well as its theory. This can be done in several ways. The first, arguing that the disadvantages apply to the counterplan, has already been discussed. Second, the affirmative needs to compare the solvency of plan (and permutation) to the solvency of the counterplan. Ideally, at least some solvency evidence should indicate why the federal government is superior in this area. Third, the affirmative should run at least one disadvantage to the counterplan. If the counterplan allows state flexibility, then the affirmative may be able to win that it is more likely to be circumvented. Second, the Affirmative may have added solvency because only the federal government can enact the plan in the District of Columbia and the territories. (One negative option here is to grant D.C. and the territories home rule and then to have them do the plan.) The net benefit of acting in D.C. and the territories might seem minimal, but it is at least a small net benefit, and it can perhaps be linked to an international modeling advantage based on the claim that America's national capital is uniquely visible. A third disadvantage (included in the state counterplan section of the DRG) is state spending. Fourth, the affirmative might wish to enter the federalism debate by arguing that the counterplan gives too much power and responsibility to the states and that this damages the federal system by overly downplaying the role of the federal government. Fifth, the Affirmative may wish to initiate the Clinton debate, even if the negative has not They could argue that the plan would make Clinton either more or less popular, with corresponding impacts pertaining to the desirability or undesirability of his agenda. This last option should be used with some discretion because it does, after all, give the negative something for which they usually have to struggle a Clinton link. And once there is a clear Clinton link in the round, the case impacts are likely to be dwarfed by the Clinton impacts. Finally, if the counterplan figures to capture most or all of Affirmative solvency, then the Affirmative may wish to place even more emphasis than usual on turning disadvantages (though once again this does have the effect of shifting the debate more onto negative ground). My final advice to the Affirmative in terms of debating the state counterplan is the most simple yet potentially the most effective: try to select a plan which avoids the counterplan altogether. This can be attempted in several ways. First, the plan may do something that the states can't do. For example, the states can't abolish federal aspects of the war on drugs, nor can the states do something which the Supreme Court claims is constitutionally impermissible. In sum, cases which have a federal inherency can probably only be adopted at the federal level. Even this strategy, however, may not be totally immune to the state counterplan. Such plans may remove a federal barrier and then set up a federal program. If this is the case, the negative may be able to counterplan with removing the federal barrier and then having the states adopt the program. This, of course, is highly plan inclusive and therefore subject to theoretical indictment, and it will not apply if the affirmative program is exclusively to remove current federal standards or policies; still, it is a negative option which the Affirmative needs to keep in mind when constructing its plan. A second option is for the affirmative to do its plan only in the District of Columbia and the territories (or more broadly only in the federal judicial system). The initial advantage to this plan is relatively small, but so of course are the disadvantage links. Further, the Affirmative may be able to claim a federal leadership advantage, though the spillover to the states would be subject to the state counterplan. Finally, the Affirmative might simply encourage the states to adopt a certain policy and provide data relevant to that policy. This approach avoids imposing something on the states and it costs relatively little, though it would probably link to Clinton. Again, the state counterplan is not completely avoided. The negative could argue that the states should act on their own without federal encouragement and that the states could then study program effectiveness through an institutional mechanism of their own device, such as the Council of State Governments. But here the permutation combining federal encouragement and study with state enactment does seem to produce an increment of solvency. There is very good evidence that research and evaluation is the most legitimate role in education for the federal government. It is a role they already play with some apparent success. So, at minimum, the permutation figures to have a net benefit in terms of policy evaluation to weigh against any minimal DA link to a relatively small plan. Furthermore, the permutation might give the Clinton DA a unique twist, since if all the states immediately fell into line behind a Clinton initiative, this action would probably be read as a major political victory for the President. The state counterplan will remain a tricky argument, but it is one which will be encountered repeatedly on this topic, and the teams which master its subtleties will enjoy a large competitive edge. Addendum on Education I noted in the preceding article that the juvenile crime topic was one of the most extensive that I have encountered. The academic achievement topic is probably even broader. And while the federal role in education is somewhat greater than it is in juvenile crime, the state counterplan figures to be an extremely common negative strategy in the year to come. </w:t>
      </w:r>
      <w:r w:rsidRPr="004C1BE8">
        <w:rPr>
          <w:rStyle w:val="StyleBoldUnderline"/>
        </w:rPr>
        <w:t>Since the state counterplan is relatively difficult to debate straight up, affirmatives will clearly try to select cases which avoid the counterplan to the maximum degree possible</w:t>
      </w:r>
      <w:r w:rsidRPr="004C1BE8">
        <w:rPr>
          <w:sz w:val="16"/>
        </w:rPr>
        <w:t xml:space="preserve">. One way to do this is to apply the plan only in schools fairly directly within federal jurisdiction. for example, within Washington. D.C. This would produce a small direct advantage, but it might be argued that the states would model a successful D.C. school initiative. The modeling advantage, however, does not escape the state counterplan very effectively; the counterplan can simply have the states duplicate the plan without waiting for the D.C. experiment to model. Another approach is federal research. There is a good deal of evidence, even from fairly conservative sources, that research is the proper role of the federal government in education and that the federal government is uniquely qualified to undertake such inquiries. Again, it is possible to counterplan with state-based research, but the affirmative can probably win that the research undertaken by the federal government will be at least marginally superior. Another possible strategy is to repeal or retrench existing federal education policies. This might include consolidating federal aid to education into block grants, abolishing Goals 2000, or even disbanding the Department of Education. These are all things that the federal government alone can do, so the state counterplan would not seem to be directly applicable. This does not, however, completely immunize the affirmative from the state counterplan strategy. The negative could essentially duplicate the effect of the block grants plan by having the states refuse federal money and increase their own revenue sources. Similarly, the states could voluntarily opt out of the Goals 2000 standards process or, more broadly, ignore Department of Education recommendations. None of these are classical "do the affirmative" state counterplans, but they accomplish the same basic objective. Finally, the affirmative may want to look for areas in which a federal modeling advantage is especially plausible. One example could be the area of bilingualism. A federal policy expanding (or contracting) bilingualism might be a stronger signal to foreign countries than state policies alone, though the uniform fifty state counterplan would also seem to send a pretty strong signal. As I noted in the main article, the affirmative should always be ready to run a disadvantage against the state counterplan. In this handbook, we have developed the state spending disadvantage in some depth for this purpose. (This disadvantage also links to plans which impose unfunded mandates on the states, but its greatest use is likely to be against state counterplans.) In response to the state spending DA, the negative should think seriously about specifying its funding. No way of funding a policy is free of disadvantages, but this way the negative can at least attempt to control the ground on which the spending debate will occur. Two of the stronger theory arguments against state counterplans involve indictments of plan inclusiveness and of the negative's theory of fiat. Because the theory debate figures to be so central to the state counterplan, I want to conclude with a few comments on these theory issues. It is fairly easy to argue that the state counterplan is plan inclusive. It does, after all, duplicate the mandates of the affirmative plan, merely competing with the afflrmative at the level of agent. There is, however, at least one argument for why the state counterplan is not plan inclusive. When a counterplan duplicates the Affirmative through another federal agent, the same implementation process, enjoying the same enforcement, the same funding, and the same bureaucracy will occur. Enactment at the state level uses a completely different administrative, legislative, and judicial machinery to carry out the counterplan. By involving a totally different set of actors, the state counterplan thus can claim to not be plan inclusive. I am not sure that this argument is ultimately successful. It does prove that the counterplan is less "plan inclusive than a federal agent counterplan would be (and thus probably gives the affirmative more ground for attack), but it still does include all of the affirmative plan's mandates. But there is at least a small set of judges who regard this degree of plan inclusiveness as more acceptable; thus, it is probably an argument worth advancing. The major recent development in the theory of negative fiat has been advanced by Mike Korcok of Florida State University. Korcok argues that counterplans should be understood in terms of "opportunity costs." This is a term derived from economics which relates to the different ways in which resources can be employed. The opportunity cost of one action is that it may foreclose another, more desirable, approach. An opportunity cost of putting a thousand dollars into the bank is that the money might earn more in a mutual fund. (Of course, it might also lose more.) In terms of public policies, an opportunity cost of adopting one policy is that it precludes the adoption of another, mutually exclusive, policy. Or it might preclude the adoption of the optimal policy, if the counterplan alone is superior to the plan plus the counterplan. The concept of opportunity costs lends credence to the argument that negative fiat should be limited to the Affirmative agent. Opportunity costs are always evaluated from the standpoint of individual decision makers. Federal enactment might have the opportunity cost of precluding a superior, exclusively state, option. But the preclusion of the state option is not really an opportunity costs unless the states actually will act. What other actors will do rather than what they should do, is the key determinant of my opportunity costs. The language of opportunity costs is a good way to think about counterplans, but it is not the only way. More importantly, it does not necessarily specify the perspective that the judge as opportunity chooser should adopt. </w:t>
      </w:r>
      <w:r w:rsidRPr="004C1BE8">
        <w:rPr>
          <w:rStyle w:val="StyleBoldUnderline"/>
        </w:rPr>
        <w:t>If the judge chooses as the federal government, then s/he does not have the option of enacting state level policies</w:t>
      </w:r>
      <w:r w:rsidRPr="004C1BE8">
        <w:rPr>
          <w:sz w:val="16"/>
        </w:rPr>
        <w:t>. But the whole debate over negative fiat, for the past twenty years, has precisely been over whether the judge should assume the role of the federal government. Judges need not act as the federal government; they might evaluate the round from the standpoint of an individual citizen or scholar. In approaching a debate in this way, the judge does not imagine him or herself as enacting the best policy but as endorsing the best policy. The opportunity cost metaphor can still be employed within this concept of fiat, but it functions differently. While federal decision makers cannot enact state level policies, individual scholars and citizens can endorse state level action as superior to federal action. And for the scholar or citizen, the opportunity cost of endorsing the federal policy might be that s/he is prevented from endorsing a superior exclusively state policy as the best policy option available.</w:t>
      </w:r>
    </w:p>
    <w:p w14:paraId="79C2DCA8" w14:textId="3B29FA45" w:rsidR="001623C3" w:rsidRDefault="001623C3" w:rsidP="001623C3">
      <w:pPr>
        <w:pStyle w:val="Heading3"/>
      </w:pPr>
      <w:r>
        <w:t>1AR Not Real World</w:t>
      </w:r>
    </w:p>
    <w:p w14:paraId="54730B39" w14:textId="2036BDDE" w:rsidR="001623C3" w:rsidRPr="00B87E70" w:rsidRDefault="00453C9A" w:rsidP="001623C3">
      <w:pPr>
        <w:pStyle w:val="Heading4"/>
      </w:pPr>
      <w:r>
        <w:t>Only Congress can enact uniform education reforms</w:t>
      </w:r>
    </w:p>
    <w:p w14:paraId="5C826199" w14:textId="46D5252B" w:rsidR="001623C3" w:rsidRDefault="001623C3" w:rsidP="001623C3">
      <w:r w:rsidRPr="00E56650">
        <w:rPr>
          <w:rStyle w:val="StyleStyleBold12pt"/>
        </w:rPr>
        <w:t>Morgan</w:t>
      </w:r>
      <w:r>
        <w:rPr>
          <w:rStyle w:val="StyleStyleBold12pt"/>
        </w:rPr>
        <w:t xml:space="preserve"> Professor of Law at NYU</w:t>
      </w:r>
      <w:r w:rsidRPr="00E56650">
        <w:rPr>
          <w:rStyle w:val="StyleStyleBold12pt"/>
        </w:rPr>
        <w:t xml:space="preserve"> and Zietlow</w:t>
      </w:r>
      <w:r>
        <w:rPr>
          <w:rStyle w:val="StyleStyleBold12pt"/>
        </w:rPr>
        <w:t xml:space="preserve"> Professor of Law at the University of Toledo Law School</w:t>
      </w:r>
      <w:r w:rsidRPr="00E56650">
        <w:rPr>
          <w:rStyle w:val="StyleStyleBold12pt"/>
        </w:rPr>
        <w:t xml:space="preserve"> </w:t>
      </w:r>
      <w:r>
        <w:rPr>
          <w:rStyle w:val="StyleStyleBold12pt"/>
        </w:rPr>
        <w:t>‘</w:t>
      </w:r>
      <w:r w:rsidRPr="00E56650">
        <w:rPr>
          <w:rStyle w:val="StyleStyleBold12pt"/>
        </w:rPr>
        <w:t>5</w:t>
      </w:r>
      <w:r w:rsidR="00453C9A">
        <w:t xml:space="preserve"> (Denise and Rebecca, </w:t>
      </w:r>
      <w:r>
        <w:t xml:space="preserve">Summer. Lexis.) </w:t>
      </w:r>
    </w:p>
    <w:p w14:paraId="10E706E6" w14:textId="77777777" w:rsidR="001623C3" w:rsidRPr="001623C3" w:rsidRDefault="001623C3" w:rsidP="001623C3">
      <w:pPr>
        <w:rPr>
          <w:rStyle w:val="Style9pt"/>
          <w:sz w:val="16"/>
        </w:rPr>
      </w:pPr>
      <w:r w:rsidRPr="001623C3">
        <w:rPr>
          <w:sz w:val="16"/>
        </w:rPr>
        <w:t>The limitations that the Supreme Court has placed on Congress's powers in the name of states' rights have severely weakened the one institution that has a constitutional mandate to create a nationally uniform baseline of rights of belonging and the ability to do so. Although state legislatures have played--and should continue to play--an important role in more fully developing our national understanding of what rights are necessary to belong to America</w:t>
      </w:r>
      <w:r w:rsidRPr="001623C3">
        <w:rPr>
          <w:rStyle w:val="Style9pt"/>
          <w:sz w:val="16"/>
        </w:rPr>
        <w:t xml:space="preserve">, </w:t>
      </w:r>
      <w:r w:rsidRPr="00E56650">
        <w:rPr>
          <w:rStyle w:val="StyleBoldUnderline"/>
        </w:rPr>
        <w:t xml:space="preserve">state legislation is simply </w:t>
      </w:r>
      <w:r w:rsidRPr="00E56650">
        <w:rPr>
          <w:rStyle w:val="Emphasis"/>
        </w:rPr>
        <w:t>not an adequate substitute</w:t>
      </w:r>
      <w:r w:rsidRPr="00E56650">
        <w:rPr>
          <w:rStyle w:val="StyleBoldUnderline"/>
        </w:rPr>
        <w:t xml:space="preserve"> for federal legislation because it must necessarily be </w:t>
      </w:r>
      <w:r w:rsidRPr="00B87E70">
        <w:rPr>
          <w:rStyle w:val="Emphasis"/>
        </w:rPr>
        <w:t>piecemeal and varied</w:t>
      </w:r>
      <w:r w:rsidRPr="00E56650">
        <w:rPr>
          <w:rStyle w:val="StyleStyle49ptChar"/>
          <w:rFonts w:eastAsiaTheme="minorHAnsi"/>
        </w:rPr>
        <w:t>.</w:t>
      </w:r>
      <w:r w:rsidRPr="001623C3">
        <w:rPr>
          <w:rStyle w:val="Style9pt"/>
          <w:sz w:val="16"/>
        </w:rPr>
        <w:t xml:space="preserve"> </w:t>
      </w:r>
      <w:r w:rsidRPr="001623C3">
        <w:rPr>
          <w:sz w:val="16"/>
        </w:rPr>
        <w:t>In contrast, Congress has greater institutional competence to determine when there is a need for rights of belonging than individual state legislatures have,</w:t>
      </w:r>
      <w:r w:rsidRPr="00E56650">
        <w:rPr>
          <w:rStyle w:val="StyleStyle49ptChar"/>
          <w:rFonts w:eastAsiaTheme="minorHAnsi"/>
        </w:rPr>
        <w:t xml:space="preserve"> </w:t>
      </w:r>
      <w:r w:rsidRPr="00E56650">
        <w:rPr>
          <w:rStyle w:val="StyleBoldUnderline"/>
        </w:rPr>
        <w:t>only Congress can create a nationally uniform baseline of rights</w:t>
      </w:r>
      <w:r w:rsidRPr="001623C3">
        <w:rPr>
          <w:rStyle w:val="Style9pt"/>
          <w:sz w:val="16"/>
        </w:rPr>
        <w:t xml:space="preserve">, </w:t>
      </w:r>
      <w:r w:rsidRPr="001623C3">
        <w:rPr>
          <w:sz w:val="16"/>
        </w:rPr>
        <w:t>and a shared understanding of rights of belonging reinforces those rights and strengthens our political community.</w:t>
      </w:r>
      <w:r w:rsidRPr="001623C3">
        <w:rPr>
          <w:rStyle w:val="Style9pt"/>
          <w:sz w:val="16"/>
        </w:rPr>
        <w:t xml:space="preserve"> </w:t>
      </w:r>
      <w:r w:rsidRPr="00E56650">
        <w:rPr>
          <w:rStyle w:val="StyleBoldUnderline"/>
        </w:rPr>
        <w:t xml:space="preserve">Accordingly, </w:t>
      </w:r>
      <w:r w:rsidRPr="00E56650">
        <w:rPr>
          <w:rStyle w:val="Emphasis"/>
        </w:rPr>
        <w:t>the Supreme Court should not attempt to delegate Congress's role in protecting rights of belonging to state governments based on the assumption that there is parity</w:t>
      </w:r>
      <w:r w:rsidRPr="00E56650">
        <w:rPr>
          <w:rStyle w:val="StyleBoldUnderline"/>
        </w:rPr>
        <w:t xml:space="preserve"> between the institutions</w:t>
      </w:r>
      <w:r w:rsidRPr="001623C3">
        <w:rPr>
          <w:rStyle w:val="Style9pt"/>
          <w:sz w:val="16"/>
        </w:rPr>
        <w:t>.</w:t>
      </w:r>
    </w:p>
    <w:p w14:paraId="43980CA5" w14:textId="77777777" w:rsidR="001623C3" w:rsidRPr="001623C3" w:rsidRDefault="001623C3" w:rsidP="001623C3"/>
    <w:p w14:paraId="055B43AF" w14:textId="77777777" w:rsidR="00AC0F68" w:rsidRDefault="00AC0F68" w:rsidP="00325B58">
      <w:pPr>
        <w:rPr>
          <w:sz w:val="16"/>
        </w:rPr>
      </w:pPr>
    </w:p>
    <w:p w14:paraId="1940555C" w14:textId="546F6E8C" w:rsidR="00AC0F68" w:rsidRDefault="001623C3" w:rsidP="001623C3">
      <w:pPr>
        <w:pStyle w:val="Heading2"/>
      </w:pPr>
      <w:r>
        <w:t>**Generic States CP Bad</w:t>
      </w:r>
    </w:p>
    <w:p w14:paraId="213F4925" w14:textId="75B5C532" w:rsidR="001623C3" w:rsidRDefault="001623C3" w:rsidP="001623C3">
      <w:pPr>
        <w:pStyle w:val="Heading3"/>
      </w:pPr>
      <w:r>
        <w:t>1AR Perm Evidence</w:t>
      </w:r>
    </w:p>
    <w:p w14:paraId="595B13A3" w14:textId="2DA8B13B" w:rsidR="001623C3" w:rsidRDefault="001623C3" w:rsidP="001623C3">
      <w:pPr>
        <w:pStyle w:val="Heading4"/>
      </w:pPr>
      <w:r>
        <w:t>Perm is theoretically legit and solves the DA link</w:t>
      </w:r>
    </w:p>
    <w:p w14:paraId="160D3374" w14:textId="004CA74A" w:rsidR="001623C3" w:rsidRPr="001623C3" w:rsidRDefault="001623C3" w:rsidP="001623C3">
      <w:pPr>
        <w:rPr>
          <w:rStyle w:val="StyleStyleBold12pt"/>
          <w:b w:val="0"/>
        </w:rPr>
      </w:pPr>
      <w:r w:rsidRPr="001623C3">
        <w:rPr>
          <w:rStyle w:val="StyleStyleBold12pt"/>
        </w:rPr>
        <w:t>Weingarten</w:t>
      </w:r>
      <w:r>
        <w:rPr>
          <w:rStyle w:val="StyleStyleBold12pt"/>
        </w:rPr>
        <w:t xml:space="preserve"> President of the American Federation of Teachers</w:t>
      </w:r>
      <w:r w:rsidRPr="001623C3">
        <w:rPr>
          <w:rStyle w:val="StyleStyleBold12pt"/>
        </w:rPr>
        <w:t xml:space="preserve"> </w:t>
      </w:r>
      <w:r>
        <w:rPr>
          <w:rStyle w:val="StyleStyleBold12pt"/>
        </w:rPr>
        <w:t>’</w:t>
      </w:r>
      <w:r w:rsidRPr="001623C3">
        <w:rPr>
          <w:rStyle w:val="StyleStyleBold12pt"/>
        </w:rPr>
        <w:t>17</w:t>
      </w:r>
      <w:r>
        <w:rPr>
          <w:rStyle w:val="StyleStyleBold12pt"/>
        </w:rPr>
        <w:t xml:space="preserve"> </w:t>
      </w:r>
      <w:r>
        <w:rPr>
          <w:rStyle w:val="StyleStyleBold12pt"/>
          <w:b w:val="0"/>
        </w:rPr>
        <w:t xml:space="preserve">(Randi, </w:t>
      </w:r>
    </w:p>
    <w:p w14:paraId="137B9773" w14:textId="77777777" w:rsidR="001623C3" w:rsidRPr="00405987" w:rsidRDefault="001623C3" w:rsidP="001623C3">
      <w:pPr>
        <w:rPr>
          <w:sz w:val="16"/>
          <w:szCs w:val="16"/>
        </w:rPr>
      </w:pPr>
      <w:r w:rsidRPr="00405987">
        <w:rPr>
          <w:sz w:val="16"/>
          <w:szCs w:val="16"/>
        </w:rPr>
        <w:t>Randi Weingarten (President of American Federation of Teachers). “Four Pillars to Achieve Powerful, Purposeful Public Education ... Or Reigniting the Education Wars.” Remarks at the National Press Club. January 9</w:t>
      </w:r>
      <w:r w:rsidRPr="00405987">
        <w:rPr>
          <w:sz w:val="16"/>
          <w:szCs w:val="16"/>
          <w:vertAlign w:val="superscript"/>
        </w:rPr>
        <w:t>th</w:t>
      </w:r>
      <w:r w:rsidRPr="00405987">
        <w:rPr>
          <w:sz w:val="16"/>
          <w:szCs w:val="16"/>
        </w:rPr>
        <w:t>, 2017. https://www.aft.org/press/speeches/four-pillars-achieve-powerful-purposeful-public-education-or-reigniting</w:t>
      </w:r>
    </w:p>
    <w:p w14:paraId="13E5E603" w14:textId="1B6AA07A" w:rsidR="001623C3" w:rsidRDefault="001623C3" w:rsidP="001623C3">
      <w:pPr>
        <w:rPr>
          <w:sz w:val="16"/>
          <w:szCs w:val="16"/>
        </w:rPr>
      </w:pPr>
      <w:r w:rsidRPr="00252E5F">
        <w:rPr>
          <w:sz w:val="16"/>
          <w:szCs w:val="16"/>
        </w:rPr>
        <w:t xml:space="preserve">ESSA: The New </w:t>
      </w:r>
      <w:r w:rsidRPr="00453C9A">
        <w:rPr>
          <w:sz w:val="16"/>
          <w:szCs w:val="16"/>
        </w:rPr>
        <w:t>Education Federalism When you see a neighborhood public school that’s working anywhere in the country, you see these four pillars I’ve described. They’re not one-size-fits-all; they’re tailored to different communities and needs. And they’re not a magic elixir; they need to be funded and supported. One thing they don’t need is a change in federal law. That already happened with ESSA. ESSA creates the potential to put these pillars in place, although it doesn’t guarantee it.</w:t>
      </w:r>
      <w:r w:rsidRPr="00453C9A">
        <w:rPr>
          <w:rStyle w:val="StyleBoldUnderline"/>
        </w:rPr>
        <w:t xml:space="preserve"> The frontier in education has moved from Washington, D.C., to state capitols, districts and school communities. </w:t>
      </w:r>
      <w:r w:rsidRPr="00453C9A">
        <w:rPr>
          <w:rStyle w:val="Emphasis"/>
        </w:rPr>
        <w:t>This doesn’t mean that the federal government has no role.</w:t>
      </w:r>
      <w:r w:rsidRPr="00453C9A">
        <w:rPr>
          <w:sz w:val="16"/>
          <w:szCs w:val="16"/>
        </w:rPr>
        <w:t xml:space="preserve"> We still need it to promote equity by funding schools that serve disadvantaged children and protecting the civil rights of all children, including LGBTQ students, still vitally important 60 years after the landmark Brown v. Board of Education decision. But </w:t>
      </w:r>
      <w:r w:rsidRPr="00453C9A">
        <w:rPr>
          <w:rStyle w:val="StyleBoldUnderline"/>
        </w:rPr>
        <w:t xml:space="preserve">ESSA quelled the education wars and </w:t>
      </w:r>
      <w:r w:rsidRPr="00453C9A">
        <w:rPr>
          <w:rStyle w:val="Emphasis"/>
        </w:rPr>
        <w:t>enabled our shared attention</w:t>
      </w:r>
      <w:r w:rsidRPr="00453C9A">
        <w:rPr>
          <w:rStyle w:val="StyleBoldUnderline"/>
        </w:rPr>
        <w:t xml:space="preserve"> to turn to what works: </w:t>
      </w:r>
      <w:r w:rsidRPr="00453C9A">
        <w:rPr>
          <w:rStyle w:val="Emphasis"/>
        </w:rPr>
        <w:t>collaboration, and capacity building</w:t>
      </w:r>
      <w:r w:rsidRPr="00453C9A">
        <w:rPr>
          <w:rStyle w:val="StyleBoldUnderline"/>
        </w:rPr>
        <w:t>, and powerful learning, and the well-being of all children. Practical concepts that are scalable and sustainable; that Republicans and Democrats can support; and that red states and blue states, and rural, suburban and urban schools, can implement with the right investment and management</w:t>
      </w:r>
      <w:r w:rsidRPr="00453C9A">
        <w:rPr>
          <w:sz w:val="16"/>
          <w:szCs w:val="16"/>
        </w:rPr>
        <w:t>. One speech cannot encompass everything we need to do for</w:t>
      </w:r>
      <w:r w:rsidRPr="0073610C">
        <w:rPr>
          <w:sz w:val="16"/>
          <w:szCs w:val="16"/>
        </w:rPr>
        <w:t xml:space="preserve"> children, families and communities. We need to fight for a living wage, for retirement security, for affordable and accessible healthcare and college, and for universal pre-K, to name a few. And you can be sure we’ll continue to fight for those. But the passage of ESSA has created a moment of opportunity to use these four pillars to help make every neighborhood public school a place that parents want to send their kids, educators want to work and kids want to be.</w:t>
      </w:r>
    </w:p>
    <w:p w14:paraId="73868B07" w14:textId="40A1CEEA" w:rsidR="00453C9A" w:rsidRDefault="00453C9A" w:rsidP="00453C9A">
      <w:pPr>
        <w:pStyle w:val="Heading3"/>
      </w:pPr>
      <w:r>
        <w:t>2AC States =/= Accountable</w:t>
      </w:r>
    </w:p>
    <w:p w14:paraId="1A8BB6BC" w14:textId="3B26BE3B" w:rsidR="00453C9A" w:rsidRPr="00B1043E" w:rsidRDefault="00453C9A" w:rsidP="00453C9A">
      <w:pPr>
        <w:pStyle w:val="Heading4"/>
      </w:pPr>
      <w:r>
        <w:t>Internal politics corrupt the CP - fed action keeps states in check</w:t>
      </w:r>
    </w:p>
    <w:p w14:paraId="7CEE07F6" w14:textId="7FDB6A47" w:rsidR="00453C9A" w:rsidRPr="00B748D9" w:rsidRDefault="00453C9A" w:rsidP="00453C9A">
      <w:r>
        <w:rPr>
          <w:rStyle w:val="StyleStyleBold12pt"/>
        </w:rPr>
        <w:t>Louis Regents Professor and Robert Holmes Beck Chair of Ideas in Education at the University of Minnesota ‘</w:t>
      </w:r>
      <w:r w:rsidRPr="0043159A">
        <w:rPr>
          <w:rStyle w:val="StyleStyleBold12pt"/>
        </w:rPr>
        <w:t xml:space="preserve">15 </w:t>
      </w:r>
      <w:r>
        <w:rPr>
          <w:rStyle w:val="StyleStyleBold12pt"/>
          <w:b w:val="0"/>
        </w:rPr>
        <w:t xml:space="preserve">(Karen, “Political Cultures in Education: Emerging Perspectives” in </w:t>
      </w:r>
      <w:r>
        <w:rPr>
          <w:rStyle w:val="StyleStyleBold12pt"/>
          <w:b w:val="0"/>
          <w:i/>
        </w:rPr>
        <w:t>Handbook of Education and Policy</w:t>
      </w:r>
      <w:r>
        <w:rPr>
          <w:rStyle w:val="StyleStyleBold12pt"/>
          <w:b w:val="0"/>
        </w:rPr>
        <w:t xml:space="preserve">, Routledge Publishing, pp. 122-123) </w:t>
      </w:r>
    </w:p>
    <w:p w14:paraId="0B9079EA" w14:textId="52B45503" w:rsidR="00453C9A" w:rsidRPr="00453C9A" w:rsidRDefault="00453C9A" w:rsidP="00453C9A">
      <w:r w:rsidRPr="00B1043E">
        <w:rPr>
          <w:sz w:val="16"/>
        </w:rPr>
        <w:t xml:space="preserve">In the United States, individual states bear the responsibility for developing most significant social policies, even when they do so within federal guidelines (Reeves, 1990). Even the No Child Left Behind (NCLB) Act acknowledges the central role of the states in setting standards and designing their own accountability systems (Sunderman, 2003), and the more recent federal initiatives such as Race to the Top also presume that the states will change policies in areas such as teacher and principal evaluation and school choice. </w:t>
      </w:r>
      <w:r w:rsidRPr="00AF5AEE">
        <w:rPr>
          <w:rStyle w:val="StyleBoldUnderline"/>
        </w:rPr>
        <w:t>NCLB foreshadowed a more formal, national regulatory system, but because school</w:t>
      </w:r>
      <w:r>
        <w:rPr>
          <w:rStyle w:val="StyleBoldUnderline"/>
        </w:rPr>
        <w:t xml:space="preserve"> </w:t>
      </w:r>
      <w:r w:rsidRPr="00AF5AEE">
        <w:rPr>
          <w:rStyle w:val="StyleBoldUnderline"/>
        </w:rPr>
        <w:t>funding is local and state based, federal influence is likely to remain contested for the</w:t>
      </w:r>
      <w:r>
        <w:rPr>
          <w:rStyle w:val="StyleBoldUnderline"/>
        </w:rPr>
        <w:t xml:space="preserve"> </w:t>
      </w:r>
      <w:r w:rsidRPr="00AF5AEE">
        <w:rPr>
          <w:rStyle w:val="StyleBoldUnderline"/>
        </w:rPr>
        <w:t>foreseeable future</w:t>
      </w:r>
      <w:r w:rsidRPr="00B1043E">
        <w:rPr>
          <w:sz w:val="16"/>
        </w:rPr>
        <w:t xml:space="preserve">. In other words, </w:t>
      </w:r>
      <w:r w:rsidRPr="00AF5AEE">
        <w:rPr>
          <w:rStyle w:val="StyleBoldUnderline"/>
        </w:rPr>
        <w:t>the state is, historically, the locus in which educational</w:t>
      </w:r>
      <w:r>
        <w:rPr>
          <w:rStyle w:val="StyleBoldUnderline"/>
        </w:rPr>
        <w:t xml:space="preserve"> </w:t>
      </w:r>
      <w:r w:rsidRPr="00AF5AEE">
        <w:rPr>
          <w:rStyle w:val="StyleBoldUnderline"/>
        </w:rPr>
        <w:t>policy is played out</w:t>
      </w:r>
      <w:r w:rsidRPr="00B1043E">
        <w:rPr>
          <w:sz w:val="16"/>
        </w:rPr>
        <w:t xml:space="preserve"> (Timar &amp; Kirp, 1988), </w:t>
      </w:r>
      <w:r w:rsidRPr="00AF5AEE">
        <w:rPr>
          <w:rStyle w:val="StyleBoldUnderline"/>
        </w:rPr>
        <w:t>and state political acti</w:t>
      </w:r>
      <w:r>
        <w:rPr>
          <w:rStyle w:val="StyleBoldUnderline"/>
        </w:rPr>
        <w:t xml:space="preserve"> </w:t>
      </w:r>
      <w:r w:rsidRPr="00AF5AEE">
        <w:rPr>
          <w:rStyle w:val="StyleBoldUnderline"/>
        </w:rPr>
        <w:t>vism is increasing, along</w:t>
      </w:r>
      <w:r>
        <w:rPr>
          <w:rStyle w:val="StyleBoldUnderline"/>
        </w:rPr>
        <w:t xml:space="preserve"> </w:t>
      </w:r>
      <w:r w:rsidRPr="00AF5AEE">
        <w:rPr>
          <w:rStyle w:val="StyleBoldUnderline"/>
        </w:rPr>
        <w:t>with vocal resistance among both politicians/policy advocates</w:t>
      </w:r>
      <w:r w:rsidRPr="00B1043E">
        <w:rPr>
          <w:sz w:val="16"/>
        </w:rPr>
        <w:t xml:space="preserve"> (Scott, 2012) </w:t>
      </w:r>
      <w:r w:rsidRPr="00AF5AEE">
        <w:rPr>
          <w:rStyle w:val="StyleBoldUnderline"/>
        </w:rPr>
        <w:t>and scholars</w:t>
      </w:r>
      <w:r w:rsidRPr="00B1043E">
        <w:rPr>
          <w:sz w:val="16"/>
        </w:rPr>
        <w:t xml:space="preserve"> (Ravitch, 2012</w:t>
      </w:r>
      <w:r w:rsidRPr="00AF5AEE">
        <w:rPr>
          <w:rStyle w:val="StyleBoldUnderline"/>
        </w:rPr>
        <w:t>) to the</w:t>
      </w:r>
      <w:r>
        <w:rPr>
          <w:rStyle w:val="StyleBoldUnderline"/>
        </w:rPr>
        <w:t xml:space="preserve"> </w:t>
      </w:r>
      <w:r w:rsidRPr="00AF5AEE">
        <w:rPr>
          <w:rStyle w:val="StyleBoldUnderline"/>
        </w:rPr>
        <w:t>national standards and accountability move</w:t>
      </w:r>
      <w:r>
        <w:rPr>
          <w:rStyle w:val="StyleBoldUnderline"/>
        </w:rPr>
        <w:t xml:space="preserve"> </w:t>
      </w:r>
      <w:r w:rsidRPr="00AF5AEE">
        <w:rPr>
          <w:rStyle w:val="StyleBoldUnderline"/>
        </w:rPr>
        <w:t>ment</w:t>
      </w:r>
      <w:r w:rsidRPr="00B1043E">
        <w:rPr>
          <w:sz w:val="16"/>
        </w:rPr>
        <w:t xml:space="preserve">. It is beyond the scope of this chapter to consider how current debates over national state control will emerge, but there is reason to believe that states may be, at minimum, ambivalent about giving up their constitutional right to separateness in education (Gass &amp; Stergios, 2013; Strauss, 2013).3 </w:t>
      </w:r>
      <w:r w:rsidRPr="00AF5AEE">
        <w:rPr>
          <w:rStyle w:val="StyleBoldUnderline"/>
        </w:rPr>
        <w:t>States exercise both direct and indirect influences on school districts and schools</w:t>
      </w:r>
      <w:r w:rsidRPr="00B1043E">
        <w:rPr>
          <w:sz w:val="16"/>
        </w:rPr>
        <w:t xml:space="preserve">. </w:t>
      </w:r>
      <w:r w:rsidRPr="00AF5AEE">
        <w:rPr>
          <w:rStyle w:val="StyleBoldUnderline"/>
        </w:rPr>
        <w:t>Direct influence comes through legitimate rules that are based on accumulated legislative</w:t>
      </w:r>
      <w:r>
        <w:rPr>
          <w:rStyle w:val="StyleBoldUnderline"/>
        </w:rPr>
        <w:t xml:space="preserve"> </w:t>
      </w:r>
      <w:r w:rsidRPr="00AF5AEE">
        <w:rPr>
          <w:rStyle w:val="StyleBoldUnderline"/>
        </w:rPr>
        <w:t>and court actions</w:t>
      </w:r>
      <w:r w:rsidRPr="00B1043E">
        <w:rPr>
          <w:sz w:val="16"/>
        </w:rPr>
        <w:t xml:space="preserve"> (Roch &amp; Howard, 2008); </w:t>
      </w:r>
      <w:r w:rsidRPr="00AF5AEE">
        <w:rPr>
          <w:rStyle w:val="StyleBoldUnderline"/>
        </w:rPr>
        <w:t>indirect influence emerges as part of cultural</w:t>
      </w:r>
      <w:r>
        <w:rPr>
          <w:rStyle w:val="StyleBoldUnderline"/>
        </w:rPr>
        <w:t xml:space="preserve"> </w:t>
      </w:r>
      <w:r w:rsidRPr="00AF5AEE">
        <w:rPr>
          <w:rStyle w:val="StyleBoldUnderline"/>
        </w:rPr>
        <w:t>constraints and shared assumptions that have also accumulated over long</w:t>
      </w:r>
      <w:r>
        <w:rPr>
          <w:rStyle w:val="StyleBoldUnderline"/>
        </w:rPr>
        <w:t xml:space="preserve"> </w:t>
      </w:r>
      <w:r w:rsidRPr="00AF5AEE">
        <w:rPr>
          <w:rStyle w:val="StyleBoldUnderline"/>
        </w:rPr>
        <w:t>periods</w:t>
      </w:r>
      <w:r>
        <w:rPr>
          <w:rStyle w:val="StyleBoldUnderline"/>
        </w:rPr>
        <w:t xml:space="preserve"> </w:t>
      </w:r>
      <w:r w:rsidRPr="00AF5AEE">
        <w:rPr>
          <w:rStyle w:val="StyleBoldUnderline"/>
        </w:rPr>
        <w:t>of time</w:t>
      </w:r>
      <w:r w:rsidRPr="00B1043E">
        <w:rPr>
          <w:sz w:val="16"/>
        </w:rPr>
        <w:t xml:space="preserve"> (Marshall, Mitchell, &amp; Wirt, 1986; Timar &amp; Kirp, 1988 ). However, although both the cultural and legal/legislative systems are designed for stability, </w:t>
      </w:r>
      <w:r w:rsidRPr="00AF5AEE">
        <w:rPr>
          <w:rStyle w:val="StyleBoldUnderline"/>
        </w:rPr>
        <w:t>stakeholders show little</w:t>
      </w:r>
      <w:r>
        <w:rPr>
          <w:rStyle w:val="StyleBoldUnderline"/>
        </w:rPr>
        <w:t xml:space="preserve"> </w:t>
      </w:r>
      <w:r w:rsidRPr="00AF5AEE">
        <w:rPr>
          <w:rStyle w:val="StyleBoldUnderline"/>
        </w:rPr>
        <w:t>agreement on the proper state role in education when confronting a high demand for</w:t>
      </w:r>
      <w:r>
        <w:rPr>
          <w:rStyle w:val="StyleBoldUnderline"/>
        </w:rPr>
        <w:t xml:space="preserve"> </w:t>
      </w:r>
      <w:r w:rsidRPr="00AF5AEE">
        <w:rPr>
          <w:rStyle w:val="StyleBoldUnderline"/>
        </w:rPr>
        <w:t>reform</w:t>
      </w:r>
      <w:r w:rsidRPr="00B1043E">
        <w:rPr>
          <w:sz w:val="16"/>
        </w:rPr>
        <w:t xml:space="preserve">. </w:t>
      </w:r>
      <w:r w:rsidRPr="00AF5AEE">
        <w:rPr>
          <w:rStyle w:val="StyleBoldUnderline"/>
        </w:rPr>
        <w:t>States are</w:t>
      </w:r>
      <w:r w:rsidRPr="00B1043E">
        <w:rPr>
          <w:sz w:val="16"/>
        </w:rPr>
        <w:t xml:space="preserve">, for example, </w:t>
      </w:r>
      <w:r w:rsidRPr="00AF5AEE">
        <w:rPr>
          <w:rStyle w:val="StyleBoldUnderline"/>
        </w:rPr>
        <w:t>expected to lead standard setting for student achievement</w:t>
      </w:r>
      <w:r>
        <w:rPr>
          <w:rStyle w:val="StyleBoldUnderline"/>
        </w:rPr>
        <w:t xml:space="preserve"> </w:t>
      </w:r>
      <w:r w:rsidRPr="00AF5AEE">
        <w:rPr>
          <w:rStyle w:val="StyleBoldUnderline"/>
        </w:rPr>
        <w:t>and curricular content and monitor school quality, while also simplifying regulations</w:t>
      </w:r>
      <w:r>
        <w:rPr>
          <w:rStyle w:val="StyleBoldUnderline"/>
        </w:rPr>
        <w:t xml:space="preserve"> </w:t>
      </w:r>
      <w:r w:rsidRPr="00AF5AEE">
        <w:rPr>
          <w:rStyle w:val="StyleBoldUnderline"/>
        </w:rPr>
        <w:t>for running schools and promoting site-based management and citizen participation</w:t>
      </w:r>
      <w:r>
        <w:rPr>
          <w:rStyle w:val="StyleBoldUnderline"/>
        </w:rPr>
        <w:t xml:space="preserve"> </w:t>
      </w:r>
      <w:r w:rsidRPr="00B1043E">
        <w:rPr>
          <w:sz w:val="16"/>
        </w:rPr>
        <w:t xml:space="preserve">(Elmore &amp; Fuhrman, 1995; Louis, 1998; Swanson &amp; Stevenson, 2002), but recent reviews of school reform efforts suggest that </w:t>
      </w:r>
      <w:r w:rsidRPr="00B1043E">
        <w:rPr>
          <w:rStyle w:val="StyleBoldUnderline"/>
        </w:rPr>
        <w:t>states' capacity to carry out the expected role is</w:t>
      </w:r>
      <w:r>
        <w:rPr>
          <w:rStyle w:val="StyleBoldUnderline"/>
        </w:rPr>
        <w:t xml:space="preserve"> </w:t>
      </w:r>
      <w:r w:rsidRPr="00B1043E">
        <w:rPr>
          <w:rStyle w:val="StyleBoldUnderline"/>
        </w:rPr>
        <w:t>variable, as is states' ability to finance significant reform efforts</w:t>
      </w:r>
      <w:r w:rsidRPr="00B1043E">
        <w:rPr>
          <w:sz w:val="16"/>
        </w:rPr>
        <w:t xml:space="preserve"> (Gottfried et al., 2011; Mehan, 2013). As states attempt to enact policies and mechanisms to affect education, </w:t>
      </w:r>
      <w:r w:rsidRPr="00B1043E">
        <w:rPr>
          <w:rStyle w:val="StyleBoldUnderline"/>
        </w:rPr>
        <w:t>political culture will play a role in determining how they balance conflicting expectations</w:t>
      </w:r>
      <w:r>
        <w:rPr>
          <w:rStyle w:val="StyleBoldUnderline"/>
        </w:rPr>
        <w:t xml:space="preserve"> </w:t>
      </w:r>
      <w:r w:rsidRPr="00B1043E">
        <w:rPr>
          <w:rStyle w:val="StyleBoldUnderline"/>
        </w:rPr>
        <w:t>and policies, and whether the development of capacity to exercise leadership in school</w:t>
      </w:r>
      <w:r>
        <w:rPr>
          <w:rStyle w:val="StyleBoldUnderline"/>
        </w:rPr>
        <w:t xml:space="preserve"> </w:t>
      </w:r>
      <w:r w:rsidRPr="00B1043E">
        <w:rPr>
          <w:rStyle w:val="StyleBoldUnderline"/>
        </w:rPr>
        <w:t>reform is a priority</w:t>
      </w:r>
      <w:r w:rsidRPr="00B1043E">
        <w:rPr>
          <w:sz w:val="16"/>
        </w:rPr>
        <w:t xml:space="preserve">. </w:t>
      </w:r>
      <w:r w:rsidRPr="00B1043E">
        <w:rPr>
          <w:rStyle w:val="StyleBoldUnderline"/>
        </w:rPr>
        <w:t>State-specific studies have continued to show that political culture</w:t>
      </w:r>
      <w:r>
        <w:rPr>
          <w:rStyle w:val="StyleBoldUnderline"/>
        </w:rPr>
        <w:t xml:space="preserve"> </w:t>
      </w:r>
      <w:r w:rsidRPr="00B1043E">
        <w:rPr>
          <w:rStyle w:val="StyleBoldUnderline"/>
        </w:rPr>
        <w:t>and accumulated history help to predict both the dynamics and outcomes of legislation</w:t>
      </w:r>
      <w:r>
        <w:rPr>
          <w:rStyle w:val="StyleBoldUnderline"/>
        </w:rPr>
        <w:t xml:space="preserve"> </w:t>
      </w:r>
      <w:r w:rsidRPr="00B1043E">
        <w:rPr>
          <w:sz w:val="16"/>
        </w:rPr>
        <w:t xml:space="preserve">(Mazzoni, 1993; Sacken &amp; Medina, 1990). In addition to political culture, </w:t>
      </w:r>
      <w:r w:rsidRPr="00B1043E">
        <w:rPr>
          <w:rStyle w:val="StyleBoldUnderline"/>
        </w:rPr>
        <w:t>state educational policy making and activism are</w:t>
      </w:r>
      <w:r>
        <w:rPr>
          <w:rStyle w:val="StyleBoldUnderline"/>
        </w:rPr>
        <w:t xml:space="preserve"> </w:t>
      </w:r>
      <w:r w:rsidRPr="00B1043E">
        <w:rPr>
          <w:rStyle w:val="StyleBoldUnderline"/>
        </w:rPr>
        <w:t>affected by legislative politics, structural limitations, economic constraints, and legal</w:t>
      </w:r>
      <w:r>
        <w:rPr>
          <w:rStyle w:val="StyleBoldUnderline"/>
        </w:rPr>
        <w:t xml:space="preserve"> </w:t>
      </w:r>
      <w:r w:rsidRPr="00B1043E">
        <w:rPr>
          <w:rStyle w:val="StyleBoldUnderline"/>
        </w:rPr>
        <w:t>context</w:t>
      </w:r>
      <w:r w:rsidRPr="00B1043E">
        <w:rPr>
          <w:sz w:val="16"/>
        </w:rPr>
        <w:t xml:space="preserve"> (Roch &amp; Howard, 2008; Wong, 1989). States have, therefore, struggled to find the appropriate policy mechanisms to influence teaching and learning-the core of educational policy, but also the most difficult and resistant to change from outside the school. </w:t>
      </w:r>
      <w:r w:rsidRPr="00B1043E">
        <w:rPr>
          <w:rStyle w:val="StyleBoldUnderline"/>
        </w:rPr>
        <w:t>Because of political and economic pressures, policy</w:t>
      </w:r>
      <w:r>
        <w:rPr>
          <w:rStyle w:val="StyleBoldUnderline"/>
        </w:rPr>
        <w:t xml:space="preserve"> </w:t>
      </w:r>
      <w:r w:rsidRPr="00B1043E">
        <w:rPr>
          <w:rStyle w:val="StyleBoldUnderline"/>
        </w:rPr>
        <w:t>makers often use a narrow range of</w:t>
      </w:r>
      <w:r>
        <w:rPr>
          <w:rStyle w:val="StyleBoldUnderline"/>
        </w:rPr>
        <w:t xml:space="preserve"> </w:t>
      </w:r>
      <w:r w:rsidRPr="00B1043E">
        <w:rPr>
          <w:rStyle w:val="StyleBoldUnderline"/>
        </w:rPr>
        <w:t>policy mechanisms (mandates and incentives) because they are most likely to produce</w:t>
      </w:r>
      <w:r>
        <w:rPr>
          <w:rStyle w:val="StyleBoldUnderline"/>
        </w:rPr>
        <w:t xml:space="preserve"> </w:t>
      </w:r>
      <w:r w:rsidRPr="00B1043E">
        <w:rPr>
          <w:rStyle w:val="StyleBoldUnderline"/>
        </w:rPr>
        <w:t>positive, short-term results</w:t>
      </w:r>
      <w:r w:rsidRPr="00B1043E">
        <w:rPr>
          <w:sz w:val="16"/>
        </w:rPr>
        <w:t xml:space="preserve"> (Rossman &amp; Wilson, 1996), although they also narrow and constrain professional flexibility at the school level (Olsen &amp; Sexton, 2009). Lon ger-term strategies such as capacity building and systems change are less common, partly because they are slow to demonstrate significant impacts (Datnow et al., 2003; Elmore &amp; Fuhrman,1995; Gross, Booker, &amp; Goldhaber, 2009). Regardless of the type of policy mechanisms that states use to develop and implement educational policy, the primary values driving policies are efficiency (detailed procedures for school authorities to abide by); equity- redistribution of resources for those lacking them;quality-standards of excellence (Garms, Guthrie, &amp; Pierce, 1978); and choice the range of options available (Marshall et al., 1986). There are distinct differences in the ways that those values are manifested in state educational policy makers' actions and school laws (Marshall, Mitchell, &amp; Wirt, 1989). A recent study of U.S. states (Louis et al., 2008) expanded on the values driving policies by combining frameworks of political culture dimensions, level and type of stakeholder involvement, and policy levers to analyze differences in states' educational policies for leadership and accountability. The seven states in this study (Indiana, Mississippi, Missouri, Nebraska, New Mexico, Oregon, and Texas) differed and were similar in complex ways: Political culture clearly was a factor in all, and accounted for differences as well as similarities. In the ne xt two sections of this chapter, we explore the impact of political culture on the development of state educational policy and provide illustrations of schools' responses to policy in two states.</w:t>
      </w:r>
    </w:p>
    <w:p w14:paraId="03321F77" w14:textId="34EDCB69" w:rsidR="001623C3" w:rsidRPr="001623C3" w:rsidRDefault="001623C3" w:rsidP="001623C3">
      <w:pPr>
        <w:pStyle w:val="Heading3"/>
      </w:pPr>
      <w:r>
        <w:t>2AC Fed Key</w:t>
      </w:r>
    </w:p>
    <w:p w14:paraId="4AA4DB96" w14:textId="6F293362" w:rsidR="001623C3" w:rsidRPr="00393F86" w:rsidRDefault="001623C3" w:rsidP="001623C3">
      <w:pPr>
        <w:pStyle w:val="Heading4"/>
      </w:pPr>
      <w:r>
        <w:t>Federal authority is key education reform—status quo gives sufficient control to states but the CP destroys federal enforcement power</w:t>
      </w:r>
    </w:p>
    <w:p w14:paraId="3188F085" w14:textId="02B8B631" w:rsidR="001623C3" w:rsidRPr="001623C3" w:rsidRDefault="001623C3" w:rsidP="001623C3">
      <w:pPr>
        <w:rPr>
          <w:rStyle w:val="StyleStyleBold12pt"/>
          <w:b w:val="0"/>
        </w:rPr>
      </w:pPr>
      <w:r w:rsidRPr="001623C3">
        <w:rPr>
          <w:rStyle w:val="StyleStyleBold12pt"/>
        </w:rPr>
        <w:t>Bowman</w:t>
      </w:r>
      <w:r>
        <w:rPr>
          <w:rStyle w:val="StyleStyleBold12pt"/>
        </w:rPr>
        <w:t xml:space="preserve"> Vice Dean of Academic Affairs and Professor of Law at MSU</w:t>
      </w:r>
      <w:r w:rsidRPr="001623C3">
        <w:rPr>
          <w:rStyle w:val="StyleStyleBold12pt"/>
        </w:rPr>
        <w:t xml:space="preserve"> </w:t>
      </w:r>
      <w:r>
        <w:rPr>
          <w:rStyle w:val="StyleStyleBold12pt"/>
        </w:rPr>
        <w:t>’</w:t>
      </w:r>
      <w:r w:rsidRPr="001623C3">
        <w:rPr>
          <w:rStyle w:val="StyleStyleBold12pt"/>
        </w:rPr>
        <w:t>17</w:t>
      </w:r>
      <w:r>
        <w:rPr>
          <w:rStyle w:val="StyleStyleBold12pt"/>
        </w:rPr>
        <w:t xml:space="preserve"> </w:t>
      </w:r>
      <w:r>
        <w:rPr>
          <w:rStyle w:val="StyleStyleBold12pt"/>
          <w:b w:val="0"/>
        </w:rPr>
        <w:t>(Kristi, “</w:t>
      </w:r>
      <w:r w:rsidRPr="001623C3">
        <w:rPr>
          <w:rStyle w:val="StyleStyleBold12pt"/>
          <w:b w:val="0"/>
        </w:rPr>
        <w:t>The Failure of Education Federalism</w:t>
      </w:r>
      <w:r>
        <w:rPr>
          <w:rStyle w:val="StyleStyleBold12pt"/>
          <w:b w:val="0"/>
        </w:rPr>
        <w:t xml:space="preserve">,” </w:t>
      </w:r>
      <w:r w:rsidRPr="001623C3">
        <w:rPr>
          <w:rStyle w:val="StyleStyleBold12pt"/>
          <w:b w:val="0"/>
        </w:rPr>
        <w:t>University of Michigan Journal of Law Reform</w:t>
      </w:r>
      <w:r>
        <w:rPr>
          <w:rStyle w:val="StyleStyleBold12pt"/>
          <w:b w:val="0"/>
        </w:rPr>
        <w:t>)</w:t>
      </w:r>
    </w:p>
    <w:p w14:paraId="362C16B2" w14:textId="5EFA3805" w:rsidR="001623C3" w:rsidRDefault="001623C3" w:rsidP="001623C3">
      <w:pPr>
        <w:rPr>
          <w:rStyle w:val="StyleBoldUnderline"/>
        </w:rPr>
      </w:pPr>
      <w:r w:rsidRPr="001623C3">
        <w:rPr>
          <w:sz w:val="16"/>
          <w:szCs w:val="16"/>
        </w:rPr>
        <w:t xml:space="preserve">Additionally, although Michigan is only one state, its experience operates as an outsized caution against the specific policy of unfettered school choice and the more general model of education federalism (dual federalism) that involves great deference to state and local authorities.161 Regarding the federalism model, </w:t>
      </w:r>
      <w:r w:rsidRPr="001623C3">
        <w:rPr>
          <w:rStyle w:val="StyleBoldUnderline"/>
        </w:rPr>
        <w:t xml:space="preserve">if the ability to define a “right to education” remains exclusively with the states, then state courts—the backstop for education rights—can interpret these rights so minimally that they effectively refuse to consider the question of educational quality at all. Moving forward, the form of </w:t>
      </w:r>
      <w:r w:rsidRPr="001623C3">
        <w:rPr>
          <w:rStyle w:val="Emphasis"/>
        </w:rPr>
        <w:t>federalism in education must shift to a cooperative one</w:t>
      </w:r>
      <w:r w:rsidRPr="001623C3">
        <w:rPr>
          <w:rStyle w:val="StyleBoldUnderline"/>
        </w:rPr>
        <w:t>, and reforms must be grounded in both liberty and equality</w:t>
      </w:r>
      <w:r w:rsidRPr="001623C3">
        <w:rPr>
          <w:sz w:val="16"/>
          <w:szCs w:val="16"/>
        </w:rPr>
        <w:t xml:space="preserve">. In September 2016, some of the attorneys who brought the “right to read” case in state court filed a complaint in federal court with just this approach.162 As of March 2017, the complaint awaits the federal district court’s ruling on the state’s motion to dismiss. IV. COOPERATIVE FEDERALISM Fortunately for the children of this country, education federalism does not fail all states—some states have robust school finance systems and related policies that produce education of an acceptable level of quality (or higher), and do so more or less uniformly. In other states, judicial intervention has remedied constitutionally and functionally inadequate systems. However, as the previous section demonstrated, </w:t>
      </w:r>
      <w:r w:rsidRPr="001623C3">
        <w:rPr>
          <w:rStyle w:val="StyleBoldUnderline"/>
        </w:rPr>
        <w:t xml:space="preserve">not all states are willing and able to address </w:t>
      </w:r>
      <w:r w:rsidRPr="001623C3">
        <w:rPr>
          <w:rStyle w:val="Emphasis"/>
        </w:rPr>
        <w:t>structural problems</w:t>
      </w:r>
      <w:r w:rsidRPr="001623C3">
        <w:rPr>
          <w:rStyle w:val="StyleBoldUnderline"/>
        </w:rPr>
        <w:t xml:space="preserve"> in public education</w:t>
      </w:r>
      <w:r w:rsidRPr="001623C3">
        <w:rPr>
          <w:sz w:val="16"/>
          <w:szCs w:val="16"/>
        </w:rPr>
        <w:t>. Especially given the likely growing federal support for school choice under the Trump Administration,</w:t>
      </w:r>
      <w:r w:rsidRPr="001623C3">
        <w:rPr>
          <w:rStyle w:val="StyleBoldUnderline"/>
        </w:rPr>
        <w:t xml:space="preserve"> it is important to consider a range of federal legal protections that could create and </w:t>
      </w:r>
      <w:r w:rsidRPr="001623C3">
        <w:rPr>
          <w:rStyle w:val="Emphasis"/>
        </w:rPr>
        <w:t>maintain a meaningful federal floor of educational quality</w:t>
      </w:r>
      <w:r w:rsidRPr="001623C3">
        <w:rPr>
          <w:sz w:val="16"/>
          <w:szCs w:val="16"/>
        </w:rPr>
        <w:t>. This Section first discusses action that Congress and the U.S. Department of Education could take, with the idea that legislative and agency-driven reforms are theoretically easier to enact and also have the long-term potential to be more effective in some ways than judicial reforms. That said, this Article also acknowledges that the reforms proposed here are unlikely to be supported by the Trump Administration or the current Congress and thus may be more viable in the long-term than in the short-term. Because judicial reforms sometimes occur when legislative and executive reforms cannot, and because judicial reforms are more difficult to un-do, this Section then turns to the courts. Specifically, by coupling the concepts of liberty and equality, this Section ultimately proposes a de facto federal constitutional amendment through interpretation that engages both the Equal Protection Clause and Substantive Due Process.163 At the heart of each of the approaches considered in this section is, as law professor Kimberly Jenkins Robinson has argued, a shift in our approach to public education from dual federalism to cooperative federalism. A. Federal Legislation and Agency Action</w:t>
      </w:r>
      <w:r w:rsidRPr="001623C3">
        <w:rPr>
          <w:rStyle w:val="StyleBoldUnderline"/>
        </w:rPr>
        <w:t xml:space="preserve"> Congress has legislated about public education regularly since the 1960s, and for good reason</w:t>
      </w:r>
      <w:r w:rsidRPr="001623C3">
        <w:rPr>
          <w:sz w:val="16"/>
          <w:szCs w:val="16"/>
        </w:rPr>
        <w:t xml:space="preserve">. As then-law professor, now California Supreme Court Justice Goodwin Liu articulated in 2006, the Citizenship Clause is one source of authority for Congress’s involvement in education policy, and of course the Fourteenth Amendment is connected to this.164 For various reasons, Congress seems quite willing to continue legislating about public education. Additionally as law professor Kimberly Jenkins Robinson convincingly argues, </w:t>
      </w:r>
      <w:r w:rsidRPr="001623C3">
        <w:rPr>
          <w:rStyle w:val="StyleBoldUnderline"/>
        </w:rPr>
        <w:t xml:space="preserve">even after the Court’s 2012 decision limiting Spending Clause authority in National Federation of Independent Business v. Sebelius, 165 Congress retains substantial authority to legislate about education—and the legislative and executive branch are in some ways better suited to education reform than the judiciary. 166 Congressional Acts often go hand-in-hand with federal agency enforcement, and thus the U.S. Department of Education has </w:t>
      </w:r>
      <w:r w:rsidRPr="001623C3">
        <w:rPr>
          <w:rStyle w:val="Emphasis"/>
        </w:rPr>
        <w:t>substantial experience</w:t>
      </w:r>
      <w:r w:rsidRPr="001623C3">
        <w:rPr>
          <w:rStyle w:val="StyleBoldUnderline"/>
        </w:rPr>
        <w:t xml:space="preserve"> by this point in time interpreting and enforcing statutory and constitutional law. </w:t>
      </w:r>
      <w:r w:rsidRPr="001623C3">
        <w:rPr>
          <w:sz w:val="16"/>
          <w:szCs w:val="16"/>
        </w:rPr>
        <w:t xml:space="preserve">This role is nothing new either in the specific context of education or in the general context of the federal government,167 and in fact federal agencies are especially important today in what law professor Karen Tani calls the “age of cooperative federalism.”168 Accordingly, the </w:t>
      </w:r>
      <w:r w:rsidRPr="001623C3">
        <w:rPr>
          <w:rStyle w:val="StyleBoldUnderline"/>
        </w:rPr>
        <w:t>combination of Congressional action and agency enforcement can be a powerful tool in the pursuit of educational quality</w:t>
      </w:r>
      <w:r w:rsidRPr="001623C3">
        <w:rPr>
          <w:sz w:val="16"/>
          <w:szCs w:val="16"/>
        </w:rPr>
        <w:t xml:space="preserve">. Examples of that partnership include: • Title IV and VI of the Civil Rights Act of 1964, which address race discrimination169; • The Bilingual Education Act of 1968170 (repealed in 2002) and the Equal Educational Opportunities Act of 1974, which establish rights for non-native English speaking students171; • The Education for All Handicapped Children Act of 1965,172 which was superseded by the Individuals with Disabilities in Education Act of 1990173; Section 504 of the Rehabilitation Act of 1973174; and Title II of the Americans with Disabilities Act of 1990, 175 which all serve to make schools accessible to students with disabilities; • Title IX of the Education Amendments of 1972, which provide for sex and gender equity in schools; and • The McKinney Vento Homeless Assistance Act of 1987, 176 which ensures educational access for homeless children. In short, the Department of Education is involved in enforcing a wide range of statutes, and has been for quite some time. Of course, the federal government’s broadest regulation of education remains the 1965 Elementary and Secondary Education Act (ESEA). 177 Since its enactment, ESEA has been reauthorized and amended roughly every five years.178 Although ESEA began as part of President Johnson’s war on poverty, and thus provided supplemental funds for the education of students in poverty, it has grown substantially since then. The most well known rendition of the law may be the 2001 variation, the No Child Left Behind Act (NCLB).179 </w:t>
      </w:r>
      <w:r w:rsidRPr="001623C3">
        <w:rPr>
          <w:rStyle w:val="StyleBoldUnderline"/>
        </w:rPr>
        <w:t xml:space="preserve">NCLB was notable because it required states to develop proficiency standards, test students’ proficiency on a regular basis, and make regular progress towards uniform proficiency.180 The goal was noble, and the Act sought to incorporate the current model of education federalism, dual federalism, deferring significantly to state and local authorities. 181 However, </w:t>
      </w:r>
      <w:r w:rsidRPr="001623C3">
        <w:rPr>
          <w:rStyle w:val="Emphasis"/>
        </w:rPr>
        <w:t>many problems emerged</w:t>
      </w:r>
      <w:r w:rsidRPr="001623C3">
        <w:rPr>
          <w:rStyle w:val="StyleBoldUnderline"/>
        </w:rPr>
        <w:t xml:space="preserve">, not the least of which was schools’ inability to make sufficient progress toward the goal of </w:t>
      </w:r>
      <w:r w:rsidRPr="001623C3">
        <w:rPr>
          <w:rStyle w:val="Emphasis"/>
        </w:rPr>
        <w:t>uniform proficiency</w:t>
      </w:r>
      <w:r w:rsidRPr="001623C3">
        <w:rPr>
          <w:rStyle w:val="StyleBoldUnderline"/>
        </w:rPr>
        <w:t xml:space="preserve"> even though the states themselves determined what was proficient</w:t>
      </w:r>
      <w:r w:rsidRPr="001623C3">
        <w:rPr>
          <w:sz w:val="16"/>
          <w:szCs w:val="16"/>
        </w:rPr>
        <w:t>.182 Had the Act been reauthorized on the usual timeline, lawmakers could have revised the statute to include more realistic goals, but by the time the Act was reauthorized as the Every Student Succeeds Act in December 2015,183 nearly all states seemed to need waivers to comply with NCLB so that they could continue to receive the federal funding that makes up roughly 10% of an average school district’s budget. 184 As law professor Derek Black chronicles, under Secretary of Education Arne Duncan’s direction, the Department took the unprecedented step of conditioning its granting of waivers on states adopting certain policies. 185 This approach is only permissible if the authorizing statute provides sufficient notice—which NCLB did not, but future iterations of ESEA could. 186 Interestingly, at the same time that NCLB unfolded nationwide, states’ standards became increasingly uniform: as of 2016, 42 states and the District of Columbia had adopted the Common Core State Standards.187 Theoretically, this may open a political window for federal involvement in establishing a minimum quality level via the next (post-ESSA) iteration of ESEA. Before continuing this conversation, however, it is important to note that neither the new Congress nor the new Administration seem likely to want to pursue this course of action. But, for a Congress or an Administration so inclined, this option would be attractive because although the ESEA regulations are conditions on the receipt of funding rather than mandates, no state has yet been able to opt out of receiving this funding and thus opt out of abiding by these conditions.188</w:t>
      </w:r>
      <w:r w:rsidRPr="001623C3">
        <w:rPr>
          <w:rStyle w:val="StyleBoldUnderline"/>
        </w:rPr>
        <w:t xml:space="preserve"> Even more significantly, </w:t>
      </w:r>
      <w:r w:rsidRPr="001623C3">
        <w:rPr>
          <w:rStyle w:val="Emphasis"/>
        </w:rPr>
        <w:t>imposing a uniform floor</w:t>
      </w:r>
      <w:r w:rsidRPr="001623C3">
        <w:rPr>
          <w:rStyle w:val="StyleBoldUnderline"/>
        </w:rPr>
        <w:t xml:space="preserve"> of educational quality in part through national standards (opportunity-to-learn189 or otherwise) still could allow states some options, but limit the choice to the two or three sets of standards widely-adopted nationally, assuming those are at a sufficient level</w:t>
      </w:r>
      <w:r w:rsidRPr="001623C3">
        <w:rPr>
          <w:sz w:val="16"/>
          <w:szCs w:val="16"/>
        </w:rPr>
        <w:t>. Additionally, the enforcement would not be via lawsuit but would be through the executive branch (the Department of Education) via the potential loss of the funds to which the policy strings were attached. 190</w:t>
      </w:r>
      <w:r w:rsidRPr="001623C3">
        <w:rPr>
          <w:rStyle w:val="StyleBoldUnderline"/>
        </w:rPr>
        <w:t xml:space="preserve"> Funding cutoff is a tool that has given the federal government </w:t>
      </w:r>
      <w:r w:rsidRPr="001623C3">
        <w:rPr>
          <w:rStyle w:val="Emphasis"/>
        </w:rPr>
        <w:t>significant and effective persuasive authority</w:t>
      </w:r>
      <w:r w:rsidRPr="001623C3">
        <w:rPr>
          <w:rStyle w:val="StyleBoldUnderline"/>
        </w:rPr>
        <w:t xml:space="preserve"> throughout history, including during the very difficult process of school desegregation beginning in the 1960s. 191 Furthermore, such enforcement would provide </w:t>
      </w:r>
      <w:r w:rsidRPr="001623C3">
        <w:rPr>
          <w:rStyle w:val="Emphasis"/>
        </w:rPr>
        <w:t>political cover to state legislatures</w:t>
      </w:r>
      <w:r w:rsidRPr="001623C3">
        <w:rPr>
          <w:rStyle w:val="StyleBoldUnderline"/>
        </w:rPr>
        <w:t xml:space="preserve"> who need to raise taxes, repurpose funding streams, or enact other understandably unpopular policies in order to comply with the conditions of receiving ESEA funding</w:t>
      </w:r>
      <w:r w:rsidRPr="001623C3">
        <w:rPr>
          <w:sz w:val="16"/>
          <w:szCs w:val="16"/>
        </w:rPr>
        <w:t xml:space="preserve">. There are disadvantages to Congressional action and Executive enforcement, of course. If actually enforced, funding cutoffs are not particularly helpful in a situation of constrained resources.192 A legislative policy is much easier to overturn than a judicial one, thus education would remain politicized, albeit at a different level. Perhaps even more significantly, though, the perception that the federal government should have an incredibly limited role in social welfare services such as education is deeply held,193 even though the U.S. is an outlier in this regard on the global stage. </w:t>
      </w:r>
      <w:r w:rsidRPr="001623C3">
        <w:rPr>
          <w:rStyle w:val="StyleBoldUnderline"/>
        </w:rPr>
        <w:t>Indeed, the 2015 version of ESEA (ESSA) pulled back from NCLB’s highly regulatory approach, deferring more to the states</w:t>
      </w:r>
      <w:r w:rsidRPr="001623C3">
        <w:rPr>
          <w:sz w:val="16"/>
          <w:szCs w:val="16"/>
        </w:rPr>
        <w:t>.194 Relatedly, it is not unusual to hear a politician propose eliminating the U.S. Department of Education altogether, and in fact a member of Congress introduced such a bill in February 2017. 195 Thus, while ease of statutory repeal is one disadvantage, inability to enact a statutory reform in the first place may be an even more significant one, especially in today’s political climate. Finally, the more directive federal education legislation becomes, the closer it gets to the trigger the Court established in NFIB v. Sebilus196 when it struck down legislation as having “cross[ed] the line from coercion to compulsion.” It appears highly likely that current federal education legislation remains compliant with Spending Clause requirements, but future legislation must be mindful of this decision. 197 The impact this approach could have for local districts is uncertain because the contours of Congressional action and executive enforcement could vary so widely.</w:t>
      </w:r>
      <w:r w:rsidRPr="001623C3">
        <w:rPr>
          <w:rStyle w:val="StyleBoldUnderline"/>
        </w:rPr>
        <w:t xml:space="preserve"> However, if any real federal quality floor for public education is created, it would seem that states would be compelled to assist local districts in a meaningful manner so that every school offers students an education at a certain basic level of quality. Many schools across Michigan, and indeed across the entire country, would benefit</w:t>
      </w:r>
      <w:r w:rsidRPr="00972764">
        <w:rPr>
          <w:rStyle w:val="StyleBoldUnderline"/>
        </w:rPr>
        <w:t>.</w:t>
      </w:r>
    </w:p>
    <w:p w14:paraId="1E22AC05" w14:textId="77777777" w:rsidR="001623C3" w:rsidRDefault="001623C3" w:rsidP="001623C3">
      <w:pPr>
        <w:rPr>
          <w:rStyle w:val="StyleBoldUnderline"/>
        </w:rPr>
      </w:pPr>
    </w:p>
    <w:p w14:paraId="332E016D" w14:textId="15FA5123" w:rsidR="001623C3" w:rsidRDefault="001623C3" w:rsidP="001623C3">
      <w:pPr>
        <w:pStyle w:val="Heading3"/>
      </w:pPr>
      <w:r>
        <w:t>2AC Fed = State Follow On / Competitiveness Solvency Deficit</w:t>
      </w:r>
    </w:p>
    <w:p w14:paraId="3F076F3A" w14:textId="748DFD19" w:rsidR="001623C3" w:rsidRPr="00C82BCB" w:rsidRDefault="001623C3" w:rsidP="001623C3">
      <w:pPr>
        <w:pStyle w:val="Heading4"/>
      </w:pPr>
      <w:r>
        <w:t>Federal incentives promote state innovation—that’s key to competitiveness</w:t>
      </w:r>
    </w:p>
    <w:p w14:paraId="6D50FBF2" w14:textId="3E9DF840" w:rsidR="001623C3" w:rsidRPr="001623C3" w:rsidRDefault="001623C3" w:rsidP="001623C3">
      <w:pPr>
        <w:rPr>
          <w:sz w:val="26"/>
        </w:rPr>
      </w:pPr>
      <w:r w:rsidRPr="001623C3">
        <w:rPr>
          <w:rStyle w:val="StyleStyleBold12pt"/>
        </w:rPr>
        <w:t xml:space="preserve">McGovern </w:t>
      </w:r>
      <w:r>
        <w:rPr>
          <w:rStyle w:val="StyleStyleBold12pt"/>
        </w:rPr>
        <w:t>’</w:t>
      </w:r>
      <w:r w:rsidRPr="001623C3">
        <w:rPr>
          <w:rStyle w:val="StyleStyleBold12pt"/>
        </w:rPr>
        <w:t>11</w:t>
      </w:r>
      <w:r>
        <w:rPr>
          <w:rStyle w:val="StyleStyleBold12pt"/>
        </w:rPr>
        <w:t xml:space="preserve"> </w:t>
      </w:r>
      <w:r>
        <w:rPr>
          <w:rStyle w:val="StyleStyleBold12pt"/>
          <w:b w:val="0"/>
        </w:rPr>
        <w:t>(Shannon, “</w:t>
      </w:r>
      <w:r w:rsidRPr="001623C3">
        <w:rPr>
          <w:rStyle w:val="StyleStyleBold12pt"/>
          <w:b w:val="0"/>
        </w:rPr>
        <w:t>A New Model for States as Laboratories for Reform: How Federalism Informs Education Policy</w:t>
      </w:r>
      <w:r>
        <w:rPr>
          <w:rStyle w:val="StyleStyleBold12pt"/>
          <w:b w:val="0"/>
        </w:rPr>
        <w:t xml:space="preserve">,” </w:t>
      </w:r>
      <w:r>
        <w:rPr>
          <w:rStyle w:val="StyleStyleBold12pt"/>
          <w:b w:val="0"/>
          <w:i/>
        </w:rPr>
        <w:t>NYU Law Review</w:t>
      </w:r>
      <w:r>
        <w:rPr>
          <w:rStyle w:val="StyleStyleBold12pt"/>
          <w:b w:val="0"/>
        </w:rPr>
        <w:t xml:space="preserve">, </w:t>
      </w:r>
      <w:r w:rsidRPr="001623C3">
        <w:rPr>
          <w:rStyle w:val="StyleStyleBold12pt"/>
          <w:b w:val="0"/>
        </w:rPr>
        <w:t>http://www.nyulawreview.org/sites/default/files/pdf/NYULawReview-86-5-McGovern.pdf</w:t>
      </w:r>
      <w:r>
        <w:rPr>
          <w:rStyle w:val="StyleStyleBold12pt"/>
          <w:b w:val="0"/>
        </w:rPr>
        <w:t>)</w:t>
      </w:r>
      <w:r w:rsidRPr="00341BA1">
        <w:rPr>
          <w:sz w:val="16"/>
          <w:szCs w:val="16"/>
        </w:rPr>
        <w:t xml:space="preserve"> </w:t>
      </w:r>
    </w:p>
    <w:p w14:paraId="5A7E657E" w14:textId="215C7879" w:rsidR="001623C3" w:rsidRPr="00453C9A" w:rsidRDefault="001623C3" w:rsidP="001623C3">
      <w:pPr>
        <w:rPr>
          <w:b/>
          <w:u w:val="single"/>
        </w:rPr>
      </w:pPr>
      <w:r w:rsidRPr="001623C3">
        <w:rPr>
          <w:rStyle w:val="StyleBoldUnderline"/>
        </w:rPr>
        <w:t xml:space="preserve">Incentive grants—if properly implemented as outlined in broad strokes below—are </w:t>
      </w:r>
      <w:r w:rsidRPr="001623C3">
        <w:rPr>
          <w:rStyle w:val="Emphasis"/>
        </w:rPr>
        <w:t>the optimal way</w:t>
      </w:r>
      <w:r w:rsidRPr="001623C3">
        <w:rPr>
          <w:rStyle w:val="StyleBoldUnderline"/>
        </w:rPr>
        <w:t xml:space="preserve"> for the federal government to harness the states’ policy making expertise in service of its own responsibility to equalize educational opportunity and increase national competitiveness in a global economy.178 Indeed, it was the failure to employ truly objective criteria—</w:t>
      </w:r>
      <w:r w:rsidRPr="001623C3">
        <w:rPr>
          <w:rStyle w:val="Emphasis"/>
        </w:rPr>
        <w:t>and not the fiscal mechanism</w:t>
      </w:r>
      <w:r w:rsidRPr="001623C3">
        <w:rPr>
          <w:rStyle w:val="StyleBoldUnderline"/>
        </w:rPr>
        <w:t xml:space="preserve"> of the competition itself—that threatened to coopt state policy making autonomy and ossify unproven reform trends</w:t>
      </w:r>
      <w:r w:rsidRPr="001623C3">
        <w:rPr>
          <w:sz w:val="16"/>
          <w:szCs w:val="16"/>
        </w:rPr>
        <w:t xml:space="preserve">. Race to the Top evaluated potential programs in part on the basis of congruence with the Obama Administration’s specific policy preferences. I propose instead the use of scoring rubrics that reward points chiefly for research design, taking into account feasibility, cost effectiveness, program scope, past success or failure of similar policy initiatives there or elsewhere, and capacity for replication in other states or school populations. Imposing very specific program requirements from the top down not only threatens state autonomy in a federalist system, but also stifles innovation. By contrast, a pilot program aims to discover and develop best practices. Therefore, significant discretion on the ground to anticipate and respond to local conditions and unanticipated problems would best allow for innovation.179 Consider a pilot program to evaluate how to set teacher compensation to best encourage student achievement.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 Indeed, the pilot program should not have been authorized if a particular result was desired. I have delineated only the outlines of a pilot program, but the four federalism considerations developed in Part II can inform pro gram specifications for this and future proposals.180 At a broad level of abstraction, a pilot program of the kind I envision internalizes both the state legislatures’ policy making autonomy and the advantages of local control. </w:t>
      </w:r>
      <w:r w:rsidRPr="001623C3">
        <w:rPr>
          <w:rStyle w:val="StyleBoldUnderline"/>
        </w:rPr>
        <w:t>Supporting development of education policy in the states avoids coercive top-down directives and exploits the chief structural advantages of a lower level of government: proximity to “the People” and the associated values of citizen participation and locally tailored initiatives</w:t>
      </w:r>
      <w:r w:rsidRPr="001623C3">
        <w:rPr>
          <w:sz w:val="16"/>
          <w:szCs w:val="16"/>
        </w:rPr>
        <w:t xml:space="preserve">.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evaluation.181 However, ossification can be further prevented by extending project timelines both at the proposal and implementation stages to counteract the government’s demonstrated bias for “shovel ready” projects that perpetuate the status quo.182 Finally, while limited pilot programs will not produce parity in federal and state education funding, they do provide some assistance to strained state budgets. </w:t>
      </w:r>
      <w:r w:rsidRPr="001623C3">
        <w:rPr>
          <w:rStyle w:val="StyleBoldUnderline"/>
        </w:rPr>
        <w:t xml:space="preserve">While this proposal appears to give most autonomy to states in developing policy, </w:t>
      </w:r>
      <w:r w:rsidRPr="001623C3">
        <w:rPr>
          <w:rStyle w:val="Emphasis"/>
        </w:rPr>
        <w:t>the federal policy making role is enhanced</w:t>
      </w:r>
      <w:r w:rsidRPr="001623C3">
        <w:rPr>
          <w:rStyle w:val="StyleBoldUnderline"/>
        </w:rPr>
        <w:t xml:space="preserve"> in two ways. First, </w:t>
      </w:r>
      <w:r w:rsidRPr="001623C3">
        <w:rPr>
          <w:rStyle w:val="Emphasis"/>
        </w:rPr>
        <w:t>by selecting the subject matter of pilot projects, the federal government becomes a key education agenda setter for the nation</w:t>
      </w:r>
      <w:r w:rsidRPr="001623C3">
        <w:rPr>
          <w:rStyle w:val="StyleBoldUnderline"/>
        </w:rPr>
        <w:t xml:space="preserve">. Second, by conducting and evaluating pilot projects over time, the federal government can learn which reforms are worthy of increased federal investment and regulation through new or existing programs. These </w:t>
      </w:r>
      <w:r w:rsidRPr="001623C3">
        <w:rPr>
          <w:rStyle w:val="Emphasis"/>
        </w:rPr>
        <w:t>oversight powers are important tools for addressing national competitiveness in a global economy</w:t>
      </w:r>
      <w:r w:rsidRPr="001623C3">
        <w:rPr>
          <w:sz w:val="16"/>
          <w:szCs w:val="16"/>
        </w:rPr>
        <w:t xml:space="preserve">. Unfortunately, a program of this scale cannot eliminate the substantial interstate inequalities in state education budgets that partially create the problem,183 but it offers a start, particularly if incentive grants take into account state need in terms of relative fiscal capacity. This Note has highlighted how federal education policy can impinge on state policy making autonomy. It is important to remember, however, that the success of federal spending programs relies on the federal government’s ability to police state conduct. The key lesson of NCLB, expounded at length by other writers, is the need to avoid creation of perverse incentives.184 While there is a fine line between coercion and accountability, the federal government must retain some oversight of state spending to ensure funds are being used for true reform. Analysis of the first year of short-term federal education funding programs enacted as companions to Race to the Top suggests that many states used earmarked funding primarily to fill their own budget shortfalls, in contravention of the statutory purpose of the appropriation.185 The use of reporting mechanisms and staggered appropriation of programs can help mitigate the risk that cashstarved states misappropriate federal funds.186 My pilot program proposal, though modest, illustrates the potential of a “polyphonic” model of education federalism. </w:t>
      </w:r>
      <w:r w:rsidRPr="001623C3">
        <w:rPr>
          <w:rStyle w:val="StyleBoldUnderline"/>
        </w:rPr>
        <w:t>In the short term, the programs would harness the pluralism inherent in a large, heterogeneous federal system to test a number of innovative education solutions. In the medium– to long-term, emerging consensus on the best education policies may, but need not, suggest subject areas for substantive federal regulation. My</w:t>
      </w:r>
      <w:r w:rsidRPr="00341BA1">
        <w:rPr>
          <w:rStyle w:val="StyleBoldUnderline"/>
        </w:rPr>
        <w:t xml:space="preserve"> modified “polyphonic”</w:t>
      </w:r>
      <w:r>
        <w:rPr>
          <w:rStyle w:val="StyleBoldUnderline"/>
        </w:rPr>
        <w:t xml:space="preserve"> </w:t>
      </w:r>
      <w:r w:rsidRPr="00341BA1">
        <w:rPr>
          <w:rStyle w:val="StyleBoldUnderline"/>
        </w:rPr>
        <w:t>education policy framework tolerates—in fact, celebrates—a</w:t>
      </w:r>
      <w:r>
        <w:rPr>
          <w:rStyle w:val="StyleBoldUnderline"/>
        </w:rPr>
        <w:t xml:space="preserve"> </w:t>
      </w:r>
      <w:r w:rsidRPr="00341BA1">
        <w:rPr>
          <w:rStyle w:val="StyleBoldUnderline"/>
        </w:rPr>
        <w:t>diversity of approaches as long as the federal government remains</w:t>
      </w:r>
      <w:r>
        <w:rPr>
          <w:rStyle w:val="StyleBoldUnderline"/>
        </w:rPr>
        <w:t xml:space="preserve"> </w:t>
      </w:r>
      <w:r w:rsidRPr="00341BA1">
        <w:rPr>
          <w:rStyle w:val="StyleBoldUnderline"/>
        </w:rPr>
        <w:t>able to pursue national imperatives for educational quality and</w:t>
      </w:r>
      <w:r>
        <w:rPr>
          <w:rStyle w:val="StyleBoldUnderline"/>
        </w:rPr>
        <w:t xml:space="preserve"> </w:t>
      </w:r>
      <w:r w:rsidRPr="00341BA1">
        <w:rPr>
          <w:rStyle w:val="StyleBoldUnderline"/>
        </w:rPr>
        <w:t>equality of opportunity.</w:t>
      </w:r>
    </w:p>
    <w:p w14:paraId="77A33C38" w14:textId="216C927A" w:rsidR="00453C9A" w:rsidRPr="00777E0C" w:rsidRDefault="00453C9A" w:rsidP="00453C9A">
      <w:pPr>
        <w:pStyle w:val="Heading4"/>
      </w:pPr>
      <w:r>
        <w:t>The plan incentivizes state innovation – the CP makes it impossible</w:t>
      </w:r>
    </w:p>
    <w:p w14:paraId="56465065" w14:textId="37B1B15A" w:rsidR="00453C9A" w:rsidRDefault="00453C9A" w:rsidP="00453C9A">
      <w:r w:rsidRPr="001623C3">
        <w:rPr>
          <w:rStyle w:val="StyleStyleBold12pt"/>
        </w:rPr>
        <w:t>Robinson</w:t>
      </w:r>
      <w:r>
        <w:rPr>
          <w:rStyle w:val="StyleStyleBold12pt"/>
        </w:rPr>
        <w:t xml:space="preserve"> Professor of Law at the University of Richmond School of Law</w:t>
      </w:r>
      <w:r w:rsidRPr="001623C3">
        <w:rPr>
          <w:rStyle w:val="StyleStyleBold12pt"/>
        </w:rPr>
        <w:t xml:space="preserve"> </w:t>
      </w:r>
      <w:r>
        <w:rPr>
          <w:rStyle w:val="StyleStyleBold12pt"/>
        </w:rPr>
        <w:t>’</w:t>
      </w:r>
      <w:r w:rsidRPr="001623C3">
        <w:rPr>
          <w:rStyle w:val="StyleStyleBold12pt"/>
        </w:rPr>
        <w:t>15</w:t>
      </w:r>
      <w:r>
        <w:rPr>
          <w:rStyle w:val="StyleStyleBold12pt"/>
        </w:rPr>
        <w:t xml:space="preserve"> </w:t>
      </w:r>
      <w:r>
        <w:rPr>
          <w:rStyle w:val="StyleStyleBold12pt"/>
          <w:b w:val="0"/>
        </w:rPr>
        <w:t xml:space="preserve">(Kimberly, “Disrupting Education Federalism,” </w:t>
      </w:r>
      <w:r>
        <w:rPr>
          <w:rStyle w:val="StyleStyleBold12pt"/>
          <w:b w:val="0"/>
          <w:i/>
        </w:rPr>
        <w:t>Washington University Law Review, 92</w:t>
      </w:r>
      <w:r>
        <w:rPr>
          <w:rStyle w:val="StyleStyleBold12pt"/>
          <w:b w:val="0"/>
        </w:rPr>
        <w:t xml:space="preserve">(4), </w:t>
      </w:r>
      <w:r w:rsidRPr="001623C3">
        <w:rPr>
          <w:rStyle w:val="StyleStyleBold12pt"/>
          <w:b w:val="0"/>
        </w:rPr>
        <w:t>http://openscholarship.wustl.edu/cgi/viewcontent.cgi?article=6144&amp;context=law_lawreview</w:t>
      </w:r>
      <w:r>
        <w:rPr>
          <w:rStyle w:val="StyleStyleBold12pt"/>
          <w:b w:val="0"/>
        </w:rPr>
        <w:t>)</w:t>
      </w:r>
    </w:p>
    <w:p w14:paraId="6CBF5A67" w14:textId="37CBF05D" w:rsidR="00453C9A" w:rsidRPr="00453C9A" w:rsidRDefault="00453C9A" w:rsidP="00453C9A">
      <w:pPr>
        <w:rPr>
          <w:sz w:val="16"/>
        </w:rPr>
      </w:pPr>
      <w:r w:rsidRPr="00453C9A">
        <w:rPr>
          <w:sz w:val="16"/>
        </w:rPr>
        <w:t xml:space="preserve"> Some may critique my proposed theory for reducing state and local control of and accountability for education. As analyzed in Part I.B.1, it is important to remember that </w:t>
      </w:r>
      <w:r w:rsidRPr="004C5268">
        <w:rPr>
          <w:rStyle w:val="StyleBoldUnderline"/>
        </w:rPr>
        <w:t>state and local control of education has greatly diminished over the last few decades</w:t>
      </w:r>
      <w:r w:rsidRPr="00453C9A">
        <w:rPr>
          <w:sz w:val="16"/>
        </w:rPr>
        <w:t xml:space="preserve"> and that scholars have noted that local control has not characterized the nation's schools for quite some time. n328 In addition, </w:t>
      </w:r>
      <w:r w:rsidRPr="004C5268">
        <w:rPr>
          <w:rStyle w:val="StyleBoldUnderline"/>
        </w:rPr>
        <w:t>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w:t>
      </w:r>
      <w:r w:rsidRPr="00453C9A">
        <w:rPr>
          <w:sz w:val="16"/>
        </w:rPr>
        <w:t>." n329 Therefore</w:t>
      </w:r>
      <w:r w:rsidRPr="004C5268">
        <w:rPr>
          <w:rStyle w:val="StyleBoldUnderline"/>
        </w:rPr>
        <w:t>, my theory seeks to reduce harmful aspects of state and local control of education while simultaneously empowering beneficial and collaborative aspects.</w:t>
      </w:r>
      <w:r>
        <w:rPr>
          <w:rStyle w:val="StyleBoldUnderline"/>
        </w:rPr>
        <w:t xml:space="preserve"> </w:t>
      </w:r>
      <w:r w:rsidRPr="00453C9A">
        <w:rPr>
          <w:sz w:val="16"/>
        </w:rPr>
        <w:t xml:space="preserve">Under my proposed theory, </w:t>
      </w:r>
      <w:r w:rsidRPr="004C5268">
        <w:rPr>
          <w:rStyle w:val="StyleBoldUnderline"/>
        </w:rPr>
        <w:t>states admittedly would lose some control over education because they would be accountable to the federal government for ending longstanding disparities in educational opportunity</w:t>
      </w:r>
      <w:r w:rsidRPr="00453C9A">
        <w:rPr>
          <w:sz w:val="16"/>
        </w:rPr>
        <w:t xml:space="preserve">. A hallmark of the American education system has been the freedom that mostly affluent parents enjoy: to provide their children a better education than the one given to less privileged children. n330 In addition, some states and localities also may contend that they should retain the ability to focus their resources on some children rather than spreading them more equitably to all children. n331 I contend that the loss of this type of state and local control would benefit the nation's education system. At the same time, </w:t>
      </w:r>
      <w:r w:rsidRPr="004C5268">
        <w:rPr>
          <w:rStyle w:val="StyleBoldUnderline"/>
        </w:rPr>
        <w:t>other aspects of state and local control of education would remain if my theory was adopted</w:t>
      </w:r>
      <w:r w:rsidRPr="00453C9A">
        <w:rPr>
          <w:sz w:val="16"/>
        </w:rPr>
        <w:t xml:space="preserve">. Under this theory, </w:t>
      </w:r>
      <w:r w:rsidRPr="004C5268">
        <w:rPr>
          <w:rStyle w:val="StyleBoldUnderline"/>
        </w:rPr>
        <w:t>states would</w:t>
      </w:r>
      <w:r>
        <w:rPr>
          <w:rStyle w:val="StyleBoldUnderline"/>
        </w:rPr>
        <w:t xml:space="preserve"> </w:t>
      </w:r>
      <w:r w:rsidRPr="00453C9A">
        <w:rPr>
          <w:sz w:val="16"/>
        </w:rPr>
        <w:t xml:space="preserve">[*1015] </w:t>
      </w:r>
      <w:r w:rsidRPr="004C5268">
        <w:rPr>
          <w:rStyle w:val="StyleBoldUnderline"/>
        </w:rPr>
        <w:t>retain authority to control education policymaking through education governance, the nature and content of a school finance system, state assessments and graduation standards, and a wide variety of teaching and curricular decisions</w:t>
      </w:r>
      <w:r w:rsidRPr="00453C9A">
        <w:rPr>
          <w:sz w:val="16"/>
        </w:rPr>
        <w:t xml:space="preserve">. n332 </w:t>
      </w:r>
      <w:r w:rsidRPr="004C5268">
        <w:rPr>
          <w:rStyle w:val="StyleBoldUnderline"/>
        </w:rPr>
        <w:t>Localities would continue to administer education, manage the daily operation of schools, hire teachers and staff, build and maintain schools, and transport student</w:t>
      </w:r>
      <w:r w:rsidRPr="00453C9A">
        <w:rPr>
          <w:sz w:val="16"/>
        </w:rPr>
        <w:t xml:space="preserve">s. n333 Issues such as class size and governance would remain within the purview of state and local government. Furthermore, maintaining these functions under state and local authority fosters continuance of most of the existing levels of state and local accountability for education. Most importantly, my proposed theory would foster new types of state and local control over education. Currently, </w:t>
      </w:r>
      <w:r w:rsidRPr="004C5268">
        <w:rPr>
          <w:rStyle w:val="StyleBoldUnderline"/>
        </w:rPr>
        <w:t>substantial disparities exist in each state's capacity to offer high-quality educational opportunities</w:t>
      </w:r>
      <w:r w:rsidRPr="00453C9A">
        <w:rPr>
          <w:sz w:val="16"/>
        </w:rPr>
        <w:t xml:space="preserve">. n334 </w:t>
      </w:r>
      <w:r w:rsidRPr="004C5268">
        <w:rPr>
          <w:rStyle w:val="StyleBoldUnderline"/>
        </w:rPr>
        <w:t>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w:t>
      </w:r>
      <w:r w:rsidRPr="00453C9A">
        <w:rPr>
          <w:sz w:val="16"/>
        </w:rPr>
        <w:t xml:space="preserve">. n335 </w:t>
      </w:r>
      <w:r w:rsidRPr="004C5268">
        <w:rPr>
          <w:rStyle w:val="StyleBoldUnderline"/>
        </w:rPr>
        <w:t>This enhanced capacity will empower states and localities to engage in innovative reforms that were previously hindered by capacity limitations</w:t>
      </w:r>
      <w:r w:rsidRPr="00453C9A">
        <w:rPr>
          <w:sz w:val="16"/>
        </w:rPr>
        <w:t xml:space="preserve">. In this way, </w:t>
      </w:r>
      <w:r w:rsidRPr="004C5268">
        <w:rPr>
          <w:rStyle w:val="StyleBoldUnderline"/>
        </w:rPr>
        <w:t>greater equity in the distribution of state and local control and equal access to an excellent education can co-exist as complementary rather than competing goals</w:t>
      </w:r>
      <w:r w:rsidRPr="00453C9A">
        <w:rPr>
          <w:sz w:val="16"/>
        </w:rPr>
        <w:t xml:space="preserve">. Once each state has a more uniform ability to offer equal access to an excellent education, the states will decide how they want to achieve this goal. </w:t>
      </w:r>
      <w:r w:rsidRPr="004C5268">
        <w:rPr>
          <w:rStyle w:val="StyleBoldUnderline"/>
        </w:rPr>
        <w:t>By leaving the methods for achieving this goal to the states, my theory will preserve the states and localities as laboratories of reform</w:t>
      </w:r>
      <w:r w:rsidRPr="00453C9A">
        <w:rPr>
          <w:sz w:val="16"/>
        </w:rPr>
        <w:t>.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14:paraId="3268C03A" w14:textId="77777777" w:rsidR="00453C9A" w:rsidRDefault="00453C9A" w:rsidP="001623C3"/>
    <w:p w14:paraId="3E086977" w14:textId="45375DBC" w:rsidR="001623C3" w:rsidRDefault="001623C3" w:rsidP="001623C3">
      <w:pPr>
        <w:pStyle w:val="Heading3"/>
      </w:pPr>
      <w:r>
        <w:t>2AC A2 Federalism NB</w:t>
      </w:r>
    </w:p>
    <w:p w14:paraId="7813DA26" w14:textId="4F68BDCC" w:rsidR="001623C3" w:rsidRPr="00C82BCB" w:rsidRDefault="001623C3" w:rsidP="001623C3">
      <w:pPr>
        <w:pStyle w:val="Heading4"/>
      </w:pPr>
      <w:r>
        <w:t>The DA magnifies educational inequalities which hamper competitiveness and growth – impact is the 1AC</w:t>
      </w:r>
    </w:p>
    <w:p w14:paraId="2CA4D061" w14:textId="106B7791" w:rsidR="001623C3" w:rsidRPr="001623C3" w:rsidRDefault="001623C3" w:rsidP="001623C3">
      <w:pPr>
        <w:rPr>
          <w:rStyle w:val="StyleStyleBold12pt"/>
          <w:b w:val="0"/>
        </w:rPr>
      </w:pPr>
      <w:r w:rsidRPr="001623C3">
        <w:rPr>
          <w:rStyle w:val="StyleStyleBold12pt"/>
        </w:rPr>
        <w:t>Robinson</w:t>
      </w:r>
      <w:r>
        <w:rPr>
          <w:rStyle w:val="StyleStyleBold12pt"/>
        </w:rPr>
        <w:t xml:space="preserve"> Professor of Law at the University of Richmond School of Law</w:t>
      </w:r>
      <w:r w:rsidRPr="001623C3">
        <w:rPr>
          <w:rStyle w:val="StyleStyleBold12pt"/>
        </w:rPr>
        <w:t xml:space="preserve"> </w:t>
      </w:r>
      <w:r>
        <w:rPr>
          <w:rStyle w:val="StyleStyleBold12pt"/>
        </w:rPr>
        <w:t>’</w:t>
      </w:r>
      <w:r w:rsidRPr="001623C3">
        <w:rPr>
          <w:rStyle w:val="StyleStyleBold12pt"/>
        </w:rPr>
        <w:t>15</w:t>
      </w:r>
      <w:r>
        <w:rPr>
          <w:rStyle w:val="StyleStyleBold12pt"/>
        </w:rPr>
        <w:t xml:space="preserve"> </w:t>
      </w:r>
      <w:r>
        <w:rPr>
          <w:rStyle w:val="StyleStyleBold12pt"/>
          <w:b w:val="0"/>
        </w:rPr>
        <w:t xml:space="preserve">(Kimberly, “Disrupting Education Federalism,” </w:t>
      </w:r>
      <w:r>
        <w:rPr>
          <w:rStyle w:val="StyleStyleBold12pt"/>
          <w:b w:val="0"/>
          <w:i/>
        </w:rPr>
        <w:t>Washington University Law Review, 92</w:t>
      </w:r>
      <w:r>
        <w:rPr>
          <w:rStyle w:val="StyleStyleBold12pt"/>
          <w:b w:val="0"/>
        </w:rPr>
        <w:t xml:space="preserve">(4), </w:t>
      </w:r>
      <w:r w:rsidRPr="001623C3">
        <w:rPr>
          <w:rStyle w:val="StyleStyleBold12pt"/>
          <w:b w:val="0"/>
        </w:rPr>
        <w:t>http://openscholarship.wustl.edu/cgi/viewcontent.cgi?article=6144&amp;context=law_lawreview</w:t>
      </w:r>
      <w:r>
        <w:rPr>
          <w:rStyle w:val="StyleStyleBold12pt"/>
          <w:b w:val="0"/>
        </w:rPr>
        <w:t>)</w:t>
      </w:r>
    </w:p>
    <w:p w14:paraId="63C2DA23" w14:textId="1B599468" w:rsidR="001623C3" w:rsidRDefault="001623C3" w:rsidP="001623C3">
      <w:pPr>
        <w:rPr>
          <w:rStyle w:val="StyleBoldUnderline"/>
        </w:rPr>
      </w:pPr>
      <w:r w:rsidRPr="001623C3">
        <w:rPr>
          <w:rStyle w:val="StyleBoldUnderline"/>
        </w:rPr>
        <w:t xml:space="preserve">4. Education Federalism’s Insistence on State and Local Control of School Finance Systems Invites Inequality Primary state and local control over education essentially invite inequality in educational opportunity </w:t>
      </w:r>
      <w:r w:rsidRPr="001623C3">
        <w:rPr>
          <w:rStyle w:val="Emphasis"/>
        </w:rPr>
        <w:t>because of pervasive state insistence that local governments raise education funds and state funding formulas that do not effectively equalize the resulting disparities in revenue</w:t>
      </w:r>
      <w:r w:rsidRPr="001623C3">
        <w:rPr>
          <w:sz w:val="16"/>
          <w:szCs w:val="16"/>
        </w:rPr>
        <w:t xml:space="preserve">.121 Although some influential victories have occurred,122 school finance litigation has mostly failed to change the basic organizational structure of school finance systems and their reliance on property taxes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w:t>
      </w:r>
      <w:r w:rsidRPr="001623C3">
        <w:rPr>
          <w:rStyle w:val="StyleBoldUnderline"/>
        </w:rPr>
        <w:t>in the United States more is spent per pupil in highincome districts than in low-income districts</w:t>
      </w:r>
      <w:r w:rsidRPr="001623C3">
        <w:rPr>
          <w:sz w:val="16"/>
          <w:szCs w:val="16"/>
        </w:rPr>
        <w:t>.125 This stands in sharp contrast to most other developed nations where the reverse is true.126 The Equity and Excellence Commission report also found that “[n]o other developed nation has inequities nearly as deep or systemic; no other developed nation has, despite some efforts to the contrary, so thoroughly stacked the odds against so many of its children.”127</w:t>
      </w:r>
      <w:r w:rsidRPr="001623C3">
        <w:rPr>
          <w:rStyle w:val="StyleBoldUnderline"/>
        </w:rPr>
        <w:t xml:space="preserve"> These disparities are due in substantial part to the continued state reliance on property taxes to fund schools.128 </w:t>
      </w:r>
      <w:r w:rsidRPr="001623C3">
        <w:rPr>
          <w:rStyle w:val="Emphasis"/>
        </w:rPr>
        <w:t>As a result, 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1623C3">
        <w:rPr>
          <w:sz w:val="16"/>
          <w:szCs w:val="16"/>
        </w:rPr>
        <w:t>.129 The harms from persistent and pervasive disparities in educational opportunity are not limited to schoolchildren, their families, and their communities. These disparities also harm nationwide interests in a strong economy and a just society. The United States needs to maintain international academic competitiveness to attract businesses and prevent the loss of jobs to other more educated nations.130 Yet, international assessments reveal that the performance of U.S. students is often average or below average when compared to other countries,131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Organisation for Economic Co-operation and Development.133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 Although some challenge such conclusions from international assessments as overblown and simplistic,135 others conclude that these less than stellar outcomes indicate that</w:t>
      </w:r>
      <w:r w:rsidRPr="001623C3">
        <w:rPr>
          <w:rStyle w:val="StyleBoldUnderline"/>
        </w:rPr>
        <w:t xml:space="preserve"> the U.S. education system is failing to prepare many of its students to compete successfully for jobs with other students from around the world.136 Research reveals that </w:t>
      </w:r>
      <w:r w:rsidRPr="001623C3">
        <w:rPr>
          <w:rStyle w:val="Emphasis"/>
        </w:rPr>
        <w:t>the long-term vigor of the U.S. economy</w:t>
      </w:r>
      <w:r w:rsidRPr="001623C3">
        <w:rPr>
          <w:rStyle w:val="StyleBoldUnderline"/>
        </w:rPr>
        <w:t xml:space="preserve"> will depend on the advanced skills that are typically provided in higher education and that are needed for upper-level technical occupations.</w:t>
      </w:r>
      <w:r w:rsidRPr="001623C3">
        <w:rPr>
          <w:sz w:val="16"/>
          <w:szCs w:val="16"/>
        </w:rP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w:t>
      </w:r>
      <w:r w:rsidRPr="001623C3">
        <w:rPr>
          <w:rStyle w:val="StyleBoldUnderline"/>
        </w:rPr>
        <w:t>Achieving increases in skill levels will be difficult as long as current gaps in educational attainment based on income, race, and ethnicity remain</w:t>
      </w:r>
      <w:r w:rsidRPr="001623C3">
        <w:rPr>
          <w:sz w:val="16"/>
          <w:szCs w:val="16"/>
        </w:rPr>
        <w:t>.139 In this environment, the U.S. economy and its competitiveness will be increasingly hindered by low college enrollment and completion rates for Hispanic and African American students who increasingly will make up a larger share of the workforce.140 Many U.S. students cannot compete successfully with students from other developed countries, and the lower achievement of U.S. students could cause comparatively slow growth for the U.S. economy in the years to come.141 The nation also has a strong interest in ensuring that entire segments of the American public are not foreclosed from the American dream due to their family income and racial and ethnic background.</w:t>
      </w:r>
      <w:r w:rsidRPr="001623C3">
        <w:rPr>
          <w:rStyle w:val="StyleBoldUnderline"/>
        </w:rPr>
        <w:t xml:space="preserve"> </w:t>
      </w:r>
      <w:r w:rsidRPr="001623C3">
        <w:rPr>
          <w:rStyle w:val="Emphasis"/>
        </w:rPr>
        <w:t>The principle of equal opportunity</w:t>
      </w:r>
      <w:r w:rsidRPr="001623C3">
        <w:rPr>
          <w:rStyle w:val="StyleBoldUnderline"/>
        </w:rPr>
        <w:t xml:space="preserve"> remains an enduring value within American society142 even though that value has never been fully realized. Rather than abandon the interest in equal opportunity, the nation must explore how this value can become a reality for the nation’s schoolchildren. In Part II I propose some innovative ideas on how to accomplish this goal by restructuring education federalis</w:t>
      </w:r>
      <w:r w:rsidRPr="00C82BCB">
        <w:rPr>
          <w:rStyle w:val="StyleBoldUnderline"/>
        </w:rPr>
        <w:t>m.</w:t>
      </w:r>
    </w:p>
    <w:p w14:paraId="05D6B080" w14:textId="77777777" w:rsidR="001623C3" w:rsidRPr="001623C3" w:rsidRDefault="001623C3" w:rsidP="001623C3"/>
    <w:p w14:paraId="36ADE020" w14:textId="10E2A2FF" w:rsidR="00AC0F68" w:rsidRPr="00325B58" w:rsidRDefault="00AC0F68" w:rsidP="00AC0F68">
      <w:pPr>
        <w:pStyle w:val="Heading2"/>
      </w:pPr>
      <w:r>
        <w:t>**ESAs</w:t>
      </w:r>
      <w:r w:rsidR="006938CE">
        <w:t xml:space="preserve"> CP</w:t>
      </w:r>
    </w:p>
    <w:p w14:paraId="46C08527" w14:textId="77777777" w:rsidR="00DE62FB" w:rsidRDefault="00DE62FB" w:rsidP="00DE62FB">
      <w:pPr>
        <w:pStyle w:val="Heading3"/>
      </w:pPr>
      <w:r>
        <w:t>No Solvency – Accountability</w:t>
      </w:r>
    </w:p>
    <w:p w14:paraId="62C0F3CB" w14:textId="77777777" w:rsidR="00DE62FB" w:rsidRDefault="00DE62FB" w:rsidP="00DE62FB">
      <w:pPr>
        <w:pStyle w:val="Heading4"/>
      </w:pPr>
      <w:r>
        <w:t>States don’t solve – accountability failures – empirics go aff</w:t>
      </w:r>
    </w:p>
    <w:p w14:paraId="1F55AFA7" w14:textId="77777777" w:rsidR="00DE62FB" w:rsidRPr="00054CD3" w:rsidRDefault="00DE62FB" w:rsidP="00DE62FB">
      <w:pPr>
        <w:rPr>
          <w:rStyle w:val="StyleStyleBold12pt"/>
          <w:b w:val="0"/>
        </w:rPr>
      </w:pPr>
      <w:r>
        <w:rPr>
          <w:rStyle w:val="StyleStyleBold12pt"/>
        </w:rPr>
        <w:t xml:space="preserve">Spellings ’11 </w:t>
      </w:r>
      <w:r>
        <w:rPr>
          <w:rStyle w:val="StyleStyleBold12pt"/>
          <w:b w:val="0"/>
        </w:rPr>
        <w:t>(Margaret, “</w:t>
      </w:r>
      <w:r w:rsidRPr="00054CD3">
        <w:rPr>
          <w:rStyle w:val="StyleStyleBold12pt"/>
          <w:b w:val="0"/>
        </w:rPr>
        <w:t>The Rub in Education: Federal v. Local Control</w:t>
      </w:r>
      <w:r>
        <w:rPr>
          <w:rStyle w:val="StyleStyleBold12pt"/>
          <w:b w:val="0"/>
        </w:rPr>
        <w:t xml:space="preserve">,” October 3, </w:t>
      </w:r>
      <w:r w:rsidRPr="00054CD3">
        <w:rPr>
          <w:rStyle w:val="StyleStyleBold12pt"/>
          <w:b w:val="0"/>
        </w:rPr>
        <w:t>http://www.huffingtonpost.com/margaret-spellings/the-rub-in-education-fede_b_992141.html</w:t>
      </w:r>
      <w:r>
        <w:rPr>
          <w:rStyle w:val="StyleStyleBold12pt"/>
          <w:b w:val="0"/>
        </w:rPr>
        <w:t>, Stadt)</w:t>
      </w:r>
    </w:p>
    <w:p w14:paraId="35406BA4" w14:textId="77777777" w:rsidR="00DE62FB" w:rsidRDefault="00DE62FB" w:rsidP="00DE62FB">
      <w:pPr>
        <w:rPr>
          <w:sz w:val="16"/>
        </w:rPr>
      </w:pPr>
      <w:r w:rsidRPr="00054CD3">
        <w:rPr>
          <w:sz w:val="16"/>
        </w:rPr>
        <w:t xml:space="preserve">Among recent top stories: the Obama Administration’s move to remake K-12 education policy and significantly strengthen the hand of the federal government in the process. While policymakers on both sides of the aisle have been talking more than acting, the Administration has been diligently preparing its battle plans for an overhaul of No Child Left Behind. And it looks like they’re about to do an end run around the Congress. Here’s where things are at the moment. </w:t>
      </w:r>
      <w:r w:rsidRPr="00054CD3">
        <w:rPr>
          <w:rStyle w:val="StyleBoldUnderline"/>
        </w:rPr>
        <w:t>People on both sides of the debate are reiterating calls for “local control.” Yet, interpreting what “local” means depends on who’s saying it</w:t>
      </w:r>
      <w:r w:rsidRPr="00054CD3">
        <w:rPr>
          <w:sz w:val="16"/>
        </w:rPr>
        <w:t xml:space="preserve">. For example, a group of Senate Republicans recently introduced a package of bills that would remove pressure now put on states and districts by the federal government to improve schools and student achievement that is tied to our taxpayer dollars. Still others are calling to shutter the U.S. Department of Education, eliminating altogether the discrete role the federal government currently has in education. On the other end of the spectrum, teachers’ unions and the policymakers who support them have been pleading for weaker accountability requirements that would allow local and state administrators and school boards to have more power and greater reign over the management of schools. In short </w:t>
      </w:r>
      <w:r w:rsidRPr="00054CD3">
        <w:rPr>
          <w:rStyle w:val="StyleBoldUnderline"/>
        </w:rPr>
        <w:t>we would return to the days of sending out money and hoping for the best — a failed strategy we used for too many years</w:t>
      </w:r>
      <w:r w:rsidRPr="00054CD3">
        <w:rPr>
          <w:sz w:val="16"/>
        </w:rPr>
        <w:t xml:space="preserve">. </w:t>
      </w:r>
      <w:r w:rsidRPr="00054CD3">
        <w:rPr>
          <w:rStyle w:val="StyleBoldUnderline"/>
        </w:rPr>
        <w:t>In a perfect world where state and local administrators kept the best interests of students and taxpayers front and center, I’d be all for it. But the world isn’t perfect, and in far too many places, state and local control means excuses, inaction, complacency, and union control</w:t>
      </w:r>
      <w:r w:rsidRPr="00054CD3">
        <w:rPr>
          <w:sz w:val="16"/>
        </w:rPr>
        <w:t xml:space="preserve">. Our children, particularly those who most need us to have their backs, deserve better than that. Sadly, </w:t>
      </w:r>
      <w:r w:rsidRPr="00054CD3">
        <w:rPr>
          <w:rStyle w:val="Emphasis"/>
        </w:rPr>
        <w:t>left to their own devices, too many states and districts have not held themselves accountable for making much progress in enhancing student achievement and closing the staggering achievement gap between advantaged and disadvantaged students</w:t>
      </w:r>
      <w:r w:rsidRPr="00054CD3">
        <w:rPr>
          <w:sz w:val="16"/>
        </w:rPr>
        <w:t xml:space="preserve">. Instead, </w:t>
      </w:r>
      <w:r w:rsidRPr="00054CD3">
        <w:rPr>
          <w:rStyle w:val="StyleBoldUnderline"/>
        </w:rPr>
        <w:t>they have looked for escape hatches</w:t>
      </w:r>
      <w:r w:rsidRPr="00054CD3">
        <w:rPr>
          <w:sz w:val="16"/>
        </w:rPr>
        <w:t xml:space="preserve">. When I was Secretary, I received an abundance of waiver requests to get out of doing the hard work required by the law. Two quick examples: </w:t>
      </w:r>
      <w:r w:rsidRPr="00054CD3">
        <w:rPr>
          <w:rStyle w:val="StyleBoldUnderline"/>
        </w:rPr>
        <w:t>Kentucky wanted to make accountability determinations every two years instead of annually and Utah asked to educate only 75 percent of its kids to grade level in reading and math</w:t>
      </w:r>
      <w:r w:rsidRPr="00054CD3">
        <w:rPr>
          <w:sz w:val="16"/>
        </w:rPr>
        <w:t xml:space="preserve">. What parent in Kentucky would be satisfied with a report card that arrived every other year and which 25 percent of parents in Utah would be told their kids didn’t matter enough to be educated to grade level? </w:t>
      </w:r>
      <w:r w:rsidRPr="00054CD3">
        <w:rPr>
          <w:rStyle w:val="StyleBoldUnderline"/>
        </w:rPr>
        <w:t>These requests were made by the very adults in the system charged with overseeing the improvement of our schools: administrators and school boards</w:t>
      </w:r>
      <w:r w:rsidRPr="00054CD3">
        <w:rPr>
          <w:sz w:val="16"/>
        </w:rPr>
        <w:t xml:space="preserve">. Not that we should be surprised. </w:t>
      </w:r>
      <w:r w:rsidRPr="00054CD3">
        <w:rPr>
          <w:rStyle w:val="StyleBoldUnderline"/>
        </w:rPr>
        <w:t>School boards are often populated with former teachers and administrators whose policies are aligned with those of the teachers’ unions, including opposing teacher evaluation efforts, discouraging the opening of new charter schools despite pleas from parents and opposing school turnaround efforts</w:t>
      </w:r>
      <w:r w:rsidRPr="00054CD3">
        <w:rPr>
          <w:sz w:val="16"/>
        </w:rPr>
        <w:t xml:space="preserve">. We do need to be clear about the appropriate role of the federal government in education. A lot of hard earned taxpayer dollars are at stake so it’s important to get it right. In my view, </w:t>
      </w:r>
      <w:r w:rsidRPr="00054CD3">
        <w:rPr>
          <w:rStyle w:val="Emphasis"/>
        </w:rPr>
        <w:t>the federal government plays an important role in establishing broad goals, asking states to meet those goals, and holding their feet to the fire to make sure they are achieved</w:t>
      </w:r>
      <w:r w:rsidRPr="00054CD3">
        <w:rPr>
          <w:sz w:val="16"/>
        </w:rPr>
        <w:t xml:space="preserve">. What the federal government should not be doing is getting involved in the day to day decision-making of running schools and managing budgets, setting curriculum, and deciding which teachers to hire and fire. These decisions are best left for those who are closest to the students they serve. I find it interesting that in the midst of the debate over federal, state and local control, a recent poll shows that Americans place education ahead of health care costs, the wars in Iraq and Afghanistan, and Medicare and Social Security on the list of issues that Congress should focus on. As such, my hope is that policymakers of all stripes remember that people do care about this issue, they believe the lives of their children are directly impacted by the education they receive, and they want the system they support with their hard earned dollars to be the best it can be for our kids. </w:t>
      </w:r>
      <w:r w:rsidRPr="00054CD3">
        <w:rPr>
          <w:rStyle w:val="StyleBoldUnderline"/>
        </w:rPr>
        <w:t>Shifting away from accountability won’t take us forward...it will set us back</w:t>
      </w:r>
      <w:r w:rsidRPr="00054CD3">
        <w:rPr>
          <w:sz w:val="16"/>
        </w:rPr>
        <w:t>.</w:t>
      </w:r>
    </w:p>
    <w:p w14:paraId="036E417B" w14:textId="77777777" w:rsidR="00DE62FB" w:rsidRDefault="00DE62FB" w:rsidP="00DE62FB">
      <w:pPr>
        <w:pStyle w:val="Heading3"/>
      </w:pPr>
      <w:r>
        <w:t>No Solvency – Crowd Out DA</w:t>
      </w:r>
    </w:p>
    <w:p w14:paraId="37D2C96D" w14:textId="77777777" w:rsidR="00DE62FB" w:rsidRDefault="00DE62FB" w:rsidP="00DE62FB">
      <w:pPr>
        <w:pStyle w:val="Heading4"/>
      </w:pPr>
      <w:r>
        <w:t>ESAs don’t solve – unaccountable, lead to creationism, and crowd out students with disabilities</w:t>
      </w:r>
    </w:p>
    <w:p w14:paraId="2C8627DA" w14:textId="77777777" w:rsidR="00DE62FB" w:rsidRPr="00A7046E" w:rsidRDefault="00DE62FB" w:rsidP="00DE62FB">
      <w:pPr>
        <w:rPr>
          <w:rStyle w:val="StyleStyleBold12pt"/>
          <w:b w:val="0"/>
        </w:rPr>
      </w:pPr>
      <w:r>
        <w:rPr>
          <w:rStyle w:val="StyleStyleBold12pt"/>
        </w:rPr>
        <w:t xml:space="preserve">Simon ’15 </w:t>
      </w:r>
      <w:r>
        <w:rPr>
          <w:rStyle w:val="StyleStyleBold12pt"/>
          <w:b w:val="0"/>
        </w:rPr>
        <w:t>(Stephanie, “</w:t>
      </w:r>
      <w:r w:rsidRPr="00A7046E">
        <w:rPr>
          <w:rStyle w:val="StyleStyleBold12pt"/>
          <w:b w:val="0"/>
        </w:rPr>
        <w:t>States weigh turning education funds over to parents</w:t>
      </w:r>
      <w:r>
        <w:rPr>
          <w:rStyle w:val="StyleStyleBold12pt"/>
          <w:b w:val="0"/>
        </w:rPr>
        <w:t xml:space="preserve">,” February 6, </w:t>
      </w:r>
      <w:r w:rsidRPr="00A7046E">
        <w:rPr>
          <w:rStyle w:val="StyleStyleBold12pt"/>
          <w:b w:val="0"/>
        </w:rPr>
        <w:t>http://www.politico.com/story/2015/02/state-education-savings-accounts-taxpayers-114966</w:t>
      </w:r>
      <w:r>
        <w:rPr>
          <w:rStyle w:val="StyleStyleBold12pt"/>
          <w:b w:val="0"/>
        </w:rPr>
        <w:t>, Stadt)</w:t>
      </w:r>
    </w:p>
    <w:p w14:paraId="31B39416" w14:textId="77777777" w:rsidR="00DE62FB" w:rsidRDefault="00DE62FB" w:rsidP="00DE62FB">
      <w:pPr>
        <w:rPr>
          <w:sz w:val="16"/>
        </w:rPr>
      </w:pPr>
      <w:r w:rsidRPr="00A7046E">
        <w:rPr>
          <w:sz w:val="16"/>
        </w:rPr>
        <w:t xml:space="preserve">But many </w:t>
      </w:r>
      <w:r w:rsidRPr="00A7046E">
        <w:rPr>
          <w:rStyle w:val="StyleBoldUnderline"/>
        </w:rPr>
        <w:t>advocates for traditional public education are horrified at the concept</w:t>
      </w:r>
      <w:r w:rsidRPr="00A7046E">
        <w:rPr>
          <w:sz w:val="16"/>
        </w:rPr>
        <w:t xml:space="preserve">, saying it’s not fair to force taxpayers to pick up the tab for whatever curriculum a parent assembles. A POLITICO investigation last year found that </w:t>
      </w:r>
      <w:r w:rsidRPr="00A7046E">
        <w:rPr>
          <w:rStyle w:val="StyleBoldUnderline"/>
        </w:rPr>
        <w:t>states already subsidize hundreds of creationist schools through vouchers and tax credits</w:t>
      </w:r>
      <w:r w:rsidRPr="00A7046E">
        <w:rPr>
          <w:sz w:val="16"/>
        </w:rPr>
        <w:t xml:space="preserve">. </w:t>
      </w:r>
      <w:r w:rsidRPr="00A7046E">
        <w:rPr>
          <w:rStyle w:val="StyleBoldUnderline"/>
        </w:rPr>
        <w:t>Parents enrolled in ESAs could</w:t>
      </w:r>
      <w:r w:rsidRPr="00A7046E">
        <w:rPr>
          <w:sz w:val="16"/>
        </w:rPr>
        <w:t xml:space="preserve"> also </w:t>
      </w:r>
      <w:r w:rsidRPr="00A7046E">
        <w:rPr>
          <w:rStyle w:val="StyleBoldUnderline"/>
        </w:rPr>
        <w:t>use public funds to teach the Bible as biology text</w:t>
      </w:r>
      <w:r w:rsidRPr="00A7046E">
        <w:rPr>
          <w:sz w:val="16"/>
        </w:rPr>
        <w:t xml:space="preserve">. Florida does require homeschooling parents, including those with ESAs, to show local education officials portfolios of their child’s work on request. But </w:t>
      </w:r>
      <w:r w:rsidRPr="00A7046E">
        <w:rPr>
          <w:rStyle w:val="StyleBoldUnderline"/>
        </w:rPr>
        <w:t>Arizona doesn’t have any mechanisms to ensure that ESA participants are getting rigorous or well-rounded educations</w:t>
      </w:r>
      <w:r w:rsidRPr="00A7046E">
        <w:rPr>
          <w:sz w:val="16"/>
        </w:rPr>
        <w:t xml:space="preserve">. The state did not immediately respond to a request for comment on this issue. </w:t>
      </w:r>
      <w:r w:rsidRPr="00A7046E">
        <w:rPr>
          <w:rStyle w:val="StyleBoldUnderline"/>
        </w:rPr>
        <w:t>ESAs create “an unregulated, unaccountable market,”</w:t>
      </w:r>
      <w:r w:rsidRPr="00A7046E">
        <w:rPr>
          <w:sz w:val="16"/>
        </w:rPr>
        <w:t xml:space="preserve"> said Randi Weingarten, president of the American Federation of Teachers. “</w:t>
      </w:r>
      <w:r w:rsidRPr="00A7046E">
        <w:rPr>
          <w:rStyle w:val="StyleBoldUnderline"/>
        </w:rPr>
        <w:t>Instead of the exit strategy from public education that these programs represent, we need a renewed commitment to strong neighborhood public schools for every child.</w:t>
      </w:r>
      <w:r w:rsidRPr="00A7046E">
        <w:rPr>
          <w:sz w:val="16"/>
        </w:rPr>
        <w:t xml:space="preserve">” Other critics fear </w:t>
      </w:r>
      <w:r w:rsidRPr="00A7046E">
        <w:rPr>
          <w:rStyle w:val="StyleBoldUnderline"/>
        </w:rPr>
        <w:t>a two-tier system will emerge: Families with the time, energy and savvy to put together education plans for their children will take advantage of ESAs, while parents with less income, education or fluency in English will remain with the public system</w:t>
      </w:r>
      <w:r w:rsidRPr="00A7046E">
        <w:rPr>
          <w:sz w:val="16"/>
        </w:rPr>
        <w:t xml:space="preserve">. </w:t>
      </w:r>
      <w:r w:rsidRPr="00A7046E">
        <w:rPr>
          <w:rStyle w:val="StyleBoldUnderline"/>
        </w:rPr>
        <w:t>That’s a particular concern for advocates for students with disabilities, who worry that it will be hard for traditional public schools to provide robust services for special-needs children as their enrollments shrink — and their budgets dwindle accordingl</w:t>
      </w:r>
      <w:r w:rsidRPr="00A7046E">
        <w:rPr>
          <w:sz w:val="16"/>
        </w:rPr>
        <w:t xml:space="preserve">y. “So many </w:t>
      </w:r>
      <w:r w:rsidRPr="00A7046E">
        <w:rPr>
          <w:rStyle w:val="StyleBoldUnderline"/>
        </w:rPr>
        <w:t>parents of students with disabilities fought incredibly hard to put inclusive practices into federal and state education laws.</w:t>
      </w:r>
      <w:r w:rsidRPr="00A7046E">
        <w:rPr>
          <w:sz w:val="16"/>
        </w:rPr>
        <w:t xml:space="preserve"> </w:t>
      </w:r>
      <w:r w:rsidRPr="00A7046E">
        <w:rPr>
          <w:rStyle w:val="StyleBoldUnderline"/>
        </w:rPr>
        <w:t>Policymakers need to stop for a minute and consider that these ESA programs are a retreat from that effort</w:t>
      </w:r>
      <w:r w:rsidRPr="00A7046E">
        <w:rPr>
          <w:sz w:val="16"/>
        </w:rPr>
        <w:t>,” said Brett Schaeffer, a policy analyst with the Education Law Center of Pennsylvania.</w:t>
      </w:r>
    </w:p>
    <w:p w14:paraId="5144EB2E" w14:textId="77777777" w:rsidR="00DE62FB" w:rsidRDefault="00DE62FB" w:rsidP="00DE62FB">
      <w:pPr>
        <w:pStyle w:val="Heading3"/>
      </w:pPr>
      <w:r>
        <w:t>No Solvency – Tied to Federal</w:t>
      </w:r>
    </w:p>
    <w:p w14:paraId="5BFF1FB9" w14:textId="77777777" w:rsidR="00DE62FB" w:rsidRDefault="00DE62FB" w:rsidP="00DE62FB">
      <w:pPr>
        <w:pStyle w:val="Heading4"/>
      </w:pPr>
      <w:r>
        <w:t>ESAs don’t solve any of the problems with government funding</w:t>
      </w:r>
    </w:p>
    <w:p w14:paraId="6570D824" w14:textId="77777777" w:rsidR="00DE62FB" w:rsidRPr="00C20ED9" w:rsidRDefault="00DE62FB" w:rsidP="00DE62FB">
      <w:pPr>
        <w:rPr>
          <w:rStyle w:val="StyleStyleBold12pt"/>
          <w:b w:val="0"/>
        </w:rPr>
      </w:pPr>
      <w:r>
        <w:rPr>
          <w:rStyle w:val="StyleStyleBold12pt"/>
        </w:rPr>
        <w:t xml:space="preserve">Schaeffer ’11 </w:t>
      </w:r>
      <w:r>
        <w:rPr>
          <w:rStyle w:val="StyleStyleBold12pt"/>
          <w:b w:val="0"/>
        </w:rPr>
        <w:t>(Adam, “</w:t>
      </w:r>
      <w:r w:rsidRPr="00C20ED9">
        <w:rPr>
          <w:rStyle w:val="StyleStyleBold12pt"/>
          <w:b w:val="0"/>
        </w:rPr>
        <w:t>Education ‘Savings’ Accounts Have Same Problems as Regular Vouchers</w:t>
      </w:r>
      <w:r>
        <w:rPr>
          <w:rStyle w:val="StyleStyleBold12pt"/>
          <w:b w:val="0"/>
        </w:rPr>
        <w:t xml:space="preserve">,” April 21, </w:t>
      </w:r>
      <w:r w:rsidRPr="00C20ED9">
        <w:rPr>
          <w:rStyle w:val="StyleStyleBold12pt"/>
          <w:b w:val="0"/>
        </w:rPr>
        <w:t>https://www.cato.org/blog/education-savings-accounts-have-same-problems-regular-vouchers</w:t>
      </w:r>
      <w:r>
        <w:rPr>
          <w:rStyle w:val="StyleStyleBold12pt"/>
          <w:b w:val="0"/>
        </w:rPr>
        <w:t>, Stadt)</w:t>
      </w:r>
    </w:p>
    <w:p w14:paraId="3520D869" w14:textId="77777777" w:rsidR="00DE62FB" w:rsidRDefault="00DE62FB" w:rsidP="00DE62FB">
      <w:pPr>
        <w:rPr>
          <w:sz w:val="16"/>
        </w:rPr>
      </w:pPr>
      <w:r w:rsidRPr="00D11C81">
        <w:rPr>
          <w:sz w:val="16"/>
        </w:rPr>
        <w:t xml:space="preserve">I really hate to disagree with people that I both like and have tremendous respect for, but a new voucher program that passed recently in Arizona has been getting a lot of attention, and a few points need to be addressed. The program is referred to as </w:t>
      </w:r>
      <w:r w:rsidRPr="00C20ED9">
        <w:rPr>
          <w:rStyle w:val="StyleBoldUnderline"/>
        </w:rPr>
        <w:t>an Education “Savings” Account</w:t>
      </w:r>
      <w:r w:rsidRPr="00D11C81">
        <w:rPr>
          <w:sz w:val="16"/>
        </w:rPr>
        <w:t xml:space="preserve">, although the accounts </w:t>
      </w:r>
      <w:r w:rsidRPr="00C20ED9">
        <w:rPr>
          <w:rStyle w:val="StyleBoldUnderline"/>
        </w:rPr>
        <w:t>are not filled with personal savings but with government funds collected from state taxpayers</w:t>
      </w:r>
      <w:r w:rsidRPr="00D11C81">
        <w:rPr>
          <w:sz w:val="16"/>
        </w:rPr>
        <w:t xml:space="preserve">. Unfortunately, as Andrew Coulson has noted before, these </w:t>
      </w:r>
      <w:r w:rsidRPr="00C20ED9">
        <w:rPr>
          <w:rStyle w:val="StyleBoldUnderline"/>
        </w:rPr>
        <w:t>ESAs retain the most important problems of regular voucher programs and add new ones as well: This is still a third-party-payer system that uses government funds</w:t>
      </w:r>
      <w:r w:rsidRPr="00D11C81">
        <w:rPr>
          <w:sz w:val="16"/>
        </w:rPr>
        <w:t xml:space="preserve">. These ESAs are not like HSAs. HSAs and education savings programs like Coverdell accounts are filled by the person who earned the money in the first place. </w:t>
      </w:r>
      <w:r w:rsidRPr="00C20ED9">
        <w:rPr>
          <w:rStyle w:val="StyleBoldUnderline"/>
        </w:rPr>
        <w:t>This is a government education account filled with public funds, accessible to eligible families</w:t>
      </w:r>
      <w:r w:rsidRPr="00D11C81">
        <w:rPr>
          <w:sz w:val="16"/>
        </w:rPr>
        <w:t xml:space="preserve">. If the ultimate goal for ESA proponents is to have broad-based choice, why not let families who can afford it pay for education out of their earnings? Tax credits can accomplish this. </w:t>
      </w:r>
      <w:r w:rsidRPr="00C20ED9">
        <w:rPr>
          <w:rStyle w:val="StyleBoldUnderline"/>
        </w:rPr>
        <w:t>ESAs make all families dependent on government funds sitting in accounts that the government controls</w:t>
      </w:r>
      <w:r w:rsidRPr="00D11C81">
        <w:rPr>
          <w:sz w:val="16"/>
        </w:rPr>
        <w:t xml:space="preserve">. </w:t>
      </w:r>
      <w:r w:rsidRPr="00C20ED9">
        <w:rPr>
          <w:rStyle w:val="StyleBoldUnderline"/>
        </w:rPr>
        <w:t>Because these are still government funds, the legal threats to vouchers will not be significantly mitigated</w:t>
      </w:r>
      <w:r w:rsidRPr="00D11C81">
        <w:rPr>
          <w:sz w:val="16"/>
        </w:rPr>
        <w:t xml:space="preserve">. Each ruling striking down vouchers, including in Arizona, has relied on the fact that government funds carry restrictions on their use in education – even if there is an intervening choice on the part of parents. </w:t>
      </w:r>
      <w:r w:rsidRPr="00C20ED9">
        <w:rPr>
          <w:rStyle w:val="StyleBoldUnderline"/>
        </w:rPr>
        <w:t>The Arizona program is unlikely to survive</w:t>
      </w:r>
      <w:r w:rsidRPr="00D11C81">
        <w:rPr>
          <w:sz w:val="16"/>
        </w:rPr>
        <w:t xml:space="preserve"> another challenge. </w:t>
      </w:r>
      <w:r w:rsidRPr="00C20ED9">
        <w:rPr>
          <w:rStyle w:val="StyleBoldUnderline"/>
        </w:rPr>
        <w:t>Because these are still government funds, they are more likely than credits to bring serious new regulatory burdens</w:t>
      </w:r>
      <w:r w:rsidRPr="00D11C81">
        <w:rPr>
          <w:sz w:val="16"/>
        </w:rPr>
        <w:t xml:space="preserve">. Andrew Coulson’s </w:t>
      </w:r>
      <w:r w:rsidRPr="00C20ED9">
        <w:rPr>
          <w:rStyle w:val="StyleBoldUnderline"/>
        </w:rPr>
        <w:t>historical evidence and recent statistical analysis</w:t>
      </w:r>
      <w:r w:rsidRPr="00D11C81">
        <w:rPr>
          <w:sz w:val="16"/>
        </w:rPr>
        <w:t xml:space="preserve"> of existing credit and voucher programs </w:t>
      </w:r>
      <w:r w:rsidRPr="00C20ED9">
        <w:rPr>
          <w:rStyle w:val="StyleBoldUnderline"/>
        </w:rPr>
        <w:t>demonstrates what common-sense tells us: government money brings regulations</w:t>
      </w:r>
      <w:r w:rsidRPr="00D11C81">
        <w:rPr>
          <w:sz w:val="16"/>
        </w:rPr>
        <w:t xml:space="preserve">. </w:t>
      </w:r>
      <w:r w:rsidRPr="00D11C81">
        <w:rPr>
          <w:rStyle w:val="StyleBoldUnderline"/>
        </w:rPr>
        <w:t>Citizens and politicians think that all institutions taking government funds should be accountable to the government, not just parents</w:t>
      </w:r>
      <w:r w:rsidRPr="00D11C81">
        <w:rPr>
          <w:sz w:val="16"/>
        </w:rPr>
        <w:t xml:space="preserve">. Education tax credits provide for direct accountability to both parents and the taxpayers who earned the funds being expended. </w:t>
      </w:r>
      <w:r w:rsidRPr="00D11C81">
        <w:rPr>
          <w:rStyle w:val="StyleBoldUnderline"/>
        </w:rPr>
        <w:t>Educational freedom is more easily retained within a fully civil society system which doesn’t require government action or legislation to address every problem</w:t>
      </w:r>
      <w:r w:rsidRPr="00D11C81">
        <w:rPr>
          <w:sz w:val="16"/>
        </w:rPr>
        <w:t xml:space="preserve">. Only tax credits respect the values and preferences of the taxpayers who earned the money being spent on education. </w:t>
      </w:r>
      <w:r w:rsidRPr="00D11C81">
        <w:rPr>
          <w:rStyle w:val="StyleBoldUnderline"/>
        </w:rPr>
        <w:t>ESAs still compel all taxpayers to support</w:t>
      </w:r>
      <w:r w:rsidRPr="00D11C81">
        <w:rPr>
          <w:sz w:val="16"/>
        </w:rPr>
        <w:t xml:space="preserve">, in some small measure, </w:t>
      </w:r>
      <w:r w:rsidRPr="00D11C81">
        <w:rPr>
          <w:rStyle w:val="StyleBoldUnderline"/>
        </w:rPr>
        <w:t>the educational choices of all families</w:t>
      </w:r>
      <w:r w:rsidRPr="00D11C81">
        <w:rPr>
          <w:sz w:val="16"/>
        </w:rPr>
        <w:t xml:space="preserve">. </w:t>
      </w:r>
      <w:r w:rsidRPr="00D11C81">
        <w:rPr>
          <w:rStyle w:val="StyleBoldUnderline"/>
        </w:rPr>
        <w:t>This compelled support increases the pressure to regulate and restrict choices</w:t>
      </w:r>
      <w:r w:rsidRPr="00D11C81">
        <w:rPr>
          <w:sz w:val="16"/>
        </w:rPr>
        <w:t xml:space="preserve">. </w:t>
      </w:r>
      <w:r w:rsidRPr="00D11C81">
        <w:rPr>
          <w:rStyle w:val="StyleBoldUnderline"/>
        </w:rPr>
        <w:t>Interest groups and citizens attempt to ensure that their tax dollars are spent according to their values and preferences, using the only means possible in the public sphere: rules and regulations</w:t>
      </w:r>
      <w:r w:rsidRPr="00D11C81">
        <w:rPr>
          <w:sz w:val="16"/>
        </w:rPr>
        <w:t xml:space="preserve">. Credits confer on each taxpayer the means to affirmatively support the kinds of education with which they are comfortable. </w:t>
      </w:r>
      <w:r w:rsidRPr="00D11C81">
        <w:rPr>
          <w:rStyle w:val="StyleBoldUnderline"/>
        </w:rPr>
        <w:t>Long-term complications and problems are likely to arise with the use of third-party ESAs</w:t>
      </w:r>
      <w:r w:rsidRPr="00D11C81">
        <w:rPr>
          <w:sz w:val="16"/>
        </w:rPr>
        <w:t xml:space="preserve">. </w:t>
      </w:r>
      <w:r w:rsidRPr="00D11C81">
        <w:rPr>
          <w:rStyle w:val="StyleBoldUnderline"/>
        </w:rPr>
        <w:t>Because unused funds revert at some point to the state</w:t>
      </w:r>
      <w:r w:rsidRPr="00D11C81">
        <w:rPr>
          <w:sz w:val="16"/>
        </w:rPr>
        <w:t xml:space="preserve"> (as they are not personal savings), </w:t>
      </w:r>
      <w:r w:rsidRPr="00D11C81">
        <w:rPr>
          <w:rStyle w:val="StyleBoldUnderline"/>
        </w:rPr>
        <w:t>individuals will not manage the accounts</w:t>
      </w:r>
      <w:r w:rsidRPr="00D11C81">
        <w:rPr>
          <w:sz w:val="16"/>
        </w:rPr>
        <w:t xml:space="preserve"> as they would HSAs and actual education savings accounts. </w:t>
      </w:r>
      <w:r w:rsidRPr="00D11C81">
        <w:rPr>
          <w:rStyle w:val="StyleBoldUnderline"/>
        </w:rPr>
        <w:t>Many families will likely spend out each year</w:t>
      </w:r>
      <w:r w:rsidRPr="00D11C81">
        <w:rPr>
          <w:sz w:val="16"/>
        </w:rPr>
        <w:t xml:space="preserve"> rather than shopping for value as promoters of HSAs suggest will occur. Alternatively, if some families do save excess funds from early years, </w:t>
      </w:r>
      <w:r w:rsidRPr="00D11C81">
        <w:rPr>
          <w:rStyle w:val="StyleBoldUnderline"/>
        </w:rPr>
        <w:t>they will likely over-consume</w:t>
      </w:r>
      <w:r w:rsidRPr="00D11C81">
        <w:rPr>
          <w:sz w:val="16"/>
        </w:rPr>
        <w:t xml:space="preserve"> in late high school or college because the money will otherwise revert to the state. </w:t>
      </w:r>
      <w:r w:rsidRPr="00D11C81">
        <w:rPr>
          <w:rStyle w:val="StyleBoldUnderline"/>
        </w:rPr>
        <w:t>It is not difficult to imagine all manner of problems this scenario could produce, from simple waste to various kickback schemes through which a person can cash out their government education accounts. Management of fraud and abuse will be extremely difficult in a large-scale, fully developed ESA system that relies on government, third-party funding</w:t>
      </w:r>
      <w:r w:rsidRPr="00D11C81">
        <w:rPr>
          <w:sz w:val="16"/>
        </w:rPr>
        <w:t>.</w:t>
      </w:r>
    </w:p>
    <w:p w14:paraId="5744F230" w14:textId="203E1102" w:rsidR="00DE62FB" w:rsidRDefault="00DE62FB" w:rsidP="00DE62FB">
      <w:pPr>
        <w:rPr>
          <w:sz w:val="16"/>
        </w:rPr>
      </w:pPr>
    </w:p>
    <w:p w14:paraId="7D0FAAB5" w14:textId="039F49E6" w:rsidR="00AC0F68" w:rsidRDefault="006938CE" w:rsidP="00AC0F68">
      <w:pPr>
        <w:pStyle w:val="Heading2"/>
      </w:pPr>
      <w:r>
        <w:t>**State Courts</w:t>
      </w:r>
      <w:r w:rsidR="00AC0F68">
        <w:t xml:space="preserve"> CP</w:t>
      </w:r>
    </w:p>
    <w:p w14:paraId="4C655E72" w14:textId="77777777" w:rsidR="008E13C8" w:rsidRDefault="008E13C8" w:rsidP="00DE62FB">
      <w:pPr>
        <w:rPr>
          <w:sz w:val="16"/>
        </w:rPr>
      </w:pPr>
    </w:p>
    <w:p w14:paraId="42E341BD" w14:textId="2AA94895" w:rsidR="008E13C8" w:rsidRDefault="0033742A" w:rsidP="0033742A">
      <w:pPr>
        <w:pStyle w:val="Heading3"/>
      </w:pPr>
      <w:r>
        <w:t>State Courts</w:t>
      </w:r>
      <w:r w:rsidR="00325B58">
        <w:t xml:space="preserve"> – Timeframe DA</w:t>
      </w:r>
    </w:p>
    <w:p w14:paraId="0171EB54" w14:textId="14AE3D03" w:rsidR="0033742A" w:rsidRDefault="0033742A" w:rsidP="0033742A">
      <w:pPr>
        <w:pStyle w:val="Heading4"/>
      </w:pPr>
      <w:r>
        <w:t>State Courts cause court clog – impact is delay</w:t>
      </w:r>
    </w:p>
    <w:p w14:paraId="275600C2" w14:textId="0E3C8B5B" w:rsidR="0033742A" w:rsidRDefault="0033742A" w:rsidP="0033742A">
      <w:r>
        <w:rPr>
          <w:rStyle w:val="StyleStyleBold12pt"/>
        </w:rPr>
        <w:t xml:space="preserve">Lawson JD from University of Michigan Law ’13 </w:t>
      </w:r>
      <w:r>
        <w:rPr>
          <w:rStyle w:val="StyleStyleBold12pt"/>
          <w:b w:val="0"/>
        </w:rPr>
        <w:t>(Aaron, “</w:t>
      </w:r>
      <w:r w:rsidRPr="000E153B">
        <w:rPr>
          <w:rStyle w:val="StyleStyleBold12pt"/>
          <w:b w:val="0"/>
        </w:rPr>
        <w:t>EDUCATIONAL FEDERALISM: A NEW CASE FOR REDUCED FEDERAL INVOLVEMENT IN K-12 EDUCATION</w:t>
      </w:r>
      <w:r>
        <w:rPr>
          <w:rStyle w:val="StyleStyleBold12pt"/>
          <w:b w:val="0"/>
        </w:rPr>
        <w:t xml:space="preserve">,” </w:t>
      </w:r>
      <w:r w:rsidRPr="000E153B">
        <w:rPr>
          <w:rStyle w:val="StyleStyleBold12pt"/>
          <w:b w:val="0"/>
        </w:rPr>
        <w:t>Brigham Young University education and law journal</w:t>
      </w:r>
      <w:r>
        <w:rPr>
          <w:rStyle w:val="StyleStyleBold12pt"/>
          <w:b w:val="0"/>
        </w:rPr>
        <w:t>, p. 316, Stadt)</w:t>
      </w:r>
    </w:p>
    <w:p w14:paraId="5A657765" w14:textId="5C403C4B" w:rsidR="0033742A" w:rsidRPr="0033742A" w:rsidRDefault="0033742A" w:rsidP="0033742A">
      <w:pPr>
        <w:rPr>
          <w:sz w:val="16"/>
        </w:rPr>
      </w:pPr>
      <w:r w:rsidRPr="0033742A">
        <w:rPr>
          <w:rStyle w:val="StyleBoldUnderline"/>
        </w:rPr>
        <w:t>A</w:t>
      </w:r>
      <w:r w:rsidRPr="0033742A">
        <w:rPr>
          <w:sz w:val="16"/>
        </w:rPr>
        <w:t xml:space="preserve"> second problem </w:t>
      </w:r>
      <w:r w:rsidRPr="0033742A">
        <w:rPr>
          <w:rStyle w:val="StyleBoldUnderline"/>
        </w:rPr>
        <w:t>with giving the courts a major role in formulating education policy</w:t>
      </w:r>
      <w:r w:rsidRPr="0033742A">
        <w:rPr>
          <w:sz w:val="16"/>
        </w:rPr>
        <w:t>—and a concern that would also exist by giving the federal courts a say in this arena—</w:t>
      </w:r>
      <w:r w:rsidRPr="0033742A">
        <w:rPr>
          <w:rStyle w:val="StyleBoldUnderline"/>
        </w:rPr>
        <w:t>is</w:t>
      </w:r>
      <w:r w:rsidRPr="0033742A">
        <w:rPr>
          <w:sz w:val="16"/>
        </w:rPr>
        <w:t xml:space="preserve"> the inherently </w:t>
      </w:r>
      <w:r w:rsidRPr="0033742A">
        <w:rPr>
          <w:rStyle w:val="StyleBoldUnderline"/>
        </w:rPr>
        <w:t>slow-moving nature of the court system. It takes a significant amount of time for a case to work its way through multiple levels of the court system. This delay would</w:t>
      </w:r>
      <w:r w:rsidRPr="0033742A">
        <w:rPr>
          <w:sz w:val="16"/>
        </w:rPr>
        <w:t xml:space="preserve"> seem to </w:t>
      </w:r>
      <w:r w:rsidRPr="0033742A">
        <w:rPr>
          <w:rStyle w:val="Emphasis"/>
        </w:rPr>
        <w:t>negate the flexibility</w:t>
      </w:r>
      <w:r w:rsidRPr="0033742A">
        <w:rPr>
          <w:sz w:val="16"/>
        </w:rPr>
        <w:t xml:space="preserve"> required by an adequacy framework. However, </w:t>
      </w:r>
      <w:r w:rsidRPr="0033742A">
        <w:rPr>
          <w:rStyle w:val="StyleBoldUnderline"/>
        </w:rPr>
        <w:t>state courts</w:t>
      </w:r>
      <w:r w:rsidRPr="0033742A">
        <w:rPr>
          <w:sz w:val="16"/>
        </w:rPr>
        <w:t xml:space="preserve">, particularly in this context, do not speak only through the final judgments of their highest benches. In a system in which the courts </w:t>
      </w:r>
      <w:r w:rsidRPr="0033742A">
        <w:rPr>
          <w:rStyle w:val="StyleBoldUnderline"/>
        </w:rPr>
        <w:t>are responsible for prodding the legislature and fighting inertia</w:t>
      </w:r>
      <w:r w:rsidRPr="0033742A">
        <w:rPr>
          <w:sz w:val="16"/>
        </w:rPr>
        <w:t xml:space="preserve">, the elected branches can also respond to filed suits, trial court orders, or evidentiary studies commissioned specifically for education litigation.'^' That </w:t>
      </w:r>
      <w:r w:rsidRPr="0033742A">
        <w:rPr>
          <w:rStyle w:val="StyleBoldUnderline"/>
        </w:rPr>
        <w:t>a court's docket might be clogged</w:t>
      </w:r>
      <w:r w:rsidRPr="0033742A">
        <w:rPr>
          <w:sz w:val="16"/>
        </w:rPr>
        <w:t xml:space="preserve"> does not counsel against using the judiciary for these purposes. Even filing a suit can have an effect, although </w:t>
      </w:r>
      <w:r w:rsidRPr="0033742A">
        <w:rPr>
          <w:rStyle w:val="StyleBoldUnderline"/>
        </w:rPr>
        <w:t>it may take years for any case to reach a state's highest court</w:t>
      </w:r>
      <w:r w:rsidRPr="0033742A">
        <w:rPr>
          <w:sz w:val="16"/>
        </w:rPr>
        <w:t>.</w:t>
      </w:r>
    </w:p>
    <w:p w14:paraId="5961DC50" w14:textId="77777777" w:rsidR="008E13C8" w:rsidRPr="00DE62FB" w:rsidRDefault="008E13C8" w:rsidP="00DE62FB"/>
    <w:sectPr w:rsidR="008E13C8" w:rsidRPr="00DE62F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C36DD9" w14:textId="77777777" w:rsidR="00FA651D" w:rsidRDefault="00FA651D" w:rsidP="00E46E7E">
      <w:r>
        <w:separator/>
      </w:r>
    </w:p>
  </w:endnote>
  <w:endnote w:type="continuationSeparator" w:id="0">
    <w:p w14:paraId="08CCEFAB" w14:textId="77777777" w:rsidR="00FA651D" w:rsidRDefault="00FA65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D5BE4" w14:textId="77777777" w:rsidR="00FA651D" w:rsidRDefault="00FA651D" w:rsidP="00E46E7E">
      <w:r>
        <w:separator/>
      </w:r>
    </w:p>
  </w:footnote>
  <w:footnote w:type="continuationSeparator" w:id="0">
    <w:p w14:paraId="7F5E73BF" w14:textId="77777777" w:rsidR="00FA651D" w:rsidRDefault="00FA651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11D"/>
    <w:rsid w:val="00011176"/>
    <w:rsid w:val="000140EC"/>
    <w:rsid w:val="00016A35"/>
    <w:rsid w:val="000320BD"/>
    <w:rsid w:val="000539CA"/>
    <w:rsid w:val="000646B2"/>
    <w:rsid w:val="000C16B3"/>
    <w:rsid w:val="000D0BD1"/>
    <w:rsid w:val="000E153B"/>
    <w:rsid w:val="001408C0"/>
    <w:rsid w:val="00143FD7"/>
    <w:rsid w:val="001463FB"/>
    <w:rsid w:val="001623C3"/>
    <w:rsid w:val="001710E3"/>
    <w:rsid w:val="00186DB7"/>
    <w:rsid w:val="001A4653"/>
    <w:rsid w:val="001B4C7E"/>
    <w:rsid w:val="001D311D"/>
    <w:rsid w:val="001D7626"/>
    <w:rsid w:val="001F6081"/>
    <w:rsid w:val="002613DA"/>
    <w:rsid w:val="00291891"/>
    <w:rsid w:val="00295864"/>
    <w:rsid w:val="002A1162"/>
    <w:rsid w:val="002B6353"/>
    <w:rsid w:val="002B68C8"/>
    <w:rsid w:val="002F35F4"/>
    <w:rsid w:val="002F3E28"/>
    <w:rsid w:val="002F40E6"/>
    <w:rsid w:val="00303E5B"/>
    <w:rsid w:val="00313226"/>
    <w:rsid w:val="0031425E"/>
    <w:rsid w:val="00325059"/>
    <w:rsid w:val="00325B58"/>
    <w:rsid w:val="0032719C"/>
    <w:rsid w:val="0033742A"/>
    <w:rsid w:val="00357719"/>
    <w:rsid w:val="00374144"/>
    <w:rsid w:val="003B3EC7"/>
    <w:rsid w:val="003C7EDA"/>
    <w:rsid w:val="003F42AF"/>
    <w:rsid w:val="00412F6D"/>
    <w:rsid w:val="0042635A"/>
    <w:rsid w:val="00453C9A"/>
    <w:rsid w:val="00466B6F"/>
    <w:rsid w:val="00490229"/>
    <w:rsid w:val="004B3188"/>
    <w:rsid w:val="004B3DB3"/>
    <w:rsid w:val="004C63B5"/>
    <w:rsid w:val="004D461E"/>
    <w:rsid w:val="004E3B25"/>
    <w:rsid w:val="00517479"/>
    <w:rsid w:val="005A0BE5"/>
    <w:rsid w:val="005C0E1F"/>
    <w:rsid w:val="005E0D2B"/>
    <w:rsid w:val="005E2C99"/>
    <w:rsid w:val="00614BC1"/>
    <w:rsid w:val="00617748"/>
    <w:rsid w:val="0065145A"/>
    <w:rsid w:val="00672258"/>
    <w:rsid w:val="0067575B"/>
    <w:rsid w:val="00692C26"/>
    <w:rsid w:val="006938CE"/>
    <w:rsid w:val="006B739D"/>
    <w:rsid w:val="006F2D3D"/>
    <w:rsid w:val="00700835"/>
    <w:rsid w:val="007017D9"/>
    <w:rsid w:val="00726F87"/>
    <w:rsid w:val="007333B9"/>
    <w:rsid w:val="00764000"/>
    <w:rsid w:val="00791B7D"/>
    <w:rsid w:val="007A3515"/>
    <w:rsid w:val="007C399D"/>
    <w:rsid w:val="007D7924"/>
    <w:rsid w:val="007E470C"/>
    <w:rsid w:val="007E5F71"/>
    <w:rsid w:val="00821415"/>
    <w:rsid w:val="0083768F"/>
    <w:rsid w:val="008E13C8"/>
    <w:rsid w:val="0091595A"/>
    <w:rsid w:val="009165EA"/>
    <w:rsid w:val="009829F2"/>
    <w:rsid w:val="009904B1"/>
    <w:rsid w:val="00993F61"/>
    <w:rsid w:val="009A005E"/>
    <w:rsid w:val="009B0746"/>
    <w:rsid w:val="009C198B"/>
    <w:rsid w:val="009D207E"/>
    <w:rsid w:val="009E5822"/>
    <w:rsid w:val="009E5FDC"/>
    <w:rsid w:val="009E691A"/>
    <w:rsid w:val="00A074CB"/>
    <w:rsid w:val="00A369C4"/>
    <w:rsid w:val="00A47986"/>
    <w:rsid w:val="00A91A24"/>
    <w:rsid w:val="00AC0E99"/>
    <w:rsid w:val="00AC0F68"/>
    <w:rsid w:val="00AF1E67"/>
    <w:rsid w:val="00AF5046"/>
    <w:rsid w:val="00AF70D4"/>
    <w:rsid w:val="00B169A1"/>
    <w:rsid w:val="00B267E6"/>
    <w:rsid w:val="00B3120B"/>
    <w:rsid w:val="00B33E0C"/>
    <w:rsid w:val="00B45FE9"/>
    <w:rsid w:val="00B55D49"/>
    <w:rsid w:val="00B61D5E"/>
    <w:rsid w:val="00B65E97"/>
    <w:rsid w:val="00B84180"/>
    <w:rsid w:val="00BE63EA"/>
    <w:rsid w:val="00C043D7"/>
    <w:rsid w:val="00C23CE0"/>
    <w:rsid w:val="00C42A3C"/>
    <w:rsid w:val="00C71BF0"/>
    <w:rsid w:val="00CD2C6D"/>
    <w:rsid w:val="00CF1A0F"/>
    <w:rsid w:val="00D36252"/>
    <w:rsid w:val="00D4330B"/>
    <w:rsid w:val="00D460F1"/>
    <w:rsid w:val="00D51B44"/>
    <w:rsid w:val="00D6085D"/>
    <w:rsid w:val="00D66D57"/>
    <w:rsid w:val="00D81480"/>
    <w:rsid w:val="00D94DEF"/>
    <w:rsid w:val="00DA2E40"/>
    <w:rsid w:val="00DA5BF8"/>
    <w:rsid w:val="00DB2589"/>
    <w:rsid w:val="00DB3D96"/>
    <w:rsid w:val="00DC71AA"/>
    <w:rsid w:val="00DD02F0"/>
    <w:rsid w:val="00DD2FAB"/>
    <w:rsid w:val="00DE627C"/>
    <w:rsid w:val="00DE62F8"/>
    <w:rsid w:val="00DE62FB"/>
    <w:rsid w:val="00DF1850"/>
    <w:rsid w:val="00E46E7E"/>
    <w:rsid w:val="00E95631"/>
    <w:rsid w:val="00EC2E1D"/>
    <w:rsid w:val="00EE7F6B"/>
    <w:rsid w:val="00F1173B"/>
    <w:rsid w:val="00F178C4"/>
    <w:rsid w:val="00F45F2E"/>
    <w:rsid w:val="00F537DC"/>
    <w:rsid w:val="00FA538E"/>
    <w:rsid w:val="00FA651D"/>
    <w:rsid w:val="00FD50BA"/>
    <w:rsid w:val="00FE4803"/>
    <w:rsid w:val="00FE5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C3EBD3"/>
  <w14:defaultImageDpi w14:val="300"/>
  <w15:docId w15:val="{0F7B71AB-496A-44C3-A3B7-74ABC41A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23CE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C23C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23C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23C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23CE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23C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CE0"/>
  </w:style>
  <w:style w:type="character" w:styleId="Emphasis">
    <w:name w:val="Emphasis"/>
    <w:aliases w:val="CD Card,Minimized,minimized,Evidence,Highlighted,tag2,Size 10,emphasis in card,ED - Tag,emphasis,Underlined,Bold Underline,Emphasis!!,small,Qualifications,normal card text,bold underline,Shrunk,qualifications in card,qualifications,Box,Style1,B"/>
    <w:basedOn w:val="DefaultParagraphFont"/>
    <w:link w:val="textbold"/>
    <w:uiPriority w:val="7"/>
    <w:qFormat/>
    <w:rsid w:val="00C23CE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C23CE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23CE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23CE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C23CE0"/>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StyleBold"/>
    <w:uiPriority w:val="5"/>
    <w:qFormat/>
    <w:rsid w:val="00C23CE0"/>
    <w:rPr>
      <w:b/>
      <w:bCs/>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
    <w:basedOn w:val="DefaultParagraphFont"/>
    <w:uiPriority w:val="6"/>
    <w:qFormat/>
    <w:rsid w:val="00C23CE0"/>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C23CE0"/>
    <w:pPr>
      <w:tabs>
        <w:tab w:val="center" w:pos="4680"/>
        <w:tab w:val="right" w:pos="9360"/>
      </w:tabs>
    </w:pPr>
  </w:style>
  <w:style w:type="character" w:customStyle="1" w:styleId="HeaderChar">
    <w:name w:val="Header Char"/>
    <w:basedOn w:val="DefaultParagraphFont"/>
    <w:link w:val="Header"/>
    <w:uiPriority w:val="99"/>
    <w:rsid w:val="00C23CE0"/>
    <w:rPr>
      <w:rFonts w:ascii="Calibri" w:eastAsiaTheme="minorHAnsi" w:hAnsi="Calibri" w:cs="Calibri"/>
      <w:sz w:val="22"/>
      <w:szCs w:val="22"/>
    </w:rPr>
  </w:style>
  <w:style w:type="paragraph" w:styleId="Footer">
    <w:name w:val="footer"/>
    <w:basedOn w:val="Normal"/>
    <w:link w:val="FooterChar"/>
    <w:uiPriority w:val="99"/>
    <w:rsid w:val="00C23CE0"/>
    <w:pPr>
      <w:tabs>
        <w:tab w:val="center" w:pos="4680"/>
        <w:tab w:val="right" w:pos="9360"/>
      </w:tabs>
    </w:pPr>
  </w:style>
  <w:style w:type="character" w:customStyle="1" w:styleId="FooterChar">
    <w:name w:val="Footer Char"/>
    <w:basedOn w:val="DefaultParagraphFont"/>
    <w:link w:val="Footer"/>
    <w:uiPriority w:val="99"/>
    <w:rsid w:val="00C23CE0"/>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C23CE0"/>
    <w:rPr>
      <w:color w:val="auto"/>
      <w:u w:val="none"/>
    </w:rPr>
  </w:style>
  <w:style w:type="paragraph" w:customStyle="1" w:styleId="textbold">
    <w:name w:val="text bold"/>
    <w:basedOn w:val="Normal"/>
    <w:link w:val="Emphasis"/>
    <w:uiPriority w:val="7"/>
    <w:qFormat/>
    <w:rsid w:val="001D311D"/>
    <w:pPr>
      <w:spacing w:line="256" w:lineRule="auto"/>
      <w:ind w:left="720"/>
      <w:jc w:val="both"/>
    </w:pPr>
    <w:rPr>
      <w:rFonts w:eastAsiaTheme="minorEastAsia"/>
      <w:b/>
      <w:iCs/>
      <w:szCs w:val="24"/>
      <w:u w:val="single"/>
      <w:bdr w:val="single" w:sz="18" w:space="0" w:color="auto"/>
    </w:rPr>
  </w:style>
  <w:style w:type="character" w:customStyle="1" w:styleId="m-577341545722928962gmail-stylestylebold12pt">
    <w:name w:val="m_-577341545722928962gmail-stylestylebold12pt"/>
    <w:basedOn w:val="DefaultParagraphFont"/>
    <w:rsid w:val="008E13C8"/>
  </w:style>
  <w:style w:type="character" w:customStyle="1" w:styleId="m-577341545722928962gmail-styleboldunderline">
    <w:name w:val="m_-577341545722928962gmail-styleboldunderline"/>
    <w:basedOn w:val="DefaultParagraphFont"/>
    <w:rsid w:val="008E13C8"/>
  </w:style>
  <w:style w:type="paragraph" w:customStyle="1" w:styleId="Emphasis1">
    <w:name w:val="Emphasis1"/>
    <w:basedOn w:val="Normal"/>
    <w:uiPriority w:val="7"/>
    <w:qFormat/>
    <w:rsid w:val="001623C3"/>
    <w:pPr>
      <w:pBdr>
        <w:top w:val="single" w:sz="4" w:space="1" w:color="auto"/>
        <w:left w:val="single" w:sz="4" w:space="4" w:color="auto"/>
        <w:bottom w:val="single" w:sz="4" w:space="1" w:color="auto"/>
        <w:right w:val="single" w:sz="4" w:space="4" w:color="auto"/>
      </w:pBdr>
      <w:ind w:left="720"/>
      <w:jc w:val="both"/>
    </w:pPr>
    <w:rPr>
      <w:rFonts w:ascii="Georgia" w:hAnsi="Georgia"/>
      <w:b/>
      <w:iCs/>
      <w:sz w:val="24"/>
      <w:u w:val="single"/>
      <w:bdr w:val="single" w:sz="24" w:space="0" w:color="auto"/>
    </w:rPr>
  </w:style>
  <w:style w:type="paragraph" w:customStyle="1" w:styleId="StyleStyle49pt">
    <w:name w:val="Style Style4 + 9 pt"/>
    <w:basedOn w:val="Normal"/>
    <w:link w:val="StyleStyle49ptChar"/>
    <w:rsid w:val="001623C3"/>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rsid w:val="001623C3"/>
    <w:rPr>
      <w:rFonts w:ascii="Times New Roman" w:eastAsia="Times New Roman" w:hAnsi="Times New Roman" w:cs="Times New Roman"/>
      <w:sz w:val="20"/>
      <w:u w:val="single"/>
    </w:rPr>
  </w:style>
  <w:style w:type="character" w:customStyle="1" w:styleId="Style9pt">
    <w:name w:val="Style 9 pt"/>
    <w:basedOn w:val="DefaultParagraphFont"/>
    <w:rsid w:val="001623C3"/>
    <w:rPr>
      <w:sz w:val="20"/>
    </w:rPr>
  </w:style>
  <w:style w:type="character" w:customStyle="1" w:styleId="StyleBold">
    <w:name w:val="Style Bold"/>
    <w:basedOn w:val="DefaultParagraphFont"/>
    <w:uiPriority w:val="9"/>
    <w:semiHidden/>
    <w:rsid w:val="00C23CE0"/>
    <w:rPr>
      <w:b/>
      <w:bCs/>
    </w:rPr>
  </w:style>
  <w:style w:type="character" w:styleId="FollowedHyperlink">
    <w:name w:val="FollowedHyperlink"/>
    <w:basedOn w:val="DefaultParagraphFont"/>
    <w:uiPriority w:val="99"/>
    <w:semiHidden/>
    <w:rsid w:val="00C23CE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765332">
      <w:bodyDiv w:val="1"/>
      <w:marLeft w:val="0"/>
      <w:marRight w:val="0"/>
      <w:marTop w:val="0"/>
      <w:marBottom w:val="0"/>
      <w:divBdr>
        <w:top w:val="none" w:sz="0" w:space="0" w:color="auto"/>
        <w:left w:val="none" w:sz="0" w:space="0" w:color="auto"/>
        <w:bottom w:val="none" w:sz="0" w:space="0" w:color="auto"/>
        <w:right w:val="none" w:sz="0" w:space="0" w:color="auto"/>
      </w:divBdr>
    </w:div>
    <w:div w:id="1071392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tmacher.org/pubs/journals/gr040313a.html" TargetMode="External"/><Relationship Id="rId3" Type="http://schemas.openxmlformats.org/officeDocument/2006/relationships/settings" Target="settings.xml"/><Relationship Id="rId7" Type="http://schemas.openxmlformats.org/officeDocument/2006/relationships/hyperlink" Target="https://www.guttmacher.org/state-policy/explore/sex-and-hiv-educ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cesc.net/radicalweb/scholars/papworth/jp11.html" TargetMode="External"/><Relationship Id="rId4" Type="http://schemas.openxmlformats.org/officeDocument/2006/relationships/webSettings" Target="webSettings.xml"/><Relationship Id="rId9" Type="http://schemas.openxmlformats.org/officeDocument/2006/relationships/hyperlink" Target="http://www.surgeongeneral.gov/library/sexualhealth/default.htm%3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7</Pages>
  <Words>50370</Words>
  <Characters>287111</Characters>
  <Application>Microsoft Office Word</Application>
  <DocSecurity>0</DocSecurity>
  <Lines>2392</Lines>
  <Paragraphs>673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Alexandria</cp:lastModifiedBy>
  <cp:revision>2</cp:revision>
  <dcterms:created xsi:type="dcterms:W3CDTF">2017-07-02T18:12:00Z</dcterms:created>
  <dcterms:modified xsi:type="dcterms:W3CDTF">2017-07-02T18:12:00Z</dcterms:modified>
  <cp:category/>
</cp:coreProperties>
</file>